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DD42A1E4A6A4117975A20C7541D0BAF" style="width:450.8pt;height:408.2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pPr>
        <w:rPr>
          <w:noProof/>
        </w:rPr>
      </w:pPr>
      <w:bookmarkStart w:id="1" w:name="_GoBack"/>
      <w:bookmarkEnd w:id="1"/>
    </w:p>
    <w:p>
      <w:pPr>
        <w:spacing w:before="120" w:after="120"/>
        <w:jc w:val="both"/>
        <w:rPr>
          <w:noProof/>
          <w:lang w:eastAsia="en-US"/>
        </w:rPr>
        <w:sectPr>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1134" w:right="1417" w:bottom="1134" w:left="1417" w:header="709" w:footer="709" w:gutter="0"/>
          <w:pgNumType w:start="0"/>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rPr>
                <w:rFonts w:ascii="Tahoma" w:hAnsi="Tahoma" w:cs="Tahoma"/>
                <w:b/>
                <w:noProof/>
                <w:sz w:val="20"/>
                <w:szCs w:val="20"/>
              </w:rPr>
            </w:pPr>
            <w:r>
              <w:rPr>
                <w:rFonts w:ascii="Tahoma" w:hAnsi="Tahoma" w:cs="Tahoma"/>
                <w:b/>
                <w:noProof/>
                <w:sz w:val="20"/>
                <w:szCs w:val="20"/>
              </w:rPr>
              <w:lastRenderedPageBreak/>
              <w:t>Executive Summary Sheet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sz w:val="20"/>
                <w:szCs w:val="20"/>
              </w:rPr>
            </w:pPr>
            <w:r>
              <w:rPr>
                <w:rFonts w:ascii="Tahoma" w:hAnsi="Tahoma" w:cs="Tahoma"/>
                <w:noProof/>
                <w:sz w:val="20"/>
                <w:szCs w:val="20"/>
              </w:rPr>
              <w:t>Impact assessment on the revision of Regulation (EC) No 868/2004.</w:t>
            </w:r>
          </w:p>
        </w:tc>
      </w:tr>
      <w:tr>
        <w:tc>
          <w:tcPr>
            <w:tcW w:w="10188" w:type="dxa"/>
            <w:tcBorders>
              <w:bottom w:val="single" w:sz="4" w:space="0" w:color="auto"/>
            </w:tcBorders>
            <w:shd w:val="clear" w:color="auto" w:fill="CCCCCC"/>
          </w:tcPr>
          <w:p>
            <w:pPr>
              <w:spacing w:before="60" w:after="60"/>
              <w:rPr>
                <w:rFonts w:ascii="Tahoma" w:hAnsi="Tahoma" w:cs="Tahoma"/>
                <w:b/>
                <w:noProof/>
                <w:sz w:val="20"/>
                <w:szCs w:val="20"/>
              </w:rPr>
            </w:pPr>
            <w:r>
              <w:rPr>
                <w:rFonts w:ascii="Tahoma" w:hAnsi="Tahoma" w:cs="Tahoma"/>
                <w:b/>
                <w:noProof/>
                <w:sz w:val="20"/>
                <w:szCs w:val="20"/>
              </w:rPr>
              <w:t>A. Need for action</w:t>
            </w:r>
          </w:p>
        </w:tc>
      </w:tr>
      <w:tr>
        <w:tc>
          <w:tcPr>
            <w:tcW w:w="10188" w:type="dxa"/>
            <w:tcBorders>
              <w:bottom w:val="single" w:sz="4" w:space="0" w:color="auto"/>
            </w:tcBorders>
            <w:shd w:val="clear" w:color="auto" w:fill="E0E0E0"/>
          </w:tcPr>
          <w:p>
            <w:pPr>
              <w:pStyle w:val="Default"/>
              <w:jc w:val="both"/>
              <w:rPr>
                <w:rFonts w:ascii="Tahoma" w:hAnsi="Tahoma" w:cs="Tahoma"/>
                <w:noProof/>
                <w:sz w:val="20"/>
                <w:szCs w:val="20"/>
              </w:rPr>
            </w:pPr>
            <w:r>
              <w:rPr>
                <w:rFonts w:ascii="Tahoma" w:hAnsi="Tahoma" w:cs="Tahoma"/>
                <w:b/>
                <w:bCs/>
                <w:noProof/>
                <w:sz w:val="20"/>
                <w:szCs w:val="20"/>
              </w:rPr>
              <w:t>What is the problem and why is it a problem at EU level</w:t>
            </w:r>
            <w:r>
              <w:rPr>
                <w:rFonts w:ascii="Tahoma" w:hAnsi="Tahoma" w:cs="Tahoma"/>
                <w:b/>
                <w:noProof/>
                <w:sz w:val="20"/>
                <w:szCs w:val="20"/>
              </w:rPr>
              <w:t xml:space="preserve">? </w:t>
            </w:r>
          </w:p>
        </w:tc>
      </w:tr>
      <w:tr>
        <w:trPr>
          <w:trHeight w:val="1018"/>
        </w:trP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cs="Tahoma"/>
                <w:noProof/>
                <w:sz w:val="20"/>
                <w:szCs w:val="20"/>
              </w:rPr>
              <w:t>Stronger global competition and the absence, for the most part, of sufficient rules on fair competition at multilateral and bilateral level have led to concerns regarding alleged discriminatory practices and selective subsidies originating from third countries. The EU's current tools are not adequate to investigate and prevent such practices.</w:t>
            </w:r>
          </w:p>
        </w:tc>
      </w:tr>
      <w:tr>
        <w:tc>
          <w:tcPr>
            <w:tcW w:w="10188" w:type="dxa"/>
            <w:tcBorders>
              <w:bottom w:val="single" w:sz="4" w:space="0" w:color="auto"/>
            </w:tcBorders>
            <w:shd w:val="clear" w:color="auto" w:fill="E6E6E6"/>
          </w:tcPr>
          <w:p>
            <w:pPr>
              <w:pStyle w:val="Default"/>
              <w:jc w:val="both"/>
              <w:rPr>
                <w:rFonts w:ascii="Tahoma" w:hAnsi="Tahoma" w:cs="Tahoma"/>
                <w:noProof/>
                <w:sz w:val="20"/>
                <w:szCs w:val="20"/>
              </w:rPr>
            </w:pPr>
            <w:r>
              <w:rPr>
                <w:rFonts w:ascii="Tahoma" w:hAnsi="Tahoma" w:cs="Tahoma"/>
                <w:b/>
                <w:bCs/>
                <w:noProof/>
                <w:sz w:val="20"/>
                <w:szCs w:val="20"/>
              </w:rPr>
              <w:t xml:space="preserve">What should be achieved?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cs="Tahoma"/>
                <w:noProof/>
                <w:sz w:val="20"/>
                <w:szCs w:val="20"/>
              </w:rPr>
              <w:t xml:space="preserve">The main policy objective is to ensure fair competition between air carriers by effectively protecting European air carriers from unfair practices by third countries and third country entities. </w:t>
            </w:r>
          </w:p>
        </w:tc>
      </w:tr>
      <w:tr>
        <w:tc>
          <w:tcPr>
            <w:tcW w:w="10188" w:type="dxa"/>
            <w:tcBorders>
              <w:bottom w:val="single" w:sz="4" w:space="0" w:color="auto"/>
            </w:tcBorders>
            <w:shd w:val="clear" w:color="auto" w:fill="E6E6E6"/>
          </w:tcPr>
          <w:p>
            <w:pPr>
              <w:pStyle w:val="Default"/>
              <w:jc w:val="both"/>
              <w:rPr>
                <w:rFonts w:ascii="Tahoma" w:hAnsi="Tahoma" w:cs="Tahoma"/>
                <w:noProof/>
                <w:sz w:val="20"/>
                <w:szCs w:val="20"/>
              </w:rPr>
            </w:pPr>
            <w:r>
              <w:rPr>
                <w:rFonts w:ascii="Tahoma" w:hAnsi="Tahoma" w:cs="Tahoma"/>
                <w:b/>
                <w:bCs/>
                <w:noProof/>
                <w:sz w:val="20"/>
                <w:szCs w:val="20"/>
              </w:rPr>
              <w:t xml:space="preserve">What is the value added of action at the EU level (subsidiarity)? </w:t>
            </w:r>
          </w:p>
        </w:tc>
      </w:tr>
      <w:tr>
        <w:tc>
          <w:tcPr>
            <w:tcW w:w="10188" w:type="dxa"/>
            <w:tcBorders>
              <w:bottom w:val="single" w:sz="4" w:space="0" w:color="auto"/>
            </w:tcBorders>
            <w:shd w:val="clear" w:color="auto" w:fill="auto"/>
          </w:tcPr>
          <w:p>
            <w:pPr>
              <w:jc w:val="both"/>
              <w:rPr>
                <w:rFonts w:eastAsia="Calibri"/>
                <w:noProof/>
              </w:rPr>
            </w:pPr>
            <w:r>
              <w:rPr>
                <w:rFonts w:ascii="Tahoma" w:hAnsi="Tahoma" w:cs="Tahoma"/>
                <w:noProof/>
                <w:sz w:val="20"/>
                <w:szCs w:val="20"/>
              </w:rPr>
              <w:t>Modifications to Regulation (EC) No 868/2004 can only be done at the EU level.  One new central element contained in the proposed Regulation is action in cases of 'violation of applicable international obligations'. Rights vis-à-vis third countries, under agreements to which the Union is a party, cannot be exercised separately by individual Member States.</w:t>
            </w:r>
          </w:p>
        </w:tc>
      </w:tr>
      <w:tr>
        <w:tc>
          <w:tcPr>
            <w:tcW w:w="10188" w:type="dxa"/>
            <w:tcBorders>
              <w:bottom w:val="single" w:sz="4" w:space="0" w:color="auto"/>
            </w:tcBorders>
            <w:shd w:val="clear" w:color="auto" w:fill="CCCCCC"/>
          </w:tcPr>
          <w:p>
            <w:pPr>
              <w:spacing w:before="60" w:after="60"/>
              <w:rPr>
                <w:rFonts w:ascii="Tahoma" w:hAnsi="Tahoma" w:cs="Tahoma"/>
                <w:b/>
                <w:noProof/>
                <w:sz w:val="20"/>
                <w:szCs w:val="20"/>
              </w:rPr>
            </w:pPr>
            <w:r>
              <w:rPr>
                <w:rFonts w:ascii="Tahoma" w:hAnsi="Tahoma" w:cs="Tahoma"/>
                <w:b/>
                <w:noProof/>
                <w:sz w:val="20"/>
                <w:szCs w:val="20"/>
              </w:rPr>
              <w:t>B. Solutions</w:t>
            </w:r>
          </w:p>
        </w:tc>
      </w:tr>
      <w:tr>
        <w:tc>
          <w:tcPr>
            <w:tcW w:w="10188" w:type="dxa"/>
            <w:tcBorders>
              <w:bottom w:val="single" w:sz="4" w:space="0" w:color="auto"/>
            </w:tcBorders>
            <w:shd w:val="clear" w:color="auto" w:fill="E6E6E6"/>
          </w:tcPr>
          <w:p>
            <w:pPr>
              <w:pStyle w:val="Default"/>
              <w:jc w:val="both"/>
              <w:rPr>
                <w:rFonts w:ascii="Tahoma" w:hAnsi="Tahoma" w:cs="Tahoma"/>
                <w:noProof/>
                <w:sz w:val="20"/>
                <w:szCs w:val="20"/>
              </w:rPr>
            </w:pPr>
            <w:r>
              <w:rPr>
                <w:rFonts w:ascii="Tahoma" w:hAnsi="Tahoma" w:cs="Tahoma"/>
                <w:b/>
                <w:bCs/>
                <w:noProof/>
                <w:sz w:val="20"/>
                <w:szCs w:val="20"/>
              </w:rPr>
              <w:t>What are the various options to achieve the objectives? Is there a preferred option or not? If not, why?</w:t>
            </w:r>
          </w:p>
        </w:tc>
      </w:tr>
      <w:tr>
        <w:trPr>
          <w:trHeight w:val="837"/>
        </w:trP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cs="Tahoma"/>
                <w:noProof/>
                <w:sz w:val="20"/>
                <w:szCs w:val="20"/>
              </w:rPr>
              <w:t>A) Baseline scenario: no policy change.</w:t>
            </w:r>
          </w:p>
          <w:p>
            <w:pPr>
              <w:jc w:val="both"/>
              <w:rPr>
                <w:rFonts w:ascii="Tahoma" w:hAnsi="Tahoma" w:cs="Tahoma"/>
                <w:noProof/>
                <w:sz w:val="20"/>
                <w:szCs w:val="20"/>
              </w:rPr>
            </w:pPr>
            <w:r>
              <w:rPr>
                <w:rFonts w:ascii="Tahoma" w:hAnsi="Tahoma" w:cs="Tahoma"/>
                <w:noProof/>
                <w:sz w:val="20"/>
                <w:szCs w:val="20"/>
              </w:rPr>
              <w:t>B) Increased international efforts at the global level aiming for a multilateral legal framework for fair competition in aviation and inclusion of expanded fair competition clauses in Air Service Agreements (ASAs).</w:t>
            </w:r>
          </w:p>
          <w:p>
            <w:pPr>
              <w:jc w:val="both"/>
              <w:rPr>
                <w:rFonts w:ascii="Tahoma" w:hAnsi="Tahoma" w:cs="Tahoma"/>
                <w:noProof/>
                <w:sz w:val="20"/>
                <w:szCs w:val="20"/>
              </w:rPr>
            </w:pPr>
            <w:r>
              <w:rPr>
                <w:rFonts w:ascii="Tahoma" w:hAnsi="Tahoma" w:cs="Tahoma"/>
                <w:noProof/>
                <w:sz w:val="20"/>
                <w:szCs w:val="20"/>
              </w:rPr>
              <w:t>C) Major changes to the regime contained in Regulation (EC) No 868/2004 which would be replaced by a new comprehensive and effective EU legal instrument.</w:t>
            </w:r>
          </w:p>
          <w:p>
            <w:pPr>
              <w:jc w:val="both"/>
              <w:rPr>
                <w:rFonts w:ascii="Tahoma" w:hAnsi="Tahoma" w:cs="Tahoma"/>
                <w:noProof/>
                <w:sz w:val="20"/>
                <w:szCs w:val="20"/>
              </w:rPr>
            </w:pPr>
            <w:r>
              <w:rPr>
                <w:rFonts w:ascii="Tahoma" w:hAnsi="Tahoma" w:cs="Tahoma"/>
                <w:noProof/>
                <w:sz w:val="20"/>
                <w:szCs w:val="20"/>
              </w:rPr>
              <w:t>D) Replacement</w:t>
            </w:r>
            <w:r>
              <w:rPr>
                <w:rFonts w:ascii="Tahoma" w:hAnsi="Tahoma"/>
                <w:noProof/>
                <w:sz w:val="20"/>
              </w:rPr>
              <w:t xml:space="preserve"> of </w:t>
            </w:r>
            <w:r>
              <w:rPr>
                <w:rFonts w:ascii="Tahoma" w:hAnsi="Tahoma" w:cs="Tahoma"/>
                <w:noProof/>
                <w:sz w:val="20"/>
                <w:szCs w:val="20"/>
              </w:rPr>
              <w:t>Regulation (EC) No 868/2004 by a new, more effective EU legal instrument combined with increased international efforts at global level and inclusion of fair competition clauses in ASAs (preferred option)</w:t>
            </w:r>
          </w:p>
        </w:tc>
      </w:tr>
      <w:tr>
        <w:tc>
          <w:tcPr>
            <w:tcW w:w="10188" w:type="dxa"/>
            <w:tcBorders>
              <w:top w:val="single" w:sz="4" w:space="0" w:color="auto"/>
            </w:tcBorders>
            <w:shd w:val="clear" w:color="auto" w:fill="E6E6E6"/>
          </w:tcPr>
          <w:p>
            <w:pPr>
              <w:pStyle w:val="Default"/>
              <w:jc w:val="both"/>
              <w:rPr>
                <w:rFonts w:ascii="Tahoma" w:hAnsi="Tahoma" w:cs="Tahoma"/>
                <w:b/>
                <w:bCs/>
                <w:noProof/>
                <w:sz w:val="20"/>
                <w:szCs w:val="20"/>
              </w:rPr>
            </w:pPr>
            <w:r>
              <w:rPr>
                <w:rFonts w:ascii="Tahoma" w:hAnsi="Tahoma" w:cs="Tahoma"/>
                <w:b/>
                <w:bCs/>
                <w:noProof/>
                <w:sz w:val="20"/>
                <w:szCs w:val="20"/>
              </w:rPr>
              <w:t xml:space="preserve">What are different stakeholders' views? Who supports which option? </w:t>
            </w:r>
          </w:p>
        </w:tc>
      </w:tr>
      <w:tr>
        <w:tc>
          <w:tcPr>
            <w:tcW w:w="10188" w:type="dxa"/>
            <w:shd w:val="clear" w:color="auto" w:fill="auto"/>
          </w:tcPr>
          <w:p>
            <w:pPr>
              <w:jc w:val="both"/>
              <w:rPr>
                <w:rFonts w:ascii="Tahoma" w:hAnsi="Tahoma" w:cs="Tahoma"/>
                <w:noProof/>
                <w:sz w:val="20"/>
                <w:szCs w:val="20"/>
              </w:rPr>
            </w:pPr>
            <w:r>
              <w:rPr>
                <w:rFonts w:ascii="Tahoma" w:hAnsi="Tahoma" w:cs="Tahoma"/>
                <w:noProof/>
                <w:sz w:val="20"/>
                <w:szCs w:val="20"/>
              </w:rPr>
              <w:t xml:space="preserve">The Council, the European Parliament, several Union air carriers and labour organisations support replacing Regulation 868/2004 with a more effective instrument. </w:t>
            </w:r>
          </w:p>
        </w:tc>
      </w:tr>
      <w:tr>
        <w:tc>
          <w:tcPr>
            <w:tcW w:w="10188" w:type="dxa"/>
            <w:tcBorders>
              <w:bottom w:val="single" w:sz="4" w:space="0" w:color="auto"/>
            </w:tcBorders>
            <w:shd w:val="clear" w:color="auto" w:fill="CCCCCC"/>
          </w:tcPr>
          <w:p>
            <w:pPr>
              <w:spacing w:before="60" w:after="60"/>
              <w:rPr>
                <w:rFonts w:ascii="Tahoma" w:hAnsi="Tahoma" w:cs="Tahoma"/>
                <w:b/>
                <w:noProof/>
                <w:sz w:val="20"/>
                <w:szCs w:val="20"/>
              </w:rPr>
            </w:pPr>
            <w:r>
              <w:rPr>
                <w:rFonts w:ascii="Tahoma" w:hAnsi="Tahoma" w:cs="Tahoma"/>
                <w:b/>
                <w:noProof/>
                <w:sz w:val="20"/>
                <w:szCs w:val="20"/>
              </w:rPr>
              <w:t>C. Impacts of the preferred option</w:t>
            </w:r>
          </w:p>
        </w:tc>
      </w:tr>
      <w:tr>
        <w:tc>
          <w:tcPr>
            <w:tcW w:w="10188" w:type="dxa"/>
            <w:tcBorders>
              <w:bottom w:val="single" w:sz="4" w:space="0" w:color="auto"/>
            </w:tcBorders>
            <w:shd w:val="clear" w:color="auto" w:fill="E6E6E6"/>
          </w:tcPr>
          <w:p>
            <w:pPr>
              <w:pStyle w:val="Default"/>
              <w:jc w:val="both"/>
              <w:rPr>
                <w:rFonts w:ascii="Tahoma" w:hAnsi="Tahoma" w:cs="Tahoma"/>
                <w:noProof/>
                <w:sz w:val="20"/>
                <w:szCs w:val="20"/>
              </w:rPr>
            </w:pPr>
            <w:r>
              <w:rPr>
                <w:rFonts w:ascii="Tahoma" w:hAnsi="Tahoma" w:cs="Tahoma"/>
                <w:b/>
                <w:bCs/>
                <w:noProof/>
                <w:sz w:val="20"/>
                <w:szCs w:val="20"/>
              </w:rPr>
              <w:t xml:space="preserve">What are the benefits of the preferred option (if any, otherwise of main ones)? </w:t>
            </w:r>
          </w:p>
        </w:tc>
      </w:tr>
      <w:tr>
        <w:trPr>
          <w:trHeight w:val="550"/>
        </w:trP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cs="Tahoma"/>
                <w:noProof/>
                <w:sz w:val="20"/>
                <w:szCs w:val="20"/>
              </w:rPr>
              <w:t xml:space="preserve">The preferred option D is expected to bring the strongest positive impact. The added value of combined EU action at all levels should benefit the EU air transport sector by increasing revenues. It should also contribute to the growth of employment at Union air carriers, airports and related industries. </w:t>
            </w:r>
          </w:p>
        </w:tc>
      </w:tr>
      <w:tr>
        <w:tc>
          <w:tcPr>
            <w:tcW w:w="10188" w:type="dxa"/>
            <w:tcBorders>
              <w:bottom w:val="single" w:sz="4" w:space="0" w:color="auto"/>
            </w:tcBorders>
            <w:shd w:val="clear" w:color="auto" w:fill="E6E6E6"/>
          </w:tcPr>
          <w:p>
            <w:pPr>
              <w:pStyle w:val="Default"/>
              <w:jc w:val="both"/>
              <w:rPr>
                <w:rFonts w:ascii="Tahoma" w:hAnsi="Tahoma" w:cs="Tahoma"/>
                <w:noProof/>
                <w:sz w:val="20"/>
                <w:szCs w:val="20"/>
              </w:rPr>
            </w:pPr>
            <w:r>
              <w:rPr>
                <w:rFonts w:ascii="Tahoma" w:hAnsi="Tahoma" w:cs="Tahoma"/>
                <w:b/>
                <w:bCs/>
                <w:noProof/>
                <w:sz w:val="20"/>
                <w:szCs w:val="20"/>
              </w:rPr>
              <w:t xml:space="preserve">What are the costs of the preferred option (if any, otherwise of main ones)?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cs="Tahoma"/>
                <w:noProof/>
                <w:sz w:val="20"/>
                <w:szCs w:val="20"/>
              </w:rPr>
              <w:t xml:space="preserve">Costs incurred by the administration of complaints and diplomatic negotiations are expected to be offset by the positive impacts on the EU aviation sector and the EU economy. </w:t>
            </w:r>
          </w:p>
        </w:tc>
      </w:tr>
      <w:tr>
        <w:tc>
          <w:tcPr>
            <w:tcW w:w="10188" w:type="dxa"/>
            <w:tcBorders>
              <w:bottom w:val="single" w:sz="4" w:space="0" w:color="auto"/>
            </w:tcBorders>
            <w:shd w:val="clear" w:color="auto" w:fill="E6E6E6"/>
          </w:tcPr>
          <w:p>
            <w:pPr>
              <w:pStyle w:val="Default"/>
              <w:jc w:val="both"/>
              <w:rPr>
                <w:rFonts w:ascii="Tahoma" w:hAnsi="Tahoma" w:cs="Tahoma"/>
                <w:noProof/>
                <w:sz w:val="20"/>
                <w:szCs w:val="20"/>
              </w:rPr>
            </w:pPr>
            <w:r>
              <w:rPr>
                <w:rFonts w:ascii="Tahoma" w:hAnsi="Tahoma" w:cs="Tahoma"/>
                <w:b/>
                <w:bCs/>
                <w:noProof/>
                <w:sz w:val="20"/>
                <w:szCs w:val="20"/>
              </w:rPr>
              <w:t xml:space="preserve">What are the impacts on SMEs and competitiveness? </w:t>
            </w:r>
          </w:p>
        </w:tc>
      </w:tr>
      <w:tr>
        <w:tc>
          <w:tcPr>
            <w:tcW w:w="10188" w:type="dxa"/>
            <w:tcBorders>
              <w:bottom w:val="single" w:sz="4" w:space="0" w:color="auto"/>
            </w:tcBorders>
            <w:shd w:val="clear" w:color="auto" w:fill="auto"/>
          </w:tcPr>
          <w:p>
            <w:pPr>
              <w:jc w:val="both"/>
              <w:rPr>
                <w:rFonts w:ascii="Tahoma" w:hAnsi="Tahoma" w:cs="Tahoma"/>
                <w:i/>
                <w:noProof/>
                <w:sz w:val="20"/>
                <w:szCs w:val="20"/>
              </w:rPr>
            </w:pPr>
            <w:r>
              <w:rPr>
                <w:rFonts w:ascii="Tahoma" w:hAnsi="Tahoma" w:cs="Tahoma"/>
                <w:noProof/>
                <w:sz w:val="20"/>
                <w:szCs w:val="20"/>
              </w:rPr>
              <w:t>No significant overall direct impacts on SMEs, positive impact on competitiveness of the EU airlines.</w:t>
            </w:r>
          </w:p>
        </w:tc>
      </w:tr>
      <w:tr>
        <w:tc>
          <w:tcPr>
            <w:tcW w:w="10188" w:type="dxa"/>
            <w:tcBorders>
              <w:bottom w:val="single" w:sz="4" w:space="0" w:color="auto"/>
            </w:tcBorders>
            <w:shd w:val="clear" w:color="auto" w:fill="E6E6E6"/>
          </w:tcPr>
          <w:p>
            <w:pPr>
              <w:pStyle w:val="Default"/>
              <w:jc w:val="both"/>
              <w:rPr>
                <w:rFonts w:ascii="Tahoma" w:hAnsi="Tahoma" w:cs="Tahoma"/>
                <w:noProof/>
                <w:sz w:val="20"/>
                <w:szCs w:val="20"/>
              </w:rPr>
            </w:pPr>
            <w:r>
              <w:rPr>
                <w:rFonts w:ascii="Tahoma" w:hAnsi="Tahoma" w:cs="Tahoma"/>
                <w:b/>
                <w:bCs/>
                <w:noProof/>
                <w:sz w:val="20"/>
                <w:szCs w:val="20"/>
              </w:rPr>
              <w:t xml:space="preserve">Will there be significant impacts on national budgets and administrations? </w:t>
            </w:r>
          </w:p>
        </w:tc>
      </w:tr>
      <w:tr>
        <w:tc>
          <w:tcPr>
            <w:tcW w:w="10188" w:type="dxa"/>
            <w:shd w:val="clear" w:color="auto" w:fill="auto"/>
          </w:tcPr>
          <w:p>
            <w:pPr>
              <w:jc w:val="both"/>
              <w:rPr>
                <w:rFonts w:ascii="Tahoma" w:hAnsi="Tahoma" w:cs="Tahoma"/>
                <w:noProof/>
                <w:sz w:val="20"/>
                <w:szCs w:val="20"/>
              </w:rPr>
            </w:pPr>
            <w:r>
              <w:rPr>
                <w:rFonts w:ascii="Tahoma" w:hAnsi="Tahoma" w:cs="Tahoma"/>
                <w:noProof/>
                <w:sz w:val="20"/>
                <w:szCs w:val="20"/>
              </w:rPr>
              <w:t>No.</w:t>
            </w:r>
          </w:p>
        </w:tc>
      </w:tr>
      <w:tr>
        <w:tc>
          <w:tcPr>
            <w:tcW w:w="10188" w:type="dxa"/>
            <w:tcBorders>
              <w:bottom w:val="single" w:sz="4" w:space="0" w:color="auto"/>
            </w:tcBorders>
            <w:shd w:val="clear" w:color="auto" w:fill="E6E6E6"/>
          </w:tcPr>
          <w:p>
            <w:pPr>
              <w:pStyle w:val="Default"/>
              <w:jc w:val="both"/>
              <w:rPr>
                <w:rFonts w:ascii="Tahoma" w:hAnsi="Tahoma" w:cs="Tahoma"/>
                <w:noProof/>
                <w:sz w:val="20"/>
                <w:szCs w:val="20"/>
              </w:rPr>
            </w:pPr>
            <w:r>
              <w:rPr>
                <w:rFonts w:ascii="Tahoma" w:hAnsi="Tahoma" w:cs="Tahoma"/>
                <w:b/>
                <w:bCs/>
                <w:noProof/>
                <w:sz w:val="20"/>
                <w:szCs w:val="20"/>
              </w:rPr>
              <w:t xml:space="preserve">Will there be other significant impacts?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cs="Tahoma"/>
                <w:noProof/>
                <w:sz w:val="20"/>
                <w:szCs w:val="20"/>
              </w:rPr>
              <w:t xml:space="preserve">In the long term, preserving competition should ensure the affordability and the quality of air services. </w:t>
            </w:r>
          </w:p>
        </w:tc>
      </w:tr>
      <w:tr>
        <w:tc>
          <w:tcPr>
            <w:tcW w:w="10188" w:type="dxa"/>
            <w:tcBorders>
              <w:bottom w:val="single" w:sz="4" w:space="0" w:color="auto"/>
            </w:tcBorders>
            <w:shd w:val="clear" w:color="auto" w:fill="E6E6E6"/>
          </w:tcPr>
          <w:p>
            <w:pPr>
              <w:pStyle w:val="Default"/>
              <w:jc w:val="both"/>
              <w:rPr>
                <w:rFonts w:ascii="Tahoma" w:hAnsi="Tahoma" w:cs="Tahoma"/>
                <w:noProof/>
                <w:sz w:val="20"/>
                <w:szCs w:val="20"/>
              </w:rPr>
            </w:pPr>
            <w:r>
              <w:rPr>
                <w:rFonts w:ascii="Tahoma" w:hAnsi="Tahoma" w:cs="Tahoma"/>
                <w:b/>
                <w:bCs/>
                <w:noProof/>
                <w:sz w:val="20"/>
                <w:szCs w:val="20"/>
              </w:rPr>
              <w:t xml:space="preserve">Proportionality? </w:t>
            </w:r>
          </w:p>
        </w:tc>
      </w:tr>
      <w:tr>
        <w:tc>
          <w:tcPr>
            <w:tcW w:w="10188" w:type="dxa"/>
            <w:shd w:val="clear" w:color="auto" w:fill="auto"/>
          </w:tcPr>
          <w:p>
            <w:pPr>
              <w:jc w:val="both"/>
              <w:rPr>
                <w:rFonts w:ascii="Tahoma" w:hAnsi="Tahoma" w:cs="Tahoma"/>
                <w:noProof/>
                <w:sz w:val="20"/>
                <w:szCs w:val="20"/>
              </w:rPr>
            </w:pPr>
            <w:r>
              <w:rPr>
                <w:rFonts w:ascii="Tahoma" w:hAnsi="Tahoma" w:cs="Tahoma"/>
                <w:noProof/>
                <w:sz w:val="20"/>
                <w:szCs w:val="20"/>
              </w:rPr>
              <w:t xml:space="preserve">The preferred policy option does not go beyond what is needed to achieve the policy objectives. </w:t>
            </w:r>
          </w:p>
        </w:tc>
      </w:tr>
      <w:tr>
        <w:tc>
          <w:tcPr>
            <w:tcW w:w="10188" w:type="dxa"/>
            <w:tcBorders>
              <w:bottom w:val="single" w:sz="4" w:space="0" w:color="auto"/>
            </w:tcBorders>
            <w:shd w:val="clear" w:color="auto" w:fill="C0C0C0"/>
          </w:tcPr>
          <w:p>
            <w:pPr>
              <w:spacing w:before="60" w:after="60"/>
              <w:rPr>
                <w:rFonts w:ascii="Tahoma" w:hAnsi="Tahoma" w:cs="Tahoma"/>
                <w:b/>
                <w:noProof/>
                <w:sz w:val="20"/>
                <w:szCs w:val="20"/>
              </w:rPr>
            </w:pPr>
            <w:r>
              <w:rPr>
                <w:rFonts w:ascii="Tahoma" w:hAnsi="Tahoma" w:cs="Tahoma"/>
                <w:b/>
                <w:noProof/>
                <w:sz w:val="20"/>
                <w:szCs w:val="20"/>
              </w:rPr>
              <w:t>D. Follow up</w:t>
            </w:r>
          </w:p>
        </w:tc>
      </w:tr>
      <w:tr>
        <w:tc>
          <w:tcPr>
            <w:tcW w:w="10188" w:type="dxa"/>
            <w:tcBorders>
              <w:bottom w:val="single" w:sz="4" w:space="0" w:color="auto"/>
            </w:tcBorders>
            <w:shd w:val="clear" w:color="auto" w:fill="E6E6E6"/>
          </w:tcPr>
          <w:p>
            <w:pPr>
              <w:pStyle w:val="Default"/>
              <w:jc w:val="both"/>
              <w:rPr>
                <w:rFonts w:ascii="Tahoma" w:hAnsi="Tahoma" w:cs="Tahoma"/>
                <w:noProof/>
                <w:sz w:val="20"/>
                <w:szCs w:val="20"/>
              </w:rPr>
            </w:pPr>
            <w:r>
              <w:rPr>
                <w:rFonts w:ascii="Tahoma" w:hAnsi="Tahoma" w:cs="Tahoma"/>
                <w:b/>
                <w:bCs/>
                <w:noProof/>
                <w:sz w:val="20"/>
                <w:szCs w:val="20"/>
              </w:rPr>
              <w:t xml:space="preserve">When will the policy be reviewed?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cs="Tahoma"/>
                <w:noProof/>
                <w:sz w:val="20"/>
                <w:szCs w:val="20"/>
              </w:rPr>
              <w:t>An evaluation will be carried out 5 years after the entry into force of the new rules.</w:t>
            </w:r>
          </w:p>
        </w:tc>
      </w:tr>
    </w:tbl>
    <w:p>
      <w:pPr>
        <w:rPr>
          <w:rFonts w:ascii="Tahoma" w:hAnsi="Tahoma"/>
          <w:noProof/>
          <w:sz w:val="2"/>
        </w:rPr>
      </w:pPr>
    </w:p>
    <w:sectPr>
      <w:headerReference w:type="even" r:id="rId25"/>
      <w:headerReference w:type="default" r:id="rId26"/>
      <w:footerReference w:type="even" r:id="rId27"/>
      <w:footerReference w:type="default" r:id="rId28"/>
      <w:headerReference w:type="first" r:id="rId29"/>
      <w:footerReference w:type="first" r:id="rId30"/>
      <w:pgSz w:w="11906" w:h="16838" w:code="9"/>
      <w:pgMar w:top="1276" w:right="567" w:bottom="624" w:left="1134" w:header="284" w:footer="25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6339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50891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r>
      <w:rPr>
        <w:rFonts w:ascii="Arial" w:hAnsi="Arial" w:cs="Arial"/>
        <w:noProof/>
        <w:lang w:val="en-US" w:eastAsia="en-US"/>
      </w:rPr>
      <w:drawing>
        <wp:inline distT="0" distB="0" distL="0" distR="0">
          <wp:extent cx="1713501" cy="457200"/>
          <wp:effectExtent l="0" t="0" r="1270" b="0"/>
          <wp:docPr id="5" name="Picture 5"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433" cy="46065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3387C"/>
    <w:multiLevelType w:val="hybridMultilevel"/>
    <w:tmpl w:val="7006399E"/>
    <w:lvl w:ilvl="0" w:tplc="23DE7F78">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nsid w:val="4C4E1654"/>
    <w:multiLevelType w:val="multilevel"/>
    <w:tmpl w:val="700639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
    <w:nsid w:val="55FD19AF"/>
    <w:multiLevelType w:val="hybridMultilevel"/>
    <w:tmpl w:val="0E623F1A"/>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nsid w:val="671B39AB"/>
    <w:multiLevelType w:val="multilevel"/>
    <w:tmpl w:val="0E623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nsid w:val="77775577"/>
    <w:multiLevelType w:val="hybridMultilevel"/>
    <w:tmpl w:val="FC9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3DD42A1E4A6A4117975A20C7541D0BAF"/>
    <w:docVar w:name="LW_CROSSREFERENCE" w:val="{COM(2017) 289 final}_x000b_{SWD(2017) 182 final}"/>
    <w:docVar w:name="LW_DocType" w:val="NORMAL"/>
    <w:docVar w:name="LW_EMISSION" w:val="8.6.2017"/>
    <w:docVar w:name="LW_EMISSION_ISODATE" w:val="2017-06-08"/>
    <w:docVar w:name="LW_EMISSION_LOCATION" w:val="BRX"/>
    <w:docVar w:name="LW_EMISSION_PREFIX" w:val="Brussels, "/>
    <w:docVar w:name="LW_EMISSION_SUFFIX" w:val=" "/>
    <w:docVar w:name="LW_ID_DOCTYPE_NONLW" w:val="CP-027"/>
    <w:docVar w:name="LW_LANGUE" w:val="EN"/>
    <w:docVar w:name="LW_MARKING" w:val="&lt;UNUSED&gt;"/>
    <w:docVar w:name="LW_NOM.INST" w:val="EUROPEAN COMMISSION"/>
    <w:docVar w:name="LW_NOM.INST_JOINTDOC" w:val="&lt;EMPTY&gt;"/>
    <w:docVar w:name="LW_OBJETACTEPRINCIPAL.CP" w:val="on safeguarding competition in air transport, repealing Regulation (EC) N° 868/2004"/>
    <w:docVar w:name="LW_PART_NBR" w:val="1"/>
    <w:docVar w:name="LW_PART_NBR_TOTAL" w:val="1"/>
    <w:docVar w:name="LW_REF.INST.NEW" w:val="SWD"/>
    <w:docVar w:name="LW_REF.INST.NEW_ADOPTED" w:val="final"/>
    <w:docVar w:name="LW_REF.INST.NEW_TEXT" w:val="(2017) 183"/>
    <w:docVar w:name="LW_REF.INTERNE" w:val="&lt;UNUSED&gt;"/>
    <w:docVar w:name="LW_SUPERTITRE" w:val="&lt;UNUSED&gt;"/>
    <w:docVar w:name="LW_TITRE.OBJ.CP" w:val="&lt;UNUSED&gt;"/>
    <w:docVar w:name="LW_TYPE.DOC.CP" w:val="COMMISSION STAFF WORKING DOCUMENT_x000b__x000b_EXECUTIVE SUMMARY OF THE IMPACT ASSESSMENT_x000b_"/>
    <w:docVar w:name="LW_TYPEACTEPRINCIPAL.CP" w:val="proposal for a _x000b_REGULATION OF THE EUROPEAN PARLIAMENT AND OF THE COUNCIL "/>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pPr>
      <w:ind w:left="720" w:hanging="720"/>
      <w:jc w:val="both"/>
    </w:pPr>
    <w:rPr>
      <w:sz w:val="20"/>
      <w:szCs w:val="20"/>
      <w:lang w:eastAsia="de-DE"/>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sz w:val="24"/>
      <w:szCs w:val="24"/>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lang w:eastAsia="en-US"/>
    </w:rPr>
  </w:style>
  <w:style w:type="character" w:customStyle="1" w:styleId="FooterCoverPageChar">
    <w:name w:val="Footer Cover Page Char"/>
    <w:link w:val="FooterCoverPage"/>
    <w:rPr>
      <w:sz w:val="24"/>
      <w:szCs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FooterChar">
    <w:name w:val="Footer Char"/>
    <w:basedOn w:val="DefaultParagraphFont"/>
    <w:link w:val="Footer"/>
    <w:uiPriority w:val="99"/>
    <w:rPr>
      <w:sz w:val="24"/>
      <w:szCs w:val="24"/>
    </w:rPr>
  </w:style>
  <w:style w:type="paragraph" w:styleId="Revision">
    <w:name w:val="Revision"/>
    <w:hidden/>
    <w:uiPriority w:val="99"/>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pPr>
      <w:ind w:left="720" w:hanging="720"/>
      <w:jc w:val="both"/>
    </w:pPr>
    <w:rPr>
      <w:sz w:val="20"/>
      <w:szCs w:val="20"/>
      <w:lang w:eastAsia="de-DE"/>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sz w:val="24"/>
      <w:szCs w:val="24"/>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lang w:eastAsia="en-US"/>
    </w:rPr>
  </w:style>
  <w:style w:type="character" w:customStyle="1" w:styleId="FooterCoverPageChar">
    <w:name w:val="Footer Cover Page Char"/>
    <w:link w:val="FooterCoverPage"/>
    <w:rPr>
      <w:sz w:val="24"/>
      <w:szCs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FooterChar">
    <w:name w:val="Footer Char"/>
    <w:basedOn w:val="DefaultParagraphFont"/>
    <w:link w:val="Footer"/>
    <w:uiPriority w:val="99"/>
    <w:rPr>
      <w:sz w:val="24"/>
      <w:szCs w:val="24"/>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2FF24BEE692C4CA94781A66E31F216" ma:contentTypeVersion="1" ma:contentTypeDescription="Create a new document." ma:contentTypeScope="" ma:versionID="f5be3d569ea676da218c8b4741985d2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7B3CE-EE00-43FE-BE10-7423387A8B58}">
  <ds:schemaRefs>
    <ds:schemaRef ds:uri="http://schemas.microsoft.com/sharepoint/v3/contenttype/forms"/>
  </ds:schemaRefs>
</ds:datastoreItem>
</file>

<file path=customXml/itemProps2.xml><?xml version="1.0" encoding="utf-8"?>
<ds:datastoreItem xmlns:ds="http://schemas.openxmlformats.org/officeDocument/2006/customXml" ds:itemID="{FD3D80AF-3046-41EC-B73A-4A9EC2E83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24173-A8CF-4AAB-BE0C-126D8400FDC0}">
  <ds:schemaRefs>
    <ds:schemaRef ds:uri="http://schemas.microsoft.com/sharepoint/v3"/>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1F5EEA4-7074-4012-A5F3-969B086D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2939</Characters>
  <Application>Microsoft Office Word</Application>
  <DocSecurity>0</DocSecurity>
  <Lines>53</Lines>
  <Paragraphs>39</Paragraphs>
  <ScaleCrop>false</ScaleCrop>
  <HeadingPairs>
    <vt:vector size="2" baseType="variant">
      <vt:variant>
        <vt:lpstr>Title</vt:lpstr>
      </vt:variant>
      <vt:variant>
        <vt:i4>1</vt:i4>
      </vt:variant>
    </vt:vector>
  </HeadingPairs>
  <TitlesOfParts>
    <vt:vector size="1" baseType="lpstr">
      <vt:lpstr>ROADMAP (Template)</vt:lpstr>
    </vt:vector>
  </TitlesOfParts>
  <Manager/>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(Template)</dc:title>
  <dc:creator/>
  <cp:lastModifiedBy>DIGIT/A3</cp:lastModifiedBy>
  <cp:revision>29</cp:revision>
  <cp:lastPrinted>2017-01-17T12:33:00Z</cp:lastPrinted>
  <dcterms:created xsi:type="dcterms:W3CDTF">2017-03-22T12:41:00Z</dcterms:created>
  <dcterms:modified xsi:type="dcterms:W3CDTF">2017-06-06T15:05:00Z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0x010100622FF24BEE692C4CA94781A66E31F216</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Order">
    <vt:r8>400</vt:r8>
  </property>
  <property fmtid="{D5CDD505-2E9C-101B-9397-08002B2CF9AE}" pid="8" name="Part">
    <vt:lpwstr>1</vt:lpwstr>
  </property>
  <property fmtid="{D5CDD505-2E9C-101B-9397-08002B2CF9AE}" pid="9" name="Total parts">
    <vt:lpwstr>1</vt:lpwstr>
  </property>
  <property fmtid="{D5CDD505-2E9C-101B-9397-08002B2CF9AE}" pid="10" name="Classification">
    <vt:lpwstr> </vt:lpwstr>
  </property>
  <property fmtid="{D5CDD505-2E9C-101B-9397-08002B2CF9AE}" pid="11" name="DocStatus">
    <vt:lpwstr>Green</vt:lpwstr>
  </property>
</Properties>
</file>