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833" w:rsidRDefault="00EF0106" w:rsidP="00EF0106">
      <w:pPr>
        <w:pStyle w:val="Pagedecouverture"/>
        <w:rPr>
          <w:noProof/>
        </w:rPr>
      </w:pPr>
      <w:bookmarkStart w:id="0" w:name="_Toc481688339"/>
      <w:bookmarkStart w:id="1" w:name="_Toc481688401"/>
      <w:bookmarkStart w:id="2" w:name="LW_BM_COVERPAGE"/>
      <w:bookmarkStart w:id="3"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2109FA77FC36408DA8F7844FD7B4C0A6" style="width:450.35pt;height:444.25pt">
            <v:imagedata r:id="rId8" o:title=""/>
          </v:shape>
        </w:pict>
      </w:r>
      <w:bookmarkEnd w:id="3"/>
    </w:p>
    <w:bookmarkEnd w:id="2"/>
    <w:p w:rsidR="009F3833" w:rsidRDefault="009F3833">
      <w:pPr>
        <w:rPr>
          <w:noProof/>
        </w:rPr>
        <w:sectPr w:rsidR="009F3833" w:rsidSect="00EF0106">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60"/>
        </w:sectPr>
      </w:pPr>
    </w:p>
    <w:p w:rsidR="009F3833" w:rsidRDefault="00EF0106">
      <w:pPr>
        <w:pStyle w:val="Heading1"/>
        <w:jc w:val="both"/>
        <w:rPr>
          <w:rFonts w:ascii="Times New Roman" w:hAnsi="Times New Roman" w:cs="Times New Roman"/>
          <w:noProof/>
        </w:rPr>
      </w:pPr>
      <w:r>
        <w:rPr>
          <w:rFonts w:ascii="Times New Roman" w:hAnsi="Times New Roman" w:cs="Times New Roman"/>
          <w:noProof/>
        </w:rPr>
        <w:lastRenderedPageBreak/>
        <w:t>1.</w:t>
      </w:r>
      <w:r>
        <w:rPr>
          <w:rFonts w:ascii="Times New Roman" w:hAnsi="Times New Roman" w:cs="Times New Roman"/>
          <w:noProof/>
        </w:rPr>
        <w:tab/>
        <w:t>Introduction</w:t>
      </w:r>
      <w:bookmarkEnd w:id="0"/>
      <w:bookmarkEnd w:id="1"/>
    </w:p>
    <w:p w:rsidR="009F3833" w:rsidRDefault="00EF0106">
      <w:pPr>
        <w:spacing w:before="120" w:after="120"/>
        <w:jc w:val="both"/>
        <w:rPr>
          <w:rFonts w:ascii="Times New Roman" w:hAnsi="Times New Roman" w:cs="Times New Roman"/>
          <w:noProof/>
        </w:rPr>
      </w:pPr>
      <w:r>
        <w:rPr>
          <w:rFonts w:ascii="Times New Roman" w:hAnsi="Times New Roman" w:cs="Times New Roman"/>
          <w:noProof/>
        </w:rPr>
        <w:t xml:space="preserve">On 20 January 2017 the Directorate-General for Financial Stability, Financial </w:t>
      </w:r>
      <w:r>
        <w:rPr>
          <w:rFonts w:ascii="Times New Roman" w:hAnsi="Times New Roman" w:cs="Times New Roman"/>
          <w:noProof/>
        </w:rPr>
        <w:t>Services and Capital Markets Union (DG FISMA) of the European Commission launched a public consultation on the Capital Markets Union (CMU) Mid-term Review 2017.</w:t>
      </w:r>
    </w:p>
    <w:p w:rsidR="009F3833" w:rsidRDefault="00EF0106">
      <w:pPr>
        <w:spacing w:before="120" w:after="120"/>
        <w:jc w:val="both"/>
        <w:rPr>
          <w:rFonts w:ascii="Times New Roman" w:hAnsi="Times New Roman" w:cs="Times New Roman"/>
          <w:noProof/>
        </w:rPr>
      </w:pPr>
      <w:r>
        <w:rPr>
          <w:rFonts w:ascii="Times New Roman" w:hAnsi="Times New Roman" w:cs="Times New Roman"/>
          <w:noProof/>
        </w:rPr>
        <w:t>The CMU Mid-term Review aims to (i) take stock of progress on the implementation of the CMU Act</w:t>
      </w:r>
      <w:r>
        <w:rPr>
          <w:rFonts w:ascii="Times New Roman" w:hAnsi="Times New Roman" w:cs="Times New Roman"/>
          <w:noProof/>
        </w:rPr>
        <w:t>ion Plan of 30 September 2015</w:t>
      </w:r>
      <w:r>
        <w:rPr>
          <w:rStyle w:val="FootnoteReference"/>
          <w:rFonts w:ascii="Times New Roman" w:hAnsi="Times New Roman" w:cs="Times New Roman"/>
          <w:noProof/>
        </w:rPr>
        <w:footnoteReference w:id="1"/>
      </w:r>
      <w:r>
        <w:rPr>
          <w:rFonts w:ascii="Times New Roman" w:hAnsi="Times New Roman" w:cs="Times New Roman"/>
          <w:noProof/>
        </w:rPr>
        <w:t>; (ii) reframe actions in the light of work undertaken so far and evolving market circumstances; and (iii) complement the CMU Action Plan with new measures which constitute an effective and proportionate response to key challe</w:t>
      </w:r>
      <w:r>
        <w:rPr>
          <w:rFonts w:ascii="Times New Roman" w:hAnsi="Times New Roman" w:cs="Times New Roman"/>
          <w:noProof/>
        </w:rPr>
        <w:t>nges.</w:t>
      </w:r>
    </w:p>
    <w:p w:rsidR="009F3833" w:rsidRDefault="00EF0106">
      <w:pPr>
        <w:spacing w:before="120" w:after="0"/>
        <w:jc w:val="both"/>
        <w:rPr>
          <w:rFonts w:ascii="Times New Roman" w:hAnsi="Times New Roman" w:cs="Times New Roman"/>
          <w:noProof/>
          <w:szCs w:val="24"/>
        </w:rPr>
      </w:pPr>
      <w:r>
        <w:rPr>
          <w:rFonts w:ascii="Times New Roman" w:hAnsi="Times New Roman" w:cs="Times New Roman"/>
          <w:noProof/>
        </w:rPr>
        <w:t>The purpose of the consultation was to seek feedback on how the CMU Action Plan can be updated and completed so that it represents a strong policy framework for the development of capital markets, building on the initiatives presented so far by the E</w:t>
      </w:r>
      <w:r>
        <w:rPr>
          <w:rFonts w:ascii="Times New Roman" w:hAnsi="Times New Roman" w:cs="Times New Roman"/>
          <w:noProof/>
        </w:rPr>
        <w:t xml:space="preserve">uropean Commission. </w:t>
      </w:r>
      <w:r>
        <w:rPr>
          <w:rFonts w:ascii="Times New Roman" w:hAnsi="Times New Roman" w:cs="Times New Roman"/>
          <w:noProof/>
          <w:szCs w:val="24"/>
        </w:rPr>
        <w:t>Respondents were invited to provide concise and operational suggestions on measures that can be enhanced and on complementary actions to deliver the policy goals.</w:t>
      </w:r>
    </w:p>
    <w:p w:rsidR="009F3833" w:rsidRDefault="00EF0106">
      <w:pPr>
        <w:spacing w:before="120" w:after="120"/>
        <w:jc w:val="both"/>
        <w:rPr>
          <w:rFonts w:ascii="Times New Roman" w:hAnsi="Times New Roman" w:cs="Times New Roman"/>
          <w:noProof/>
        </w:rPr>
      </w:pPr>
      <w:r>
        <w:rPr>
          <w:rFonts w:ascii="Times New Roman" w:hAnsi="Times New Roman" w:cs="Times New Roman"/>
          <w:noProof/>
        </w:rPr>
        <w:t>DG FISMA received 178 responses to the consultation that ended on 17 Marc</w:t>
      </w:r>
      <w:r>
        <w:rPr>
          <w:rFonts w:ascii="Times New Roman" w:hAnsi="Times New Roman" w:cs="Times New Roman"/>
          <w:noProof/>
        </w:rPr>
        <w:t>h 2017. Contributions were made by a broad variety of stakeholder groups, including industry associations, investors, companies, small and medium-sized enterprises (SMEs), non-governmental organisations (NGOs), consumers and think tanks, as well as nationa</w:t>
      </w:r>
      <w:r>
        <w:rPr>
          <w:rFonts w:ascii="Times New Roman" w:hAnsi="Times New Roman" w:cs="Times New Roman"/>
          <w:noProof/>
        </w:rPr>
        <w:t>l, European Union (EU) and international regulatory and supervisory authorities (see Chart A). Replies originated in more than 20 countries (see Chart B).</w:t>
      </w:r>
    </w:p>
    <w:p w:rsidR="009F3833" w:rsidRDefault="00EF0106">
      <w:pPr>
        <w:spacing w:before="120" w:after="120"/>
        <w:jc w:val="both"/>
        <w:rPr>
          <w:rFonts w:ascii="Times New Roman" w:hAnsi="Times New Roman" w:cs="Times New Roman"/>
          <w:noProof/>
        </w:rPr>
      </w:pPr>
      <w:r>
        <w:rPr>
          <w:rFonts w:ascii="Times New Roman" w:hAnsi="Times New Roman" w:cs="Times New Roman"/>
          <w:noProof/>
        </w:rPr>
        <w:t>This feedback statement summarises the answers received for each of the six questions. It does not ai</w:t>
      </w:r>
      <w:r>
        <w:rPr>
          <w:rFonts w:ascii="Times New Roman" w:hAnsi="Times New Roman" w:cs="Times New Roman"/>
          <w:noProof/>
        </w:rPr>
        <w:t>m to be exhaustive or provide detailed statistical data, but rather seeks to give a qualitative representation of the contributions received and identify some specific messages related to actions that can foster the building of a CMU. The summary of the re</w:t>
      </w:r>
      <w:r>
        <w:rPr>
          <w:rFonts w:ascii="Times New Roman" w:hAnsi="Times New Roman" w:cs="Times New Roman"/>
          <w:noProof/>
        </w:rPr>
        <w:t xml:space="preserve">sponses provides particular insight into </w:t>
      </w:r>
      <w:r>
        <w:rPr>
          <w:rFonts w:ascii="Times New Roman" w:hAnsi="Times New Roman" w:cs="Times New Roman"/>
          <w:noProof/>
          <w:szCs w:val="24"/>
        </w:rPr>
        <w:t>new perspectives on existing measures and new focus areas proposed by respondents.</w:t>
      </w:r>
    </w:p>
    <w:p w:rsidR="009F3833" w:rsidRDefault="00EF0106">
      <w:pPr>
        <w:spacing w:before="120" w:after="120"/>
        <w:jc w:val="both"/>
        <w:rPr>
          <w:rFonts w:ascii="Times New Roman" w:hAnsi="Times New Roman" w:cs="Times New Roman"/>
          <w:b/>
          <w:noProof/>
        </w:rPr>
      </w:pPr>
      <w:r>
        <w:rPr>
          <w:rFonts w:ascii="Times New Roman" w:hAnsi="Times New Roman" w:cs="Times New Roman"/>
          <w:b/>
          <w:noProof/>
        </w:rPr>
        <w:t>This feedback statement does not give any indication of potential initiatives, which the European Commission may or may not undertak</w:t>
      </w:r>
      <w:r>
        <w:rPr>
          <w:rFonts w:ascii="Times New Roman" w:hAnsi="Times New Roman" w:cs="Times New Roman"/>
          <w:b/>
          <w:noProof/>
        </w:rPr>
        <w:t>e in the future in this area.</w:t>
      </w:r>
    </w:p>
    <w:p w:rsidR="009F3833" w:rsidRDefault="009F3833">
      <w:pPr>
        <w:spacing w:before="120" w:after="120"/>
        <w:jc w:val="both"/>
        <w:rPr>
          <w:rFonts w:ascii="Times New Roman" w:hAnsi="Times New Roman" w:cs="Times New Roman"/>
          <w:noProof/>
        </w:rPr>
      </w:pPr>
    </w:p>
    <w:p w:rsidR="009F3833" w:rsidRDefault="00EF0106">
      <w:pPr>
        <w:rPr>
          <w:rFonts w:ascii="Times New Roman" w:hAnsi="Times New Roman" w:cs="Times New Roman"/>
          <w:i/>
          <w:noProof/>
        </w:rPr>
      </w:pPr>
      <w:r>
        <w:rPr>
          <w:rFonts w:ascii="Times New Roman" w:hAnsi="Times New Roman" w:cs="Times New Roman"/>
          <w:b/>
          <w:noProof/>
        </w:rPr>
        <w:br w:type="page"/>
      </w:r>
      <w:r>
        <w:rPr>
          <w:rFonts w:ascii="Times New Roman" w:hAnsi="Times New Roman" w:cs="Times New Roman"/>
          <w:i/>
          <w:noProof/>
        </w:rPr>
        <w:lastRenderedPageBreak/>
        <w:t>Chart A – Replies by type of stakeholder</w:t>
      </w:r>
    </w:p>
    <w:p w:rsidR="009F3833" w:rsidRDefault="00EF0106">
      <w:pPr>
        <w:rPr>
          <w:rFonts w:ascii="Times New Roman" w:hAnsi="Times New Roman" w:cs="Times New Roman"/>
          <w:noProof/>
        </w:rPr>
      </w:pPr>
      <w:r>
        <w:rPr>
          <w:noProof/>
          <w:lang w:eastAsia="en-GB"/>
        </w:rPr>
        <w:drawing>
          <wp:inline distT="0" distB="0" distL="0" distR="0">
            <wp:extent cx="5359180" cy="3648949"/>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62689" cy="3651338"/>
                    </a:xfrm>
                    <a:prstGeom prst="rect">
                      <a:avLst/>
                    </a:prstGeom>
                  </pic:spPr>
                </pic:pic>
              </a:graphicData>
            </a:graphic>
          </wp:inline>
        </w:drawing>
      </w:r>
    </w:p>
    <w:p w:rsidR="009F3833" w:rsidRDefault="00EF0106">
      <w:pPr>
        <w:jc w:val="both"/>
        <w:rPr>
          <w:rFonts w:ascii="Times New Roman" w:hAnsi="Times New Roman" w:cs="Times New Roman"/>
          <w:i/>
          <w:noProof/>
        </w:rPr>
      </w:pPr>
      <w:r>
        <w:rPr>
          <w:rFonts w:ascii="Times New Roman" w:hAnsi="Times New Roman" w:cs="Times New Roman"/>
          <w:i/>
          <w:noProof/>
        </w:rPr>
        <w:t xml:space="preserve">Chart B – Replies by country </w:t>
      </w:r>
    </w:p>
    <w:p w:rsidR="009F3833" w:rsidRDefault="00EF0106">
      <w:pPr>
        <w:jc w:val="both"/>
        <w:rPr>
          <w:rFonts w:ascii="Times New Roman" w:hAnsi="Times New Roman" w:cs="Times New Roman"/>
          <w:i/>
          <w:noProof/>
        </w:rPr>
      </w:pPr>
      <w:r>
        <w:rPr>
          <w:noProof/>
          <w:lang w:eastAsia="en-GB"/>
        </w:rPr>
        <w:drawing>
          <wp:inline distT="0" distB="0" distL="0" distR="0">
            <wp:extent cx="5359179" cy="37371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360400" cy="3737965"/>
                    </a:xfrm>
                    <a:prstGeom prst="rect">
                      <a:avLst/>
                    </a:prstGeom>
                  </pic:spPr>
                </pic:pic>
              </a:graphicData>
            </a:graphic>
          </wp:inline>
        </w:drawing>
      </w:r>
    </w:p>
    <w:p w:rsidR="009F3833" w:rsidRDefault="00EF0106">
      <w:pPr>
        <w:jc w:val="both"/>
        <w:rPr>
          <w:rFonts w:ascii="Times New Roman" w:hAnsi="Times New Roman" w:cs="Times New Roman"/>
          <w:b/>
          <w:i/>
          <w:noProof/>
        </w:rPr>
      </w:pPr>
      <w:r>
        <w:rPr>
          <w:rFonts w:ascii="Times New Roman" w:hAnsi="Times New Roman" w:cs="Times New Roman"/>
          <w:b/>
          <w:i/>
          <w:noProof/>
        </w:rPr>
        <w:t xml:space="preserve"> </w:t>
      </w:r>
      <w:r>
        <w:rPr>
          <w:rFonts w:ascii="Times New Roman" w:hAnsi="Times New Roman" w:cs="Times New Roman"/>
          <w:b/>
          <w:i/>
          <w:noProof/>
        </w:rPr>
        <w:br w:type="page"/>
      </w:r>
    </w:p>
    <w:p w:rsidR="009F3833" w:rsidRDefault="00EF0106">
      <w:pPr>
        <w:pStyle w:val="Heading1"/>
        <w:jc w:val="both"/>
        <w:rPr>
          <w:rFonts w:ascii="Times New Roman" w:hAnsi="Times New Roman" w:cs="Times New Roman"/>
          <w:noProof/>
        </w:rPr>
      </w:pPr>
      <w:bookmarkStart w:id="4" w:name="_Toc481688340"/>
      <w:bookmarkStart w:id="5" w:name="_Toc481688402"/>
      <w:r>
        <w:rPr>
          <w:rFonts w:ascii="Times New Roman" w:hAnsi="Times New Roman" w:cs="Times New Roman"/>
          <w:noProof/>
        </w:rPr>
        <w:lastRenderedPageBreak/>
        <w:t xml:space="preserve">2. </w:t>
      </w:r>
      <w:r>
        <w:rPr>
          <w:rFonts w:ascii="Times New Roman" w:hAnsi="Times New Roman" w:cs="Times New Roman"/>
          <w:noProof/>
        </w:rPr>
        <w:tab/>
      </w:r>
      <w:bookmarkStart w:id="6" w:name="_Toc428367099"/>
      <w:r>
        <w:rPr>
          <w:rFonts w:ascii="Times New Roman" w:hAnsi="Times New Roman" w:cs="Times New Roman"/>
          <w:noProof/>
        </w:rPr>
        <w:t>Summary of individual responses</w:t>
      </w:r>
      <w:bookmarkEnd w:id="4"/>
      <w:bookmarkEnd w:id="5"/>
      <w:bookmarkEnd w:id="6"/>
    </w:p>
    <w:p w:rsidR="009F3833" w:rsidRDefault="00EF0106">
      <w:pPr>
        <w:pStyle w:val="Heading2"/>
        <w:pBdr>
          <w:top w:val="single" w:sz="4" w:space="1" w:color="auto"/>
          <w:left w:val="single" w:sz="4" w:space="4" w:color="auto"/>
          <w:bottom w:val="single" w:sz="4" w:space="1" w:color="auto"/>
          <w:right w:val="single" w:sz="4" w:space="4" w:color="auto"/>
        </w:pBdr>
        <w:rPr>
          <w:rStyle w:val="Hyperlink"/>
          <w:rFonts w:ascii="Times New Roman" w:hAnsi="Times New Roman" w:cs="Times New Roman"/>
        </w:rPr>
      </w:pPr>
      <w:bookmarkStart w:id="7" w:name="_Toc481688341"/>
      <w:bookmarkStart w:id="8" w:name="_Toc481688403"/>
      <w:r>
        <w:rPr>
          <w:rStyle w:val="Hyperlink"/>
          <w:rFonts w:ascii="Times New Roman" w:hAnsi="Times New Roman" w:cs="Times New Roman"/>
        </w:rPr>
        <w:t xml:space="preserve">Question 1 – Are there additional actions that can contribute to fostering the financing for innovation, </w:t>
      </w:r>
      <w:r>
        <w:rPr>
          <w:rStyle w:val="Hyperlink"/>
          <w:rFonts w:ascii="Times New Roman" w:hAnsi="Times New Roman" w:cs="Times New Roman"/>
        </w:rPr>
        <w:t>start-ups and non-listed companies?</w:t>
      </w:r>
      <w:bookmarkEnd w:id="7"/>
      <w:bookmarkEnd w:id="8"/>
    </w:p>
    <w:p w:rsidR="009F3833" w:rsidRDefault="00EF0106">
      <w:pPr>
        <w:spacing w:before="120" w:after="120"/>
        <w:jc w:val="both"/>
        <w:rPr>
          <w:rFonts w:ascii="Times New Roman" w:hAnsi="Times New Roman" w:cs="Times New Roman"/>
          <w:noProof/>
        </w:rPr>
      </w:pPr>
      <w:r>
        <w:rPr>
          <w:rFonts w:ascii="Times New Roman" w:hAnsi="Times New Roman" w:cs="Times New Roman"/>
          <w:noProof/>
        </w:rPr>
        <w:t xml:space="preserve">Most respondents supported a number of actions in the CMU Action Plan that contribute to </w:t>
      </w:r>
      <w:r>
        <w:rPr>
          <w:rStyle w:val="Hyperlink"/>
          <w:rFonts w:ascii="Times New Roman" w:hAnsi="Times New Roman" w:cs="Times New Roman"/>
          <w:noProof/>
        </w:rPr>
        <w:t>fostering the financing for innovation, start-ups and non-listed companies</w:t>
      </w:r>
      <w:r>
        <w:rPr>
          <w:rFonts w:ascii="Times New Roman" w:hAnsi="Times New Roman" w:cs="Times New Roman"/>
          <w:noProof/>
        </w:rPr>
        <w:t>. In particular, the ongoing study analysing the impact o</w:t>
      </w:r>
      <w:r>
        <w:rPr>
          <w:rFonts w:ascii="Times New Roman" w:hAnsi="Times New Roman" w:cs="Times New Roman"/>
          <w:noProof/>
        </w:rPr>
        <w:t xml:space="preserve">f tax incentives for venture capital (VC) and business angels was welcomed, with several respondents calling for enlarging its scope to consider strategies aimed at encouraging investors to buy and hold shares on a mid- to long-term basis. The revision of </w:t>
      </w:r>
      <w:r>
        <w:rPr>
          <w:rFonts w:ascii="Times New Roman" w:hAnsi="Times New Roman" w:cs="Times New Roman"/>
          <w:noProof/>
        </w:rPr>
        <w:t>the European Venture Capital Funds (EuVECA) and European Social Entrepreneurship Funds (EuSEF) Regulations and the extension of the EuVECA definition of qualified portfolio undertakings were largely welcomed by industry respondents.</w:t>
      </w:r>
    </w:p>
    <w:p w:rsidR="009F3833" w:rsidRDefault="00EF0106">
      <w:pPr>
        <w:spacing w:before="120" w:after="120"/>
        <w:jc w:val="both"/>
        <w:rPr>
          <w:rFonts w:ascii="Times New Roman" w:hAnsi="Times New Roman" w:cs="Times New Roman"/>
          <w:b/>
          <w:i/>
          <w:noProof/>
          <w:u w:val="single"/>
        </w:rPr>
      </w:pPr>
      <w:r>
        <w:rPr>
          <w:rFonts w:ascii="Times New Roman" w:hAnsi="Times New Roman" w:cs="Times New Roman"/>
          <w:b/>
          <w:i/>
          <w:noProof/>
          <w:u w:val="single"/>
        </w:rPr>
        <w:t>New perspectives on exi</w:t>
      </w:r>
      <w:r>
        <w:rPr>
          <w:rFonts w:ascii="Times New Roman" w:hAnsi="Times New Roman" w:cs="Times New Roman"/>
          <w:b/>
          <w:i/>
          <w:noProof/>
          <w:u w:val="single"/>
        </w:rPr>
        <w:t>sting actions</w:t>
      </w:r>
    </w:p>
    <w:p w:rsidR="009F3833" w:rsidRDefault="00EF0106">
      <w:pPr>
        <w:spacing w:before="120" w:after="120"/>
        <w:jc w:val="both"/>
        <w:rPr>
          <w:rFonts w:ascii="Times New Roman" w:hAnsi="Times New Roman" w:cs="Times New Roman"/>
          <w:noProof/>
        </w:rPr>
      </w:pPr>
      <w:r>
        <w:rPr>
          <w:rFonts w:ascii="Times New Roman" w:hAnsi="Times New Roman" w:cs="Times New Roman"/>
          <w:noProof/>
        </w:rPr>
        <w:t xml:space="preserve">Several respondents stressed the need for a stronger focus on </w:t>
      </w:r>
      <w:r>
        <w:rPr>
          <w:rFonts w:ascii="Times New Roman" w:hAnsi="Times New Roman" w:cs="Times New Roman"/>
          <w:b/>
          <w:noProof/>
        </w:rPr>
        <w:t>business angels</w:t>
      </w:r>
      <w:r>
        <w:rPr>
          <w:rFonts w:ascii="Times New Roman" w:hAnsi="Times New Roman" w:cs="Times New Roman"/>
          <w:noProof/>
        </w:rPr>
        <w:t>, both in terms of specific tax incentives and non-tax measures, such as stronger support for exit opportunities or the creation of a passport for business angels.</w:t>
      </w:r>
    </w:p>
    <w:p w:rsidR="009F3833" w:rsidRDefault="00EF0106">
      <w:pPr>
        <w:spacing w:before="120" w:after="120"/>
        <w:jc w:val="both"/>
        <w:rPr>
          <w:rFonts w:ascii="Times New Roman" w:eastAsia="Calibri" w:hAnsi="Times New Roman" w:cs="Times New Roman"/>
          <w:noProof/>
        </w:rPr>
      </w:pPr>
      <w:r>
        <w:rPr>
          <w:rFonts w:ascii="Times New Roman" w:eastAsia="Calibri" w:hAnsi="Times New Roman" w:cs="Times New Roman"/>
          <w:noProof/>
        </w:rPr>
        <w:t>A</w:t>
      </w:r>
      <w:r>
        <w:rPr>
          <w:rFonts w:ascii="Times New Roman" w:eastAsia="Calibri" w:hAnsi="Times New Roman" w:cs="Times New Roman"/>
          <w:noProof/>
        </w:rPr>
        <w:t xml:space="preserve"> majority of respondents referred to the need to enhance financial literacy of SMEs and argued that SMEs still have trouble finding advisors and partners to support them on their way up the funding escalator. Many respondents proposed to strengthen various</w:t>
      </w:r>
      <w:r>
        <w:rPr>
          <w:rFonts w:ascii="Times New Roman" w:eastAsia="Calibri" w:hAnsi="Times New Roman" w:cs="Times New Roman"/>
          <w:noProof/>
        </w:rPr>
        <w:t xml:space="preserve"> capacity-building programmes by supporting bodies that give </w:t>
      </w:r>
      <w:r>
        <w:rPr>
          <w:rFonts w:ascii="Times New Roman" w:eastAsia="Calibri" w:hAnsi="Times New Roman" w:cs="Times New Roman"/>
          <w:b/>
          <w:noProof/>
        </w:rPr>
        <w:t>guidance to local SMEs</w:t>
      </w:r>
      <w:r>
        <w:rPr>
          <w:rFonts w:ascii="Times New Roman" w:eastAsia="Calibri" w:hAnsi="Times New Roman" w:cs="Times New Roman"/>
          <w:noProof/>
        </w:rPr>
        <w:t xml:space="preserve"> on how to access market-based finance. National promotional institutions could be further integrated into an EU network to enable sharing of experience, best practices and harmonisation of financing programmes. Setting up a capacity-building fund was also</w:t>
      </w:r>
      <w:r>
        <w:rPr>
          <w:rFonts w:ascii="Times New Roman" w:eastAsia="Calibri" w:hAnsi="Times New Roman" w:cs="Times New Roman"/>
          <w:noProof/>
        </w:rPr>
        <w:t xml:space="preserve"> presented as a possibility.</w:t>
      </w:r>
    </w:p>
    <w:p w:rsidR="009F3833" w:rsidRDefault="00EF0106">
      <w:pPr>
        <w:spacing w:before="120" w:after="120"/>
        <w:jc w:val="both"/>
        <w:rPr>
          <w:rFonts w:ascii="Times New Roman" w:hAnsi="Times New Roman" w:cs="Times New Roman"/>
          <w:noProof/>
        </w:rPr>
      </w:pPr>
      <w:r>
        <w:rPr>
          <w:rFonts w:ascii="Times New Roman" w:eastAsia="Calibri" w:hAnsi="Times New Roman" w:cs="Times New Roman"/>
          <w:noProof/>
        </w:rPr>
        <w:t xml:space="preserve">As regards </w:t>
      </w:r>
      <w:r>
        <w:rPr>
          <w:rFonts w:ascii="Times New Roman" w:eastAsia="Calibri" w:hAnsi="Times New Roman" w:cs="Times New Roman"/>
          <w:b/>
          <w:noProof/>
        </w:rPr>
        <w:t>feedback to SMEs faced with declined credit applications</w:t>
      </w:r>
      <w:r>
        <w:rPr>
          <w:rFonts w:ascii="Times New Roman" w:eastAsia="Calibri" w:hAnsi="Times New Roman" w:cs="Times New Roman"/>
          <w:noProof/>
        </w:rPr>
        <w:t xml:space="preserve">, some respondents proposed that the Commission consider an EU-level scheme to complement national </w:t>
      </w:r>
      <w:r>
        <w:rPr>
          <w:rFonts w:ascii="Times New Roman" w:hAnsi="Times New Roman" w:cs="Times New Roman"/>
          <w:noProof/>
        </w:rPr>
        <w:t>regimes for credit referral and mediation.</w:t>
      </w:r>
    </w:p>
    <w:p w:rsidR="009F3833" w:rsidRDefault="00EF0106">
      <w:pPr>
        <w:spacing w:before="120" w:after="120"/>
        <w:jc w:val="both"/>
        <w:rPr>
          <w:rFonts w:ascii="Times New Roman" w:eastAsia="Calibri" w:hAnsi="Times New Roman" w:cs="Times New Roman"/>
          <w:noProof/>
        </w:rPr>
      </w:pPr>
      <w:r>
        <w:rPr>
          <w:rFonts w:ascii="Times New Roman" w:hAnsi="Times New Roman" w:cs="Times New Roman"/>
          <w:noProof/>
        </w:rPr>
        <w:t>The creation</w:t>
      </w:r>
      <w:r>
        <w:rPr>
          <w:rFonts w:ascii="Times New Roman" w:eastAsia="Calibri" w:hAnsi="Times New Roman" w:cs="Times New Roman"/>
          <w:noProof/>
        </w:rPr>
        <w:t xml:space="preserve"> of a </w:t>
      </w:r>
      <w:r>
        <w:rPr>
          <w:rFonts w:ascii="Times New Roman" w:eastAsia="Calibri" w:hAnsi="Times New Roman" w:cs="Times New Roman"/>
          <w:noProof/>
        </w:rPr>
        <w:t xml:space="preserve">single, user-friendly website at EU level to </w:t>
      </w:r>
      <w:r>
        <w:rPr>
          <w:rFonts w:ascii="Times New Roman" w:eastAsia="Calibri" w:hAnsi="Times New Roman" w:cs="Times New Roman"/>
          <w:b/>
          <w:noProof/>
        </w:rPr>
        <w:t>connect SMEs</w:t>
      </w:r>
      <w:r>
        <w:rPr>
          <w:rFonts w:ascii="Times New Roman" w:eastAsia="Calibri" w:hAnsi="Times New Roman" w:cs="Times New Roman"/>
          <w:noProof/>
        </w:rPr>
        <w:t xml:space="preserve"> in need of financing with investors was repeatedly put forward as a way to increase investment in start-ups, scale-ups and non-listed SMEs. It was suggested that the Commission could set up a websit</w:t>
      </w:r>
      <w:r>
        <w:rPr>
          <w:rFonts w:ascii="Times New Roman" w:eastAsia="Calibri" w:hAnsi="Times New Roman" w:cs="Times New Roman"/>
          <w:noProof/>
        </w:rPr>
        <w:t xml:space="preserve">e in the form of a "one-stop-shop" listing all funding opportunities in order to connect EU and non-EU investors (corporate or individuals) with EU activities where financing is needed. Such a website could also regroup all programmes of advisory services </w:t>
      </w:r>
      <w:r>
        <w:rPr>
          <w:rFonts w:ascii="Times New Roman" w:eastAsia="Calibri" w:hAnsi="Times New Roman" w:cs="Times New Roman"/>
          <w:noProof/>
        </w:rPr>
        <w:t xml:space="preserve">administered with the support of EU institutions, irrespective of the sponsors. </w:t>
      </w:r>
    </w:p>
    <w:p w:rsidR="009F3833" w:rsidRDefault="00EF0106">
      <w:pPr>
        <w:pStyle w:val="Pardfaut"/>
        <w:spacing w:line="276" w:lineRule="auto"/>
        <w:jc w:val="both"/>
        <w:rPr>
          <w:rFonts w:ascii="Times New Roman" w:eastAsia="Calibri" w:hAnsi="Times New Roman" w:cs="Times New Roman"/>
          <w:noProof/>
          <w:lang w:val="en-GB"/>
        </w:rPr>
      </w:pPr>
      <w:r>
        <w:rPr>
          <w:rFonts w:ascii="Times New Roman" w:hAnsi="Times New Roman" w:cs="Times New Roman"/>
          <w:noProof/>
          <w:lang w:val="en-GB"/>
        </w:rPr>
        <w:t xml:space="preserve">Many respondents argued in favour of the development of a proper legal framework for </w:t>
      </w:r>
      <w:r>
        <w:rPr>
          <w:rFonts w:ascii="Times New Roman" w:hAnsi="Times New Roman" w:cs="Times New Roman"/>
          <w:b/>
          <w:noProof/>
          <w:lang w:val="en-GB"/>
        </w:rPr>
        <w:t>crowdfunding</w:t>
      </w:r>
      <w:r>
        <w:rPr>
          <w:rFonts w:ascii="Times New Roman" w:hAnsi="Times New Roman" w:cs="Times New Roman"/>
          <w:noProof/>
          <w:lang w:val="en-GB"/>
        </w:rPr>
        <w:t xml:space="preserve"> across the EU, so as to create a market of sufficient size. Several of those </w:t>
      </w:r>
      <w:r>
        <w:rPr>
          <w:rFonts w:ascii="Times New Roman" w:hAnsi="Times New Roman" w:cs="Times New Roman"/>
          <w:noProof/>
          <w:lang w:val="en-GB"/>
        </w:rPr>
        <w:t xml:space="preserve">respondents called for an EU framework guaranteeing minimal consumer protection standards and focusing on clearly visible risk notices, disclosure and organisational requirements, right of cancellation and investment amount caps. Developing a pan-European </w:t>
      </w:r>
      <w:r>
        <w:rPr>
          <w:rFonts w:ascii="Times New Roman" w:hAnsi="Times New Roman" w:cs="Times New Roman"/>
          <w:noProof/>
          <w:lang w:val="en-GB"/>
        </w:rPr>
        <w:t>harmonised disclosure regime for crowdfunding amounts that are below the exemption thresholds of the recently agreed Prospectus Regulation was also described as essential by some national regulators. The latter also underlined the need for supervisory conv</w:t>
      </w:r>
      <w:r>
        <w:rPr>
          <w:rFonts w:ascii="Times New Roman" w:hAnsi="Times New Roman" w:cs="Times New Roman"/>
          <w:noProof/>
          <w:lang w:val="en-GB"/>
        </w:rPr>
        <w:t>ergence, for instance through the promotion of initiatives like the Crowdfunding</w:t>
      </w:r>
      <w:r>
        <w:rPr>
          <w:rFonts w:ascii="Times New Roman" w:eastAsia="Calibri" w:hAnsi="Times New Roman" w:cs="Times New Roman"/>
          <w:noProof/>
          <w:lang w:val="en-GB"/>
        </w:rPr>
        <w:t xml:space="preserve"> Supervisory Forum set up by the European Securities and Markets Authority (ESMA).</w:t>
      </w:r>
    </w:p>
    <w:p w:rsidR="009F3833" w:rsidRDefault="00EF0106">
      <w:pPr>
        <w:spacing w:before="120" w:after="120"/>
        <w:jc w:val="both"/>
        <w:rPr>
          <w:rFonts w:ascii="Times New Roman" w:eastAsia="Calibri" w:hAnsi="Times New Roman" w:cs="Times New Roman"/>
          <w:noProof/>
        </w:rPr>
      </w:pPr>
      <w:r>
        <w:rPr>
          <w:rFonts w:ascii="Times New Roman" w:eastAsia="Calibri" w:hAnsi="Times New Roman" w:cs="Times New Roman"/>
          <w:noProof/>
        </w:rPr>
        <w:t xml:space="preserve">Some respondents, such as SME associations, expressed their support for an EU-wide </w:t>
      </w:r>
      <w:r>
        <w:rPr>
          <w:rFonts w:ascii="Times New Roman" w:eastAsia="Calibri" w:hAnsi="Times New Roman" w:cs="Times New Roman"/>
          <w:b/>
          <w:noProof/>
        </w:rPr>
        <w:t>private pl</w:t>
      </w:r>
      <w:r>
        <w:rPr>
          <w:rFonts w:ascii="Times New Roman" w:eastAsia="Calibri" w:hAnsi="Times New Roman" w:cs="Times New Roman"/>
          <w:b/>
          <w:noProof/>
        </w:rPr>
        <w:t>acement</w:t>
      </w:r>
      <w:r>
        <w:rPr>
          <w:rFonts w:ascii="Times New Roman" w:eastAsia="Calibri" w:hAnsi="Times New Roman" w:cs="Times New Roman"/>
          <w:noProof/>
        </w:rPr>
        <w:t xml:space="preserve"> market and standardised documentation for private placements. A few respondents went </w:t>
      </w:r>
      <w:r>
        <w:rPr>
          <w:rFonts w:ascii="Times New Roman" w:eastAsia="Calibri" w:hAnsi="Times New Roman" w:cs="Times New Roman"/>
          <w:noProof/>
        </w:rPr>
        <w:lastRenderedPageBreak/>
        <w:t>further and called for a single pan-European private placement regime for professional investors. However, other respondents considered promoting good practices ac</w:t>
      </w:r>
      <w:r>
        <w:rPr>
          <w:rFonts w:ascii="Times New Roman" w:eastAsia="Calibri" w:hAnsi="Times New Roman" w:cs="Times New Roman"/>
          <w:noProof/>
        </w:rPr>
        <w:t>ross the EU to be the best approach in this area. Several respondents called on the Commission to further investigate the German "Schuldscheindarlehen" regime as a best practice.</w:t>
      </w:r>
    </w:p>
    <w:p w:rsidR="009F3833" w:rsidRDefault="00EF0106">
      <w:pPr>
        <w:pStyle w:val="Pardfaut"/>
        <w:spacing w:before="120" w:after="120" w:line="276" w:lineRule="auto"/>
        <w:jc w:val="both"/>
        <w:rPr>
          <w:rStyle w:val="Hyperlink"/>
          <w:rFonts w:ascii="Times New Roman" w:eastAsia="Calibri" w:hAnsi="Times New Roman" w:cs="Times New Roman"/>
          <w:noProof/>
          <w:lang w:val="en-GB"/>
        </w:rPr>
      </w:pPr>
      <w:r>
        <w:rPr>
          <w:rFonts w:ascii="Times New Roman" w:eastAsia="Calibri" w:hAnsi="Times New Roman" w:cs="Times New Roman"/>
          <w:noProof/>
          <w:lang w:val="en-GB"/>
        </w:rPr>
        <w:t xml:space="preserve">Many respondents put forward suggestions for actions in the area of </w:t>
      </w:r>
      <w:r>
        <w:rPr>
          <w:rFonts w:ascii="Times New Roman" w:eastAsia="Calibri" w:hAnsi="Times New Roman" w:cs="Times New Roman"/>
          <w:b/>
          <w:noProof/>
          <w:lang w:val="en-GB"/>
        </w:rPr>
        <w:t>loan orig</w:t>
      </w:r>
      <w:r>
        <w:rPr>
          <w:rFonts w:ascii="Times New Roman" w:eastAsia="Calibri" w:hAnsi="Times New Roman" w:cs="Times New Roman"/>
          <w:b/>
          <w:noProof/>
          <w:lang w:val="en-GB"/>
        </w:rPr>
        <w:t>ination by funds</w:t>
      </w:r>
      <w:r>
        <w:rPr>
          <w:rFonts w:ascii="Times New Roman" w:eastAsia="Calibri" w:hAnsi="Times New Roman" w:cs="Times New Roman"/>
          <w:noProof/>
          <w:lang w:val="en-GB"/>
        </w:rPr>
        <w:t>, but there was no clear consensus in favour or against the need for an EU framework. Several respondents argued that the Commission should adopt a cautious approach regarding a specific EU regulation for loan-originating funds. Other respo</w:t>
      </w:r>
      <w:r>
        <w:rPr>
          <w:rFonts w:ascii="Times New Roman" w:eastAsia="Calibri" w:hAnsi="Times New Roman" w:cs="Times New Roman"/>
          <w:noProof/>
          <w:lang w:val="en-GB"/>
        </w:rPr>
        <w:t>ndents pointed to the need to create a common understanding, enhance transparency of current requirements for loan origination by funds, and promote closer cooperation of national competent authorities. In addition, some respondents called for the introduc</w:t>
      </w:r>
      <w:r>
        <w:rPr>
          <w:rFonts w:ascii="Times New Roman" w:eastAsia="Calibri" w:hAnsi="Times New Roman" w:cs="Times New Roman"/>
          <w:noProof/>
          <w:lang w:val="en-GB"/>
        </w:rPr>
        <w:t xml:space="preserve">tion of rules on loans as an asset class both in and outside of the Undertakings for the Collective Investment of Transferable Securities' (UCITS) </w:t>
      </w:r>
      <w:r>
        <w:rPr>
          <w:rFonts w:ascii="Times New Roman" w:hAnsi="Times New Roman" w:cs="Times New Roman"/>
          <w:noProof/>
          <w:lang w:val="en-GB"/>
        </w:rPr>
        <w:t>framework</w:t>
      </w:r>
      <w:r>
        <w:rPr>
          <w:rFonts w:ascii="Times New Roman" w:eastAsia="Calibri" w:hAnsi="Times New Roman" w:cs="Times New Roman"/>
          <w:noProof/>
          <w:lang w:val="en-GB"/>
        </w:rPr>
        <w:t xml:space="preserve"> in order to provide sufficient flexibility and ensure their effective implementation. Respondents f</w:t>
      </w:r>
      <w:r>
        <w:rPr>
          <w:rFonts w:ascii="Times New Roman" w:eastAsia="Calibri" w:hAnsi="Times New Roman" w:cs="Times New Roman"/>
          <w:noProof/>
          <w:lang w:val="en-GB"/>
        </w:rPr>
        <w:t>rom the banking sector had reservations on opening loan origination to all market operators in view of the necessity to maintain a level-playing field and adequate risk management.</w:t>
      </w:r>
    </w:p>
    <w:p w:rsidR="009F3833" w:rsidRDefault="00EF0106">
      <w:pPr>
        <w:spacing w:before="120" w:after="120"/>
        <w:jc w:val="both"/>
        <w:rPr>
          <w:rStyle w:val="Hyperlink"/>
          <w:rFonts w:ascii="Times New Roman" w:hAnsi="Times New Roman" w:cs="Times New Roman"/>
          <w:b/>
          <w:i/>
          <w:noProof/>
        </w:rPr>
      </w:pPr>
      <w:r>
        <w:rPr>
          <w:rStyle w:val="Hyperlink"/>
          <w:rFonts w:ascii="Times New Roman" w:hAnsi="Times New Roman" w:cs="Times New Roman"/>
          <w:b/>
          <w:i/>
          <w:noProof/>
        </w:rPr>
        <w:t>New focus areas</w:t>
      </w:r>
    </w:p>
    <w:p w:rsidR="009F3833" w:rsidRDefault="00EF0106">
      <w:pPr>
        <w:spacing w:before="120" w:after="120"/>
        <w:jc w:val="both"/>
        <w:rPr>
          <w:rFonts w:ascii="Times New Roman" w:hAnsi="Times New Roman" w:cs="Times New Roman"/>
          <w:noProof/>
        </w:rPr>
      </w:pPr>
      <w:r>
        <w:rPr>
          <w:rFonts w:ascii="Times New Roman" w:hAnsi="Times New Roman" w:cs="Times New Roman"/>
          <w:noProof/>
        </w:rPr>
        <w:t xml:space="preserve">Some industry representatives asked the Commission to conduct a study on the different legal frameworks for </w:t>
      </w:r>
      <w:r>
        <w:rPr>
          <w:rFonts w:ascii="Times New Roman" w:hAnsi="Times New Roman" w:cs="Times New Roman"/>
          <w:b/>
          <w:noProof/>
        </w:rPr>
        <w:t>venture debt</w:t>
      </w:r>
      <w:r>
        <w:rPr>
          <w:rFonts w:ascii="Times New Roman" w:hAnsi="Times New Roman" w:cs="Times New Roman"/>
          <w:noProof/>
        </w:rPr>
        <w:t xml:space="preserve"> that exist in Member States in order to assess the need for any action at EU level.</w:t>
      </w:r>
    </w:p>
    <w:p w:rsidR="009F3833" w:rsidRDefault="00EF0106">
      <w:pPr>
        <w:pStyle w:val="Pardfaut"/>
        <w:spacing w:after="200" w:line="276" w:lineRule="auto"/>
        <w:jc w:val="both"/>
        <w:rPr>
          <w:rFonts w:ascii="Times New Roman" w:eastAsia="Calibri" w:hAnsi="Times New Roman" w:cs="Times New Roman"/>
          <w:noProof/>
          <w:lang w:val="en-GB"/>
        </w:rPr>
      </w:pPr>
      <w:r>
        <w:rPr>
          <w:rFonts w:ascii="Times New Roman" w:eastAsia="Calibri" w:hAnsi="Times New Roman" w:cs="Times New Roman"/>
          <w:noProof/>
          <w:lang w:val="en-GB"/>
        </w:rPr>
        <w:t xml:space="preserve">Many respondents considered the lack of </w:t>
      </w:r>
      <w:r>
        <w:rPr>
          <w:rFonts w:ascii="Times New Roman" w:eastAsia="Calibri" w:hAnsi="Times New Roman" w:cs="Times New Roman"/>
          <w:b/>
          <w:noProof/>
          <w:lang w:val="en-GB"/>
        </w:rPr>
        <w:t>standardise</w:t>
      </w:r>
      <w:r>
        <w:rPr>
          <w:rFonts w:ascii="Times New Roman" w:eastAsia="Calibri" w:hAnsi="Times New Roman" w:cs="Times New Roman"/>
          <w:b/>
          <w:noProof/>
          <w:lang w:val="en-GB"/>
        </w:rPr>
        <w:t>d and transparent information</w:t>
      </w:r>
      <w:r>
        <w:rPr>
          <w:rFonts w:ascii="Times New Roman" w:eastAsia="Calibri" w:hAnsi="Times New Roman" w:cs="Times New Roman"/>
          <w:noProof/>
          <w:lang w:val="en-GB"/>
        </w:rPr>
        <w:t xml:space="preserve"> on start-ups and SMEs to be an important barrier to alternative investments. Proposals made to enhance information transparency followed three main courses of action:</w:t>
      </w:r>
    </w:p>
    <w:p w:rsidR="009F3833" w:rsidRDefault="00EF0106">
      <w:pPr>
        <w:pStyle w:val="Pardfaut"/>
        <w:numPr>
          <w:ilvl w:val="0"/>
          <w:numId w:val="1"/>
        </w:numPr>
        <w:spacing w:after="200" w:line="276" w:lineRule="auto"/>
        <w:jc w:val="both"/>
        <w:rPr>
          <w:rFonts w:ascii="Times New Roman" w:eastAsia="Calibri" w:hAnsi="Times New Roman" w:cs="Times New Roman"/>
          <w:noProof/>
          <w:lang w:val="en-GB"/>
        </w:rPr>
      </w:pPr>
      <w:r>
        <w:rPr>
          <w:rFonts w:ascii="Times New Roman" w:eastAsia="Calibri" w:hAnsi="Times New Roman" w:cs="Times New Roman"/>
          <w:noProof/>
          <w:lang w:val="en-GB"/>
        </w:rPr>
        <w:t>Standardisation of information provided by SMEs - potential</w:t>
      </w:r>
      <w:r>
        <w:rPr>
          <w:rFonts w:ascii="Times New Roman" w:eastAsia="Calibri" w:hAnsi="Times New Roman" w:cs="Times New Roman"/>
          <w:noProof/>
          <w:lang w:val="en-GB"/>
        </w:rPr>
        <w:t xml:space="preserve"> new measures put forward included promoting a centralised data repository on SME accounting and tax information, and building a single framework (or a common minimum set of comparable information) for credit reporting and assessment;</w:t>
      </w:r>
    </w:p>
    <w:p w:rsidR="009F3833" w:rsidRDefault="00EF0106">
      <w:pPr>
        <w:pStyle w:val="Pardfaut"/>
        <w:numPr>
          <w:ilvl w:val="0"/>
          <w:numId w:val="1"/>
        </w:numPr>
        <w:spacing w:after="200" w:line="276" w:lineRule="auto"/>
        <w:jc w:val="both"/>
        <w:rPr>
          <w:rFonts w:ascii="Times New Roman" w:eastAsia="Calibri" w:hAnsi="Times New Roman" w:cs="Times New Roman"/>
          <w:noProof/>
          <w:lang w:val="en-GB"/>
        </w:rPr>
      </w:pPr>
      <w:r>
        <w:rPr>
          <w:rFonts w:ascii="Times New Roman" w:eastAsia="Calibri" w:hAnsi="Times New Roman" w:cs="Times New Roman"/>
          <w:noProof/>
          <w:lang w:val="en-GB"/>
        </w:rPr>
        <w:t>Development of a rati</w:t>
      </w:r>
      <w:r>
        <w:rPr>
          <w:rFonts w:ascii="Times New Roman" w:eastAsia="Calibri" w:hAnsi="Times New Roman" w:cs="Times New Roman"/>
          <w:noProof/>
          <w:lang w:val="en-GB"/>
        </w:rPr>
        <w:t>ng system for SMEs and mid-caps to increase transparency on SME risk - this could be achieved by involving both public and private stakeholders in developing common minimum indicators for assessing corporate risks; it was also suggested to open central ban</w:t>
      </w:r>
      <w:r>
        <w:rPr>
          <w:rFonts w:ascii="Times New Roman" w:eastAsia="Calibri" w:hAnsi="Times New Roman" w:cs="Times New Roman"/>
          <w:noProof/>
          <w:lang w:val="en-GB"/>
        </w:rPr>
        <w:t>ks' rating systems, where they exist, to private investors;</w:t>
      </w:r>
    </w:p>
    <w:p w:rsidR="009F3833" w:rsidRDefault="00EF0106">
      <w:pPr>
        <w:pStyle w:val="Pardfaut"/>
        <w:numPr>
          <w:ilvl w:val="0"/>
          <w:numId w:val="1"/>
        </w:numPr>
        <w:spacing w:after="200" w:line="276" w:lineRule="auto"/>
        <w:jc w:val="both"/>
        <w:rPr>
          <w:rFonts w:ascii="Times New Roman" w:eastAsia="Calibri" w:hAnsi="Times New Roman" w:cs="Times New Roman"/>
          <w:noProof/>
          <w:lang w:val="en-GB"/>
        </w:rPr>
      </w:pPr>
      <w:r>
        <w:rPr>
          <w:rFonts w:ascii="Times New Roman" w:eastAsia="Calibri" w:hAnsi="Times New Roman" w:cs="Times New Roman"/>
          <w:noProof/>
          <w:lang w:val="en-GB"/>
        </w:rPr>
        <w:t>Preparation of general guidelines on improving the availability of SME information.</w:t>
      </w:r>
    </w:p>
    <w:p w:rsidR="009F3833" w:rsidRDefault="00EF0106">
      <w:pPr>
        <w:spacing w:before="120" w:after="120"/>
        <w:jc w:val="both"/>
        <w:rPr>
          <w:rStyle w:val="Hyperlink"/>
          <w:rFonts w:ascii="Times New Roman" w:eastAsia="Calibri" w:hAnsi="Times New Roman" w:cs="Times New Roman"/>
          <w:noProof/>
        </w:rPr>
      </w:pPr>
      <w:r>
        <w:rPr>
          <w:rFonts w:ascii="Times New Roman" w:eastAsia="Calibri" w:hAnsi="Times New Roman" w:cs="Times New Roman"/>
          <w:noProof/>
        </w:rPr>
        <w:t>Some representatives of the banking sector encouraged the Commission to take on a greater leadership role in fur</w:t>
      </w:r>
      <w:r>
        <w:rPr>
          <w:rFonts w:ascii="Times New Roman" w:eastAsia="Calibri" w:hAnsi="Times New Roman" w:cs="Times New Roman"/>
          <w:noProof/>
        </w:rPr>
        <w:t xml:space="preserve">thering </w:t>
      </w:r>
      <w:r>
        <w:rPr>
          <w:rFonts w:ascii="Times New Roman" w:eastAsia="Calibri" w:hAnsi="Times New Roman" w:cs="Times New Roman"/>
          <w:b/>
          <w:noProof/>
        </w:rPr>
        <w:t>financial education</w:t>
      </w:r>
      <w:r>
        <w:rPr>
          <w:rFonts w:ascii="Times New Roman" w:eastAsia="Calibri" w:hAnsi="Times New Roman" w:cs="Times New Roman"/>
          <w:noProof/>
        </w:rPr>
        <w:t xml:space="preserve"> in Europe as a way to empower consumers, investors and entrepreneurs.</w:t>
      </w:r>
      <w:r>
        <w:rPr>
          <w:rFonts w:ascii="Times New Roman" w:hAnsi="Times New Roman" w:cs="Times New Roman"/>
          <w:noProof/>
        </w:rPr>
        <w:t xml:space="preserve"> </w:t>
      </w:r>
      <w:r>
        <w:rPr>
          <w:rFonts w:ascii="Times New Roman" w:eastAsia="Calibri" w:hAnsi="Times New Roman" w:cs="Times New Roman"/>
          <w:noProof/>
        </w:rPr>
        <w:t xml:space="preserve">The Commission could undertake a number of actions in this area such as organise reflection groups and conferences, foster exchange of best practices, create </w:t>
      </w:r>
      <w:r>
        <w:rPr>
          <w:rFonts w:ascii="Times New Roman" w:eastAsia="Calibri" w:hAnsi="Times New Roman" w:cs="Times New Roman"/>
          <w:noProof/>
        </w:rPr>
        <w:t>partnerships or use European funds to support specific actions. A network of incubators and accelerators throughout the EU could also help share information, technologies and skills.</w:t>
      </w:r>
    </w:p>
    <w:p w:rsidR="009F3833" w:rsidRDefault="009F3833">
      <w:pPr>
        <w:jc w:val="both"/>
        <w:rPr>
          <w:rStyle w:val="Hyperlink"/>
          <w:rFonts w:ascii="Times New Roman" w:hAnsi="Times New Roman" w:cs="Times New Roman"/>
          <w:noProof/>
        </w:rPr>
      </w:pPr>
    </w:p>
    <w:p w:rsidR="009F3833" w:rsidRDefault="00EF0106">
      <w:pPr>
        <w:jc w:val="both"/>
        <w:rPr>
          <w:rStyle w:val="Hyperlink"/>
          <w:rFonts w:ascii="Times New Roman" w:hAnsi="Times New Roman" w:cs="Times New Roman"/>
          <w:noProof/>
        </w:rPr>
      </w:pPr>
      <w:r>
        <w:rPr>
          <w:rStyle w:val="Hyperlink"/>
          <w:rFonts w:ascii="Times New Roman" w:hAnsi="Times New Roman" w:cs="Times New Roman"/>
          <w:noProof/>
        </w:rPr>
        <w:br w:type="page"/>
      </w:r>
    </w:p>
    <w:p w:rsidR="009F3833" w:rsidRDefault="00EF0106">
      <w:pPr>
        <w:pStyle w:val="Heading2"/>
        <w:pBdr>
          <w:top w:val="single" w:sz="4" w:space="1" w:color="auto"/>
          <w:left w:val="single" w:sz="4" w:space="4" w:color="auto"/>
          <w:bottom w:val="single" w:sz="4" w:space="1" w:color="auto"/>
          <w:right w:val="single" w:sz="4" w:space="4" w:color="auto"/>
        </w:pBdr>
        <w:rPr>
          <w:rStyle w:val="Hyperlink"/>
          <w:rFonts w:ascii="Times New Roman" w:hAnsi="Times New Roman" w:cs="Times New Roman"/>
        </w:rPr>
      </w:pPr>
      <w:bookmarkStart w:id="9" w:name="_Toc481688342"/>
      <w:bookmarkStart w:id="10" w:name="_Toc481688404"/>
      <w:r>
        <w:rPr>
          <w:rStyle w:val="Hyperlink"/>
          <w:rFonts w:ascii="Times New Roman" w:hAnsi="Times New Roman" w:cs="Times New Roman"/>
        </w:rPr>
        <w:lastRenderedPageBreak/>
        <w:t>Question 2 – Are there additional actions that can contribute to makin</w:t>
      </w:r>
      <w:r>
        <w:rPr>
          <w:rStyle w:val="Hyperlink"/>
          <w:rFonts w:ascii="Times New Roman" w:hAnsi="Times New Roman" w:cs="Times New Roman"/>
        </w:rPr>
        <w:t>g it easier for companies to enter and raise capital on public markets?</w:t>
      </w:r>
      <w:bookmarkEnd w:id="9"/>
      <w:bookmarkEnd w:id="10"/>
    </w:p>
    <w:p w:rsidR="009F3833" w:rsidRDefault="009F3833">
      <w:pPr>
        <w:spacing w:after="120"/>
        <w:contextualSpacing/>
        <w:jc w:val="both"/>
        <w:rPr>
          <w:rStyle w:val="Hyperlink"/>
          <w:rFonts w:ascii="Times New Roman" w:hAnsi="Times New Roman" w:cs="Times New Roman"/>
          <w:noProof/>
        </w:rPr>
      </w:pPr>
    </w:p>
    <w:p w:rsidR="009F3833" w:rsidRDefault="00EF0106">
      <w:pPr>
        <w:spacing w:after="120"/>
        <w:jc w:val="both"/>
        <w:rPr>
          <w:rFonts w:ascii="Times New Roman" w:hAnsi="Times New Roman" w:cs="Times New Roman"/>
          <w:b/>
          <w:i/>
          <w:noProof/>
          <w:u w:val="single"/>
        </w:rPr>
      </w:pPr>
      <w:r>
        <w:rPr>
          <w:rFonts w:ascii="Times New Roman" w:hAnsi="Times New Roman" w:cs="Times New Roman"/>
          <w:b/>
          <w:i/>
          <w:noProof/>
          <w:u w:val="single"/>
        </w:rPr>
        <w:t>New perspectives on existing actions</w:t>
      </w:r>
    </w:p>
    <w:p w:rsidR="009F3833" w:rsidRDefault="00EF0106">
      <w:pPr>
        <w:spacing w:after="120"/>
        <w:jc w:val="both"/>
        <w:rPr>
          <w:rFonts w:ascii="Times New Roman" w:hAnsi="Times New Roman" w:cs="Times New Roman"/>
          <w:noProof/>
        </w:rPr>
      </w:pPr>
      <w:r>
        <w:rPr>
          <w:rFonts w:ascii="Times New Roman" w:hAnsi="Times New Roman" w:cs="Times New Roman"/>
          <w:noProof/>
        </w:rPr>
        <w:t xml:space="preserve">Several respondents welcomed the launch of a study and the creation of an expert group aimed at improving the functioning of the </w:t>
      </w:r>
      <w:r>
        <w:rPr>
          <w:rFonts w:ascii="Times New Roman" w:hAnsi="Times New Roman" w:cs="Times New Roman"/>
          <w:b/>
          <w:noProof/>
        </w:rPr>
        <w:t xml:space="preserve">corporate bond </w:t>
      </w:r>
      <w:r>
        <w:rPr>
          <w:rFonts w:ascii="Times New Roman" w:hAnsi="Times New Roman" w:cs="Times New Roman"/>
          <w:b/>
          <w:noProof/>
        </w:rPr>
        <w:t>markets</w:t>
      </w:r>
      <w:r>
        <w:rPr>
          <w:rFonts w:ascii="Times New Roman" w:hAnsi="Times New Roman" w:cs="Times New Roman"/>
          <w:noProof/>
        </w:rPr>
        <w:t>. A number of respondents underlined that some EU regulation may have a negative impact on corporate bond market liquidity. For instance, respondents highlighted that following the introduction of new capital rules under Basel III (in particular the</w:t>
      </w:r>
      <w:r>
        <w:rPr>
          <w:rFonts w:ascii="Times New Roman" w:hAnsi="Times New Roman" w:cs="Times New Roman"/>
          <w:noProof/>
        </w:rPr>
        <w:t xml:space="preserve"> leverage ratio), the repurchase transactions (repo) market has become less liquid and more expensive for banks. Some respondents also pointed out that the Net Stable Funding Ratio (NSFR) will increase capital and funding requirements for banks and, as a c</w:t>
      </w:r>
      <w:r>
        <w:rPr>
          <w:rFonts w:ascii="Times New Roman" w:hAnsi="Times New Roman" w:cs="Times New Roman"/>
          <w:noProof/>
        </w:rPr>
        <w:t>onsequence, liquidity will decrease due to trading and repo activity contracting further. The Central Securities Depositories Regulation's (CSDR) mandatory buy-in regime may also affect market liquidity by reshaping the repo market. CSDR would widen the sp</w:t>
      </w:r>
      <w:r>
        <w:rPr>
          <w:rFonts w:ascii="Times New Roman" w:hAnsi="Times New Roman" w:cs="Times New Roman"/>
          <w:noProof/>
        </w:rPr>
        <w:t>reads for liquid securities and decrease liquidity for less liquid ones. Some respondents recommended a deferral of the implementation of mandatory buy-in measures until an impact assessment has been undertaken. Several respondents also considered that the</w:t>
      </w:r>
      <w:r>
        <w:rPr>
          <w:rFonts w:ascii="Times New Roman" w:hAnsi="Times New Roman" w:cs="Times New Roman"/>
          <w:noProof/>
        </w:rPr>
        <w:t xml:space="preserve"> transparency thresholds of the Markets in Financial Instruments Directive (MiFID) II / Markets in Financial Instruments Regulation (MiFIR) for non-equity instruments should be properly calibrated to avoid that the pre- and post-trade transparency requirem</w:t>
      </w:r>
      <w:r>
        <w:rPr>
          <w:rFonts w:ascii="Times New Roman" w:hAnsi="Times New Roman" w:cs="Times New Roman"/>
          <w:noProof/>
        </w:rPr>
        <w:t>ents impair the provision of liquidity.</w:t>
      </w:r>
    </w:p>
    <w:p w:rsidR="009F3833" w:rsidRDefault="00EF0106">
      <w:pPr>
        <w:spacing w:after="120"/>
        <w:jc w:val="both"/>
        <w:rPr>
          <w:rFonts w:ascii="Times New Roman" w:hAnsi="Times New Roman" w:cs="Times New Roman"/>
          <w:noProof/>
        </w:rPr>
      </w:pPr>
      <w:r>
        <w:rPr>
          <w:rFonts w:ascii="Times New Roman" w:hAnsi="Times New Roman" w:cs="Times New Roman"/>
          <w:noProof/>
        </w:rPr>
        <w:t>As regards the outcome of the corporate bond expert group's work, some respondents considered that, while standardisation of documentation is suitable, standardisation of issuance conditions (such as maturity dates a</w:t>
      </w:r>
      <w:r>
        <w:rPr>
          <w:rFonts w:ascii="Times New Roman" w:hAnsi="Times New Roman" w:cs="Times New Roman"/>
          <w:noProof/>
        </w:rPr>
        <w:t>nd sizes) would reduce corporates' flexibility to seek funding in line with their business needs and cash flow cycles.</w:t>
      </w:r>
    </w:p>
    <w:p w:rsidR="009F3833" w:rsidRDefault="00EF0106">
      <w:pPr>
        <w:spacing w:after="120"/>
        <w:jc w:val="both"/>
        <w:rPr>
          <w:rFonts w:ascii="Times New Roman" w:hAnsi="Times New Roman" w:cs="Times New Roman"/>
          <w:b/>
          <w:noProof/>
          <w:u w:val="single"/>
        </w:rPr>
      </w:pPr>
      <w:r>
        <w:rPr>
          <w:rFonts w:ascii="Times New Roman" w:hAnsi="Times New Roman" w:cs="Times New Roman"/>
          <w:noProof/>
        </w:rPr>
        <w:t xml:space="preserve">One stakeholder mentioned that corporate bond markets are illiquid and opaque for retail investors. Corporate bond exchange traded funds </w:t>
      </w:r>
      <w:r>
        <w:rPr>
          <w:rFonts w:ascii="Times New Roman" w:hAnsi="Times New Roman" w:cs="Times New Roman"/>
          <w:noProof/>
        </w:rPr>
        <w:t>should be developed to improve liquidity because they can create an easier access to these markets for retail investors. Other respondents considered that retail investors should be able to access corporate bond markets directly and not only through packag</w:t>
      </w:r>
      <w:r>
        <w:rPr>
          <w:rFonts w:ascii="Times New Roman" w:hAnsi="Times New Roman" w:cs="Times New Roman"/>
          <w:noProof/>
        </w:rPr>
        <w:t>ed financial products.</w:t>
      </w:r>
    </w:p>
    <w:p w:rsidR="009F3833" w:rsidRDefault="00EF0106">
      <w:pPr>
        <w:jc w:val="both"/>
        <w:rPr>
          <w:rFonts w:ascii="Times New Roman" w:hAnsi="Times New Roman" w:cs="Times New Roman"/>
          <w:b/>
          <w:i/>
          <w:noProof/>
          <w:u w:val="single"/>
        </w:rPr>
      </w:pPr>
      <w:r>
        <w:rPr>
          <w:rStyle w:val="Hyperlink"/>
          <w:rFonts w:ascii="Times New Roman" w:hAnsi="Times New Roman" w:cs="Times New Roman"/>
          <w:b/>
          <w:i/>
          <w:noProof/>
        </w:rPr>
        <w:t>New focus areas</w:t>
      </w:r>
    </w:p>
    <w:p w:rsidR="009F3833" w:rsidRDefault="00EF0106">
      <w:pPr>
        <w:spacing w:after="120"/>
        <w:jc w:val="both"/>
        <w:rPr>
          <w:rFonts w:ascii="Times New Roman" w:hAnsi="Times New Roman" w:cs="Times New Roman"/>
          <w:noProof/>
        </w:rPr>
      </w:pPr>
      <w:r>
        <w:rPr>
          <w:rFonts w:ascii="Times New Roman" w:hAnsi="Times New Roman" w:cs="Times New Roman"/>
          <w:noProof/>
        </w:rPr>
        <w:t xml:space="preserve">Many respondents called for a </w:t>
      </w:r>
      <w:r>
        <w:rPr>
          <w:rFonts w:ascii="Times New Roman" w:hAnsi="Times New Roman" w:cs="Times New Roman"/>
          <w:b/>
          <w:noProof/>
        </w:rPr>
        <w:t>proportionate review of the different obligations placed on non-financial issuers</w:t>
      </w:r>
      <w:r>
        <w:rPr>
          <w:rFonts w:ascii="Times New Roman" w:hAnsi="Times New Roman" w:cs="Times New Roman"/>
          <w:noProof/>
        </w:rPr>
        <w:t>, especially SMEs. Those obligations may be too burdensome and can deter these issuers from seeking a list</w:t>
      </w:r>
      <w:r>
        <w:rPr>
          <w:rFonts w:ascii="Times New Roman" w:hAnsi="Times New Roman" w:cs="Times New Roman"/>
          <w:noProof/>
        </w:rPr>
        <w:t xml:space="preserve">ing. The objectives of such a review should be to assess whether the disclosure requirements bring useful information to investors, as well as consider the opportunity to repeal unnecessary disproportionate provisions and create a more balanced regulatory </w:t>
      </w:r>
      <w:r>
        <w:rPr>
          <w:rFonts w:ascii="Times New Roman" w:hAnsi="Times New Roman" w:cs="Times New Roman"/>
          <w:noProof/>
        </w:rPr>
        <w:t>environment for small and mid-cap quoted companies. One stakeholder also underlined that delisting from a public market should be made easier in order to avoid dissuading new issuers that often consider public markets as a 'one-way-ticket'.</w:t>
      </w:r>
    </w:p>
    <w:p w:rsidR="009F3833" w:rsidRDefault="00EF0106">
      <w:pPr>
        <w:spacing w:after="120"/>
        <w:jc w:val="both"/>
        <w:rPr>
          <w:rFonts w:ascii="Times New Roman" w:hAnsi="Times New Roman" w:cs="Times New Roman"/>
          <w:noProof/>
        </w:rPr>
      </w:pPr>
      <w:r>
        <w:rPr>
          <w:rFonts w:ascii="Times New Roman" w:hAnsi="Times New Roman" w:cs="Times New Roman"/>
          <w:noProof/>
        </w:rPr>
        <w:t xml:space="preserve">As regards the </w:t>
      </w:r>
      <w:r>
        <w:rPr>
          <w:rFonts w:ascii="Times New Roman" w:hAnsi="Times New Roman" w:cs="Times New Roman"/>
          <w:noProof/>
        </w:rPr>
        <w:t xml:space="preserve">legal framework applying to quoted companies, respondents criticised different aspects of the </w:t>
      </w:r>
      <w:r>
        <w:rPr>
          <w:rFonts w:ascii="Times New Roman" w:hAnsi="Times New Roman" w:cs="Times New Roman"/>
          <w:b/>
          <w:noProof/>
        </w:rPr>
        <w:t>Market Abuse Regulation</w:t>
      </w:r>
      <w:r>
        <w:rPr>
          <w:rFonts w:ascii="Times New Roman" w:hAnsi="Times New Roman" w:cs="Times New Roman"/>
          <w:noProof/>
        </w:rPr>
        <w:t xml:space="preserve"> (MAR). For instance, rules concerning managers' transactions as well as insider lists were criticised for being too burdensome for compani</w:t>
      </w:r>
      <w:r>
        <w:rPr>
          <w:rFonts w:ascii="Times New Roman" w:hAnsi="Times New Roman" w:cs="Times New Roman"/>
          <w:noProof/>
        </w:rPr>
        <w:t>es listed on MTFs. The definition of inside information was considered too complex and would lead to the risk of an anticipated and premature disclosure of information by listed issuers. One respondent indicated that with respect to the disclosure of price</w:t>
      </w:r>
      <w:r>
        <w:rPr>
          <w:rFonts w:ascii="Times New Roman" w:hAnsi="Times New Roman" w:cs="Times New Roman"/>
          <w:noProof/>
        </w:rPr>
        <w:t>-sensitive information under MAR, equity markets should be distinguished from bond markets: in equity markets prices of financial instruments are more exposed to the influence of company-specific information, while in bond markets prices are less subject t</w:t>
      </w:r>
      <w:r>
        <w:rPr>
          <w:rFonts w:ascii="Times New Roman" w:hAnsi="Times New Roman" w:cs="Times New Roman"/>
          <w:noProof/>
        </w:rPr>
        <w:t xml:space="preserve">o volatility and a function of the financial variables existing within the instruments themselves. Some respondents considered that the scope of 'market soundings' rules under MAR is too wide and many market participants would be reluctant to be tested in </w:t>
      </w:r>
      <w:r>
        <w:rPr>
          <w:rFonts w:ascii="Times New Roman" w:hAnsi="Times New Roman" w:cs="Times New Roman"/>
          <w:noProof/>
        </w:rPr>
        <w:t>the context of a market sounding because of the legal risk they could bear. Other respondents considered that the extension of MAR to companies listed on multilateral trading facilities (MTFs) makes access to public markets more expensive because of the di</w:t>
      </w:r>
      <w:r>
        <w:rPr>
          <w:rFonts w:ascii="Times New Roman" w:hAnsi="Times New Roman" w:cs="Times New Roman"/>
          <w:noProof/>
        </w:rPr>
        <w:t xml:space="preserve">rect costs of monitoring and disseminating inside information. </w:t>
      </w:r>
    </w:p>
    <w:p w:rsidR="009F3833" w:rsidRDefault="00EF0106">
      <w:pPr>
        <w:spacing w:after="120"/>
        <w:jc w:val="both"/>
        <w:rPr>
          <w:rFonts w:ascii="Times New Roman" w:hAnsi="Times New Roman" w:cs="Times New Roman"/>
          <w:noProof/>
        </w:rPr>
      </w:pPr>
      <w:r>
        <w:rPr>
          <w:rFonts w:ascii="Times New Roman" w:hAnsi="Times New Roman" w:cs="Times New Roman"/>
          <w:noProof/>
        </w:rPr>
        <w:t>Taking the view that brokers cannot make enough money to maintain equity research coverage, some respondents recommended that the 'after-market incentives' for brokers be improved, such as a p</w:t>
      </w:r>
      <w:r>
        <w:rPr>
          <w:rFonts w:ascii="Times New Roman" w:hAnsi="Times New Roman" w:cs="Times New Roman"/>
          <w:noProof/>
        </w:rPr>
        <w:t xml:space="preserve">ilot programme for tick sizes designed to take into account the needs of smaller companies. Some respondents therefore raised concerns about the impact of MiFID II level II rules on the </w:t>
      </w:r>
      <w:r>
        <w:rPr>
          <w:rFonts w:ascii="Times New Roman" w:hAnsi="Times New Roman" w:cs="Times New Roman"/>
          <w:b/>
          <w:noProof/>
        </w:rPr>
        <w:t>provision of SME research</w:t>
      </w:r>
      <w:r>
        <w:rPr>
          <w:rFonts w:ascii="Times New Roman" w:hAnsi="Times New Roman" w:cs="Times New Roman"/>
          <w:noProof/>
        </w:rPr>
        <w:t xml:space="preserve"> because they make it very difficult to sprea</w:t>
      </w:r>
      <w:r>
        <w:rPr>
          <w:rFonts w:ascii="Times New Roman" w:hAnsi="Times New Roman" w:cs="Times New Roman"/>
          <w:noProof/>
        </w:rPr>
        <w:t>d the cost of research across large companies and mid-caps/small companies. Those respondents called for an assessment and a potential review of those rules. Other respondents considered that the Commission should create incentives for financial analysts t</w:t>
      </w:r>
      <w:r>
        <w:rPr>
          <w:rFonts w:ascii="Times New Roman" w:hAnsi="Times New Roman" w:cs="Times New Roman"/>
          <w:noProof/>
        </w:rPr>
        <w:t>o cover smaller initial public offerings (IPOs). Other respondents mentioned that including equity research within the scope of fiscal incentives applying to industrial research would encourage SME admission on public markets. Finally, some respondents con</w:t>
      </w:r>
      <w:r>
        <w:rPr>
          <w:rFonts w:ascii="Times New Roman" w:hAnsi="Times New Roman" w:cs="Times New Roman"/>
          <w:noProof/>
        </w:rPr>
        <w:t>sidered that research on fixed-income products should not be in the scope of MiFID II.</w:t>
      </w:r>
    </w:p>
    <w:p w:rsidR="009F3833" w:rsidRDefault="00EF0106">
      <w:pPr>
        <w:widowControl w:val="0"/>
        <w:autoSpaceDE w:val="0"/>
        <w:autoSpaceDN w:val="0"/>
        <w:adjustRightInd w:val="0"/>
        <w:spacing w:after="120"/>
        <w:jc w:val="both"/>
        <w:rPr>
          <w:rFonts w:ascii="Times New Roman" w:hAnsi="Times New Roman" w:cs="Times New Roman"/>
          <w:noProof/>
        </w:rPr>
      </w:pPr>
      <w:r>
        <w:rPr>
          <w:rFonts w:ascii="Times New Roman" w:hAnsi="Times New Roman" w:cs="Times New Roman"/>
          <w:noProof/>
        </w:rPr>
        <w:t>Some respondents recommended the introduction of a "</w:t>
      </w:r>
      <w:r>
        <w:rPr>
          <w:rFonts w:ascii="Times New Roman" w:hAnsi="Times New Roman" w:cs="Times New Roman"/>
          <w:b/>
          <w:noProof/>
        </w:rPr>
        <w:t>growth company</w:t>
      </w:r>
      <w:r>
        <w:rPr>
          <w:rFonts w:ascii="Times New Roman" w:hAnsi="Times New Roman" w:cs="Times New Roman"/>
          <w:noProof/>
        </w:rPr>
        <w:t>" concept that would be linked both to the size and period of listing. Those "growth companies" would b</w:t>
      </w:r>
      <w:r>
        <w:rPr>
          <w:rFonts w:ascii="Times New Roman" w:hAnsi="Times New Roman" w:cs="Times New Roman"/>
          <w:noProof/>
        </w:rPr>
        <w:t>enefit from a simplified and transitional regime applicable for a definite period of time.</w:t>
      </w:r>
    </w:p>
    <w:p w:rsidR="009F3833" w:rsidRDefault="00EF0106">
      <w:pPr>
        <w:spacing w:after="120"/>
        <w:jc w:val="both"/>
        <w:rPr>
          <w:rFonts w:ascii="Times New Roman" w:hAnsi="Times New Roman" w:cs="Times New Roman"/>
          <w:noProof/>
        </w:rPr>
      </w:pPr>
      <w:r>
        <w:rPr>
          <w:rFonts w:ascii="Times New Roman" w:hAnsi="Times New Roman" w:cs="Times New Roman"/>
          <w:noProof/>
        </w:rPr>
        <w:t xml:space="preserve">Some respondents emphasised the importance of decreasing the regulatory burden for local </w:t>
      </w:r>
      <w:r>
        <w:rPr>
          <w:rFonts w:ascii="Times New Roman" w:hAnsi="Times New Roman" w:cs="Times New Roman"/>
          <w:b/>
          <w:noProof/>
        </w:rPr>
        <w:t>investment firms</w:t>
      </w:r>
      <w:r>
        <w:rPr>
          <w:rFonts w:ascii="Times New Roman" w:hAnsi="Times New Roman" w:cs="Times New Roman"/>
          <w:noProof/>
        </w:rPr>
        <w:t xml:space="preserve"> offering their services to SMEs (referring to MiFID II, MAR</w:t>
      </w:r>
      <w:r>
        <w:rPr>
          <w:rFonts w:ascii="Times New Roman" w:hAnsi="Times New Roman" w:cs="Times New Roman"/>
          <w:noProof/>
        </w:rPr>
        <w:t>, the fourth Anti-Money Laundering Directive, the Capital Requirements Directive IV, etc.).</w:t>
      </w:r>
    </w:p>
    <w:p w:rsidR="009F3833" w:rsidRDefault="00EF0106">
      <w:pPr>
        <w:spacing w:after="120"/>
        <w:jc w:val="both"/>
        <w:rPr>
          <w:rFonts w:ascii="Times New Roman" w:hAnsi="Times New Roman" w:cs="Times New Roman"/>
          <w:noProof/>
        </w:rPr>
      </w:pPr>
      <w:r>
        <w:rPr>
          <w:rFonts w:ascii="Times New Roman" w:hAnsi="Times New Roman" w:cs="Times New Roman"/>
          <w:noProof/>
        </w:rPr>
        <w:t xml:space="preserve">As regards </w:t>
      </w:r>
      <w:r>
        <w:rPr>
          <w:rFonts w:ascii="Times New Roman" w:hAnsi="Times New Roman" w:cs="Times New Roman"/>
          <w:b/>
          <w:noProof/>
        </w:rPr>
        <w:t>market infrastructure</w:t>
      </w:r>
      <w:r>
        <w:rPr>
          <w:rFonts w:ascii="Times New Roman" w:hAnsi="Times New Roman" w:cs="Times New Roman"/>
          <w:noProof/>
        </w:rPr>
        <w:t>, one respondent underlined that fragmentation across national public markets is an issue that still persists, even if competition h</w:t>
      </w:r>
      <w:r>
        <w:rPr>
          <w:rFonts w:ascii="Times New Roman" w:hAnsi="Times New Roman" w:cs="Times New Roman"/>
          <w:noProof/>
        </w:rPr>
        <w:t>as delivered many benefits in terms of reduced costs. Smaller market operators that have been already struggling to serve their local economies could be stretched to the breaking point by the costs of implementing MiFID II. As a consequence, the focus shou</w:t>
      </w:r>
      <w:r>
        <w:rPr>
          <w:rFonts w:ascii="Times New Roman" w:hAnsi="Times New Roman" w:cs="Times New Roman"/>
          <w:noProof/>
        </w:rPr>
        <w:t xml:space="preserve">ld be on consolidation to create market infrastructure that can support the development of equity markets in those areas of Europe which are currently underserved by them. Several respondents indicated that the definition of </w:t>
      </w:r>
      <w:r>
        <w:rPr>
          <w:rFonts w:ascii="Times New Roman" w:hAnsi="Times New Roman" w:cs="Times New Roman"/>
          <w:b/>
          <w:noProof/>
        </w:rPr>
        <w:t>systematic internalisers</w:t>
      </w:r>
      <w:r>
        <w:rPr>
          <w:rFonts w:ascii="Times New Roman" w:hAnsi="Times New Roman" w:cs="Times New Roman"/>
          <w:noProof/>
        </w:rPr>
        <w:t xml:space="preserve"> under </w:t>
      </w:r>
      <w:r>
        <w:rPr>
          <w:rFonts w:ascii="Times New Roman" w:hAnsi="Times New Roman" w:cs="Times New Roman"/>
          <w:noProof/>
        </w:rPr>
        <w:t xml:space="preserve">MiFID II could have a negative impact on market integrity and transparency of price discovery, and asked for targeted amendments to MiFID II level 2. One stakeholder suggested that ESMA should use the MiFID II clause on the </w:t>
      </w:r>
      <w:r>
        <w:rPr>
          <w:rFonts w:ascii="Times New Roman" w:hAnsi="Times New Roman" w:cs="Times New Roman"/>
          <w:b/>
          <w:noProof/>
        </w:rPr>
        <w:t>consolidated tape provider</w:t>
      </w:r>
      <w:r>
        <w:rPr>
          <w:rFonts w:ascii="Times New Roman" w:hAnsi="Times New Roman" w:cs="Times New Roman"/>
          <w:noProof/>
        </w:rPr>
        <w:t xml:space="preserve"> (CTP)</w:t>
      </w:r>
      <w:r>
        <w:rPr>
          <w:rFonts w:ascii="Times New Roman" w:hAnsi="Times New Roman" w:cs="Times New Roman"/>
          <w:noProof/>
        </w:rPr>
        <w:t xml:space="preserve"> review to mandate a single-equity CTP in order to provide as soon as possible a single image of price data and volume across equity markets in the EU.</w:t>
      </w:r>
    </w:p>
    <w:p w:rsidR="009F3833" w:rsidRDefault="00EF0106">
      <w:pPr>
        <w:jc w:val="both"/>
        <w:rPr>
          <w:rFonts w:ascii="Times New Roman" w:hAnsi="Times New Roman" w:cs="Times New Roman"/>
          <w:noProof/>
        </w:rPr>
      </w:pPr>
      <w:r>
        <w:rPr>
          <w:rFonts w:ascii="Times New Roman" w:hAnsi="Times New Roman" w:cs="Times New Roman"/>
          <w:noProof/>
        </w:rPr>
        <w:t xml:space="preserve">Two respondents mentioned that the </w:t>
      </w:r>
      <w:r>
        <w:rPr>
          <w:rFonts w:ascii="Times New Roman" w:hAnsi="Times New Roman" w:cs="Times New Roman"/>
          <w:b/>
          <w:noProof/>
        </w:rPr>
        <w:t>market for small-cap stocks</w:t>
      </w:r>
      <w:r>
        <w:rPr>
          <w:rFonts w:ascii="Times New Roman" w:hAnsi="Times New Roman" w:cs="Times New Roman"/>
          <w:noProof/>
        </w:rPr>
        <w:t xml:space="preserve"> is not very active (notably technology stocks). Direct involvement by the European Investment Bank group and national promotional banks in this area would provide a springboard for the development of small listed companies. Another respondent favoured the</w:t>
      </w:r>
      <w:r>
        <w:rPr>
          <w:rFonts w:ascii="Times New Roman" w:hAnsi="Times New Roman" w:cs="Times New Roman"/>
          <w:noProof/>
        </w:rPr>
        <w:t xml:space="preserve"> establishment of several dedicated funds-of-funds at domestic level to specifically invest in small caps listed on regulated markets or SME Growth Markets.</w:t>
      </w:r>
    </w:p>
    <w:p w:rsidR="009F3833" w:rsidRDefault="00EF0106">
      <w:pPr>
        <w:spacing w:after="120"/>
        <w:contextualSpacing/>
        <w:jc w:val="both"/>
        <w:rPr>
          <w:rStyle w:val="Hyperlink"/>
          <w:rFonts w:ascii="Times New Roman" w:hAnsi="Times New Roman" w:cs="Times New Roman"/>
          <w:noProof/>
        </w:rPr>
      </w:pPr>
      <w:r>
        <w:rPr>
          <w:rStyle w:val="Hyperlink"/>
          <w:rFonts w:ascii="Times New Roman" w:hAnsi="Times New Roman" w:cs="Times New Roman"/>
          <w:noProof/>
        </w:rPr>
        <w:br w:type="page"/>
      </w:r>
    </w:p>
    <w:p w:rsidR="009F3833" w:rsidRDefault="00EF0106">
      <w:pPr>
        <w:pStyle w:val="Heading2"/>
        <w:pBdr>
          <w:top w:val="single" w:sz="4" w:space="1" w:color="auto"/>
          <w:left w:val="single" w:sz="4" w:space="4" w:color="auto"/>
          <w:bottom w:val="single" w:sz="4" w:space="1" w:color="auto"/>
          <w:right w:val="single" w:sz="4" w:space="4" w:color="auto"/>
        </w:pBdr>
        <w:rPr>
          <w:rStyle w:val="Hyperlink"/>
          <w:rFonts w:ascii="Times New Roman" w:hAnsi="Times New Roman" w:cs="Times New Roman"/>
        </w:rPr>
      </w:pPr>
      <w:bookmarkStart w:id="11" w:name="_Toc481688343"/>
      <w:bookmarkStart w:id="12" w:name="_Toc481688405"/>
      <w:r>
        <w:rPr>
          <w:rStyle w:val="Hyperlink"/>
          <w:rFonts w:ascii="Times New Roman" w:hAnsi="Times New Roman" w:cs="Times New Roman"/>
        </w:rPr>
        <w:t>Question 3 – Are there additional actions that can contribute to fostering long-term, infrastrucu</w:t>
      </w:r>
      <w:r>
        <w:rPr>
          <w:rStyle w:val="Hyperlink"/>
          <w:rFonts w:ascii="Times New Roman" w:hAnsi="Times New Roman" w:cs="Times New Roman"/>
        </w:rPr>
        <w:t>re and sustainable investment?</w:t>
      </w:r>
      <w:bookmarkEnd w:id="11"/>
      <w:bookmarkEnd w:id="12"/>
    </w:p>
    <w:p w:rsidR="009F3833" w:rsidRDefault="009F3833">
      <w:pPr>
        <w:widowControl w:val="0"/>
        <w:autoSpaceDE w:val="0"/>
        <w:autoSpaceDN w:val="0"/>
        <w:adjustRightInd w:val="0"/>
        <w:spacing w:after="0" w:line="240" w:lineRule="auto"/>
        <w:jc w:val="both"/>
        <w:rPr>
          <w:rFonts w:ascii="Times New Roman" w:eastAsiaTheme="minorEastAsia" w:hAnsi="Times New Roman" w:cs="Times New Roman"/>
          <w:b/>
          <w:noProof/>
          <w:color w:val="004080"/>
          <w:lang w:eastAsia="en-GB"/>
        </w:rPr>
      </w:pPr>
    </w:p>
    <w:p w:rsidR="009F3833" w:rsidRDefault="00EF0106">
      <w:pPr>
        <w:spacing w:before="120" w:after="120"/>
        <w:jc w:val="both"/>
        <w:rPr>
          <w:rFonts w:ascii="Times New Roman" w:hAnsi="Times New Roman" w:cs="Times New Roman"/>
          <w:b/>
          <w:i/>
          <w:noProof/>
        </w:rPr>
      </w:pPr>
      <w:r>
        <w:rPr>
          <w:rFonts w:ascii="Times New Roman" w:hAnsi="Times New Roman" w:cs="Times New Roman"/>
          <w:b/>
          <w:i/>
          <w:noProof/>
          <w:u w:val="single"/>
        </w:rPr>
        <w:t>New perspectives on existing actions</w:t>
      </w:r>
    </w:p>
    <w:p w:rsidR="009F3833" w:rsidRDefault="00EF0106">
      <w:pPr>
        <w:spacing w:before="120" w:after="120"/>
        <w:jc w:val="both"/>
        <w:rPr>
          <w:rFonts w:ascii="Times New Roman" w:hAnsi="Times New Roman" w:cs="Times New Roman"/>
          <w:noProof/>
        </w:rPr>
      </w:pPr>
      <w:r>
        <w:rPr>
          <w:rFonts w:ascii="Times New Roman" w:hAnsi="Times New Roman" w:cs="Times New Roman"/>
          <w:noProof/>
        </w:rPr>
        <w:t xml:space="preserve">Some respondents suggested that Solvency II risk capital treatment for qualifying infrastructure projects should be extended to qualifying </w:t>
      </w:r>
      <w:r>
        <w:rPr>
          <w:rFonts w:ascii="Times New Roman" w:hAnsi="Times New Roman" w:cs="Times New Roman"/>
          <w:b/>
          <w:noProof/>
        </w:rPr>
        <w:t>infrastructure corporates</w:t>
      </w:r>
      <w:r>
        <w:rPr>
          <w:rFonts w:ascii="Times New Roman" w:hAnsi="Times New Roman" w:cs="Times New Roman"/>
          <w:noProof/>
        </w:rPr>
        <w:t xml:space="preserve"> with similar risk profiles. Equal treatment of infrastructure corporates under Solvency II would help increase infrastructure investments in Europe.</w:t>
      </w:r>
    </w:p>
    <w:p w:rsidR="009F3833" w:rsidRDefault="00EF0106">
      <w:pPr>
        <w:jc w:val="both"/>
        <w:rPr>
          <w:rFonts w:ascii="Times New Roman" w:hAnsi="Times New Roman" w:cs="Times New Roman"/>
          <w:noProof/>
        </w:rPr>
      </w:pPr>
      <w:r>
        <w:rPr>
          <w:rFonts w:ascii="Times New Roman" w:hAnsi="Times New Roman" w:cs="Times New Roman"/>
          <w:noProof/>
        </w:rPr>
        <w:t xml:space="preserve">As regards </w:t>
      </w:r>
      <w:r>
        <w:rPr>
          <w:rFonts w:ascii="Times New Roman" w:hAnsi="Times New Roman" w:cs="Times New Roman"/>
          <w:b/>
          <w:noProof/>
        </w:rPr>
        <w:t>sustainable finance</w:t>
      </w:r>
      <w:r>
        <w:rPr>
          <w:rFonts w:ascii="Times New Roman" w:hAnsi="Times New Roman" w:cs="Times New Roman"/>
          <w:noProof/>
        </w:rPr>
        <w:t xml:space="preserve">, many respondents pointed to the need to consider climate-related risks as </w:t>
      </w:r>
      <w:r>
        <w:rPr>
          <w:rFonts w:ascii="Times New Roman" w:hAnsi="Times New Roman" w:cs="Times New Roman"/>
          <w:noProof/>
        </w:rPr>
        <w:t xml:space="preserve">material ones and integrate them into financial services policy. Several examples were given about how this should be done: (i) ESAs should include climate risks in financial regulation and stress tests; (ii) rules governing rating agencies should include </w:t>
      </w:r>
      <w:r>
        <w:rPr>
          <w:rFonts w:ascii="Times New Roman" w:hAnsi="Times New Roman" w:cs="Times New Roman"/>
          <w:noProof/>
        </w:rPr>
        <w:t>sustainability and climate-related criteria; (iii) climate-related risks should be included as a material risk factor to be disclosed in the Prospectus Regulation; and (iv) the concept of fiduciary duty should be clarified, incorporating long-term value dr</w:t>
      </w:r>
      <w:r>
        <w:rPr>
          <w:rFonts w:ascii="Times New Roman" w:hAnsi="Times New Roman" w:cs="Times New Roman"/>
          <w:noProof/>
        </w:rPr>
        <w:t xml:space="preserve">ivers. </w:t>
      </w:r>
    </w:p>
    <w:p w:rsidR="009F3833" w:rsidRDefault="00EF0106">
      <w:pPr>
        <w:jc w:val="both"/>
        <w:rPr>
          <w:rFonts w:ascii="Times New Roman" w:hAnsi="Times New Roman" w:cs="Times New Roman"/>
          <w:noProof/>
        </w:rPr>
      </w:pPr>
      <w:r>
        <w:rPr>
          <w:rFonts w:ascii="Times New Roman" w:hAnsi="Times New Roman" w:cs="Times New Roman"/>
          <w:noProof/>
        </w:rPr>
        <w:t xml:space="preserve">Respondents also called on the Commission to build an investor-friendly </w:t>
      </w:r>
      <w:r>
        <w:rPr>
          <w:rFonts w:ascii="Times New Roman" w:hAnsi="Times New Roman" w:cs="Times New Roman"/>
          <w:b/>
          <w:noProof/>
        </w:rPr>
        <w:t>green bond</w:t>
      </w:r>
      <w:r>
        <w:rPr>
          <w:rFonts w:ascii="Times New Roman" w:hAnsi="Times New Roman" w:cs="Times New Roman"/>
          <w:noProof/>
        </w:rPr>
        <w:t xml:space="preserve"> framework by leveraging existing market-led initiatives and best practices. Some respondents stressed that clarity and convergence at EU level is needed as is extern</w:t>
      </w:r>
      <w:r>
        <w:rPr>
          <w:rFonts w:ascii="Times New Roman" w:hAnsi="Times New Roman" w:cs="Times New Roman"/>
          <w:noProof/>
        </w:rPr>
        <w:t>al verification/assurance of compliance with green standards to avoid misuse and green-washing. Standardisation (similar to the UCITS Key Information Document) would materially reduce the resources required to understand and compare green finance projects,</w:t>
      </w:r>
      <w:r>
        <w:rPr>
          <w:rFonts w:ascii="Times New Roman" w:hAnsi="Times New Roman" w:cs="Times New Roman"/>
          <w:noProof/>
        </w:rPr>
        <w:t xml:space="preserve"> encouraging more investment. Ultimately, this should lead to the development of a standard (similar to the Eco-Management and Audit Scheme) for accreditation of green bonds. The EIB should help develop a template and build consensus around it, working wit</w:t>
      </w:r>
      <w:r>
        <w:rPr>
          <w:rFonts w:ascii="Times New Roman" w:hAnsi="Times New Roman" w:cs="Times New Roman"/>
          <w:noProof/>
        </w:rPr>
        <w:t>h the Climate Bonds Initiative and other relevant bodies. The EU should also bring together stakeholders to explore how the current short-term durations of green bonds could be improved in order to satisfy long-term investors’ appetite for longer durations</w:t>
      </w:r>
      <w:r>
        <w:rPr>
          <w:rFonts w:ascii="Times New Roman" w:hAnsi="Times New Roman" w:cs="Times New Roman"/>
          <w:noProof/>
        </w:rPr>
        <w:t>.</w:t>
      </w:r>
    </w:p>
    <w:p w:rsidR="009F3833" w:rsidRDefault="00EF0106">
      <w:pPr>
        <w:jc w:val="both"/>
        <w:rPr>
          <w:rFonts w:ascii="Times New Roman" w:hAnsi="Times New Roman" w:cs="Times New Roman"/>
          <w:noProof/>
        </w:rPr>
      </w:pPr>
      <w:r>
        <w:rPr>
          <w:rFonts w:ascii="Times New Roman" w:hAnsi="Times New Roman" w:cs="Times New Roman"/>
          <w:noProof/>
        </w:rPr>
        <w:t xml:space="preserve">Some respondents saw the need for establishing an explicit link between the EU sustainable finance agenda and the </w:t>
      </w:r>
      <w:r>
        <w:rPr>
          <w:rFonts w:ascii="Times New Roman" w:hAnsi="Times New Roman" w:cs="Times New Roman"/>
          <w:b/>
          <w:noProof/>
        </w:rPr>
        <w:t>Energy Union</w:t>
      </w:r>
      <w:r>
        <w:rPr>
          <w:rFonts w:ascii="Times New Roman" w:hAnsi="Times New Roman" w:cs="Times New Roman"/>
          <w:noProof/>
        </w:rPr>
        <w:t>. This could be done by asking Member States to develop national finance plans as part of their National Energy and Climate Plan</w:t>
      </w:r>
      <w:r>
        <w:rPr>
          <w:rFonts w:ascii="Times New Roman" w:hAnsi="Times New Roman" w:cs="Times New Roman"/>
          <w:noProof/>
        </w:rPr>
        <w:t>s which are included in the proposal for a regulation on the governance of the Energy Union. This would improve consistency between the EU sustainable finance agenda and the EU climate and energy policies. It would also lead to more confidence among invest</w:t>
      </w:r>
      <w:r>
        <w:rPr>
          <w:rFonts w:ascii="Times New Roman" w:hAnsi="Times New Roman" w:cs="Times New Roman"/>
          <w:noProof/>
        </w:rPr>
        <w:t>ors calling for stable, reliable and economically meaningful carbon pricing to help redirect investment in a way commensurate with the scale of the climate change challenge.</w:t>
      </w:r>
    </w:p>
    <w:p w:rsidR="009F3833" w:rsidRDefault="00EF0106">
      <w:pPr>
        <w:jc w:val="both"/>
        <w:rPr>
          <w:rFonts w:ascii="Times New Roman" w:hAnsi="Times New Roman" w:cs="Times New Roman"/>
          <w:noProof/>
        </w:rPr>
      </w:pPr>
      <w:r>
        <w:rPr>
          <w:rFonts w:ascii="Times New Roman" w:hAnsi="Times New Roman" w:cs="Times New Roman"/>
          <w:noProof/>
        </w:rPr>
        <w:t xml:space="preserve">To support green and </w:t>
      </w:r>
      <w:r>
        <w:rPr>
          <w:rFonts w:ascii="Times New Roman" w:hAnsi="Times New Roman" w:cs="Times New Roman"/>
          <w:b/>
          <w:noProof/>
        </w:rPr>
        <w:t>energy-efficient mortgage portfolios</w:t>
      </w:r>
      <w:r>
        <w:rPr>
          <w:rFonts w:ascii="Times New Roman" w:hAnsi="Times New Roman" w:cs="Times New Roman"/>
          <w:noProof/>
        </w:rPr>
        <w:t>, one respondent referred</w:t>
      </w:r>
      <w:r>
        <w:rPr>
          <w:rFonts w:ascii="Times New Roman" w:hAnsi="Times New Roman" w:cs="Times New Roman"/>
          <w:noProof/>
        </w:rPr>
        <w:t xml:space="preserve"> to the ongoing work on the development of a standardised, pan-European mortgage financing mechanism. It aims at incentivising EU households to improve the energy efficiency of the EU’s housing stock by way of preferential financial conditions linked to a </w:t>
      </w:r>
      <w:r>
        <w:rPr>
          <w:rFonts w:ascii="Times New Roman" w:hAnsi="Times New Roman" w:cs="Times New Roman"/>
          <w:noProof/>
        </w:rPr>
        <w:t>mortgage. In order to help unlock the potential of the mortgage industry to support the EU in delivering on its energy savings targets, this stakeholder believed that the lower risk of energy efficient mortgages should be recognised in the regulatory frame</w:t>
      </w:r>
      <w:r>
        <w:rPr>
          <w:rFonts w:ascii="Times New Roman" w:hAnsi="Times New Roman" w:cs="Times New Roman"/>
          <w:noProof/>
        </w:rPr>
        <w:t>work in the form of lower capital requirements for these exposures.</w:t>
      </w:r>
    </w:p>
    <w:p w:rsidR="009F3833" w:rsidRDefault="00EF0106">
      <w:pPr>
        <w:jc w:val="both"/>
        <w:rPr>
          <w:rStyle w:val="Hyperlink"/>
          <w:rFonts w:ascii="Times New Roman" w:hAnsi="Times New Roman" w:cs="Times New Roman"/>
          <w:i/>
          <w:noProof/>
        </w:rPr>
      </w:pPr>
      <w:r>
        <w:rPr>
          <w:rFonts w:ascii="Times New Roman" w:hAnsi="Times New Roman" w:cs="Times New Roman"/>
          <w:noProof/>
        </w:rPr>
        <w:t xml:space="preserve">Some respondents advocated for using disclosure requirements to raise transparency and awareness on environmental and sustainability risks. In this respect, the Commission's voluntary </w:t>
      </w:r>
      <w:r>
        <w:rPr>
          <w:rFonts w:ascii="Times New Roman" w:hAnsi="Times New Roman" w:cs="Times New Roman"/>
          <w:b/>
          <w:noProof/>
        </w:rPr>
        <w:t>Guid</w:t>
      </w:r>
      <w:r>
        <w:rPr>
          <w:rFonts w:ascii="Times New Roman" w:hAnsi="Times New Roman" w:cs="Times New Roman"/>
          <w:b/>
          <w:noProof/>
        </w:rPr>
        <w:t>elines on Non</w:t>
      </w:r>
      <w:r>
        <w:rPr>
          <w:rFonts w:ascii="Times New Roman" w:hAnsi="Times New Roman" w:cs="Times New Roman"/>
          <w:noProof/>
        </w:rPr>
        <w:t>-</w:t>
      </w:r>
      <w:r>
        <w:rPr>
          <w:rFonts w:ascii="Times New Roman" w:hAnsi="Times New Roman" w:cs="Times New Roman"/>
          <w:b/>
          <w:noProof/>
        </w:rPr>
        <w:t>Financial Reporting</w:t>
      </w:r>
      <w:r>
        <w:rPr>
          <w:rFonts w:ascii="Times New Roman" w:hAnsi="Times New Roman" w:cs="Times New Roman"/>
          <w:noProof/>
        </w:rPr>
        <w:t xml:space="preserve"> (NFR) should be improved (i.e., different environmental, social and governance criteria should be elaborated in more detail). These Guidelines are an opportunity to increase comparability, consistency and usability of the </w:t>
      </w:r>
      <w:r>
        <w:rPr>
          <w:rFonts w:ascii="Times New Roman" w:hAnsi="Times New Roman" w:cs="Times New Roman"/>
          <w:noProof/>
        </w:rPr>
        <w:t>reported information across the EU. Hence, respondents suggested that the Commission take into account the guidelines issued by the Task Force on Climate-related Financial Disclosures of the Financial Stability Board in the area of climate change when form</w:t>
      </w:r>
      <w:r>
        <w:rPr>
          <w:rFonts w:ascii="Times New Roman" w:hAnsi="Times New Roman" w:cs="Times New Roman"/>
          <w:noProof/>
        </w:rPr>
        <w:t>ulating its non-financial reporting guidelines.</w:t>
      </w:r>
    </w:p>
    <w:p w:rsidR="009F3833" w:rsidRDefault="00EF0106">
      <w:pPr>
        <w:jc w:val="both"/>
        <w:rPr>
          <w:rFonts w:ascii="Times New Roman" w:hAnsi="Times New Roman" w:cs="Times New Roman"/>
          <w:noProof/>
        </w:rPr>
      </w:pPr>
      <w:r>
        <w:rPr>
          <w:rFonts w:ascii="Times New Roman" w:hAnsi="Times New Roman" w:cs="Times New Roman"/>
          <w:noProof/>
        </w:rPr>
        <w:t xml:space="preserve">Almost all representatives of the investment fund industry referred to national differences in marketing requirements and local paying agents as major hurdles for </w:t>
      </w:r>
      <w:r>
        <w:rPr>
          <w:rFonts w:ascii="Times New Roman" w:hAnsi="Times New Roman" w:cs="Times New Roman"/>
          <w:b/>
          <w:noProof/>
        </w:rPr>
        <w:t>cross-border distribution of funds</w:t>
      </w:r>
      <w:r>
        <w:rPr>
          <w:rFonts w:ascii="Times New Roman" w:hAnsi="Times New Roman" w:cs="Times New Roman"/>
          <w:noProof/>
        </w:rPr>
        <w:t>. The dupli</w:t>
      </w:r>
      <w:r>
        <w:rPr>
          <w:rFonts w:ascii="Times New Roman" w:hAnsi="Times New Roman" w:cs="Times New Roman"/>
          <w:noProof/>
        </w:rPr>
        <w:t>cation of registration fees and processes for the marketing of a fund as imposed by different Member States was considered an important remaining barrier. It was suggested that this barrier could be tackled through further supervisory convergence. Furtherm</w:t>
      </w:r>
      <w:r>
        <w:rPr>
          <w:rFonts w:ascii="Times New Roman" w:hAnsi="Times New Roman" w:cs="Times New Roman"/>
          <w:noProof/>
        </w:rPr>
        <w:t xml:space="preserve">ore, respondents welcomed the Commission's approach of working with the Member States on a common definition of pre-marketing and urged for ESMA guidelines to follow. They also advocated for standardised information on notification fees, with a preference </w:t>
      </w:r>
      <w:r>
        <w:rPr>
          <w:rFonts w:ascii="Times New Roman" w:hAnsi="Times New Roman" w:cs="Times New Roman"/>
          <w:noProof/>
        </w:rPr>
        <w:t>for a centralised portal for all administrative requirements (including fees) in all Member States.</w:t>
      </w:r>
    </w:p>
    <w:p w:rsidR="009F3833" w:rsidRDefault="00EF0106">
      <w:pPr>
        <w:jc w:val="both"/>
        <w:rPr>
          <w:rFonts w:ascii="Times New Roman" w:hAnsi="Times New Roman" w:cs="Times New Roman"/>
          <w:b/>
          <w:i/>
          <w:noProof/>
          <w:u w:val="single"/>
        </w:rPr>
      </w:pPr>
      <w:r>
        <w:rPr>
          <w:rFonts w:ascii="Times New Roman" w:hAnsi="Times New Roman" w:cs="Times New Roman"/>
          <w:b/>
          <w:i/>
          <w:noProof/>
          <w:u w:val="single"/>
        </w:rPr>
        <w:t>New focus areas</w:t>
      </w:r>
    </w:p>
    <w:p w:rsidR="009F3833" w:rsidRDefault="00EF0106">
      <w:pPr>
        <w:jc w:val="both"/>
        <w:rPr>
          <w:rFonts w:ascii="Times New Roman" w:eastAsia="Arial Unicode MS" w:hAnsi="Times New Roman" w:cs="Times New Roman"/>
          <w:noProof/>
          <w:bdr w:val="nil"/>
          <w:lang w:eastAsia="en-GB"/>
        </w:rPr>
      </w:pPr>
      <w:r>
        <w:rPr>
          <w:rFonts w:ascii="Times New Roman" w:hAnsi="Times New Roman" w:cs="Times New Roman"/>
          <w:noProof/>
        </w:rPr>
        <w:t xml:space="preserve">Some respondents considered that the </w:t>
      </w:r>
      <w:r>
        <w:rPr>
          <w:rFonts w:ascii="Times New Roman" w:hAnsi="Times New Roman" w:cs="Times New Roman"/>
          <w:b/>
          <w:noProof/>
        </w:rPr>
        <w:t>European Long-Term Investment Funds</w:t>
      </w:r>
      <w:r>
        <w:rPr>
          <w:rFonts w:ascii="Times New Roman" w:hAnsi="Times New Roman" w:cs="Times New Roman"/>
          <w:noProof/>
        </w:rPr>
        <w:t xml:space="preserve"> (</w:t>
      </w:r>
      <w:r>
        <w:rPr>
          <w:rFonts w:ascii="Times New Roman" w:hAnsi="Times New Roman" w:cs="Times New Roman"/>
          <w:b/>
          <w:noProof/>
        </w:rPr>
        <w:t>ELTIFs) Regulation</w:t>
      </w:r>
      <w:r>
        <w:rPr>
          <w:rFonts w:ascii="Times New Roman" w:hAnsi="Times New Roman" w:cs="Times New Roman"/>
          <w:noProof/>
        </w:rPr>
        <w:t xml:space="preserve"> does not provide an adequate framework in order to shift long-term savings towards long-term investments. ELTIFs tend to be considered as specialised funds such as infrastructure funds, private equity funds or real estate funds. Besides not having flexibi</w:t>
      </w:r>
      <w:r>
        <w:rPr>
          <w:rFonts w:ascii="Times New Roman" w:hAnsi="Times New Roman" w:cs="Times New Roman"/>
          <w:noProof/>
        </w:rPr>
        <w:t>lity in terms of investment horizon, these funds are riskier as they are not sufficiently diversified. Some respondents were of the opinion that ELTIFs may largely remain an empty shell if the capital requirement associated with them is not directly linked</w:t>
      </w:r>
      <w:r>
        <w:rPr>
          <w:rFonts w:ascii="Times New Roman" w:hAnsi="Times New Roman" w:cs="Times New Roman"/>
          <w:noProof/>
        </w:rPr>
        <w:t xml:space="preserve"> with their underlying</w:t>
      </w:r>
      <w:r>
        <w:rPr>
          <w:rFonts w:ascii="Times New Roman" w:eastAsia="Arial Unicode MS" w:hAnsi="Times New Roman" w:cs="Times New Roman"/>
          <w:noProof/>
          <w:bdr w:val="nil"/>
          <w:lang w:eastAsia="en-GB"/>
        </w:rPr>
        <w:t xml:space="preserve"> exposures. Restructuring of such funds could be envisaged to facilitate investment by institutional investors like insurance companies and pension funds. Public listing of such funds could enhance participation of retail and institut</w:t>
      </w:r>
      <w:r>
        <w:rPr>
          <w:rFonts w:ascii="Times New Roman" w:eastAsia="Arial Unicode MS" w:hAnsi="Times New Roman" w:cs="Times New Roman"/>
          <w:noProof/>
          <w:bdr w:val="nil"/>
          <w:lang w:eastAsia="en-GB"/>
        </w:rPr>
        <w:t xml:space="preserve">ional investors, further increasing capital flows and cross-border investment. </w:t>
      </w:r>
      <w:r>
        <w:rPr>
          <w:rFonts w:ascii="Times New Roman" w:hAnsi="Times New Roman" w:cs="Times New Roman"/>
          <w:noProof/>
        </w:rPr>
        <w:t>To facilitate a much higher funding of ELTIFs by private investors, some respondents proposed limited capital contributions (i.e., junior or subordinated tranches) or guarantees</w:t>
      </w:r>
      <w:r>
        <w:rPr>
          <w:rFonts w:ascii="Times New Roman" w:hAnsi="Times New Roman" w:cs="Times New Roman"/>
          <w:noProof/>
        </w:rPr>
        <w:t xml:space="preserve"> (with first loss-absorbing capacity) by public bodies. Given the specific nature of ELTIFs, an appropriate tax regime should also be developed in order to differentiate them from other investment structures and make the ELTIF regime more attractive.</w:t>
      </w:r>
    </w:p>
    <w:p w:rsidR="009F3833" w:rsidRDefault="00EF0106">
      <w:pPr>
        <w:jc w:val="both"/>
        <w:rPr>
          <w:rFonts w:ascii="Times New Roman" w:hAnsi="Times New Roman" w:cs="Times New Roman"/>
          <w:noProof/>
        </w:rPr>
      </w:pPr>
      <w:r>
        <w:rPr>
          <w:rFonts w:ascii="Times New Roman" w:hAnsi="Times New Roman" w:cs="Times New Roman"/>
          <w:noProof/>
        </w:rPr>
        <w:t xml:space="preserve">Some </w:t>
      </w:r>
      <w:r>
        <w:rPr>
          <w:rFonts w:ascii="Times New Roman" w:hAnsi="Times New Roman" w:cs="Times New Roman"/>
          <w:noProof/>
        </w:rPr>
        <w:t xml:space="preserve">respondents underlined that the European Investment Bank (EIB) and national development banks have been very present in </w:t>
      </w:r>
      <w:r>
        <w:rPr>
          <w:rFonts w:ascii="Times New Roman" w:hAnsi="Times New Roman" w:cs="Times New Roman"/>
          <w:b/>
          <w:noProof/>
        </w:rPr>
        <w:t>infrastructure investment</w:t>
      </w:r>
      <w:r>
        <w:rPr>
          <w:rFonts w:ascii="Times New Roman" w:hAnsi="Times New Roman" w:cs="Times New Roman"/>
          <w:noProof/>
        </w:rPr>
        <w:t>. Most of the infrastructure lending originated by these institutions has been retained which results in a lack</w:t>
      </w:r>
      <w:r>
        <w:rPr>
          <w:rFonts w:ascii="Times New Roman" w:hAnsi="Times New Roman" w:cs="Times New Roman"/>
          <w:noProof/>
        </w:rPr>
        <w:t xml:space="preserve"> of public market development. The ideal policy option would be to create a common initiative coordinated by the EIB and supported by national development banks to establish a European Infrastructure Fund where a share of the new infrastructure lending is </w:t>
      </w:r>
      <w:r>
        <w:rPr>
          <w:rFonts w:ascii="Times New Roman" w:hAnsi="Times New Roman" w:cs="Times New Roman"/>
          <w:noProof/>
        </w:rPr>
        <w:t>allocated and then distributed to institutional investors. The investment in the Fund would be equated to investment in 0% weighted sovereign debt and the dividend distributions from the fund could also carry certain fiscal advantages.</w:t>
      </w:r>
    </w:p>
    <w:p w:rsidR="009F3833" w:rsidRDefault="00EF0106">
      <w:pPr>
        <w:jc w:val="both"/>
        <w:rPr>
          <w:rFonts w:ascii="Times New Roman" w:hAnsi="Times New Roman" w:cs="Times New Roman"/>
          <w:noProof/>
        </w:rPr>
      </w:pPr>
      <w:r>
        <w:rPr>
          <w:rFonts w:ascii="Times New Roman" w:hAnsi="Times New Roman" w:cs="Times New Roman"/>
          <w:noProof/>
        </w:rPr>
        <w:t>Respondents from the</w:t>
      </w:r>
      <w:r>
        <w:rPr>
          <w:rFonts w:ascii="Times New Roman" w:hAnsi="Times New Roman" w:cs="Times New Roman"/>
          <w:noProof/>
        </w:rPr>
        <w:t xml:space="preserve"> insurance industry expressed concern that the Solvency II framework creates disincentives for </w:t>
      </w:r>
      <w:r>
        <w:rPr>
          <w:rFonts w:ascii="Times New Roman" w:hAnsi="Times New Roman" w:cs="Times New Roman"/>
          <w:b/>
          <w:noProof/>
        </w:rPr>
        <w:t>insurers to invest in riskier asset classes, including equity</w:t>
      </w:r>
      <w:r>
        <w:rPr>
          <w:rFonts w:ascii="Times New Roman" w:hAnsi="Times New Roman" w:cs="Times New Roman"/>
          <w:noProof/>
        </w:rPr>
        <w:t>. It gives preferential treatment to shorter maturities and does not sufficiently recognise the long</w:t>
      </w:r>
      <w:r>
        <w:rPr>
          <w:rFonts w:ascii="Times New Roman" w:hAnsi="Times New Roman" w:cs="Times New Roman"/>
          <w:noProof/>
        </w:rPr>
        <w:t>er-term nature of insurers’ liabilities. For equity investments, some respondents considered that the current capital requirement on equities is calibrated at one year and does not adequately reflect the willingness and ability of insurance companies to ma</w:t>
      </w:r>
      <w:r>
        <w:rPr>
          <w:rFonts w:ascii="Times New Roman" w:hAnsi="Times New Roman" w:cs="Times New Roman"/>
          <w:noProof/>
        </w:rPr>
        <w:t>nage and hold their equity portfolio over the long term. In addition, some respondents considered that the capital charges for private equity should be significantly lower than the current ones of 39% (or 49% in some cases). Evidence provided by those resp</w:t>
      </w:r>
      <w:r>
        <w:rPr>
          <w:rFonts w:ascii="Times New Roman" w:hAnsi="Times New Roman" w:cs="Times New Roman"/>
          <w:noProof/>
        </w:rPr>
        <w:t>ondents suggested that, in their view, the capital charge for private equity in the standard formula should be in the range of 20% - 35%.</w:t>
      </w:r>
    </w:p>
    <w:p w:rsidR="009F3833" w:rsidRDefault="009F3833">
      <w:pPr>
        <w:jc w:val="both"/>
        <w:rPr>
          <w:rFonts w:ascii="Times New Roman" w:hAnsi="Times New Roman" w:cs="Times New Roman"/>
          <w:noProof/>
        </w:rPr>
      </w:pPr>
    </w:p>
    <w:p w:rsidR="009F3833" w:rsidRDefault="00EF0106">
      <w:pPr>
        <w:pStyle w:val="Heading2"/>
        <w:pBdr>
          <w:top w:val="single" w:sz="4" w:space="1" w:color="auto"/>
          <w:left w:val="single" w:sz="4" w:space="4" w:color="auto"/>
          <w:bottom w:val="single" w:sz="4" w:space="1" w:color="auto"/>
          <w:right w:val="single" w:sz="4" w:space="4" w:color="auto"/>
        </w:pBdr>
        <w:rPr>
          <w:rStyle w:val="Hyperlink"/>
          <w:rFonts w:ascii="Times New Roman" w:hAnsi="Times New Roman" w:cs="Times New Roman"/>
        </w:rPr>
      </w:pPr>
      <w:bookmarkStart w:id="13" w:name="_Toc481688344"/>
      <w:bookmarkStart w:id="14" w:name="_Toc481688406"/>
      <w:r>
        <w:rPr>
          <w:rStyle w:val="Hyperlink"/>
          <w:rFonts w:ascii="Times New Roman" w:hAnsi="Times New Roman" w:cs="Times New Roman"/>
        </w:rPr>
        <w:t>Question 4 – Are there additional actions that can contribute to fostering retail investment?</w:t>
      </w:r>
      <w:bookmarkEnd w:id="13"/>
      <w:bookmarkEnd w:id="14"/>
    </w:p>
    <w:p w:rsidR="009F3833" w:rsidRDefault="00EF0106">
      <w:pPr>
        <w:spacing w:before="120" w:after="120"/>
        <w:jc w:val="both"/>
        <w:rPr>
          <w:rFonts w:ascii="Times New Roman" w:hAnsi="Times New Roman" w:cs="Times New Roman"/>
          <w:noProof/>
        </w:rPr>
      </w:pPr>
      <w:r>
        <w:rPr>
          <w:rStyle w:val="Hyperlink"/>
          <w:rFonts w:ascii="Times New Roman" w:hAnsi="Times New Roman" w:cs="Times New Roman"/>
          <w:noProof/>
        </w:rPr>
        <w:t xml:space="preserve">Almost all respondents </w:t>
      </w:r>
      <w:r>
        <w:rPr>
          <w:rStyle w:val="Hyperlink"/>
          <w:rFonts w:ascii="Times New Roman" w:hAnsi="Times New Roman" w:cs="Times New Roman"/>
          <w:noProof/>
        </w:rPr>
        <w:t>to this question agreed that the current situation is not satisfactory and that there is a need for action at EU level in order to bring back or attract more retail investors to capital markets. Many respondents underlined that retail investors need to pre</w:t>
      </w:r>
      <w:r>
        <w:rPr>
          <w:rStyle w:val="Hyperlink"/>
          <w:rFonts w:ascii="Times New Roman" w:hAnsi="Times New Roman" w:cs="Times New Roman"/>
          <w:noProof/>
        </w:rPr>
        <w:t>pare for the long-term (e.g., retirement or a major project) or simply be protected against unexpected life events.</w:t>
      </w:r>
    </w:p>
    <w:p w:rsidR="009F3833" w:rsidRDefault="00EF0106">
      <w:pPr>
        <w:spacing w:before="120" w:after="120"/>
        <w:jc w:val="both"/>
        <w:rPr>
          <w:rFonts w:ascii="Times New Roman" w:hAnsi="Times New Roman" w:cs="Times New Roman"/>
          <w:noProof/>
        </w:rPr>
      </w:pPr>
      <w:r>
        <w:rPr>
          <w:rFonts w:ascii="Times New Roman" w:hAnsi="Times New Roman" w:cs="Times New Roman"/>
          <w:noProof/>
        </w:rPr>
        <w:t xml:space="preserve">According to some respondents, </w:t>
      </w:r>
      <w:r>
        <w:rPr>
          <w:rFonts w:ascii="Times New Roman" w:hAnsi="Times New Roman" w:cs="Times New Roman"/>
          <w:b/>
          <w:noProof/>
        </w:rPr>
        <w:t>investor confidence</w:t>
      </w:r>
      <w:r>
        <w:rPr>
          <w:rFonts w:ascii="Times New Roman" w:hAnsi="Times New Roman" w:cs="Times New Roman"/>
          <w:noProof/>
        </w:rPr>
        <w:t xml:space="preserve"> in the markets remains low and there is still public mistrust in the financial sector. Th</w:t>
      </w:r>
      <w:r>
        <w:rPr>
          <w:rFonts w:ascii="Times New Roman" w:hAnsi="Times New Roman" w:cs="Times New Roman"/>
          <w:noProof/>
        </w:rPr>
        <w:t>is leads to a preference for putting savings in deposit accounts though many EU citizens are on average losing money after fees and inflation. Poor consumer offerings and disappointments have discouraged (potential) investors. Moreover, third-party commiss</w:t>
      </w:r>
      <w:r>
        <w:rPr>
          <w:rFonts w:ascii="Times New Roman" w:hAnsi="Times New Roman" w:cs="Times New Roman"/>
          <w:noProof/>
        </w:rPr>
        <w:t>ions or in-house sales incentives tend to steer consumers towards overly complex and expensive retail investment products, often not suitable to their risk profile.</w:t>
      </w:r>
    </w:p>
    <w:p w:rsidR="009F3833" w:rsidRDefault="00EF0106">
      <w:pPr>
        <w:spacing w:before="120" w:after="120"/>
        <w:jc w:val="both"/>
        <w:rPr>
          <w:rFonts w:ascii="Times New Roman" w:hAnsi="Times New Roman" w:cs="Times New Roman"/>
          <w:noProof/>
        </w:rPr>
      </w:pPr>
      <w:r>
        <w:rPr>
          <w:rFonts w:ascii="Times New Roman" w:hAnsi="Times New Roman" w:cs="Times New Roman"/>
          <w:noProof/>
        </w:rPr>
        <w:t xml:space="preserve">Respondents also argued that retail investors are suffering from excessively high </w:t>
      </w:r>
      <w:r>
        <w:rPr>
          <w:rFonts w:ascii="Times New Roman" w:hAnsi="Times New Roman" w:cs="Times New Roman"/>
          <w:b/>
          <w:noProof/>
        </w:rPr>
        <w:t>financial</w:t>
      </w:r>
      <w:r>
        <w:rPr>
          <w:rFonts w:ascii="Times New Roman" w:hAnsi="Times New Roman" w:cs="Times New Roman"/>
          <w:b/>
          <w:noProof/>
        </w:rPr>
        <w:t xml:space="preserve"> fees</w:t>
      </w:r>
      <w:r>
        <w:rPr>
          <w:rFonts w:ascii="Times New Roman" w:hAnsi="Times New Roman" w:cs="Times New Roman"/>
          <w:noProof/>
        </w:rPr>
        <w:t xml:space="preserve"> which often destroy the real value of their savings. There were several references to the excessive costs of non-value adding products offered to investors. Instead investors should be encouraged to pursue simpler and cheaper buy-and-hold diversified</w:t>
      </w:r>
      <w:r>
        <w:rPr>
          <w:rFonts w:ascii="Times New Roman" w:hAnsi="Times New Roman" w:cs="Times New Roman"/>
          <w:noProof/>
        </w:rPr>
        <w:t xml:space="preserve"> portfolio strategies.</w:t>
      </w:r>
    </w:p>
    <w:p w:rsidR="009F3833" w:rsidRDefault="00EF0106">
      <w:pPr>
        <w:spacing w:before="120" w:after="120"/>
        <w:jc w:val="both"/>
        <w:rPr>
          <w:rFonts w:ascii="Times New Roman" w:hAnsi="Times New Roman" w:cs="Times New Roman"/>
          <w:noProof/>
        </w:rPr>
      </w:pPr>
      <w:r>
        <w:rPr>
          <w:rFonts w:ascii="Times New Roman" w:hAnsi="Times New Roman" w:cs="Times New Roman"/>
          <w:noProof/>
        </w:rPr>
        <w:t xml:space="preserve">For some respondents, the problem with excessive fees charged is a sign of a general failure of the financial advisory model present in most Member States. As a reason for overcharging, respondents identified the remuneration of </w:t>
      </w:r>
      <w:r>
        <w:rPr>
          <w:rFonts w:ascii="Times New Roman" w:hAnsi="Times New Roman" w:cs="Times New Roman"/>
          <w:noProof/>
        </w:rPr>
        <w:t>financial advisors which increases when selling more expensive products.</w:t>
      </w:r>
    </w:p>
    <w:p w:rsidR="009F3833" w:rsidRDefault="00EF0106">
      <w:pPr>
        <w:spacing w:before="120" w:after="120"/>
        <w:jc w:val="both"/>
        <w:rPr>
          <w:rFonts w:ascii="Times New Roman" w:hAnsi="Times New Roman" w:cs="Times New Roman"/>
          <w:noProof/>
        </w:rPr>
      </w:pPr>
      <w:r>
        <w:rPr>
          <w:rFonts w:ascii="Times New Roman" w:hAnsi="Times New Roman" w:cs="Times New Roman"/>
          <w:noProof/>
        </w:rPr>
        <w:t>Almost all agreed that promotion of savings in the long term requires a proactive approach by the Commission to make European citizens aware of their need to save for retirement. In t</w:t>
      </w:r>
      <w:r>
        <w:rPr>
          <w:rFonts w:ascii="Times New Roman" w:hAnsi="Times New Roman" w:cs="Times New Roman"/>
          <w:noProof/>
        </w:rPr>
        <w:t xml:space="preserve">his respect, the majority of respondents supported the launch of a pan-European </w:t>
      </w:r>
      <w:r>
        <w:rPr>
          <w:rFonts w:ascii="Times New Roman" w:hAnsi="Times New Roman" w:cs="Times New Roman"/>
          <w:b/>
          <w:noProof/>
        </w:rPr>
        <w:t>personal pension</w:t>
      </w:r>
      <w:r>
        <w:rPr>
          <w:rFonts w:ascii="Times New Roman" w:hAnsi="Times New Roman" w:cs="Times New Roman"/>
          <w:noProof/>
        </w:rPr>
        <w:t xml:space="preserve"> framework. There were a few dissenting voices, with some of them arguing that the focus should be put on occupational pensions.</w:t>
      </w:r>
    </w:p>
    <w:p w:rsidR="009F3833" w:rsidRDefault="00EF0106">
      <w:pPr>
        <w:spacing w:after="120"/>
        <w:jc w:val="both"/>
        <w:rPr>
          <w:rFonts w:ascii="Times New Roman" w:hAnsi="Times New Roman" w:cs="Times New Roman"/>
          <w:b/>
          <w:i/>
          <w:noProof/>
          <w:u w:val="single"/>
        </w:rPr>
      </w:pPr>
      <w:r>
        <w:rPr>
          <w:rFonts w:ascii="Times New Roman" w:hAnsi="Times New Roman" w:cs="Times New Roman"/>
          <w:b/>
          <w:i/>
          <w:noProof/>
          <w:u w:val="single"/>
        </w:rPr>
        <w:t>New perspectives on existing ac</w:t>
      </w:r>
      <w:r>
        <w:rPr>
          <w:rFonts w:ascii="Times New Roman" w:hAnsi="Times New Roman" w:cs="Times New Roman"/>
          <w:b/>
          <w:i/>
          <w:noProof/>
          <w:u w:val="single"/>
        </w:rPr>
        <w:t>tions</w:t>
      </w:r>
    </w:p>
    <w:p w:rsidR="009F3833" w:rsidRDefault="00EF0106">
      <w:pPr>
        <w:jc w:val="both"/>
        <w:rPr>
          <w:rFonts w:ascii="Times New Roman" w:hAnsi="Times New Roman" w:cs="Times New Roman"/>
          <w:noProof/>
        </w:rPr>
      </w:pPr>
      <w:r>
        <w:rPr>
          <w:rFonts w:ascii="Times New Roman" w:hAnsi="Times New Roman" w:cs="Times New Roman"/>
          <w:noProof/>
        </w:rPr>
        <w:t xml:space="preserve">The majority of respondents considered the current legislative framework as suitable. They believed that the implementation of the new </w:t>
      </w:r>
      <w:r>
        <w:rPr>
          <w:rFonts w:ascii="Times New Roman" w:hAnsi="Times New Roman" w:cs="Times New Roman"/>
          <w:b/>
          <w:noProof/>
        </w:rPr>
        <w:t>product disclosure rules</w:t>
      </w:r>
      <w:r>
        <w:rPr>
          <w:rFonts w:ascii="Times New Roman" w:hAnsi="Times New Roman" w:cs="Times New Roman"/>
          <w:noProof/>
        </w:rPr>
        <w:t xml:space="preserve"> under MiFID II, the Packaged Retail and Insurance-Based Investment Products (PRIIPs) Regul</w:t>
      </w:r>
      <w:r>
        <w:rPr>
          <w:rFonts w:ascii="Times New Roman" w:hAnsi="Times New Roman" w:cs="Times New Roman"/>
          <w:noProof/>
        </w:rPr>
        <w:t>ation and the Insurance Distribution Directive (IDD) should foster retail investors' confidence in capital markets. But some respondents stated that the costs and burdens for providing investment services have dramatically increased as a result of new regu</w:t>
      </w:r>
      <w:r>
        <w:rPr>
          <w:rFonts w:ascii="Times New Roman" w:hAnsi="Times New Roman" w:cs="Times New Roman"/>
          <w:noProof/>
        </w:rPr>
        <w:t>lations and that they may constitute a barrier to selling products to retail investors. This is primarily affecting the sale of simple products, as shares and bonds are more and more submitted to stricter rules. PRIIPs and MiFID II product governance regim</w:t>
      </w:r>
      <w:r>
        <w:rPr>
          <w:rFonts w:ascii="Times New Roman" w:hAnsi="Times New Roman" w:cs="Times New Roman"/>
          <w:noProof/>
        </w:rPr>
        <w:t>es will reduce the availability of shares and simple bonds to retail investors.</w:t>
      </w:r>
    </w:p>
    <w:p w:rsidR="009F3833" w:rsidRDefault="00EF0106">
      <w:pPr>
        <w:jc w:val="both"/>
        <w:rPr>
          <w:rFonts w:ascii="Times New Roman" w:hAnsi="Times New Roman" w:cs="Times New Roman"/>
          <w:noProof/>
        </w:rPr>
      </w:pPr>
      <w:r>
        <w:rPr>
          <w:rFonts w:ascii="Times New Roman" w:hAnsi="Times New Roman" w:cs="Times New Roman"/>
          <w:noProof/>
        </w:rPr>
        <w:t xml:space="preserve">A number of respondents called for equal standards of </w:t>
      </w:r>
      <w:r>
        <w:rPr>
          <w:rFonts w:ascii="Times New Roman" w:hAnsi="Times New Roman" w:cs="Times New Roman"/>
          <w:b/>
          <w:noProof/>
        </w:rPr>
        <w:t>investor protection</w:t>
      </w:r>
      <w:r>
        <w:rPr>
          <w:rFonts w:ascii="Times New Roman" w:hAnsi="Times New Roman" w:cs="Times New Roman"/>
          <w:noProof/>
        </w:rPr>
        <w:t xml:space="preserve"> at the point of sale for substitutable products. They argued that now that there are coherent disclosu</w:t>
      </w:r>
      <w:r>
        <w:rPr>
          <w:rFonts w:ascii="Times New Roman" w:hAnsi="Times New Roman" w:cs="Times New Roman"/>
          <w:noProof/>
        </w:rPr>
        <w:t>re requirements (PRIIPS), there is a need for a level-playing field for investor protection, distribution and advice, as well as a code of conduct rules. In the short term, they proposed that equal or at least equivalent standards be introduced in the pend</w:t>
      </w:r>
      <w:r>
        <w:rPr>
          <w:rFonts w:ascii="Times New Roman" w:hAnsi="Times New Roman" w:cs="Times New Roman"/>
          <w:noProof/>
        </w:rPr>
        <w:t>ing Level 2 work on the IDD implementation. There was also a call for the Commission to investigate the obstacles to a level-playing field as part of its retail distribution review and align the requirements of MiFID and IDD in the long run in order to cre</w:t>
      </w:r>
      <w:r>
        <w:rPr>
          <w:rFonts w:ascii="Times New Roman" w:hAnsi="Times New Roman" w:cs="Times New Roman"/>
          <w:noProof/>
        </w:rPr>
        <w:t>ate a level-playing field at the point of sale.</w:t>
      </w:r>
    </w:p>
    <w:p w:rsidR="009F3833" w:rsidRDefault="00EF0106">
      <w:pPr>
        <w:jc w:val="both"/>
        <w:rPr>
          <w:rFonts w:ascii="Times New Roman" w:hAnsi="Times New Roman" w:cs="Times New Roman"/>
          <w:noProof/>
        </w:rPr>
      </w:pPr>
      <w:r>
        <w:rPr>
          <w:rFonts w:ascii="Times New Roman" w:hAnsi="Times New Roman" w:cs="Times New Roman"/>
          <w:noProof/>
        </w:rPr>
        <w:t xml:space="preserve">Some respondents stated that the </w:t>
      </w:r>
      <w:r>
        <w:rPr>
          <w:rFonts w:ascii="Times New Roman" w:hAnsi="Times New Roman" w:cs="Times New Roman"/>
          <w:b/>
          <w:noProof/>
        </w:rPr>
        <w:t>concept of retail investors</w:t>
      </w:r>
      <w:r>
        <w:rPr>
          <w:rFonts w:ascii="Times New Roman" w:hAnsi="Times New Roman" w:cs="Times New Roman"/>
          <w:noProof/>
        </w:rPr>
        <w:t xml:space="preserve"> itself requires some discrimination beyond the MIFID definitions. Important distinction should be made between different types of retail investors and between retail and professional investors. Currently, MIFID does not make any difference between average</w:t>
      </w:r>
      <w:r>
        <w:rPr>
          <w:rFonts w:ascii="Times New Roman" w:hAnsi="Times New Roman" w:cs="Times New Roman"/>
          <w:noProof/>
        </w:rPr>
        <w:t xml:space="preserve"> investors and high net worth clients. Those seen by the industry as professional investors may not always meet the MiFID conditions for this designation.</w:t>
      </w:r>
    </w:p>
    <w:p w:rsidR="009F3833" w:rsidRDefault="00EF0106">
      <w:pPr>
        <w:jc w:val="both"/>
        <w:rPr>
          <w:rFonts w:ascii="Times New Roman" w:hAnsi="Times New Roman" w:cs="Times New Roman"/>
          <w:noProof/>
        </w:rPr>
      </w:pPr>
      <w:r>
        <w:rPr>
          <w:rFonts w:ascii="Times New Roman" w:hAnsi="Times New Roman" w:cs="Times New Roman"/>
          <w:noProof/>
        </w:rPr>
        <w:t xml:space="preserve">There were some arguments that too much </w:t>
      </w:r>
      <w:r>
        <w:rPr>
          <w:rFonts w:ascii="Times New Roman" w:hAnsi="Times New Roman" w:cs="Times New Roman"/>
          <w:b/>
          <w:noProof/>
        </w:rPr>
        <w:t>information</w:t>
      </w:r>
      <w:r>
        <w:rPr>
          <w:rFonts w:ascii="Times New Roman" w:hAnsi="Times New Roman" w:cs="Times New Roman"/>
          <w:noProof/>
        </w:rPr>
        <w:t xml:space="preserve"> is equal to no information. At client level, ther</w:t>
      </w:r>
      <w:r>
        <w:rPr>
          <w:rFonts w:ascii="Times New Roman" w:hAnsi="Times New Roman" w:cs="Times New Roman"/>
          <w:noProof/>
        </w:rPr>
        <w:t>e is so much information that it is no longer considered. For the most basic retail investors, identified either by investable assets or knowledge, basic information is required and needed (e.g., one-page information with simple figures, easily updatable a</w:t>
      </w:r>
      <w:r>
        <w:rPr>
          <w:rFonts w:ascii="Times New Roman" w:hAnsi="Times New Roman" w:cs="Times New Roman"/>
          <w:noProof/>
        </w:rPr>
        <w:t xml:space="preserve">nd in internet-based formats). </w:t>
      </w:r>
    </w:p>
    <w:p w:rsidR="009F3833" w:rsidRDefault="00EF0106">
      <w:pPr>
        <w:jc w:val="both"/>
        <w:rPr>
          <w:rFonts w:ascii="Times New Roman" w:hAnsi="Times New Roman" w:cs="Times New Roman"/>
          <w:noProof/>
        </w:rPr>
      </w:pPr>
      <w:r>
        <w:rPr>
          <w:rFonts w:ascii="Times New Roman" w:hAnsi="Times New Roman" w:cs="Times New Roman"/>
          <w:noProof/>
        </w:rPr>
        <w:t xml:space="preserve">The need to properly assess the </w:t>
      </w:r>
      <w:r>
        <w:rPr>
          <w:rFonts w:ascii="Times New Roman" w:hAnsi="Times New Roman" w:cs="Times New Roman"/>
          <w:b/>
          <w:noProof/>
        </w:rPr>
        <w:t>impact of costs on performance</w:t>
      </w:r>
      <w:r>
        <w:rPr>
          <w:rFonts w:ascii="Times New Roman" w:hAnsi="Times New Roman" w:cs="Times New Roman"/>
          <w:noProof/>
        </w:rPr>
        <w:t xml:space="preserve"> was highlighted by a number of respondents. Respondents encouraged the Commission to set the right parameters for the ongoing work on the transparency of fees an</w:t>
      </w:r>
      <w:r>
        <w:rPr>
          <w:rFonts w:ascii="Times New Roman" w:hAnsi="Times New Roman" w:cs="Times New Roman"/>
          <w:noProof/>
        </w:rPr>
        <w:t>d net performance of long-term retail and pension products. In particular, cost figures comprising implicit costs must be treated with due caution. A number of respondents believed that supervisory practices and convergence should be upgraded considerably.</w:t>
      </w:r>
      <w:r>
        <w:rPr>
          <w:rFonts w:ascii="Times New Roman" w:hAnsi="Times New Roman" w:cs="Times New Roman"/>
          <w:noProof/>
        </w:rPr>
        <w:t xml:space="preserve"> The European Supervisory Authorities (ESAs) should be given a clear mandate for delivering action on transparency and forcing the National Competent Authorities (NCAs) to implement best practices. Some advocated that ESMA, with the help of the NCAs, shoul</w:t>
      </w:r>
      <w:r>
        <w:rPr>
          <w:rFonts w:ascii="Times New Roman" w:hAnsi="Times New Roman" w:cs="Times New Roman"/>
          <w:noProof/>
        </w:rPr>
        <w:t>d be encouraged to produce and standardise the templates for simplified Investment Policy Statement (IPS) costs and charges, notably across MiFID and PRIIPS.</w:t>
      </w:r>
    </w:p>
    <w:p w:rsidR="009F3833" w:rsidRDefault="00EF0106">
      <w:pPr>
        <w:jc w:val="both"/>
        <w:rPr>
          <w:rFonts w:ascii="Times New Roman" w:hAnsi="Times New Roman" w:cs="Times New Roman"/>
          <w:noProof/>
        </w:rPr>
      </w:pPr>
      <w:r>
        <w:rPr>
          <w:rFonts w:ascii="Times New Roman" w:hAnsi="Times New Roman" w:cs="Times New Roman"/>
          <w:noProof/>
        </w:rPr>
        <w:t xml:space="preserve">Many respondents commented on the lack of good </w:t>
      </w:r>
      <w:r>
        <w:rPr>
          <w:rFonts w:ascii="Times New Roman" w:hAnsi="Times New Roman" w:cs="Times New Roman"/>
          <w:b/>
          <w:noProof/>
        </w:rPr>
        <w:t>advice for retail investors</w:t>
      </w:r>
      <w:r>
        <w:rPr>
          <w:rFonts w:ascii="Times New Roman" w:hAnsi="Times New Roman" w:cs="Times New Roman"/>
          <w:noProof/>
        </w:rPr>
        <w:t xml:space="preserve"> in the EU, stressing th</w:t>
      </w:r>
      <w:r>
        <w:rPr>
          <w:rFonts w:ascii="Times New Roman" w:hAnsi="Times New Roman" w:cs="Times New Roman"/>
          <w:noProof/>
        </w:rPr>
        <w:t>at the low quality of advice has been documented widely. One major reason for this is that regulation of investment advice in banks has become tighter over the last decade. As a consequence, banks frequently retreat from providing investment advice, especi</w:t>
      </w:r>
      <w:r>
        <w:rPr>
          <w:rFonts w:ascii="Times New Roman" w:hAnsi="Times New Roman" w:cs="Times New Roman"/>
          <w:noProof/>
        </w:rPr>
        <w:t>ally on shares. Banks are also increasingly confronted with uncertainty regarding the definition of advisory and non-advisory services when selling financial instruments. It is unclear which services of financial institutions are considered to be an active</w:t>
      </w:r>
      <w:r>
        <w:rPr>
          <w:rFonts w:ascii="Times New Roman" w:hAnsi="Times New Roman" w:cs="Times New Roman"/>
          <w:noProof/>
        </w:rPr>
        <w:t xml:space="preserve"> distribution to clients and which services merely comply (in a passive way) with clients' wishes without influencing their opinion prior to making a decision. Moreover, there is a regulatory uncertainty around the scope of (i) what may (or may not) consti</w:t>
      </w:r>
      <w:r>
        <w:rPr>
          <w:rFonts w:ascii="Times New Roman" w:hAnsi="Times New Roman" w:cs="Times New Roman"/>
          <w:noProof/>
        </w:rPr>
        <w:t>tute a ‘personal recommendation’, and (ii) the related suitability requirements where investment firms seek to offer a service which falls between execution-only and fully regulated investment advice.</w:t>
      </w:r>
    </w:p>
    <w:p w:rsidR="009F3833" w:rsidRDefault="00EF0106">
      <w:pPr>
        <w:jc w:val="both"/>
        <w:rPr>
          <w:rFonts w:ascii="Times New Roman" w:hAnsi="Times New Roman" w:cs="Times New Roman"/>
          <w:b/>
          <w:i/>
          <w:noProof/>
          <w:u w:val="single"/>
        </w:rPr>
      </w:pPr>
      <w:r>
        <w:rPr>
          <w:rFonts w:ascii="Times New Roman" w:hAnsi="Times New Roman" w:cs="Times New Roman"/>
          <w:b/>
          <w:i/>
          <w:noProof/>
          <w:u w:val="single"/>
        </w:rPr>
        <w:t>New focus areas</w:t>
      </w:r>
    </w:p>
    <w:p w:rsidR="009F3833" w:rsidRDefault="00EF0106">
      <w:pPr>
        <w:spacing w:before="120" w:after="120"/>
        <w:jc w:val="both"/>
        <w:rPr>
          <w:rFonts w:ascii="Times New Roman" w:hAnsi="Times New Roman" w:cs="Times New Roman"/>
          <w:noProof/>
        </w:rPr>
      </w:pPr>
      <w:r>
        <w:rPr>
          <w:rFonts w:ascii="Times New Roman" w:hAnsi="Times New Roman" w:cs="Times New Roman"/>
          <w:noProof/>
        </w:rPr>
        <w:t>For majority of respondents, the CMU sh</w:t>
      </w:r>
      <w:r>
        <w:rPr>
          <w:rFonts w:ascii="Times New Roman" w:hAnsi="Times New Roman" w:cs="Times New Roman"/>
          <w:noProof/>
        </w:rPr>
        <w:t xml:space="preserve">ould advocate initiatives aimed at giving the wider public a greater understanding of the function of capital markets within the financial system, as well as of the benefits and attractive economics which can be achieved through non-bank financing. </w:t>
      </w:r>
      <w:r>
        <w:rPr>
          <w:rFonts w:ascii="Times New Roman" w:hAnsi="Times New Roman" w:cs="Times New Roman"/>
          <w:b/>
          <w:noProof/>
        </w:rPr>
        <w:t>Financi</w:t>
      </w:r>
      <w:r>
        <w:rPr>
          <w:rFonts w:ascii="Times New Roman" w:hAnsi="Times New Roman" w:cs="Times New Roman"/>
          <w:b/>
          <w:noProof/>
        </w:rPr>
        <w:t>al education</w:t>
      </w:r>
      <w:r>
        <w:rPr>
          <w:rFonts w:ascii="Times New Roman" w:hAnsi="Times New Roman" w:cs="Times New Roman"/>
          <w:noProof/>
        </w:rPr>
        <w:t xml:space="preserve"> with regard to the different market actors and their roles, as well as to the different financial products with their risk profiles, is essential in order to bring retail investors into these markets. For example, if future pensioners would ge</w:t>
      </w:r>
      <w:r>
        <w:rPr>
          <w:rFonts w:ascii="Times New Roman" w:hAnsi="Times New Roman" w:cs="Times New Roman"/>
          <w:noProof/>
        </w:rPr>
        <w:t>t at an early stage an estimation of the actual state pension they would receive at their retirement date, they would be more inclined to save through workplace or complementary individual pension products, investing a larger portion of their savings in th</w:t>
      </w:r>
      <w:r>
        <w:rPr>
          <w:rFonts w:ascii="Times New Roman" w:hAnsi="Times New Roman" w:cs="Times New Roman"/>
          <w:noProof/>
        </w:rPr>
        <w:t>e financing of the real economy. Nevertheless, some consumer organisations argued that financial education has an extremely limited impact.</w:t>
      </w:r>
    </w:p>
    <w:p w:rsidR="009F3833" w:rsidRDefault="00EF0106">
      <w:pPr>
        <w:spacing w:before="120" w:after="120"/>
        <w:jc w:val="both"/>
        <w:rPr>
          <w:rFonts w:ascii="Times New Roman" w:hAnsi="Times New Roman" w:cs="Times New Roman"/>
          <w:noProof/>
        </w:rPr>
      </w:pPr>
      <w:r>
        <w:rPr>
          <w:rFonts w:ascii="Times New Roman" w:hAnsi="Times New Roman" w:cs="Times New Roman"/>
          <w:noProof/>
          <w:szCs w:val="20"/>
        </w:rPr>
        <w:t xml:space="preserve">Some respondents referred to the need to promote </w:t>
      </w:r>
      <w:r>
        <w:rPr>
          <w:rFonts w:ascii="Times New Roman" w:hAnsi="Times New Roman" w:cs="Times New Roman"/>
          <w:b/>
          <w:noProof/>
          <w:szCs w:val="20"/>
        </w:rPr>
        <w:t>employee share ownership schemes</w:t>
      </w:r>
      <w:r>
        <w:rPr>
          <w:rFonts w:ascii="Times New Roman" w:hAnsi="Times New Roman" w:cs="Times New Roman"/>
          <w:noProof/>
          <w:szCs w:val="20"/>
        </w:rPr>
        <w:t>.</w:t>
      </w:r>
    </w:p>
    <w:p w:rsidR="009F3833" w:rsidRDefault="00EF0106">
      <w:pPr>
        <w:contextualSpacing/>
        <w:jc w:val="both"/>
        <w:rPr>
          <w:rFonts w:ascii="Times New Roman" w:hAnsi="Times New Roman" w:cs="Times New Roman"/>
          <w:noProof/>
          <w:szCs w:val="20"/>
        </w:rPr>
      </w:pPr>
      <w:r>
        <w:rPr>
          <w:rFonts w:ascii="Times New Roman" w:hAnsi="Times New Roman" w:cs="Times New Roman"/>
          <w:noProof/>
        </w:rPr>
        <w:t>Several respondents called for pr</w:t>
      </w:r>
      <w:r>
        <w:rPr>
          <w:rFonts w:ascii="Times New Roman" w:hAnsi="Times New Roman" w:cs="Times New Roman"/>
          <w:noProof/>
        </w:rPr>
        <w:t xml:space="preserve">omoting an active role for the state in individual savings by </w:t>
      </w:r>
      <w:r>
        <w:rPr>
          <w:rFonts w:ascii="Times New Roman" w:hAnsi="Times New Roman" w:cs="Times New Roman"/>
          <w:b/>
          <w:noProof/>
        </w:rPr>
        <w:t>fiscal incentives</w:t>
      </w:r>
      <w:r>
        <w:rPr>
          <w:rFonts w:ascii="Times New Roman" w:hAnsi="Times New Roman" w:cs="Times New Roman"/>
          <w:noProof/>
        </w:rPr>
        <w:t xml:space="preserve">. They argued that in many countries fiscal incentives through the taxation system underpin the basis for mass savings through investment products. Some respondents were of the </w:t>
      </w:r>
      <w:r>
        <w:rPr>
          <w:rFonts w:ascii="Times New Roman" w:hAnsi="Times New Roman" w:cs="Times New Roman"/>
          <w:noProof/>
        </w:rPr>
        <w:t xml:space="preserve">opinion that tax incentives represent the most effective driver for fostering retail investment. Even if tax remains a national competence, this shows the need for coordination at the EU level. </w:t>
      </w:r>
    </w:p>
    <w:p w:rsidR="009F3833" w:rsidRDefault="009F3833">
      <w:pPr>
        <w:contextualSpacing/>
        <w:jc w:val="both"/>
        <w:rPr>
          <w:rFonts w:ascii="Times New Roman" w:hAnsi="Times New Roman" w:cs="Times New Roman"/>
          <w:noProof/>
          <w:szCs w:val="20"/>
        </w:rPr>
      </w:pPr>
    </w:p>
    <w:p w:rsidR="009F3833" w:rsidRDefault="00EF0106">
      <w:pPr>
        <w:spacing w:before="120" w:after="120"/>
        <w:jc w:val="both"/>
        <w:rPr>
          <w:rFonts w:ascii="Times New Roman" w:hAnsi="Times New Roman" w:cs="Times New Roman"/>
          <w:noProof/>
        </w:rPr>
      </w:pPr>
      <w:r>
        <w:rPr>
          <w:rFonts w:ascii="Times New Roman" w:hAnsi="Times New Roman" w:cs="Times New Roman"/>
          <w:noProof/>
        </w:rPr>
        <w:t xml:space="preserve">Some respondents referred to the need for implementation of </w:t>
      </w:r>
      <w:r>
        <w:rPr>
          <w:rFonts w:ascii="Times New Roman" w:hAnsi="Times New Roman" w:cs="Times New Roman"/>
          <w:noProof/>
        </w:rPr>
        <w:t xml:space="preserve">solid and secure </w:t>
      </w:r>
      <w:r>
        <w:rPr>
          <w:rFonts w:ascii="Times New Roman" w:hAnsi="Times New Roman" w:cs="Times New Roman"/>
          <w:b/>
          <w:noProof/>
        </w:rPr>
        <w:t>investor compensation schemes.</w:t>
      </w:r>
    </w:p>
    <w:p w:rsidR="009F3833" w:rsidRDefault="00EF0106">
      <w:pPr>
        <w:jc w:val="both"/>
        <w:rPr>
          <w:rFonts w:ascii="Times New Roman" w:hAnsi="Times New Roman" w:cs="Times New Roman"/>
          <w:noProof/>
          <w:szCs w:val="20"/>
          <w:lang w:eastAsia="en-GB"/>
        </w:rPr>
      </w:pPr>
      <w:r>
        <w:rPr>
          <w:rFonts w:ascii="Times New Roman" w:hAnsi="Times New Roman" w:cs="Times New Roman"/>
          <w:noProof/>
          <w:szCs w:val="20"/>
          <w:lang w:eastAsia="en-GB"/>
        </w:rPr>
        <w:t xml:space="preserve">In the area of </w:t>
      </w:r>
      <w:r>
        <w:rPr>
          <w:rFonts w:ascii="Times New Roman" w:hAnsi="Times New Roman" w:cs="Times New Roman"/>
          <w:b/>
          <w:noProof/>
          <w:szCs w:val="20"/>
          <w:lang w:eastAsia="en-GB"/>
        </w:rPr>
        <w:t>FinTech</w:t>
      </w:r>
      <w:r>
        <w:rPr>
          <w:rFonts w:ascii="Times New Roman" w:hAnsi="Times New Roman" w:cs="Times New Roman"/>
          <w:noProof/>
          <w:szCs w:val="20"/>
          <w:lang w:eastAsia="en-GB"/>
        </w:rPr>
        <w:t>, respondents underlined that technology and digitalisation have already shown they have a role to play and can overcome some of the barriers and current gaps in retail financial service</w:t>
      </w:r>
      <w:r>
        <w:rPr>
          <w:rFonts w:ascii="Times New Roman" w:hAnsi="Times New Roman" w:cs="Times New Roman"/>
          <w:noProof/>
          <w:szCs w:val="20"/>
          <w:lang w:eastAsia="en-GB"/>
        </w:rPr>
        <w:t xml:space="preserve">s. FinTech primarily benefits retail investors by offering a wider choice of services at potentially lower costs. The </w:t>
      </w:r>
      <w:r>
        <w:rPr>
          <w:rFonts w:ascii="Times New Roman" w:hAnsi="Times New Roman" w:cs="Times New Roman"/>
          <w:noProof/>
          <w:szCs w:val="20"/>
        </w:rPr>
        <w:t xml:space="preserve">majority of respondents called for a level-playing field between traditional actors and FinTech companies. Regulatory requirements should </w:t>
      </w:r>
      <w:r>
        <w:rPr>
          <w:rFonts w:ascii="Times New Roman" w:hAnsi="Times New Roman" w:cs="Times New Roman"/>
          <w:noProof/>
          <w:szCs w:val="20"/>
        </w:rPr>
        <w:t>be based on the type of activity and not the status of a company</w:t>
      </w:r>
      <w:r>
        <w:rPr>
          <w:rFonts w:ascii="Times New Roman" w:hAnsi="Times New Roman" w:cs="Times New Roman"/>
          <w:i/>
          <w:noProof/>
          <w:szCs w:val="20"/>
        </w:rPr>
        <w:t>:</w:t>
      </w:r>
      <w:r>
        <w:rPr>
          <w:rFonts w:ascii="Times New Roman" w:hAnsi="Times New Roman" w:cs="Times New Roman"/>
          <w:i/>
          <w:noProof/>
          <w:szCs w:val="20"/>
          <w:lang w:eastAsia="en-GB"/>
        </w:rPr>
        <w:t xml:space="preserve"> </w:t>
      </w:r>
      <w:r>
        <w:rPr>
          <w:rFonts w:ascii="Times New Roman" w:hAnsi="Times New Roman" w:cs="Times New Roman"/>
          <w:noProof/>
          <w:szCs w:val="20"/>
          <w:lang w:eastAsia="en-GB"/>
        </w:rPr>
        <w:t>the same business-same risk-same rules principle should apply</w:t>
      </w:r>
      <w:r>
        <w:rPr>
          <w:rFonts w:ascii="Times New Roman" w:hAnsi="Times New Roman" w:cs="Times New Roman"/>
          <w:i/>
          <w:noProof/>
          <w:szCs w:val="20"/>
          <w:lang w:eastAsia="en-GB"/>
        </w:rPr>
        <w:t xml:space="preserve">. </w:t>
      </w:r>
      <w:r>
        <w:rPr>
          <w:rFonts w:ascii="Times New Roman" w:hAnsi="Times New Roman" w:cs="Times New Roman"/>
          <w:noProof/>
          <w:szCs w:val="20"/>
          <w:lang w:eastAsia="en-GB"/>
        </w:rPr>
        <w:t>Some respondents mentioned that a level-playing field should be ensured between the insurance and the banking sector to avoid regulatory arbitrage. Many of them believed that the application of FinTech innovations must ensure appropriate investor and consu</w:t>
      </w:r>
      <w:r>
        <w:rPr>
          <w:rFonts w:ascii="Times New Roman" w:hAnsi="Times New Roman" w:cs="Times New Roman"/>
          <w:noProof/>
          <w:szCs w:val="20"/>
          <w:lang w:eastAsia="en-GB"/>
        </w:rPr>
        <w:t xml:space="preserve">mer confidence and protection. </w:t>
      </w:r>
    </w:p>
    <w:p w:rsidR="009F3833" w:rsidRDefault="00EF0106">
      <w:pPr>
        <w:jc w:val="both"/>
        <w:rPr>
          <w:rFonts w:ascii="Times New Roman" w:hAnsi="Times New Roman" w:cs="Times New Roman"/>
          <w:noProof/>
          <w:szCs w:val="20"/>
        </w:rPr>
      </w:pPr>
      <w:r>
        <w:rPr>
          <w:rFonts w:ascii="Times New Roman" w:hAnsi="Times New Roman" w:cs="Times New Roman"/>
          <w:noProof/>
          <w:szCs w:val="20"/>
        </w:rPr>
        <w:t xml:space="preserve">There was an overwhelming support for the creation of </w:t>
      </w:r>
      <w:r>
        <w:rPr>
          <w:rFonts w:ascii="Times New Roman" w:hAnsi="Times New Roman" w:cs="Times New Roman"/>
          <w:b/>
          <w:noProof/>
          <w:szCs w:val="20"/>
        </w:rPr>
        <w:t>regulatory sandboxes</w:t>
      </w:r>
      <w:r>
        <w:rPr>
          <w:rFonts w:ascii="Times New Roman" w:hAnsi="Times New Roman" w:cs="Times New Roman"/>
          <w:noProof/>
          <w:szCs w:val="20"/>
        </w:rPr>
        <w:t xml:space="preserve">, ideally with harmonised rules at EU level. Such sandboxes would allow </w:t>
      </w:r>
      <w:r>
        <w:rPr>
          <w:rFonts w:ascii="Times New Roman" w:hAnsi="Times New Roman" w:cs="Times New Roman"/>
          <w:noProof/>
          <w:szCs w:val="20"/>
          <w:lang w:eastAsia="en-GB"/>
        </w:rPr>
        <w:t xml:space="preserve">providers, customers and regulators to test innovations in a safe space. </w:t>
      </w:r>
      <w:r>
        <w:rPr>
          <w:rFonts w:ascii="Times New Roman" w:hAnsi="Times New Roman" w:cs="Times New Roman"/>
          <w:noProof/>
          <w:szCs w:val="20"/>
        </w:rPr>
        <w:t>Finan</w:t>
      </w:r>
      <w:r>
        <w:rPr>
          <w:rFonts w:ascii="Times New Roman" w:hAnsi="Times New Roman" w:cs="Times New Roman"/>
          <w:noProof/>
          <w:szCs w:val="20"/>
        </w:rPr>
        <w:t>cial stability risks should be an integral part of the testing.</w:t>
      </w:r>
    </w:p>
    <w:p w:rsidR="009F3833" w:rsidRDefault="00EF0106">
      <w:pPr>
        <w:jc w:val="both"/>
        <w:rPr>
          <w:rFonts w:ascii="Times New Roman" w:hAnsi="Times New Roman" w:cs="Times New Roman"/>
          <w:noProof/>
          <w:szCs w:val="20"/>
        </w:rPr>
      </w:pPr>
      <w:r>
        <w:rPr>
          <w:rFonts w:ascii="Times New Roman" w:hAnsi="Times New Roman" w:cs="Times New Roman"/>
          <w:noProof/>
          <w:szCs w:val="20"/>
        </w:rPr>
        <w:t xml:space="preserve">Several respondents supported the development of electronic / online forms of advice, arguing that such </w:t>
      </w:r>
      <w:r>
        <w:rPr>
          <w:rFonts w:ascii="Times New Roman" w:hAnsi="Times New Roman" w:cs="Times New Roman"/>
          <w:b/>
          <w:noProof/>
          <w:szCs w:val="20"/>
        </w:rPr>
        <w:t>robo advice</w:t>
      </w:r>
      <w:r>
        <w:rPr>
          <w:rFonts w:ascii="Times New Roman" w:hAnsi="Times New Roman" w:cs="Times New Roman"/>
          <w:noProof/>
          <w:szCs w:val="20"/>
        </w:rPr>
        <w:t xml:space="preserve"> has the potential to widen the offering of high-quality advice to less wealt</w:t>
      </w:r>
      <w:r>
        <w:rPr>
          <w:rFonts w:ascii="Times New Roman" w:hAnsi="Times New Roman" w:cs="Times New Roman"/>
          <w:noProof/>
          <w:szCs w:val="20"/>
        </w:rPr>
        <w:t>hy and experienced consumers. The main request from the robo advisers that replied to the consultation was to clarify the regulatory boundaries as there is a substantial level of uncertainty as to what constitutes an investment advice.</w:t>
      </w:r>
    </w:p>
    <w:p w:rsidR="009F3833" w:rsidRDefault="00EF0106">
      <w:pPr>
        <w:jc w:val="both"/>
        <w:rPr>
          <w:rFonts w:ascii="Times New Roman" w:hAnsi="Times New Roman" w:cs="Times New Roman"/>
          <w:noProof/>
          <w:szCs w:val="20"/>
        </w:rPr>
      </w:pPr>
      <w:r>
        <w:rPr>
          <w:rFonts w:ascii="Times New Roman" w:hAnsi="Times New Roman" w:cs="Times New Roman"/>
          <w:noProof/>
          <w:szCs w:val="20"/>
        </w:rPr>
        <w:t>Many respondents saw</w:t>
      </w:r>
      <w:r>
        <w:rPr>
          <w:rFonts w:ascii="Times New Roman" w:hAnsi="Times New Roman" w:cs="Times New Roman"/>
          <w:noProof/>
          <w:szCs w:val="20"/>
        </w:rPr>
        <w:t xml:space="preserve"> the need for the creation of a pan-European system for </w:t>
      </w:r>
      <w:r>
        <w:rPr>
          <w:rFonts w:ascii="Times New Roman" w:hAnsi="Times New Roman" w:cs="Times New Roman"/>
          <w:b/>
          <w:noProof/>
          <w:szCs w:val="20"/>
        </w:rPr>
        <w:t>electronic identity of retail investors</w:t>
      </w:r>
      <w:r>
        <w:rPr>
          <w:rFonts w:ascii="Times New Roman" w:hAnsi="Times New Roman" w:cs="Times New Roman"/>
          <w:noProof/>
          <w:szCs w:val="20"/>
        </w:rPr>
        <w:t xml:space="preserve"> ("digital passport") in order to allow consumers to open accounts or purchase investment services with more providers, as well as individually manage their digi</w:t>
      </w:r>
      <w:r>
        <w:rPr>
          <w:rFonts w:ascii="Times New Roman" w:hAnsi="Times New Roman" w:cs="Times New Roman"/>
          <w:noProof/>
          <w:szCs w:val="20"/>
        </w:rPr>
        <w:t xml:space="preserve">tal accounts in a consolidated manner. This would also incentivise a real cross-border supply of financial products. </w:t>
      </w:r>
    </w:p>
    <w:p w:rsidR="009F3833" w:rsidRDefault="00EF0106">
      <w:pPr>
        <w:jc w:val="both"/>
        <w:rPr>
          <w:rFonts w:ascii="Times New Roman" w:hAnsi="Times New Roman" w:cs="Times New Roman"/>
          <w:noProof/>
          <w:szCs w:val="20"/>
        </w:rPr>
      </w:pPr>
      <w:r>
        <w:rPr>
          <w:rFonts w:ascii="Times New Roman" w:hAnsi="Times New Roman" w:cs="Times New Roman"/>
          <w:noProof/>
          <w:szCs w:val="20"/>
        </w:rPr>
        <w:t xml:space="preserve">In addition, some respondents proposed that the Commission develop a </w:t>
      </w:r>
      <w:r>
        <w:rPr>
          <w:rFonts w:ascii="Times New Roman" w:hAnsi="Times New Roman" w:cs="Times New Roman"/>
          <w:b/>
          <w:noProof/>
          <w:szCs w:val="20"/>
        </w:rPr>
        <w:t>central data platform</w:t>
      </w:r>
      <w:r>
        <w:rPr>
          <w:rFonts w:ascii="Times New Roman" w:hAnsi="Times New Roman" w:cs="Times New Roman"/>
          <w:noProof/>
          <w:szCs w:val="20"/>
        </w:rPr>
        <w:t xml:space="preserve"> to provide information to retail investors on i</w:t>
      </w:r>
      <w:r>
        <w:rPr>
          <w:rFonts w:ascii="Times New Roman" w:hAnsi="Times New Roman" w:cs="Times New Roman"/>
          <w:noProof/>
          <w:szCs w:val="20"/>
        </w:rPr>
        <w:t>nvestment products available to them in the EU. The data platform would help retail investors to grasp quickly the main features of retail funds and ways to access them. This data platform could be operated or supervised by the ESAs.</w:t>
      </w:r>
    </w:p>
    <w:p w:rsidR="009F3833" w:rsidRDefault="00EF0106">
      <w:pPr>
        <w:jc w:val="both"/>
        <w:rPr>
          <w:rFonts w:ascii="Times New Roman" w:hAnsi="Times New Roman" w:cs="Times New Roman"/>
          <w:noProof/>
          <w:szCs w:val="20"/>
        </w:rPr>
      </w:pPr>
      <w:r>
        <w:rPr>
          <w:rFonts w:ascii="Times New Roman" w:hAnsi="Times New Roman" w:cs="Times New Roman"/>
          <w:noProof/>
          <w:szCs w:val="20"/>
        </w:rPr>
        <w:t>There was also some su</w:t>
      </w:r>
      <w:r>
        <w:rPr>
          <w:rFonts w:ascii="Times New Roman" w:hAnsi="Times New Roman" w:cs="Times New Roman"/>
          <w:noProof/>
          <w:szCs w:val="20"/>
        </w:rPr>
        <w:t xml:space="preserve">pport to </w:t>
      </w:r>
      <w:r>
        <w:rPr>
          <w:rFonts w:ascii="Times New Roman" w:hAnsi="Times New Roman" w:cs="Times New Roman"/>
          <w:b/>
          <w:noProof/>
          <w:szCs w:val="20"/>
        </w:rPr>
        <w:t>digitalise record-keeping</w:t>
      </w:r>
      <w:r>
        <w:rPr>
          <w:rFonts w:ascii="Times New Roman" w:hAnsi="Times New Roman" w:cs="Times New Roman"/>
          <w:noProof/>
          <w:szCs w:val="20"/>
        </w:rPr>
        <w:t xml:space="preserve">. Some respondents stated that all regulatory provisions pertaining to record-keeping (e.g., MiFID) should provide for the use of new technologies as tools to create, acquire and store documents (i.e., digital signature). </w:t>
      </w:r>
      <w:r>
        <w:rPr>
          <w:rFonts w:ascii="Times New Roman" w:hAnsi="Times New Roman" w:cs="Times New Roman"/>
          <w:noProof/>
          <w:szCs w:val="20"/>
        </w:rPr>
        <w:t>The less paper-based exchanges of information are, the more integrated and efficient capital markets may become.</w:t>
      </w:r>
    </w:p>
    <w:p w:rsidR="009F3833" w:rsidRDefault="009F3833">
      <w:pPr>
        <w:rPr>
          <w:rFonts w:ascii="Times New Roman" w:hAnsi="Times New Roman" w:cs="Times New Roman"/>
          <w:noProof/>
        </w:rPr>
      </w:pPr>
      <w:bookmarkStart w:id="15" w:name="_Toc481688345"/>
      <w:bookmarkStart w:id="16" w:name="_Toc481688407"/>
    </w:p>
    <w:p w:rsidR="009F3833" w:rsidRDefault="00EF0106">
      <w:pPr>
        <w:pStyle w:val="Heading2"/>
        <w:pBdr>
          <w:top w:val="single" w:sz="4" w:space="1" w:color="auto"/>
          <w:left w:val="single" w:sz="4" w:space="4" w:color="auto"/>
          <w:bottom w:val="single" w:sz="4" w:space="1" w:color="auto"/>
          <w:right w:val="single" w:sz="4" w:space="4" w:color="auto"/>
        </w:pBdr>
        <w:spacing w:before="0" w:after="120"/>
        <w:rPr>
          <w:rStyle w:val="Hyperlink"/>
          <w:rFonts w:ascii="Times New Roman" w:hAnsi="Times New Roman" w:cs="Times New Roman"/>
        </w:rPr>
      </w:pPr>
      <w:r>
        <w:rPr>
          <w:rStyle w:val="Hyperlink"/>
          <w:rFonts w:ascii="Times New Roman" w:hAnsi="Times New Roman" w:cs="Times New Roman"/>
        </w:rPr>
        <w:t>Question 5 – Are there additional actions that can contribute to strengthening banking capacity to support the wider economy?</w:t>
      </w:r>
      <w:bookmarkEnd w:id="15"/>
      <w:bookmarkEnd w:id="16"/>
    </w:p>
    <w:p w:rsidR="009F3833" w:rsidRDefault="00EF0106">
      <w:pPr>
        <w:spacing w:after="120"/>
        <w:jc w:val="both"/>
        <w:rPr>
          <w:rFonts w:ascii="Times New Roman" w:hAnsi="Times New Roman" w:cs="Times New Roman"/>
          <w:noProof/>
          <w:szCs w:val="20"/>
        </w:rPr>
      </w:pPr>
      <w:r>
        <w:rPr>
          <w:rFonts w:ascii="Times New Roman" w:hAnsi="Times New Roman" w:cs="Times New Roman"/>
          <w:noProof/>
          <w:szCs w:val="20"/>
        </w:rPr>
        <w:t>Most respondents</w:t>
      </w:r>
      <w:r>
        <w:rPr>
          <w:rFonts w:ascii="Times New Roman" w:hAnsi="Times New Roman" w:cs="Times New Roman"/>
          <w:noProof/>
          <w:szCs w:val="20"/>
        </w:rPr>
        <w:t xml:space="preserve"> to this question welcomed the statement on the complementarity between bank and market-based finance as the financial system should be well-diversified.</w:t>
      </w:r>
    </w:p>
    <w:p w:rsidR="009F3833" w:rsidRDefault="00EF0106">
      <w:pPr>
        <w:spacing w:after="120"/>
        <w:jc w:val="both"/>
        <w:rPr>
          <w:rFonts w:ascii="Times New Roman" w:hAnsi="Times New Roman" w:cs="Times New Roman"/>
          <w:b/>
          <w:i/>
          <w:noProof/>
          <w:u w:val="single"/>
        </w:rPr>
      </w:pPr>
      <w:r>
        <w:rPr>
          <w:rFonts w:ascii="Times New Roman" w:hAnsi="Times New Roman" w:cs="Times New Roman"/>
          <w:b/>
          <w:i/>
          <w:noProof/>
          <w:u w:val="single"/>
        </w:rPr>
        <w:t>New perspectives on existing actions</w:t>
      </w:r>
    </w:p>
    <w:p w:rsidR="009F3833" w:rsidRDefault="00EF0106">
      <w:pPr>
        <w:jc w:val="both"/>
        <w:rPr>
          <w:rFonts w:ascii="Times New Roman" w:hAnsi="Times New Roman" w:cs="Times New Roman"/>
          <w:noProof/>
          <w:szCs w:val="20"/>
        </w:rPr>
      </w:pPr>
      <w:r>
        <w:rPr>
          <w:rFonts w:ascii="Times New Roman" w:hAnsi="Times New Roman" w:cs="Times New Roman"/>
          <w:noProof/>
          <w:szCs w:val="20"/>
        </w:rPr>
        <w:t>Many respondents commented on the securitisation package proposal</w:t>
      </w:r>
      <w:r>
        <w:rPr>
          <w:rFonts w:ascii="Times New Roman" w:hAnsi="Times New Roman" w:cs="Times New Roman"/>
          <w:noProof/>
          <w:szCs w:val="20"/>
        </w:rPr>
        <w:t xml:space="preserve">s. There was a general agreement on the importance of developing the market for simple, transparent and standardised (STS) </w:t>
      </w:r>
      <w:r>
        <w:rPr>
          <w:rFonts w:ascii="Times New Roman" w:hAnsi="Times New Roman" w:cs="Times New Roman"/>
          <w:b/>
          <w:noProof/>
          <w:szCs w:val="20"/>
        </w:rPr>
        <w:t>securitisation</w:t>
      </w:r>
      <w:r>
        <w:rPr>
          <w:rFonts w:ascii="Times New Roman" w:hAnsi="Times New Roman" w:cs="Times New Roman"/>
          <w:noProof/>
          <w:szCs w:val="20"/>
        </w:rPr>
        <w:t xml:space="preserve"> and its potential to generate additional funding. However, there was an equally large agreement that the proposed regu</w:t>
      </w:r>
      <w:r>
        <w:rPr>
          <w:rFonts w:ascii="Times New Roman" w:hAnsi="Times New Roman" w:cs="Times New Roman"/>
          <w:noProof/>
          <w:szCs w:val="20"/>
        </w:rPr>
        <w:t>lation as it stands is not satisfactory and too complex. The following main concerns were expressed with respect to the proposed securitisation package as it stands: (i) limitations on authorised investors that are too tight; (ii) ambitious criteria that n</w:t>
      </w:r>
      <w:r>
        <w:rPr>
          <w:rFonts w:ascii="Times New Roman" w:hAnsi="Times New Roman" w:cs="Times New Roman"/>
          <w:noProof/>
          <w:szCs w:val="20"/>
        </w:rPr>
        <w:t>eed to be fulfilled; (iii) uncertainty on when the label applies as no authority can confirm eligibility in advance; (iv) public disclosure of data about investors; (v) non-inclusion of promotional entities in the list of eligible guarantors and counter-gu</w:t>
      </w:r>
      <w:r>
        <w:rPr>
          <w:rFonts w:ascii="Times New Roman" w:hAnsi="Times New Roman" w:cs="Times New Roman"/>
          <w:noProof/>
          <w:szCs w:val="20"/>
        </w:rPr>
        <w:t xml:space="preserve">arantors for SME securitisation; and (vi) proposed capital calibration in the </w:t>
      </w:r>
      <w:r>
        <w:rPr>
          <w:rFonts w:ascii="Times New Roman" w:hAnsi="Times New Roman" w:cs="Times New Roman"/>
          <w:noProof/>
        </w:rPr>
        <w:t>Capital Requirements Regulation (</w:t>
      </w:r>
      <w:r>
        <w:rPr>
          <w:rFonts w:ascii="Times New Roman" w:hAnsi="Times New Roman" w:cs="Times New Roman"/>
          <w:noProof/>
          <w:szCs w:val="20"/>
        </w:rPr>
        <w:t>CRR) that increases the capital needed by banks to hold these positions.</w:t>
      </w:r>
    </w:p>
    <w:p w:rsidR="009F3833" w:rsidRDefault="00EF0106">
      <w:pPr>
        <w:jc w:val="both"/>
        <w:rPr>
          <w:rFonts w:ascii="Times New Roman" w:hAnsi="Times New Roman" w:cs="Times New Roman"/>
          <w:noProof/>
        </w:rPr>
      </w:pPr>
      <w:r>
        <w:rPr>
          <w:rFonts w:ascii="Times New Roman" w:hAnsi="Times New Roman" w:cs="Times New Roman"/>
          <w:noProof/>
        </w:rPr>
        <w:t xml:space="preserve">Respondents expressed a general support for a pan-European scheme for </w:t>
      </w:r>
      <w:r>
        <w:rPr>
          <w:rFonts w:ascii="Times New Roman" w:hAnsi="Times New Roman" w:cs="Times New Roman"/>
          <w:b/>
          <w:noProof/>
        </w:rPr>
        <w:t>covered bonds</w:t>
      </w:r>
      <w:r>
        <w:rPr>
          <w:rFonts w:ascii="Times New Roman" w:hAnsi="Times New Roman" w:cs="Times New Roman"/>
          <w:noProof/>
        </w:rPr>
        <w:t xml:space="preserve">, but stressed the need to respect regional differences. A one-size-fits-all approach could undermine well-functioning national business models. Therefore, the recommendation was to keep the measures high level and to focus on best practices. </w:t>
      </w:r>
      <w:r>
        <w:rPr>
          <w:rFonts w:ascii="Times New Roman" w:hAnsi="Times New Roman" w:cs="Times New Roman"/>
          <w:noProof/>
        </w:rPr>
        <w:t>The need to clarify operational procedures after default/resolution was also highlighted.</w:t>
      </w:r>
    </w:p>
    <w:p w:rsidR="009F3833" w:rsidRDefault="00EF0106">
      <w:pPr>
        <w:jc w:val="both"/>
        <w:rPr>
          <w:rFonts w:ascii="Times New Roman" w:hAnsi="Times New Roman" w:cs="Times New Roman"/>
          <w:b/>
          <w:i/>
          <w:noProof/>
          <w:u w:val="single"/>
        </w:rPr>
      </w:pPr>
      <w:r>
        <w:rPr>
          <w:rFonts w:ascii="Times New Roman" w:hAnsi="Times New Roman" w:cs="Times New Roman"/>
          <w:b/>
          <w:i/>
          <w:noProof/>
          <w:u w:val="single"/>
        </w:rPr>
        <w:t xml:space="preserve">New focus areas </w:t>
      </w:r>
    </w:p>
    <w:p w:rsidR="009F3833" w:rsidRDefault="00EF0106">
      <w:pPr>
        <w:jc w:val="both"/>
        <w:rPr>
          <w:rFonts w:ascii="Times New Roman" w:hAnsi="Times New Roman" w:cs="Times New Roman"/>
          <w:noProof/>
        </w:rPr>
      </w:pPr>
      <w:r>
        <w:rPr>
          <w:rFonts w:ascii="Times New Roman" w:hAnsi="Times New Roman" w:cs="Times New Roman"/>
          <w:noProof/>
        </w:rPr>
        <w:t xml:space="preserve">Many respondents considered the fostering of an EU-wide </w:t>
      </w:r>
      <w:r>
        <w:rPr>
          <w:rFonts w:ascii="Times New Roman" w:hAnsi="Times New Roman" w:cs="Times New Roman"/>
          <w:b/>
          <w:noProof/>
        </w:rPr>
        <w:t>secondary market for non-performing loans</w:t>
      </w:r>
      <w:r>
        <w:rPr>
          <w:rFonts w:ascii="Times New Roman" w:hAnsi="Times New Roman" w:cs="Times New Roman"/>
          <w:noProof/>
        </w:rPr>
        <w:t xml:space="preserve"> (NPLs) to be adequate and sensible. They pointed ou</w:t>
      </w:r>
      <w:r>
        <w:rPr>
          <w:rFonts w:ascii="Times New Roman" w:hAnsi="Times New Roman" w:cs="Times New Roman"/>
          <w:noProof/>
        </w:rPr>
        <w:t>t that this market is currently hindered by high transaction costs. The launch of a public consultation seeking to identify best ways to develop it was suggested as respondents continue to propose a wide range of alternatives for development. Crucial for t</w:t>
      </w:r>
      <w:r>
        <w:rPr>
          <w:rFonts w:ascii="Times New Roman" w:hAnsi="Times New Roman" w:cs="Times New Roman"/>
          <w:noProof/>
        </w:rPr>
        <w:t>he success of this secondary market would be the harmonisation of related regulation. This should be done keeping in mind that NPLs’ treatment and disposal, especially from a supervisory point of view, must respect the proportionality principle: i.e., inst</w:t>
      </w:r>
      <w:r>
        <w:rPr>
          <w:rFonts w:ascii="Times New Roman" w:hAnsi="Times New Roman" w:cs="Times New Roman"/>
          <w:noProof/>
        </w:rPr>
        <w:t>itutions with low stocks of NPLs should not be unnecessarily burdened by additional administrative requirements.</w:t>
      </w:r>
    </w:p>
    <w:p w:rsidR="009F3833" w:rsidRDefault="00EF0106">
      <w:pPr>
        <w:jc w:val="both"/>
        <w:rPr>
          <w:rFonts w:ascii="Times New Roman" w:hAnsi="Times New Roman" w:cs="Times New Roman"/>
          <w:noProof/>
        </w:rPr>
      </w:pPr>
      <w:r>
        <w:rPr>
          <w:rFonts w:ascii="Times New Roman" w:hAnsi="Times New Roman" w:cs="Times New Roman"/>
          <w:noProof/>
        </w:rPr>
        <w:t>It was further noted that NPL transactions are often structured in such a technical manner that they could fall within the definition of a “sec</w:t>
      </w:r>
      <w:r>
        <w:rPr>
          <w:rFonts w:ascii="Times New Roman" w:hAnsi="Times New Roman" w:cs="Times New Roman"/>
          <w:noProof/>
        </w:rPr>
        <w:t>uritisation” under the CRR. The result of such a classification is that the securitisation risk retention framework would need to be applied to the transaction. This proves to be a complicating factor when structuring NPL portfolio transfers. Such an outco</w:t>
      </w:r>
      <w:r>
        <w:rPr>
          <w:rFonts w:ascii="Times New Roman" w:hAnsi="Times New Roman" w:cs="Times New Roman"/>
          <w:noProof/>
        </w:rPr>
        <w:t>me may dissuade professional investors, including asset managers, from involvement in this type of transactions (which would otherwise allow banks to de-leverage and divest risk, freeing up capital for other lending activities). The Commission was encourag</w:t>
      </w:r>
      <w:r>
        <w:rPr>
          <w:rFonts w:ascii="Times New Roman" w:hAnsi="Times New Roman" w:cs="Times New Roman"/>
          <w:noProof/>
        </w:rPr>
        <w:t>ed to look at NPL disposals in a holistic manner, including providing relief in the manner in which transactions may be classified, in order to enable NPLs to be disposed of more efficiently.</w:t>
      </w:r>
    </w:p>
    <w:p w:rsidR="009F3833" w:rsidRDefault="00EF0106">
      <w:pPr>
        <w:jc w:val="both"/>
        <w:rPr>
          <w:rFonts w:ascii="Times New Roman" w:hAnsi="Times New Roman" w:cs="Times New Roman"/>
          <w:noProof/>
        </w:rPr>
      </w:pPr>
      <w:r>
        <w:rPr>
          <w:rFonts w:ascii="Times New Roman" w:hAnsi="Times New Roman" w:cs="Times New Roman"/>
          <w:noProof/>
        </w:rPr>
        <w:t>A few respondents asked to improve the legal and institutional e</w:t>
      </w:r>
      <w:r>
        <w:rPr>
          <w:rFonts w:ascii="Times New Roman" w:hAnsi="Times New Roman" w:cs="Times New Roman"/>
          <w:noProof/>
        </w:rPr>
        <w:t xml:space="preserve">nvironment for </w:t>
      </w:r>
      <w:r>
        <w:rPr>
          <w:rFonts w:ascii="Times New Roman" w:hAnsi="Times New Roman" w:cs="Times New Roman"/>
          <w:b/>
          <w:noProof/>
        </w:rPr>
        <w:t>microcredit</w:t>
      </w:r>
      <w:r>
        <w:rPr>
          <w:rFonts w:ascii="Times New Roman" w:hAnsi="Times New Roman" w:cs="Times New Roman"/>
          <w:noProof/>
        </w:rPr>
        <w:t xml:space="preserve"> and micro-entreprises in the EU, including through the spread of best practices for very small loans, as microcredit could be a stepping stone for entrepreneurship.</w:t>
      </w:r>
    </w:p>
    <w:p w:rsidR="009F3833" w:rsidRDefault="009F3833">
      <w:pPr>
        <w:spacing w:before="120" w:after="120"/>
        <w:jc w:val="both"/>
        <w:rPr>
          <w:rStyle w:val="Hyperlink"/>
          <w:rFonts w:ascii="Times New Roman" w:hAnsi="Times New Roman" w:cs="Times New Roman"/>
          <w:noProof/>
        </w:rPr>
      </w:pPr>
    </w:p>
    <w:p w:rsidR="009F3833" w:rsidRDefault="00EF0106">
      <w:pPr>
        <w:pStyle w:val="Heading2"/>
        <w:pBdr>
          <w:top w:val="single" w:sz="4" w:space="1" w:color="auto"/>
          <w:left w:val="single" w:sz="4" w:space="4" w:color="auto"/>
          <w:bottom w:val="single" w:sz="4" w:space="1" w:color="auto"/>
          <w:right w:val="single" w:sz="4" w:space="4" w:color="auto"/>
        </w:pBdr>
        <w:spacing w:before="0" w:after="120"/>
        <w:rPr>
          <w:rStyle w:val="Hyperlink"/>
          <w:rFonts w:ascii="Times New Roman" w:hAnsi="Times New Roman" w:cs="Times New Roman"/>
        </w:rPr>
      </w:pPr>
      <w:bookmarkStart w:id="17" w:name="_Toc481688346"/>
      <w:bookmarkStart w:id="18" w:name="_Toc481688408"/>
      <w:r>
        <w:rPr>
          <w:rStyle w:val="Hyperlink"/>
          <w:rFonts w:ascii="Times New Roman" w:hAnsi="Times New Roman" w:cs="Times New Roman"/>
        </w:rPr>
        <w:t>Question 6 – Are there additional actions that can contribute t</w:t>
      </w:r>
      <w:r>
        <w:rPr>
          <w:rStyle w:val="Hyperlink"/>
          <w:rFonts w:ascii="Times New Roman" w:hAnsi="Times New Roman" w:cs="Times New Roman"/>
        </w:rPr>
        <w:t>o facilitating cross-border investment?</w:t>
      </w:r>
      <w:bookmarkEnd w:id="17"/>
      <w:bookmarkEnd w:id="18"/>
    </w:p>
    <w:p w:rsidR="009F3833" w:rsidRDefault="00EF0106">
      <w:pPr>
        <w:jc w:val="both"/>
        <w:rPr>
          <w:rFonts w:ascii="Times New Roman" w:hAnsi="Times New Roman" w:cs="Times New Roman"/>
          <w:noProof/>
        </w:rPr>
      </w:pPr>
      <w:r>
        <w:rPr>
          <w:rFonts w:ascii="Times New Roman" w:hAnsi="Times New Roman" w:cs="Times New Roman"/>
          <w:noProof/>
        </w:rPr>
        <w:t>Some respondents recognised the difficulty of any legislative harmonisation in the cross-border investment dimension, but considered the post-Brexit political context as a constructive challenge. They welcomed the Co</w:t>
      </w:r>
      <w:r>
        <w:rPr>
          <w:rFonts w:ascii="Times New Roman" w:hAnsi="Times New Roman" w:cs="Times New Roman"/>
          <w:noProof/>
        </w:rPr>
        <w:t>mmission's work with the Member States on identifying and tackling national barriers, and the Report published as a result of it in March 2017</w:t>
      </w:r>
      <w:r>
        <w:rPr>
          <w:rStyle w:val="FootnoteReference"/>
          <w:rFonts w:ascii="Times New Roman" w:hAnsi="Times New Roman" w:cs="Times New Roman"/>
          <w:noProof/>
        </w:rPr>
        <w:footnoteReference w:id="2"/>
      </w:r>
      <w:r>
        <w:rPr>
          <w:rFonts w:ascii="Times New Roman" w:hAnsi="Times New Roman" w:cs="Times New Roman"/>
          <w:noProof/>
        </w:rPr>
        <w:t>. Stakeholders also recalled important barriers stemming from divergences in national legislations with respect t</w:t>
      </w:r>
      <w:r>
        <w:rPr>
          <w:rFonts w:ascii="Times New Roman" w:hAnsi="Times New Roman" w:cs="Times New Roman"/>
          <w:noProof/>
        </w:rPr>
        <w:t xml:space="preserve">o </w:t>
      </w:r>
      <w:r>
        <w:rPr>
          <w:rFonts w:ascii="Times New Roman" w:hAnsi="Times New Roman" w:cs="Times New Roman"/>
          <w:b/>
          <w:noProof/>
        </w:rPr>
        <w:t>insolvency</w:t>
      </w:r>
      <w:r>
        <w:rPr>
          <w:rFonts w:ascii="Times New Roman" w:hAnsi="Times New Roman" w:cs="Times New Roman"/>
          <w:noProof/>
        </w:rPr>
        <w:t xml:space="preserve"> law</w:t>
      </w:r>
      <w:r>
        <w:rPr>
          <w:rFonts w:ascii="Times New Roman" w:hAnsi="Times New Roman" w:cs="Times New Roman"/>
          <w:b/>
          <w:noProof/>
        </w:rPr>
        <w:t xml:space="preserve">, </w:t>
      </w:r>
      <w:r>
        <w:rPr>
          <w:rFonts w:ascii="Times New Roman" w:hAnsi="Times New Roman" w:cs="Times New Roman"/>
          <w:noProof/>
        </w:rPr>
        <w:t>corporate governance, fiduciary duties, national reporting standards and</w:t>
      </w:r>
      <w:r>
        <w:rPr>
          <w:rFonts w:ascii="Times New Roman" w:hAnsi="Times New Roman" w:cs="Times New Roman"/>
          <w:b/>
          <w:noProof/>
        </w:rPr>
        <w:t xml:space="preserve"> securities laws</w:t>
      </w:r>
      <w:r>
        <w:rPr>
          <w:rFonts w:ascii="Times New Roman" w:hAnsi="Times New Roman" w:cs="Times New Roman"/>
          <w:noProof/>
        </w:rPr>
        <w:t>. With respect to differences in securities laws, a more limited number of respondents considered that the Commission should not pursue its current ef</w:t>
      </w:r>
      <w:r>
        <w:rPr>
          <w:rFonts w:ascii="Times New Roman" w:hAnsi="Times New Roman" w:cs="Times New Roman"/>
          <w:noProof/>
        </w:rPr>
        <w:t>forts for a European legislation on the applicable law in respect of securities ownership, but rather favour in all cases the law of the country where the securities are issued as the applicable law.</w:t>
      </w:r>
    </w:p>
    <w:p w:rsidR="009F3833" w:rsidRDefault="00EF0106">
      <w:pPr>
        <w:spacing w:after="120"/>
        <w:jc w:val="both"/>
        <w:rPr>
          <w:rFonts w:ascii="Times New Roman" w:hAnsi="Times New Roman" w:cs="Times New Roman"/>
          <w:noProof/>
          <w:u w:val="single"/>
        </w:rPr>
      </w:pPr>
      <w:r>
        <w:rPr>
          <w:rFonts w:ascii="Times New Roman" w:hAnsi="Times New Roman" w:cs="Times New Roman"/>
          <w:noProof/>
        </w:rPr>
        <w:t xml:space="preserve">Respondents commented particularly on </w:t>
      </w:r>
      <w:r>
        <w:rPr>
          <w:rFonts w:ascii="Times New Roman" w:hAnsi="Times New Roman" w:cs="Times New Roman"/>
          <w:noProof/>
          <w:u w:val="single"/>
        </w:rPr>
        <w:t xml:space="preserve">existing actions, </w:t>
      </w:r>
      <w:r>
        <w:rPr>
          <w:rFonts w:ascii="Times New Roman" w:hAnsi="Times New Roman" w:cs="Times New Roman"/>
          <w:noProof/>
          <w:u w:val="single"/>
        </w:rPr>
        <w:t>with limited suggestions for new focus areas</w:t>
      </w:r>
      <w:r>
        <w:rPr>
          <w:rFonts w:ascii="Times New Roman" w:hAnsi="Times New Roman" w:cs="Times New Roman"/>
          <w:noProof/>
        </w:rPr>
        <w:t>.</w:t>
      </w:r>
    </w:p>
    <w:p w:rsidR="009F3833" w:rsidRDefault="00EF0106">
      <w:pPr>
        <w:jc w:val="both"/>
        <w:rPr>
          <w:rFonts w:ascii="Times New Roman" w:hAnsi="Times New Roman" w:cs="Times New Roman"/>
          <w:noProof/>
        </w:rPr>
      </w:pPr>
      <w:r>
        <w:rPr>
          <w:rFonts w:ascii="Times New Roman" w:hAnsi="Times New Roman" w:cs="Times New Roman"/>
          <w:noProof/>
        </w:rPr>
        <w:t xml:space="preserve">Most respondents referred to </w:t>
      </w:r>
      <w:r>
        <w:rPr>
          <w:rFonts w:ascii="Times New Roman" w:hAnsi="Times New Roman" w:cs="Times New Roman"/>
          <w:b/>
          <w:noProof/>
        </w:rPr>
        <w:t xml:space="preserve">taxation </w:t>
      </w:r>
      <w:r>
        <w:rPr>
          <w:rFonts w:ascii="Times New Roman" w:hAnsi="Times New Roman" w:cs="Times New Roman"/>
          <w:noProof/>
        </w:rPr>
        <w:t>as a major barrier to capital flows. They saw taxation as a key area where substantial developments at EU level could be achieved. Three main issues were identified: (i) bu</w:t>
      </w:r>
      <w:r>
        <w:rPr>
          <w:rFonts w:ascii="Times New Roman" w:hAnsi="Times New Roman" w:cs="Times New Roman"/>
          <w:noProof/>
        </w:rPr>
        <w:t>rdensome procedures in recovering withholding tax on dividends; (ii) discriminatory treatments due to difficulty in accessing tax treaty benefits, especially for the asset management industry; and (iii) the potential negative impact of a financial transact</w:t>
      </w:r>
      <w:r>
        <w:rPr>
          <w:rFonts w:ascii="Times New Roman" w:hAnsi="Times New Roman" w:cs="Times New Roman"/>
          <w:noProof/>
        </w:rPr>
        <w:t xml:space="preserve">ion tax. </w:t>
      </w:r>
    </w:p>
    <w:p w:rsidR="009F3833" w:rsidRDefault="00EF0106">
      <w:pPr>
        <w:jc w:val="both"/>
        <w:rPr>
          <w:rFonts w:ascii="Times New Roman" w:hAnsi="Times New Roman" w:cs="Times New Roman"/>
          <w:noProof/>
        </w:rPr>
      </w:pPr>
      <w:r>
        <w:rPr>
          <w:rFonts w:ascii="Times New Roman" w:hAnsi="Times New Roman" w:cs="Times New Roman"/>
          <w:noProof/>
        </w:rPr>
        <w:t xml:space="preserve">Many respondents identified inefficient, complex and non-harmonised </w:t>
      </w:r>
      <w:r>
        <w:rPr>
          <w:rFonts w:ascii="Times New Roman" w:hAnsi="Times New Roman" w:cs="Times New Roman"/>
          <w:b/>
          <w:noProof/>
        </w:rPr>
        <w:t>withholding tax</w:t>
      </w:r>
      <w:r>
        <w:rPr>
          <w:rFonts w:ascii="Times New Roman" w:hAnsi="Times New Roman" w:cs="Times New Roman"/>
          <w:noProof/>
        </w:rPr>
        <w:t xml:space="preserve"> (WHT) recovery proceedings (including burdensome refund procedures and the lack of relief at source) as a major deterrent to cross-border investment. Withholding </w:t>
      </w:r>
      <w:r>
        <w:rPr>
          <w:rFonts w:ascii="Times New Roman" w:hAnsi="Times New Roman" w:cs="Times New Roman"/>
          <w:noProof/>
        </w:rPr>
        <w:t xml:space="preserve">tax is still considered a highly relevant barrier also in the post-trading environment. Many respondents were in favour of achieving a quick and standardised refund procedure (and relief at source, if possible) through the implementation of best practices </w:t>
      </w:r>
      <w:r>
        <w:rPr>
          <w:rFonts w:ascii="Times New Roman" w:hAnsi="Times New Roman" w:cs="Times New Roman"/>
          <w:noProof/>
        </w:rPr>
        <w:t>in Member States and endorsed the Code of Conduct solution. Many asset management associations and banks would like a Directive to harmonise WHT recovery proceedings. A number of fund associations, banks and insurers would prefer removing withholding tax o</w:t>
      </w:r>
      <w:r>
        <w:rPr>
          <w:rFonts w:ascii="Times New Roman" w:hAnsi="Times New Roman" w:cs="Times New Roman"/>
          <w:noProof/>
        </w:rPr>
        <w:t>n cross-border dividends and interest payments on infrastructure debt, or on all income flows from intra-EU trade. If this were not possible, then an EU-wide limit on the WHT rate would be imposed equal to the rate envisaged in double taxation treaties whi</w:t>
      </w:r>
      <w:r>
        <w:rPr>
          <w:rFonts w:ascii="Times New Roman" w:hAnsi="Times New Roman" w:cs="Times New Roman"/>
          <w:noProof/>
        </w:rPr>
        <w:t xml:space="preserve">ch is 15%. A few funds associations and accountants asked to implement the Treaty Relief and Compliance Enhancement (TRACE) system as a way to introduce a common EU-wide WHT relief-at-source system. </w:t>
      </w:r>
    </w:p>
    <w:p w:rsidR="009F3833" w:rsidRDefault="00EF0106">
      <w:pPr>
        <w:jc w:val="both"/>
        <w:rPr>
          <w:rFonts w:ascii="Times New Roman" w:hAnsi="Times New Roman" w:cs="Times New Roman"/>
          <w:noProof/>
        </w:rPr>
      </w:pPr>
      <w:r>
        <w:rPr>
          <w:rFonts w:ascii="Times New Roman" w:hAnsi="Times New Roman" w:cs="Times New Roman"/>
          <w:noProof/>
        </w:rPr>
        <w:t>Arguing that a non-homogenous access to double tax treat</w:t>
      </w:r>
      <w:r>
        <w:rPr>
          <w:rFonts w:ascii="Times New Roman" w:hAnsi="Times New Roman" w:cs="Times New Roman"/>
          <w:noProof/>
        </w:rPr>
        <w:t xml:space="preserve">y benefits creates </w:t>
      </w:r>
      <w:r>
        <w:rPr>
          <w:rFonts w:ascii="Times New Roman" w:hAnsi="Times New Roman" w:cs="Times New Roman"/>
          <w:b/>
          <w:noProof/>
        </w:rPr>
        <w:t>discrimination in tax treatments</w:t>
      </w:r>
      <w:r>
        <w:rPr>
          <w:rFonts w:ascii="Times New Roman" w:hAnsi="Times New Roman" w:cs="Times New Roman"/>
          <w:noProof/>
        </w:rPr>
        <w:t xml:space="preserve">, </w:t>
      </w:r>
      <w:r>
        <w:rPr>
          <w:rFonts w:ascii="Times New Roman" w:eastAsia="Times New Roman" w:hAnsi="Times New Roman" w:cs="Times New Roman"/>
          <w:noProof/>
          <w:lang w:val="en-US" w:eastAsia="nl-NL"/>
        </w:rPr>
        <w:t xml:space="preserve">the majority of the fund industry believed that the Commission </w:t>
      </w:r>
      <w:r>
        <w:rPr>
          <w:rFonts w:ascii="Times New Roman" w:eastAsia="Times New Roman" w:hAnsi="Times New Roman" w:cs="Times New Roman"/>
          <w:noProof/>
          <w:lang w:eastAsia="nl-NL"/>
        </w:rPr>
        <w:t>should encourage Member States to take a more harmonised position in negotiating the revision of double tax treaties. In particular, all the</w:t>
      </w:r>
      <w:r>
        <w:rPr>
          <w:rFonts w:ascii="Times New Roman" w:eastAsia="Times New Roman" w:hAnsi="Times New Roman" w:cs="Times New Roman"/>
          <w:noProof/>
          <w:lang w:eastAsia="nl-NL"/>
        </w:rPr>
        <w:t xml:space="preserve"> widely held open-ended funds (UCITS in particular) should not be subject to the constraints of the Organisation for Economic Co-operation and Development (</w:t>
      </w:r>
      <w:r>
        <w:rPr>
          <w:rFonts w:ascii="Times New Roman" w:hAnsi="Times New Roman" w:cs="Times New Roman"/>
          <w:noProof/>
        </w:rPr>
        <w:t>OECD)</w:t>
      </w:r>
      <w:r>
        <w:rPr>
          <w:rFonts w:ascii="Times New Roman" w:eastAsia="Times New Roman" w:hAnsi="Times New Roman" w:cs="Times New Roman"/>
          <w:noProof/>
          <w:lang w:eastAsia="nl-NL"/>
        </w:rPr>
        <w:t xml:space="preserve"> </w:t>
      </w:r>
      <w:r>
        <w:rPr>
          <w:rFonts w:ascii="Times New Roman" w:hAnsi="Times New Roman" w:cs="Times New Roman"/>
          <w:noProof/>
        </w:rPr>
        <w:t>Base Erosion and Profit Shifting (</w:t>
      </w:r>
      <w:r>
        <w:rPr>
          <w:rFonts w:ascii="Times New Roman" w:eastAsia="Times New Roman" w:hAnsi="Times New Roman" w:cs="Times New Roman"/>
          <w:noProof/>
          <w:lang w:eastAsia="nl-NL"/>
        </w:rPr>
        <w:t xml:space="preserve">BEPS) Action 6 </w:t>
      </w:r>
      <w:r>
        <w:rPr>
          <w:rFonts w:ascii="Times New Roman" w:hAnsi="Times New Roman" w:cs="Times New Roman"/>
          <w:noProof/>
        </w:rPr>
        <w:t>(i.e., “Prevent treaty abuse”). Alternatively</w:t>
      </w:r>
      <w:r>
        <w:rPr>
          <w:rFonts w:ascii="Times New Roman" w:hAnsi="Times New Roman" w:cs="Times New Roman"/>
          <w:noProof/>
        </w:rPr>
        <w:t xml:space="preserve">, the Commission should set up an </w:t>
      </w:r>
      <w:r>
        <w:rPr>
          <w:rFonts w:ascii="Times New Roman" w:eastAsia="Times New Roman" w:hAnsi="Times New Roman" w:cs="Times New Roman"/>
          <w:noProof/>
          <w:lang w:eastAsia="nl-NL"/>
        </w:rPr>
        <w:t xml:space="preserve">EU fund, authorised and controlled by a European regulator, and marketed only in the EU. Such a fund should be considered as a European resident for tax treaty purposes and benefit from the various tax treaties </w:t>
      </w:r>
      <w:r>
        <w:rPr>
          <w:rFonts w:ascii="Times New Roman" w:hAnsi="Times New Roman" w:cs="Times New Roman"/>
          <w:noProof/>
        </w:rPr>
        <w:t>signed betw</w:t>
      </w:r>
      <w:r>
        <w:rPr>
          <w:rFonts w:ascii="Times New Roman" w:hAnsi="Times New Roman" w:cs="Times New Roman"/>
          <w:noProof/>
        </w:rPr>
        <w:t>een European countries.</w:t>
      </w:r>
    </w:p>
    <w:p w:rsidR="009F3833" w:rsidRDefault="00EF0106">
      <w:pPr>
        <w:jc w:val="both"/>
        <w:rPr>
          <w:rFonts w:ascii="Times New Roman" w:hAnsi="Times New Roman" w:cs="Times New Roman"/>
          <w:noProof/>
        </w:rPr>
      </w:pPr>
      <w:r>
        <w:rPr>
          <w:rFonts w:ascii="Times New Roman" w:hAnsi="Times New Roman" w:cs="Times New Roman"/>
          <w:noProof/>
        </w:rPr>
        <w:t xml:space="preserve">The vast majority of respondents argued that a </w:t>
      </w:r>
      <w:r>
        <w:rPr>
          <w:rFonts w:ascii="Times New Roman" w:hAnsi="Times New Roman" w:cs="Times New Roman"/>
          <w:b/>
          <w:noProof/>
        </w:rPr>
        <w:t>Financial Transaction Tax</w:t>
      </w:r>
      <w:r>
        <w:rPr>
          <w:rFonts w:ascii="Times New Roman" w:hAnsi="Times New Roman" w:cs="Times New Roman"/>
          <w:noProof/>
        </w:rPr>
        <w:t xml:space="preserve"> should not be imposed, mainly because it is operationally complex and too costly to users. Moreover, it would produce elusive pay-outs for the authorities and </w:t>
      </w:r>
      <w:r>
        <w:rPr>
          <w:rFonts w:ascii="Times New Roman" w:hAnsi="Times New Roman" w:cs="Times New Roman"/>
          <w:noProof/>
        </w:rPr>
        <w:t>have severe negative consequences for the functioning and competitiveness of European stock markets.</w:t>
      </w:r>
    </w:p>
    <w:p w:rsidR="009F3833" w:rsidRDefault="00EF0106">
      <w:pPr>
        <w:jc w:val="both"/>
        <w:rPr>
          <w:rFonts w:ascii="Times New Roman" w:hAnsi="Times New Roman" w:cs="Times New Roman"/>
          <w:noProof/>
        </w:rPr>
      </w:pPr>
      <w:r>
        <w:rPr>
          <w:rFonts w:ascii="Times New Roman" w:hAnsi="Times New Roman" w:cs="Times New Roman"/>
          <w:noProof/>
        </w:rPr>
        <w:t>Many respondents commented on the need for more regulatory harmonisation and convergence to overcome real and perceived cross-border barriers, but only a f</w:t>
      </w:r>
      <w:r>
        <w:rPr>
          <w:rFonts w:ascii="Times New Roman" w:hAnsi="Times New Roman" w:cs="Times New Roman"/>
          <w:noProof/>
        </w:rPr>
        <w:t xml:space="preserve">ew of them provided specific input on supervisory practices and convergence. Those that provided such input emphasised the importance of strengthening and improving </w:t>
      </w:r>
      <w:r>
        <w:rPr>
          <w:rFonts w:ascii="Times New Roman" w:hAnsi="Times New Roman" w:cs="Times New Roman"/>
          <w:b/>
          <w:noProof/>
        </w:rPr>
        <w:t>supervisory convergence</w:t>
      </w:r>
      <w:r>
        <w:rPr>
          <w:rFonts w:ascii="Times New Roman" w:hAnsi="Times New Roman" w:cs="Times New Roman"/>
          <w:noProof/>
        </w:rPr>
        <w:t xml:space="preserve"> for the development of the CMU, in particular for stimulating the p</w:t>
      </w:r>
      <w:r>
        <w:rPr>
          <w:rFonts w:ascii="Times New Roman" w:hAnsi="Times New Roman" w:cs="Times New Roman"/>
          <w:noProof/>
        </w:rPr>
        <w:t xml:space="preserve">rovision of cross-border services, increasing cross-border investment, securing a level-playing field and ensuring investor protection and confidence. </w:t>
      </w:r>
    </w:p>
    <w:p w:rsidR="009F3833" w:rsidRDefault="00EF0106">
      <w:pPr>
        <w:jc w:val="both"/>
        <w:rPr>
          <w:rFonts w:ascii="Times New Roman" w:hAnsi="Times New Roman" w:cs="Times New Roman"/>
          <w:noProof/>
        </w:rPr>
      </w:pPr>
      <w:r>
        <w:rPr>
          <w:rFonts w:ascii="Times New Roman" w:hAnsi="Times New Roman" w:cs="Times New Roman"/>
          <w:noProof/>
        </w:rPr>
        <w:t xml:space="preserve">Respondents from a wide range of stakeholder groups favoured strengthening the </w:t>
      </w:r>
      <w:r>
        <w:rPr>
          <w:rFonts w:ascii="Times New Roman" w:hAnsi="Times New Roman" w:cs="Times New Roman"/>
          <w:b/>
          <w:noProof/>
        </w:rPr>
        <w:t>mandates of the ESAs</w:t>
      </w:r>
      <w:r>
        <w:rPr>
          <w:rFonts w:ascii="Times New Roman" w:hAnsi="Times New Roman" w:cs="Times New Roman"/>
          <w:noProof/>
        </w:rPr>
        <w:t xml:space="preserve"> to i</w:t>
      </w:r>
      <w:r>
        <w:rPr>
          <w:rFonts w:ascii="Times New Roman" w:hAnsi="Times New Roman" w:cs="Times New Roman"/>
          <w:noProof/>
        </w:rPr>
        <w:t>ncrease supervisory convergence. In this context, particular focus was put on ESMA, with industry in particular supporting more centralisation of supervisory powers within ESMA to eventually create a single supervisor for capital markets.</w:t>
      </w:r>
    </w:p>
    <w:p w:rsidR="009F3833" w:rsidRDefault="00EF0106">
      <w:pPr>
        <w:jc w:val="both"/>
        <w:rPr>
          <w:rFonts w:ascii="Times New Roman" w:hAnsi="Times New Roman" w:cs="Times New Roman"/>
          <w:noProof/>
        </w:rPr>
      </w:pPr>
      <w:r>
        <w:rPr>
          <w:rFonts w:ascii="Times New Roman" w:hAnsi="Times New Roman" w:cs="Times New Roman"/>
          <w:noProof/>
        </w:rPr>
        <w:t>A few respondents</w:t>
      </w:r>
      <w:r>
        <w:rPr>
          <w:rFonts w:ascii="Times New Roman" w:hAnsi="Times New Roman" w:cs="Times New Roman"/>
          <w:noProof/>
        </w:rPr>
        <w:t xml:space="preserve"> highlighted specific areas where a strengthening of the ESAs' mandates would be desired. These include strengthened powers to: (i) monitor supervisory regimes and make public any gaps encountered; (ii) enforce non-binding regulation; (iii) adjust the impl</w:t>
      </w:r>
      <w:r>
        <w:rPr>
          <w:rFonts w:ascii="Times New Roman" w:hAnsi="Times New Roman" w:cs="Times New Roman"/>
          <w:noProof/>
        </w:rPr>
        <w:t>ementation of a rule through mechanisms such as no-action letters; and (iv) evaluate the interplay of the ESAs with national supervisors to eliminate redundancies in reporting and help align national standards.</w:t>
      </w:r>
    </w:p>
    <w:p w:rsidR="009F3833" w:rsidRDefault="00EF0106">
      <w:pPr>
        <w:jc w:val="both"/>
        <w:rPr>
          <w:rFonts w:ascii="Times New Roman" w:hAnsi="Times New Roman" w:cs="Times New Roman"/>
          <w:noProof/>
        </w:rPr>
      </w:pPr>
      <w:r>
        <w:rPr>
          <w:rFonts w:ascii="Times New Roman" w:hAnsi="Times New Roman" w:cs="Times New Roman"/>
          <w:noProof/>
        </w:rPr>
        <w:t xml:space="preserve">The majority of respondents showed awareness </w:t>
      </w:r>
      <w:r>
        <w:rPr>
          <w:rFonts w:ascii="Times New Roman" w:hAnsi="Times New Roman" w:cs="Times New Roman"/>
          <w:noProof/>
        </w:rPr>
        <w:t xml:space="preserve">that currently inefficiencies in </w:t>
      </w:r>
      <w:r>
        <w:rPr>
          <w:rFonts w:ascii="Times New Roman" w:hAnsi="Times New Roman" w:cs="Times New Roman"/>
          <w:b/>
          <w:noProof/>
        </w:rPr>
        <w:t>insolvency frameworks</w:t>
      </w:r>
      <w:r>
        <w:rPr>
          <w:rFonts w:ascii="Times New Roman" w:hAnsi="Times New Roman" w:cs="Times New Roman"/>
          <w:noProof/>
        </w:rPr>
        <w:t xml:space="preserve"> have a negative impact on cross-border investments. Several respondents expressed support for the Commission proposal on preventive restructuring and second chance</w:t>
      </w:r>
      <w:r>
        <w:rPr>
          <w:rStyle w:val="FootnoteReference"/>
          <w:rFonts w:ascii="Times New Roman" w:hAnsi="Times New Roman" w:cs="Times New Roman"/>
          <w:noProof/>
        </w:rPr>
        <w:footnoteReference w:id="3"/>
      </w:r>
      <w:r>
        <w:rPr>
          <w:rFonts w:ascii="Times New Roman" w:hAnsi="Times New Roman" w:cs="Times New Roman"/>
          <w:noProof/>
        </w:rPr>
        <w:t>. One respondent representing local b</w:t>
      </w:r>
      <w:r>
        <w:rPr>
          <w:rFonts w:ascii="Times New Roman" w:hAnsi="Times New Roman" w:cs="Times New Roman"/>
          <w:noProof/>
        </w:rPr>
        <w:t>anks expressed concerns about the overall low level of secured creditors' protection and highlighted specific measures that would strengthen that protection. A few public authorities and financial stakeholders mentioned the need for more harmonisation in t</w:t>
      </w:r>
      <w:r>
        <w:rPr>
          <w:rFonts w:ascii="Times New Roman" w:hAnsi="Times New Roman" w:cs="Times New Roman"/>
          <w:noProof/>
        </w:rPr>
        <w:t>he area of insolvency.</w:t>
      </w:r>
    </w:p>
    <w:p w:rsidR="009F3833" w:rsidRDefault="00EF0106">
      <w:pPr>
        <w:jc w:val="both"/>
        <w:rPr>
          <w:rFonts w:ascii="Times New Roman" w:hAnsi="Times New Roman" w:cs="Times New Roman"/>
          <w:noProof/>
        </w:rPr>
      </w:pPr>
      <w:r>
        <w:rPr>
          <w:rFonts w:ascii="Times New Roman" w:hAnsi="Times New Roman" w:cs="Times New Roman"/>
          <w:noProof/>
        </w:rPr>
        <w:t xml:space="preserve">In the area of </w:t>
      </w:r>
      <w:r>
        <w:rPr>
          <w:rFonts w:ascii="Times New Roman" w:hAnsi="Times New Roman" w:cs="Times New Roman"/>
          <w:b/>
          <w:noProof/>
        </w:rPr>
        <w:t>post-trade market infrastructure</w:t>
      </w:r>
      <w:r>
        <w:rPr>
          <w:rFonts w:ascii="Times New Roman" w:hAnsi="Times New Roman" w:cs="Times New Roman"/>
          <w:noProof/>
        </w:rPr>
        <w:t xml:space="preserve"> and ownership of securities and claims, respondents raised mainly two topics: (i) the EU conflict of laws legislative initiative relating to transactions in securities and claims; and (</w:t>
      </w:r>
      <w:r>
        <w:rPr>
          <w:rFonts w:ascii="Times New Roman" w:hAnsi="Times New Roman" w:cs="Times New Roman"/>
          <w:noProof/>
        </w:rPr>
        <w:t xml:space="preserve">ii) the removal of the Giovannini barriers in post-trading. As regards the first topic, some respondents suggested the choice of the issuer's law as the optimal solution. Some respondents listed the closely related issue of substantive securities law as a </w:t>
      </w:r>
      <w:r>
        <w:rPr>
          <w:rFonts w:ascii="Times New Roman" w:hAnsi="Times New Roman" w:cs="Times New Roman"/>
          <w:noProof/>
        </w:rPr>
        <w:t>problem requiring harmonisation, while others did not consider this to be an issue and stated that no action should be taken.</w:t>
      </w:r>
    </w:p>
    <w:p w:rsidR="009F3833" w:rsidRDefault="00EF0106">
      <w:pPr>
        <w:jc w:val="both"/>
        <w:rPr>
          <w:rStyle w:val="Hyperlink"/>
          <w:noProof/>
        </w:rPr>
      </w:pPr>
      <w:r>
        <w:rPr>
          <w:rFonts w:ascii="Times New Roman" w:hAnsi="Times New Roman" w:cs="Times New Roman"/>
          <w:noProof/>
        </w:rPr>
        <w:t xml:space="preserve">With respect to the second topic, the large majority of respondents supported the on-going work of the European Post-Trade Forum </w:t>
      </w:r>
      <w:r>
        <w:rPr>
          <w:rFonts w:ascii="Times New Roman" w:hAnsi="Times New Roman" w:cs="Times New Roman"/>
          <w:noProof/>
        </w:rPr>
        <w:t>(EPTF) to dismantle existing barriers in the post-trade environment. A few respondents mentioned specific problems such as the following: (i) asset segregation (pointing out that rules are too strict); (ii) Central Clearing Counterparties' (CCPs) use of di</w:t>
      </w:r>
      <w:r>
        <w:rPr>
          <w:rFonts w:ascii="Times New Roman" w:hAnsi="Times New Roman" w:cs="Times New Roman"/>
          <w:noProof/>
        </w:rPr>
        <w:t>rect accounts in the books of Securities Settlement Systems under Art 47(3) of the European Market Infrastructure Regulation (saying this leads to unfair competition and suggesting that CCPs should have other options); and (iii) trade repositories and post</w:t>
      </w:r>
      <w:r>
        <w:rPr>
          <w:rFonts w:ascii="Times New Roman" w:hAnsi="Times New Roman" w:cs="Times New Roman"/>
          <w:noProof/>
        </w:rPr>
        <w:t>-trade reporting (arguing that trade repositories should have more developed rules on how information cou</w:t>
      </w:r>
      <w:r>
        <w:rPr>
          <w:noProof/>
        </w:rPr>
        <w:t>l</w:t>
      </w:r>
      <w:r>
        <w:rPr>
          <w:rFonts w:ascii="Times New Roman" w:hAnsi="Times New Roman" w:cs="Times New Roman"/>
          <w:noProof/>
        </w:rPr>
        <w:t>d be exchanged).</w:t>
      </w:r>
    </w:p>
    <w:p w:rsidR="009F3833" w:rsidRDefault="009F3833">
      <w:pPr>
        <w:rPr>
          <w:noProof/>
        </w:rPr>
      </w:pPr>
    </w:p>
    <w:sectPr w:rsidR="009F3833">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833" w:rsidRDefault="00EF0106">
      <w:pPr>
        <w:spacing w:after="0" w:line="240" w:lineRule="auto"/>
      </w:pPr>
      <w:r>
        <w:separator/>
      </w:r>
    </w:p>
  </w:endnote>
  <w:endnote w:type="continuationSeparator" w:id="0">
    <w:p w:rsidR="009F3833" w:rsidRDefault="00EF0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06" w:rsidRPr="00EF0106" w:rsidRDefault="00EF0106" w:rsidP="00EF01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06" w:rsidRPr="00EF0106" w:rsidRDefault="00EF0106" w:rsidP="00EF0106">
    <w:pPr>
      <w:pStyle w:val="FooterCoverPage"/>
      <w:rPr>
        <w:rFonts w:ascii="Arial" w:hAnsi="Arial" w:cs="Arial"/>
        <w:b/>
        <w:sz w:val="48"/>
      </w:rPr>
    </w:pPr>
    <w:r w:rsidRPr="00EF0106">
      <w:rPr>
        <w:rFonts w:ascii="Arial" w:hAnsi="Arial" w:cs="Arial"/>
        <w:b/>
        <w:sz w:val="48"/>
      </w:rPr>
      <w:t>EN</w:t>
    </w:r>
    <w:r w:rsidRPr="00EF0106">
      <w:rPr>
        <w:rFonts w:ascii="Arial" w:hAnsi="Arial" w:cs="Arial"/>
        <w:b/>
        <w:sz w:val="48"/>
      </w:rPr>
      <w:tab/>
    </w:r>
    <w:r w:rsidRPr="00EF0106">
      <w:rPr>
        <w:rFonts w:ascii="Arial" w:hAnsi="Arial" w:cs="Arial"/>
        <w:b/>
        <w:sz w:val="48"/>
      </w:rPr>
      <w:tab/>
    </w:r>
    <w:fldSimple w:instr=" DOCVARIABLE &quot;LW_Confidence&quot; \* MERGEFORMAT ">
      <w:r>
        <w:t xml:space="preserve"> </w:t>
      </w:r>
    </w:fldSimple>
    <w:r w:rsidRPr="00EF0106">
      <w:tab/>
    </w:r>
    <w:r w:rsidRPr="00EF0106">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06" w:rsidRPr="00EF0106" w:rsidRDefault="00EF0106" w:rsidP="00EF010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833" w:rsidRDefault="009F383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095222"/>
      <w:docPartObj>
        <w:docPartGallery w:val="Page Numbers (Bottom of Page)"/>
        <w:docPartUnique/>
      </w:docPartObj>
    </w:sdtPr>
    <w:sdtEndPr>
      <w:rPr>
        <w:noProof/>
      </w:rPr>
    </w:sdtEndPr>
    <w:sdtContent>
      <w:p w:rsidR="009F3833" w:rsidRDefault="00EF01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F3833" w:rsidRDefault="009F3833">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833" w:rsidRDefault="009F3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833" w:rsidRDefault="00EF0106">
      <w:pPr>
        <w:spacing w:after="0" w:line="240" w:lineRule="auto"/>
      </w:pPr>
      <w:r>
        <w:separator/>
      </w:r>
    </w:p>
  </w:footnote>
  <w:footnote w:type="continuationSeparator" w:id="0">
    <w:p w:rsidR="009F3833" w:rsidRDefault="00EF0106">
      <w:pPr>
        <w:spacing w:after="0" w:line="240" w:lineRule="auto"/>
      </w:pPr>
      <w:r>
        <w:continuationSeparator/>
      </w:r>
    </w:p>
  </w:footnote>
  <w:footnote w:id="1">
    <w:p w:rsidR="009F3833" w:rsidRDefault="00EF0106">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Action Plan on Building a Capital Markets Union, COM(2015)468 final, 30.9.2015</w:t>
      </w:r>
    </w:p>
  </w:footnote>
  <w:footnote w:id="2">
    <w:p w:rsidR="009F3833" w:rsidRDefault="00EF0106">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Accelerating the capital markets union: addressing national barriers to capital flows - COM(2017) 147 final , 24.03.2017 - </w:t>
      </w:r>
      <w:hyperlink r:id="rId1" w:history="1">
        <w:r>
          <w:rPr>
            <w:rStyle w:val="Hyperlink"/>
            <w:rFonts w:ascii="Times New Roman" w:hAnsi="Times New Roman"/>
          </w:rPr>
          <w:t>https://ec.europa.eu/info/files/170227-report-capi</w:t>
        </w:r>
        <w:r>
          <w:rPr>
            <w:rStyle w:val="Hyperlink"/>
            <w:rFonts w:ascii="Times New Roman" w:hAnsi="Times New Roman"/>
          </w:rPr>
          <w:t>tal-barriers_en</w:t>
        </w:r>
      </w:hyperlink>
      <w:r>
        <w:rPr>
          <w:rFonts w:ascii="Times New Roman" w:hAnsi="Times New Roman"/>
        </w:rPr>
        <w:t xml:space="preserve"> </w:t>
      </w:r>
    </w:p>
  </w:footnote>
  <w:footnote w:id="3">
    <w:p w:rsidR="009F3833" w:rsidRDefault="00EF0106">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Commission Proposal for a Directive on preventive restructuring frameworks, second chance and measures to increase the efficiency of restructuring, insolvency and discharge procedures and amending Directive 2012/30/EU, COM (2016) 723 fin</w:t>
      </w:r>
      <w:r>
        <w:rPr>
          <w:rFonts w:ascii="Times New Roman" w:hAnsi="Times New Roman"/>
        </w:rPr>
        <w: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06" w:rsidRPr="00EF0106" w:rsidRDefault="00EF0106" w:rsidP="00EF01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06" w:rsidRPr="00EF0106" w:rsidRDefault="00EF0106" w:rsidP="00EF010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06" w:rsidRPr="00EF0106" w:rsidRDefault="00EF0106" w:rsidP="00EF010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833" w:rsidRDefault="009F38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833" w:rsidRDefault="009F383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833" w:rsidRDefault="009F38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A1733"/>
    <w:multiLevelType w:val="hybridMultilevel"/>
    <w:tmpl w:val="85A22C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2109FA77FC36408DA8F7844FD7B4C0A6"/>
    <w:docVar w:name="LW_CROSSREFERENCE" w:val="{COM(2017) 292 final}_x000b_{SWD(2017) 224 final}"/>
    <w:docVar w:name="LW_DocType" w:val="NORMAL"/>
    <w:docVar w:name="LW_EMISSION" w:val="8.6.2017"/>
    <w:docVar w:name="LW_EMISSION_ISODATE" w:val="2017-06-08"/>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the Mid-Term Review of the Capital Markets Union Action Plan"/>
    <w:docVar w:name="LW_PART_NBR" w:val="1"/>
    <w:docVar w:name="LW_PART_NBR_TOTAL" w:val="1"/>
    <w:docVar w:name="LW_REF.INST.NEW" w:val="SWD"/>
    <w:docVar w:name="LW_REF.INST.NEW_ADOPTED" w:val="final"/>
    <w:docVar w:name="LW_REF.INST.NEW_TEXT" w:val="(2017) 225"/>
    <w:docVar w:name="LW_REF.INTERNE" w:val="&lt;UNUSED&gt;"/>
    <w:docVar w:name="LW_SUPERTITRE" w:val="&lt;UNUSED&gt;"/>
    <w:docVar w:name="LW_TITRE.OBJ.CP" w:val="Feedback Statement for the Public Consultation on the Capital Markets Union Mid-Term Review"/>
    <w:docVar w:name="LW_TYPE.DOC.CP" w:val="COMMISSION STAFF WORKING DOCUMENT"/>
    <w:docVar w:name="LW_TYPEACTEPRINCIPAL.CP" w:val="COMMUNICATION FROM THE COMMISSION TO THE EUROPEAN PARLIAMENT, THE COUNCIL, THE EUROPEAN ECONOMIC AND SOCIAL COMMITTEE AND THE COMMITTEE OF THE REGIONS"/>
  </w:docVars>
  <w:rsids>
    <w:rsidRoot w:val="009F3833"/>
    <w:rsid w:val="009F3833"/>
    <w:rsid w:val="00EF0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pPr>
      <w:keepNext/>
      <w:keepLines/>
      <w:spacing w:before="200" w:after="0"/>
      <w:jc w:val="both"/>
      <w:outlineLvl w:val="1"/>
    </w:pPr>
    <w:rPr>
      <w:rFonts w:eastAsiaTheme="majorEastAsia" w:cstheme="minorHAnsi"/>
      <w:b/>
      <w:bC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inorHAnsi"/>
      <w:b/>
      <w:bCs/>
      <w:sz w:val="28"/>
      <w:szCs w:val="28"/>
    </w:rPr>
  </w:style>
  <w:style w:type="character" w:customStyle="1" w:styleId="Heading2Char">
    <w:name w:val="Heading 2 Char"/>
    <w:basedOn w:val="DefaultParagraphFont"/>
    <w:link w:val="Heading2"/>
    <w:uiPriority w:val="9"/>
    <w:rPr>
      <w:rFonts w:eastAsiaTheme="majorEastAsia" w:cstheme="minorHAnsi"/>
      <w:b/>
      <w:bCs/>
      <w:noProof/>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Pardfaut">
    <w:name w:val="Par défaut"/>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heme="majorEastAsia" w:hAnsi="Times New Roman" w:cs="Times New Roman"/>
      <w:bCs/>
      <w:noProof/>
      <w:sz w:val="24"/>
      <w:szCs w:val="24"/>
      <w:lang w:val="en-US" w:eastAsia="ja-JP"/>
    </w:rPr>
  </w:style>
  <w:style w:type="character" w:customStyle="1" w:styleId="FooterCoverPageChar">
    <w:name w:val="Footer Cover Page Char"/>
    <w:basedOn w:val="DefaultParagraphFont"/>
    <w:link w:val="FooterCoverPage"/>
    <w:rPr>
      <w:rFonts w:ascii="Times New Roman" w:eastAsiaTheme="majorEastAsia" w:hAnsi="Times New Roman" w:cs="Times New Roman"/>
      <w:bCs/>
      <w:noProof/>
      <w:sz w:val="24"/>
      <w:szCs w:val="24"/>
      <w:lang w:val="en-US" w:eastAsia="ja-JP"/>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heme="majorEastAsia" w:hAnsi="Times New Roman" w:cs="Times New Roman"/>
      <w:bCs/>
      <w:noProof/>
      <w:sz w:val="24"/>
      <w:szCs w:val="24"/>
      <w:lang w:val="en-US" w:eastAsia="ja-JP"/>
    </w:rPr>
  </w:style>
  <w:style w:type="character" w:customStyle="1" w:styleId="HeaderCoverPageChar">
    <w:name w:val="Header Cover Page Char"/>
    <w:basedOn w:val="DefaultParagraphFont"/>
    <w:link w:val="HeaderCoverPage"/>
    <w:rPr>
      <w:rFonts w:ascii="Times New Roman" w:eastAsiaTheme="majorEastAsia" w:hAnsi="Times New Roman" w:cs="Times New Roman"/>
      <w:bCs/>
      <w:noProof/>
      <w:sz w:val="24"/>
      <w:szCs w:val="24"/>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pPr>
      <w:keepNext/>
      <w:keepLines/>
      <w:spacing w:before="200" w:after="0"/>
      <w:jc w:val="both"/>
      <w:outlineLvl w:val="1"/>
    </w:pPr>
    <w:rPr>
      <w:rFonts w:eastAsiaTheme="majorEastAsia" w:cstheme="minorHAnsi"/>
      <w:b/>
      <w:bC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inorHAnsi"/>
      <w:b/>
      <w:bCs/>
      <w:sz w:val="28"/>
      <w:szCs w:val="28"/>
    </w:rPr>
  </w:style>
  <w:style w:type="character" w:customStyle="1" w:styleId="Heading2Char">
    <w:name w:val="Heading 2 Char"/>
    <w:basedOn w:val="DefaultParagraphFont"/>
    <w:link w:val="Heading2"/>
    <w:uiPriority w:val="9"/>
    <w:rPr>
      <w:rFonts w:eastAsiaTheme="majorEastAsia" w:cstheme="minorHAnsi"/>
      <w:b/>
      <w:bCs/>
      <w:noProof/>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Pardfaut">
    <w:name w:val="Par défaut"/>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heme="majorEastAsia" w:hAnsi="Times New Roman" w:cs="Times New Roman"/>
      <w:bCs/>
      <w:noProof/>
      <w:sz w:val="24"/>
      <w:szCs w:val="24"/>
      <w:lang w:val="en-US" w:eastAsia="ja-JP"/>
    </w:rPr>
  </w:style>
  <w:style w:type="character" w:customStyle="1" w:styleId="FooterCoverPageChar">
    <w:name w:val="Footer Cover Page Char"/>
    <w:basedOn w:val="DefaultParagraphFont"/>
    <w:link w:val="FooterCoverPage"/>
    <w:rPr>
      <w:rFonts w:ascii="Times New Roman" w:eastAsiaTheme="majorEastAsia" w:hAnsi="Times New Roman" w:cs="Times New Roman"/>
      <w:bCs/>
      <w:noProof/>
      <w:sz w:val="24"/>
      <w:szCs w:val="24"/>
      <w:lang w:val="en-US" w:eastAsia="ja-JP"/>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heme="majorEastAsia" w:hAnsi="Times New Roman" w:cs="Times New Roman"/>
      <w:bCs/>
      <w:noProof/>
      <w:sz w:val="24"/>
      <w:szCs w:val="24"/>
      <w:lang w:val="en-US" w:eastAsia="ja-JP"/>
    </w:rPr>
  </w:style>
  <w:style w:type="character" w:customStyle="1" w:styleId="HeaderCoverPageChar">
    <w:name w:val="Header Cover Page Char"/>
    <w:basedOn w:val="DefaultParagraphFont"/>
    <w:link w:val="HeaderCoverPage"/>
    <w:rPr>
      <w:rFonts w:ascii="Times New Roman" w:eastAsiaTheme="majorEastAsia" w:hAnsi="Times New Roman" w:cs="Times New Roman"/>
      <w:bCs/>
      <w:noProof/>
      <w:sz w:val="24"/>
      <w:szCs w:val="24"/>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iles/170227-report-capital-barrier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6876</Words>
  <Characters>39815</Characters>
  <Application>Microsoft Office Word</Application>
  <DocSecurity>0</DocSecurity>
  <Lines>545</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KOUTZIAVASILI Dimitra (BUDG)</cp:lastModifiedBy>
  <cp:revision>31</cp:revision>
  <cp:lastPrinted>2017-05-29T09:09:00Z</cp:lastPrinted>
  <dcterms:created xsi:type="dcterms:W3CDTF">2017-05-24T12:56:00Z</dcterms:created>
  <dcterms:modified xsi:type="dcterms:W3CDTF">2017-06-07T09:50:00Z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