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rawings/drawing2.xml" ContentType="application/vnd.openxmlformats-officedocument.drawingml.chartshapes+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C3F" w:rsidRDefault="00E1215B" w:rsidP="00E1215B">
      <w:pPr>
        <w:pStyle w:val="Pagedecouverture"/>
        <w:rPr>
          <w:noProof/>
        </w:rPr>
      </w:pPr>
      <w:bookmarkStart w:id="0" w:name="_Toc472527261"/>
      <w:bookmarkStart w:id="1" w:name="_Toc479614350"/>
      <w:bookmarkStart w:id="2" w:name="LW_BM_COVERPAGE"/>
      <w:bookmarkStart w:id="3"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4D3DC952CD6C4ECB8116FA25F6C3743E" style="width:450pt;height:430.5pt">
            <v:imagedata r:id="rId12" o:title=""/>
          </v:shape>
        </w:pict>
      </w:r>
      <w:bookmarkEnd w:id="3"/>
    </w:p>
    <w:bookmarkEnd w:id="2"/>
    <w:p w:rsidR="00083C3F" w:rsidRDefault="00083C3F">
      <w:pPr>
        <w:rPr>
          <w:noProof/>
        </w:rPr>
        <w:sectPr w:rsidR="00083C3F" w:rsidSect="00E1215B">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299"/>
        </w:sectPr>
      </w:pPr>
    </w:p>
    <w:sdt>
      <w:sdtPr>
        <w:rPr>
          <w:rFonts w:asciiTheme="minorHAnsi" w:eastAsiaTheme="minorHAnsi" w:hAnsiTheme="minorHAnsi" w:cstheme="minorBidi"/>
          <w:b w:val="0"/>
          <w:bCs w:val="0"/>
          <w:noProof/>
          <w:color w:val="auto"/>
          <w:sz w:val="22"/>
          <w:szCs w:val="22"/>
          <w:lang w:val="en-GB" w:eastAsia="en-US"/>
        </w:rPr>
        <w:id w:val="184494897"/>
        <w:docPartObj>
          <w:docPartGallery w:val="Table of Contents"/>
          <w:docPartUnique/>
        </w:docPartObj>
      </w:sdtPr>
      <w:sdtEndPr>
        <w:rPr>
          <w:rFonts w:ascii="Times New Roman" w:hAnsi="Times New Roman"/>
        </w:rPr>
      </w:sdtEndPr>
      <w:sdtContent>
        <w:p w:rsidR="00083C3F" w:rsidRDefault="00E1215B">
          <w:pPr>
            <w:pStyle w:val="TOCHeading"/>
            <w:rPr>
              <w:noProof/>
              <w:lang w:val="en-GB"/>
            </w:rPr>
          </w:pPr>
          <w:r>
            <w:rPr>
              <w:noProof/>
              <w:lang w:val="en-GB"/>
            </w:rPr>
            <w:t>Contents</w:t>
          </w:r>
        </w:p>
        <w:p w:rsidR="00083C3F" w:rsidRDefault="00E1215B">
          <w:pPr>
            <w:pStyle w:val="TOC1"/>
            <w:rPr>
              <w:rFonts w:asciiTheme="minorHAnsi" w:eastAsiaTheme="minorEastAsia" w:hAnsiTheme="minorHAnsi"/>
              <w:noProof/>
              <w:lang w:eastAsia="en-GB"/>
            </w:rPr>
          </w:pPr>
          <w:r>
            <w:rPr>
              <w:noProof/>
            </w:rPr>
            <w:fldChar w:fldCharType="begin"/>
          </w:r>
          <w:r>
            <w:rPr>
              <w:noProof/>
            </w:rPr>
            <w:instrText xml:space="preserve"> TOC \o "1-3" \h \z \u </w:instrText>
          </w:r>
          <w:r>
            <w:rPr>
              <w:noProof/>
            </w:rPr>
            <w:fldChar w:fldCharType="separate"/>
          </w:r>
          <w:hyperlink w:anchor="_Toc482715248" w:history="1">
            <w:r>
              <w:rPr>
                <w:rStyle w:val="Hyperlink"/>
                <w:noProof/>
              </w:rPr>
              <w:t>List of abbreviations</w:t>
            </w:r>
            <w:r>
              <w:rPr>
                <w:noProof/>
                <w:webHidden/>
              </w:rPr>
              <w:tab/>
            </w:r>
            <w:r>
              <w:rPr>
                <w:noProof/>
                <w:webHidden/>
              </w:rPr>
              <w:fldChar w:fldCharType="begin"/>
            </w:r>
            <w:r>
              <w:rPr>
                <w:noProof/>
                <w:webHidden/>
              </w:rPr>
              <w:instrText xml:space="preserve"> PAGEREF _Toc482715248 \h </w:instrText>
            </w:r>
            <w:r>
              <w:rPr>
                <w:noProof/>
                <w:webHidden/>
              </w:rPr>
            </w:r>
            <w:r>
              <w:rPr>
                <w:noProof/>
                <w:webHidden/>
              </w:rPr>
              <w:fldChar w:fldCharType="separate"/>
            </w:r>
            <w:r>
              <w:rPr>
                <w:noProof/>
                <w:webHidden/>
              </w:rPr>
              <w:t>4</w:t>
            </w:r>
            <w:r>
              <w:rPr>
                <w:noProof/>
                <w:webHidden/>
              </w:rPr>
              <w:fldChar w:fldCharType="end"/>
            </w:r>
          </w:hyperlink>
        </w:p>
        <w:p w:rsidR="00083C3F" w:rsidRDefault="00E1215B">
          <w:pPr>
            <w:pStyle w:val="TOC1"/>
            <w:rPr>
              <w:rFonts w:asciiTheme="minorHAnsi" w:eastAsiaTheme="minorEastAsia" w:hAnsiTheme="minorHAnsi"/>
              <w:noProof/>
              <w:lang w:eastAsia="en-GB"/>
            </w:rPr>
          </w:pPr>
          <w:hyperlink w:anchor="_Toc482715249" w:history="1">
            <w:r>
              <w:rPr>
                <w:rStyle w:val="Hyperlink"/>
                <w:noProof/>
              </w:rPr>
              <w:t>Executive Summary</w:t>
            </w:r>
            <w:r>
              <w:rPr>
                <w:noProof/>
                <w:webHidden/>
              </w:rPr>
              <w:tab/>
            </w:r>
            <w:r>
              <w:rPr>
                <w:noProof/>
                <w:webHidden/>
              </w:rPr>
              <w:fldChar w:fldCharType="begin"/>
            </w:r>
            <w:r>
              <w:rPr>
                <w:noProof/>
                <w:webHidden/>
              </w:rPr>
              <w:instrText xml:space="preserve"> PAGEREF _Toc482715249 \h </w:instrText>
            </w:r>
            <w:r>
              <w:rPr>
                <w:noProof/>
                <w:webHidden/>
              </w:rPr>
            </w:r>
            <w:r>
              <w:rPr>
                <w:noProof/>
                <w:webHidden/>
              </w:rPr>
              <w:fldChar w:fldCharType="separate"/>
            </w:r>
            <w:r>
              <w:rPr>
                <w:noProof/>
                <w:webHidden/>
              </w:rPr>
              <w:t>5</w:t>
            </w:r>
            <w:r>
              <w:rPr>
                <w:noProof/>
                <w:webHidden/>
              </w:rPr>
              <w:fldChar w:fldCharType="end"/>
            </w:r>
          </w:hyperlink>
        </w:p>
        <w:p w:rsidR="00083C3F" w:rsidRDefault="00E1215B">
          <w:pPr>
            <w:pStyle w:val="TOC1"/>
            <w:rPr>
              <w:rFonts w:asciiTheme="minorHAnsi" w:eastAsiaTheme="minorEastAsia" w:hAnsiTheme="minorHAnsi"/>
              <w:noProof/>
              <w:lang w:eastAsia="en-GB"/>
            </w:rPr>
          </w:pPr>
          <w:hyperlink w:anchor="_Toc482715250" w:history="1">
            <w:r>
              <w:rPr>
                <w:rStyle w:val="Hyperlink"/>
                <w:noProof/>
              </w:rPr>
              <w:t>Introduction</w:t>
            </w:r>
            <w:r>
              <w:rPr>
                <w:noProof/>
                <w:webHidden/>
              </w:rPr>
              <w:tab/>
            </w:r>
            <w:r>
              <w:rPr>
                <w:noProof/>
                <w:webHidden/>
              </w:rPr>
              <w:fldChar w:fldCharType="begin"/>
            </w:r>
            <w:r>
              <w:rPr>
                <w:noProof/>
                <w:webHidden/>
              </w:rPr>
              <w:instrText xml:space="preserve"> PAGEREF _Toc482715250 \h </w:instrText>
            </w:r>
            <w:r>
              <w:rPr>
                <w:noProof/>
                <w:webHidden/>
              </w:rPr>
            </w:r>
            <w:r>
              <w:rPr>
                <w:noProof/>
                <w:webHidden/>
              </w:rPr>
              <w:fldChar w:fldCharType="separate"/>
            </w:r>
            <w:r>
              <w:rPr>
                <w:noProof/>
                <w:webHidden/>
              </w:rPr>
              <w:t>7</w:t>
            </w:r>
            <w:r>
              <w:rPr>
                <w:noProof/>
                <w:webHidden/>
              </w:rPr>
              <w:fldChar w:fldCharType="end"/>
            </w:r>
          </w:hyperlink>
        </w:p>
        <w:p w:rsidR="00083C3F" w:rsidRDefault="00E1215B">
          <w:pPr>
            <w:pStyle w:val="TOC1"/>
            <w:tabs>
              <w:tab w:val="left" w:pos="440"/>
            </w:tabs>
            <w:rPr>
              <w:rFonts w:asciiTheme="minorHAnsi" w:eastAsiaTheme="minorEastAsia" w:hAnsiTheme="minorHAnsi"/>
              <w:noProof/>
              <w:lang w:eastAsia="en-GB"/>
            </w:rPr>
          </w:pPr>
          <w:hyperlink w:anchor="_Toc482715251" w:history="1">
            <w:r>
              <w:rPr>
                <w:rStyle w:val="Hyperlink"/>
                <w:noProof/>
              </w:rPr>
              <w:t>1</w:t>
            </w:r>
            <w:r>
              <w:rPr>
                <w:rFonts w:asciiTheme="minorHAnsi" w:eastAsiaTheme="minorEastAsia" w:hAnsiTheme="minorHAnsi"/>
                <w:noProof/>
                <w:lang w:eastAsia="en-GB"/>
              </w:rPr>
              <w:tab/>
            </w:r>
            <w:r>
              <w:rPr>
                <w:rStyle w:val="Hyperlink"/>
                <w:noProof/>
              </w:rPr>
              <w:t>CMU: a general framework</w:t>
            </w:r>
            <w:r>
              <w:rPr>
                <w:noProof/>
                <w:webHidden/>
              </w:rPr>
              <w:tab/>
            </w:r>
            <w:r>
              <w:rPr>
                <w:noProof/>
                <w:webHidden/>
              </w:rPr>
              <w:fldChar w:fldCharType="begin"/>
            </w:r>
            <w:r>
              <w:rPr>
                <w:noProof/>
                <w:webHidden/>
              </w:rPr>
              <w:instrText xml:space="preserve"> PAGEREF _Toc482715251 \h </w:instrText>
            </w:r>
            <w:r>
              <w:rPr>
                <w:noProof/>
                <w:webHidden/>
              </w:rPr>
            </w:r>
            <w:r>
              <w:rPr>
                <w:noProof/>
                <w:webHidden/>
              </w:rPr>
              <w:fldChar w:fldCharType="separate"/>
            </w:r>
            <w:r>
              <w:rPr>
                <w:noProof/>
                <w:webHidden/>
              </w:rPr>
              <w:t>8</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52" w:history="1">
            <w:r>
              <w:rPr>
                <w:rStyle w:val="Hyperlink"/>
                <w:noProof/>
              </w:rPr>
              <w:t>1.1</w:t>
            </w:r>
            <w:r>
              <w:rPr>
                <w:rFonts w:asciiTheme="minorHAnsi" w:eastAsiaTheme="minorEastAsia" w:hAnsiTheme="minorHAnsi"/>
                <w:noProof/>
                <w:lang w:eastAsia="en-GB"/>
              </w:rPr>
              <w:tab/>
            </w:r>
            <w:r>
              <w:rPr>
                <w:rStyle w:val="Hyperlink"/>
                <w:noProof/>
              </w:rPr>
              <w:t>The design of the CMU action plan</w:t>
            </w:r>
            <w:r>
              <w:rPr>
                <w:noProof/>
                <w:webHidden/>
              </w:rPr>
              <w:tab/>
            </w:r>
            <w:r>
              <w:rPr>
                <w:noProof/>
                <w:webHidden/>
              </w:rPr>
              <w:fldChar w:fldCharType="begin"/>
            </w:r>
            <w:r>
              <w:rPr>
                <w:noProof/>
                <w:webHidden/>
              </w:rPr>
              <w:instrText xml:space="preserve"> PAGEREF _Toc482715252 \h </w:instrText>
            </w:r>
            <w:r>
              <w:rPr>
                <w:noProof/>
                <w:webHidden/>
              </w:rPr>
            </w:r>
            <w:r>
              <w:rPr>
                <w:noProof/>
                <w:webHidden/>
              </w:rPr>
              <w:fldChar w:fldCharType="separate"/>
            </w:r>
            <w:r>
              <w:rPr>
                <w:noProof/>
                <w:webHidden/>
              </w:rPr>
              <w:t>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53" w:history="1">
            <w:r>
              <w:rPr>
                <w:rStyle w:val="Hyperlink"/>
                <w:noProof/>
              </w:rPr>
              <w:t>1.1.1</w:t>
            </w:r>
            <w:r>
              <w:rPr>
                <w:rFonts w:asciiTheme="minorHAnsi" w:eastAsiaTheme="minorEastAsia" w:hAnsiTheme="minorHAnsi"/>
                <w:noProof/>
                <w:lang w:eastAsia="en-GB"/>
              </w:rPr>
              <w:tab/>
            </w:r>
            <w:r>
              <w:rPr>
                <w:rStyle w:val="Hyperlink"/>
                <w:noProof/>
              </w:rPr>
              <w:t>Overarching objectives</w:t>
            </w:r>
            <w:r>
              <w:rPr>
                <w:noProof/>
                <w:webHidden/>
              </w:rPr>
              <w:tab/>
            </w:r>
            <w:r>
              <w:rPr>
                <w:noProof/>
                <w:webHidden/>
              </w:rPr>
              <w:fldChar w:fldCharType="begin"/>
            </w:r>
            <w:r>
              <w:rPr>
                <w:noProof/>
                <w:webHidden/>
              </w:rPr>
              <w:instrText xml:space="preserve"> PAGEREF _Toc482715253 \h </w:instrText>
            </w:r>
            <w:r>
              <w:rPr>
                <w:noProof/>
                <w:webHidden/>
              </w:rPr>
            </w:r>
            <w:r>
              <w:rPr>
                <w:noProof/>
                <w:webHidden/>
              </w:rPr>
              <w:fldChar w:fldCharType="separate"/>
            </w:r>
            <w:r>
              <w:rPr>
                <w:noProof/>
                <w:webHidden/>
              </w:rPr>
              <w:t>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54" w:history="1">
            <w:r>
              <w:rPr>
                <w:rStyle w:val="Hyperlink"/>
                <w:noProof/>
              </w:rPr>
              <w:t>1.1.2</w:t>
            </w:r>
            <w:r>
              <w:rPr>
                <w:rFonts w:asciiTheme="minorHAnsi" w:eastAsiaTheme="minorEastAsia" w:hAnsiTheme="minorHAnsi"/>
                <w:noProof/>
                <w:lang w:eastAsia="en-GB"/>
              </w:rPr>
              <w:tab/>
            </w:r>
            <w:r>
              <w:rPr>
                <w:rStyle w:val="Hyperlink"/>
                <w:noProof/>
              </w:rPr>
              <w:t>Strategic objectives</w:t>
            </w:r>
            <w:r>
              <w:rPr>
                <w:noProof/>
                <w:webHidden/>
              </w:rPr>
              <w:tab/>
            </w:r>
            <w:r>
              <w:rPr>
                <w:noProof/>
                <w:webHidden/>
              </w:rPr>
              <w:fldChar w:fldCharType="begin"/>
            </w:r>
            <w:r>
              <w:rPr>
                <w:noProof/>
                <w:webHidden/>
              </w:rPr>
              <w:instrText xml:space="preserve"> PAGEREF _Toc482715254 \h </w:instrText>
            </w:r>
            <w:r>
              <w:rPr>
                <w:noProof/>
                <w:webHidden/>
              </w:rPr>
            </w:r>
            <w:r>
              <w:rPr>
                <w:noProof/>
                <w:webHidden/>
              </w:rPr>
              <w:fldChar w:fldCharType="separate"/>
            </w:r>
            <w:r>
              <w:rPr>
                <w:noProof/>
                <w:webHidden/>
              </w:rPr>
              <w:t>12</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55" w:history="1">
            <w:r>
              <w:rPr>
                <w:rStyle w:val="Hyperlink"/>
                <w:noProof/>
              </w:rPr>
              <w:t>1.1.3</w:t>
            </w:r>
            <w:r>
              <w:rPr>
                <w:rFonts w:asciiTheme="minorHAnsi" w:eastAsiaTheme="minorEastAsia" w:hAnsiTheme="minorHAnsi"/>
                <w:noProof/>
                <w:lang w:eastAsia="en-GB"/>
              </w:rPr>
              <w:tab/>
            </w:r>
            <w:r>
              <w:rPr>
                <w:rStyle w:val="Hyperlink"/>
                <w:noProof/>
              </w:rPr>
              <w:t>Operational objectives</w:t>
            </w:r>
            <w:r>
              <w:rPr>
                <w:noProof/>
                <w:webHidden/>
              </w:rPr>
              <w:tab/>
            </w:r>
            <w:r>
              <w:rPr>
                <w:noProof/>
                <w:webHidden/>
              </w:rPr>
              <w:fldChar w:fldCharType="begin"/>
            </w:r>
            <w:r>
              <w:rPr>
                <w:noProof/>
                <w:webHidden/>
              </w:rPr>
              <w:instrText xml:space="preserve"> PAGEREF _Toc482715255 \h </w:instrText>
            </w:r>
            <w:r>
              <w:rPr>
                <w:noProof/>
                <w:webHidden/>
              </w:rPr>
            </w:r>
            <w:r>
              <w:rPr>
                <w:noProof/>
                <w:webHidden/>
              </w:rPr>
              <w:fldChar w:fldCharType="separate"/>
            </w:r>
            <w:r>
              <w:rPr>
                <w:noProof/>
                <w:webHidden/>
              </w:rPr>
              <w:t>13</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56" w:history="1">
            <w:r>
              <w:rPr>
                <w:rStyle w:val="Hyperlink"/>
                <w:rFonts w:eastAsia="Times New Roman"/>
                <w:noProof/>
              </w:rPr>
              <w:t>1.1.4</w:t>
            </w:r>
            <w:r>
              <w:rPr>
                <w:rFonts w:asciiTheme="minorHAnsi" w:eastAsiaTheme="minorEastAsia" w:hAnsiTheme="minorHAnsi"/>
                <w:noProof/>
                <w:lang w:eastAsia="en-GB"/>
              </w:rPr>
              <w:tab/>
            </w:r>
            <w:r>
              <w:rPr>
                <w:rStyle w:val="Hyperlink"/>
                <w:noProof/>
              </w:rPr>
              <w:t>Completed actions so far</w:t>
            </w:r>
            <w:r>
              <w:rPr>
                <w:noProof/>
                <w:webHidden/>
              </w:rPr>
              <w:tab/>
            </w:r>
            <w:r>
              <w:rPr>
                <w:noProof/>
                <w:webHidden/>
              </w:rPr>
              <w:fldChar w:fldCharType="begin"/>
            </w:r>
            <w:r>
              <w:rPr>
                <w:noProof/>
                <w:webHidden/>
              </w:rPr>
              <w:instrText xml:space="preserve"> PAGEREF _Toc482715256 \h </w:instrText>
            </w:r>
            <w:r>
              <w:rPr>
                <w:noProof/>
                <w:webHidden/>
              </w:rPr>
            </w:r>
            <w:r>
              <w:rPr>
                <w:noProof/>
                <w:webHidden/>
              </w:rPr>
              <w:fldChar w:fldCharType="separate"/>
            </w:r>
            <w:r>
              <w:rPr>
                <w:noProof/>
                <w:webHidden/>
              </w:rPr>
              <w:t>16</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57" w:history="1">
            <w:r>
              <w:rPr>
                <w:rStyle w:val="Hyperlink"/>
                <w:noProof/>
              </w:rPr>
              <w:t>1.2</w:t>
            </w:r>
            <w:r>
              <w:rPr>
                <w:rFonts w:asciiTheme="minorHAnsi" w:eastAsiaTheme="minorEastAsia" w:hAnsiTheme="minorHAnsi"/>
                <w:noProof/>
                <w:lang w:eastAsia="en-GB"/>
              </w:rPr>
              <w:tab/>
            </w:r>
            <w:r>
              <w:rPr>
                <w:rStyle w:val="Hyperlink"/>
                <w:noProof/>
              </w:rPr>
              <w:t>CMU mid-term review: focus on supervision and capacity building</w:t>
            </w:r>
            <w:r>
              <w:rPr>
                <w:noProof/>
                <w:webHidden/>
              </w:rPr>
              <w:tab/>
            </w:r>
            <w:r>
              <w:rPr>
                <w:noProof/>
                <w:webHidden/>
              </w:rPr>
              <w:fldChar w:fldCharType="begin"/>
            </w:r>
            <w:r>
              <w:rPr>
                <w:noProof/>
                <w:webHidden/>
              </w:rPr>
              <w:instrText xml:space="preserve"> PAGEREF _Toc482715257 \h </w:instrText>
            </w:r>
            <w:r>
              <w:rPr>
                <w:noProof/>
                <w:webHidden/>
              </w:rPr>
            </w:r>
            <w:r>
              <w:rPr>
                <w:noProof/>
                <w:webHidden/>
              </w:rPr>
              <w:fldChar w:fldCharType="separate"/>
            </w:r>
            <w:r>
              <w:rPr>
                <w:noProof/>
                <w:webHidden/>
              </w:rPr>
              <w:t>18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58" w:history="1">
            <w:r>
              <w:rPr>
                <w:rStyle w:val="Hyperlink"/>
                <w:noProof/>
              </w:rPr>
              <w:t>1.2.1</w:t>
            </w:r>
            <w:r>
              <w:rPr>
                <w:rFonts w:asciiTheme="minorHAnsi" w:eastAsiaTheme="minorEastAsia" w:hAnsiTheme="minorHAnsi"/>
                <w:noProof/>
                <w:lang w:eastAsia="en-GB"/>
              </w:rPr>
              <w:tab/>
            </w:r>
            <w:r>
              <w:rPr>
                <w:rStyle w:val="Hyperlink"/>
                <w:noProof/>
              </w:rPr>
              <w:t>Pan-European enforcement and supervisory convergence</w:t>
            </w:r>
            <w:r>
              <w:rPr>
                <w:noProof/>
                <w:webHidden/>
              </w:rPr>
              <w:tab/>
            </w:r>
            <w:r>
              <w:rPr>
                <w:noProof/>
                <w:webHidden/>
              </w:rPr>
              <w:fldChar w:fldCharType="begin"/>
            </w:r>
            <w:r>
              <w:rPr>
                <w:noProof/>
                <w:webHidden/>
              </w:rPr>
              <w:instrText xml:space="preserve"> PAGEREF _Toc482715258 \h </w:instrText>
            </w:r>
            <w:r>
              <w:rPr>
                <w:noProof/>
                <w:webHidden/>
              </w:rPr>
            </w:r>
            <w:r>
              <w:rPr>
                <w:noProof/>
                <w:webHidden/>
              </w:rPr>
              <w:fldChar w:fldCharType="separate"/>
            </w:r>
            <w:r>
              <w:rPr>
                <w:noProof/>
                <w:webHidden/>
              </w:rPr>
              <w:t>18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59" w:history="1">
            <w:r>
              <w:rPr>
                <w:rStyle w:val="Hyperlink"/>
                <w:noProof/>
              </w:rPr>
              <w:t>1.2.2</w:t>
            </w:r>
            <w:r>
              <w:rPr>
                <w:rFonts w:asciiTheme="minorHAnsi" w:eastAsiaTheme="minorEastAsia" w:hAnsiTheme="minorHAnsi"/>
                <w:noProof/>
                <w:lang w:eastAsia="en-GB"/>
              </w:rPr>
              <w:tab/>
            </w:r>
            <w:r>
              <w:rPr>
                <w:rStyle w:val="Hyperlink"/>
                <w:noProof/>
              </w:rPr>
              <w:t>Building capacity for Europe's regional markets</w:t>
            </w:r>
            <w:r>
              <w:rPr>
                <w:noProof/>
                <w:webHidden/>
              </w:rPr>
              <w:tab/>
            </w:r>
            <w:r>
              <w:rPr>
                <w:noProof/>
                <w:webHidden/>
              </w:rPr>
              <w:fldChar w:fldCharType="begin"/>
            </w:r>
            <w:r>
              <w:rPr>
                <w:noProof/>
                <w:webHidden/>
              </w:rPr>
              <w:instrText xml:space="preserve"> PAGEREF _Toc482715259 \h </w:instrText>
            </w:r>
            <w:r>
              <w:rPr>
                <w:noProof/>
                <w:webHidden/>
              </w:rPr>
            </w:r>
            <w:r>
              <w:rPr>
                <w:noProof/>
                <w:webHidden/>
              </w:rPr>
              <w:fldChar w:fldCharType="separate"/>
            </w:r>
            <w:r>
              <w:rPr>
                <w:noProof/>
                <w:webHidden/>
              </w:rPr>
              <w:t>20</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60" w:history="1">
            <w:r>
              <w:rPr>
                <w:rStyle w:val="Hyperlink"/>
                <w:noProof/>
              </w:rPr>
              <w:t>1.3</w:t>
            </w:r>
            <w:r>
              <w:rPr>
                <w:rFonts w:asciiTheme="minorHAnsi" w:eastAsiaTheme="minorEastAsia" w:hAnsiTheme="minorHAnsi"/>
                <w:noProof/>
                <w:lang w:eastAsia="en-GB"/>
              </w:rPr>
              <w:tab/>
            </w:r>
            <w:r>
              <w:rPr>
                <w:rStyle w:val="Hyperlink"/>
                <w:noProof/>
              </w:rPr>
              <w:t>Key indicators</w:t>
            </w:r>
            <w:r>
              <w:rPr>
                <w:noProof/>
                <w:webHidden/>
              </w:rPr>
              <w:tab/>
            </w:r>
            <w:r>
              <w:rPr>
                <w:noProof/>
                <w:webHidden/>
              </w:rPr>
              <w:fldChar w:fldCharType="begin"/>
            </w:r>
            <w:r>
              <w:rPr>
                <w:noProof/>
                <w:webHidden/>
              </w:rPr>
              <w:instrText xml:space="preserve"> PAGEREF _Toc482715260 \h </w:instrText>
            </w:r>
            <w:r>
              <w:rPr>
                <w:noProof/>
                <w:webHidden/>
              </w:rPr>
            </w:r>
            <w:r>
              <w:rPr>
                <w:noProof/>
                <w:webHidden/>
              </w:rPr>
              <w:fldChar w:fldCharType="separate"/>
            </w:r>
            <w:r>
              <w:rPr>
                <w:noProof/>
                <w:webHidden/>
              </w:rPr>
              <w:t>21</w:t>
            </w:r>
            <w:r>
              <w:rPr>
                <w:noProof/>
                <w:webHidden/>
              </w:rPr>
              <w:fldChar w:fldCharType="end"/>
            </w:r>
          </w:hyperlink>
        </w:p>
        <w:p w:rsidR="00083C3F" w:rsidRDefault="00E1215B">
          <w:pPr>
            <w:pStyle w:val="TOC1"/>
            <w:tabs>
              <w:tab w:val="left" w:pos="440"/>
            </w:tabs>
            <w:rPr>
              <w:rFonts w:asciiTheme="minorHAnsi" w:eastAsiaTheme="minorEastAsia" w:hAnsiTheme="minorHAnsi"/>
              <w:noProof/>
              <w:lang w:eastAsia="en-GB"/>
            </w:rPr>
          </w:pPr>
          <w:hyperlink w:anchor="_Toc482715261" w:history="1">
            <w:r>
              <w:rPr>
                <w:rStyle w:val="Hyperlink"/>
                <w:noProof/>
              </w:rPr>
              <w:t>2</w:t>
            </w:r>
            <w:r>
              <w:rPr>
                <w:rFonts w:asciiTheme="minorHAnsi" w:eastAsiaTheme="minorEastAsia" w:hAnsiTheme="minorHAnsi"/>
                <w:noProof/>
                <w:lang w:eastAsia="en-GB"/>
              </w:rPr>
              <w:tab/>
            </w:r>
            <w:r>
              <w:rPr>
                <w:rStyle w:val="Hyperlink"/>
                <w:rFonts w:eastAsia="Times New Roman"/>
                <w:noProof/>
              </w:rPr>
              <w:t>Financing for Innovation, Start-ups and Non-listed Companies</w:t>
            </w:r>
            <w:r>
              <w:rPr>
                <w:noProof/>
                <w:webHidden/>
              </w:rPr>
              <w:tab/>
            </w:r>
            <w:r>
              <w:rPr>
                <w:noProof/>
                <w:webHidden/>
              </w:rPr>
              <w:fldChar w:fldCharType="begin"/>
            </w:r>
            <w:r>
              <w:rPr>
                <w:noProof/>
                <w:webHidden/>
              </w:rPr>
              <w:instrText xml:space="preserve"> PAGEREF _Toc482715261 \h </w:instrText>
            </w:r>
            <w:r>
              <w:rPr>
                <w:noProof/>
                <w:webHidden/>
              </w:rPr>
            </w:r>
            <w:r>
              <w:rPr>
                <w:noProof/>
                <w:webHidden/>
              </w:rPr>
              <w:fldChar w:fldCharType="separate"/>
            </w:r>
            <w:r>
              <w:rPr>
                <w:noProof/>
                <w:webHidden/>
              </w:rPr>
              <w:t>23</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62" w:history="1">
            <w:r>
              <w:rPr>
                <w:rStyle w:val="Hyperlink"/>
                <w:noProof/>
              </w:rPr>
              <w:t>2.1</w:t>
            </w:r>
            <w:r>
              <w:rPr>
                <w:rFonts w:asciiTheme="minorHAnsi" w:eastAsiaTheme="minorEastAsia" w:hAnsiTheme="minorHAnsi"/>
                <w:noProof/>
                <w:lang w:eastAsia="en-GB"/>
              </w:rPr>
              <w:tab/>
            </w:r>
            <w:r>
              <w:rPr>
                <w:rStyle w:val="Hyperlink"/>
                <w:noProof/>
              </w:rPr>
              <w:t>Markets and banks along the funding escalator</w:t>
            </w:r>
            <w:r>
              <w:rPr>
                <w:noProof/>
                <w:webHidden/>
              </w:rPr>
              <w:tab/>
            </w:r>
            <w:r>
              <w:rPr>
                <w:noProof/>
                <w:webHidden/>
              </w:rPr>
              <w:fldChar w:fldCharType="begin"/>
            </w:r>
            <w:r>
              <w:rPr>
                <w:noProof/>
                <w:webHidden/>
              </w:rPr>
              <w:instrText xml:space="preserve"> PAGEREF _Toc482715262 \h </w:instrText>
            </w:r>
            <w:r>
              <w:rPr>
                <w:noProof/>
                <w:webHidden/>
              </w:rPr>
            </w:r>
            <w:r>
              <w:rPr>
                <w:noProof/>
                <w:webHidden/>
              </w:rPr>
              <w:fldChar w:fldCharType="separate"/>
            </w:r>
            <w:r>
              <w:rPr>
                <w:noProof/>
                <w:webHidden/>
              </w:rPr>
              <w:t>23</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63" w:history="1">
            <w:r>
              <w:rPr>
                <w:rStyle w:val="Hyperlink"/>
                <w:noProof/>
              </w:rPr>
              <w:t>2.1.1</w:t>
            </w:r>
            <w:r>
              <w:rPr>
                <w:rFonts w:asciiTheme="minorHAnsi" w:eastAsiaTheme="minorEastAsia" w:hAnsiTheme="minorHAnsi"/>
                <w:noProof/>
                <w:lang w:eastAsia="en-GB"/>
              </w:rPr>
              <w:tab/>
            </w:r>
            <w:r>
              <w:rPr>
                <w:rStyle w:val="Hyperlink"/>
                <w:noProof/>
              </w:rPr>
              <w:t>Interaction between bank and market-</w:t>
            </w:r>
            <w:r>
              <w:rPr>
                <w:rStyle w:val="Hyperlink"/>
                <w:noProof/>
              </w:rPr>
              <w:t>based funding</w:t>
            </w:r>
            <w:r>
              <w:rPr>
                <w:noProof/>
                <w:webHidden/>
              </w:rPr>
              <w:tab/>
            </w:r>
            <w:r>
              <w:rPr>
                <w:noProof/>
                <w:webHidden/>
              </w:rPr>
              <w:fldChar w:fldCharType="begin"/>
            </w:r>
            <w:r>
              <w:rPr>
                <w:noProof/>
                <w:webHidden/>
              </w:rPr>
              <w:instrText xml:space="preserve"> PAGEREF _Toc482715263 \h </w:instrText>
            </w:r>
            <w:r>
              <w:rPr>
                <w:noProof/>
                <w:webHidden/>
              </w:rPr>
            </w:r>
            <w:r>
              <w:rPr>
                <w:noProof/>
                <w:webHidden/>
              </w:rPr>
              <w:fldChar w:fldCharType="separate"/>
            </w:r>
            <w:r>
              <w:rPr>
                <w:noProof/>
                <w:webHidden/>
              </w:rPr>
              <w:t>24</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64" w:history="1">
            <w:r>
              <w:rPr>
                <w:rStyle w:val="Hyperlink"/>
                <w:noProof/>
              </w:rPr>
              <w:t>2.1.2</w:t>
            </w:r>
            <w:r>
              <w:rPr>
                <w:rFonts w:asciiTheme="minorHAnsi" w:eastAsiaTheme="minorEastAsia" w:hAnsiTheme="minorHAnsi"/>
                <w:noProof/>
                <w:lang w:eastAsia="en-GB"/>
              </w:rPr>
              <w:tab/>
            </w:r>
            <w:r>
              <w:rPr>
                <w:rStyle w:val="Hyperlink"/>
                <w:noProof/>
              </w:rPr>
              <w:t>The SMEs funding jigsaw</w:t>
            </w:r>
            <w:r>
              <w:rPr>
                <w:noProof/>
                <w:webHidden/>
              </w:rPr>
              <w:tab/>
            </w:r>
            <w:r>
              <w:rPr>
                <w:noProof/>
                <w:webHidden/>
              </w:rPr>
              <w:fldChar w:fldCharType="begin"/>
            </w:r>
            <w:r>
              <w:rPr>
                <w:noProof/>
                <w:webHidden/>
              </w:rPr>
              <w:instrText xml:space="preserve"> PAGEREF _Toc482715264 \h </w:instrText>
            </w:r>
            <w:r>
              <w:rPr>
                <w:noProof/>
                <w:webHidden/>
              </w:rPr>
            </w:r>
            <w:r>
              <w:rPr>
                <w:noProof/>
                <w:webHidden/>
              </w:rPr>
              <w:fldChar w:fldCharType="separate"/>
            </w:r>
            <w:r>
              <w:rPr>
                <w:noProof/>
                <w:webHidden/>
              </w:rPr>
              <w:t>24</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65" w:history="1">
            <w:r>
              <w:rPr>
                <w:rStyle w:val="Hyperlink"/>
                <w:noProof/>
              </w:rPr>
              <w:t>2.2</w:t>
            </w:r>
            <w:r>
              <w:rPr>
                <w:rFonts w:asciiTheme="minorHAnsi" w:eastAsiaTheme="minorEastAsia" w:hAnsiTheme="minorHAnsi"/>
                <w:noProof/>
                <w:lang w:eastAsia="en-GB"/>
              </w:rPr>
              <w:tab/>
            </w:r>
            <w:r>
              <w:rPr>
                <w:rStyle w:val="Hyperlink"/>
                <w:noProof/>
              </w:rPr>
              <w:t>Characteristics of Europe's funding escalator</w:t>
            </w:r>
            <w:r>
              <w:rPr>
                <w:noProof/>
                <w:webHidden/>
              </w:rPr>
              <w:tab/>
            </w:r>
            <w:r>
              <w:rPr>
                <w:noProof/>
                <w:webHidden/>
              </w:rPr>
              <w:fldChar w:fldCharType="begin"/>
            </w:r>
            <w:r>
              <w:rPr>
                <w:noProof/>
                <w:webHidden/>
              </w:rPr>
              <w:instrText xml:space="preserve"> PAGEREF _Toc482715265 \h </w:instrText>
            </w:r>
            <w:r>
              <w:rPr>
                <w:noProof/>
                <w:webHidden/>
              </w:rPr>
            </w:r>
            <w:r>
              <w:rPr>
                <w:noProof/>
                <w:webHidden/>
              </w:rPr>
              <w:fldChar w:fldCharType="separate"/>
            </w:r>
            <w:r>
              <w:rPr>
                <w:noProof/>
                <w:webHidden/>
              </w:rPr>
              <w:t>26</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66" w:history="1">
            <w:r>
              <w:rPr>
                <w:rStyle w:val="Hyperlink"/>
                <w:noProof/>
              </w:rPr>
              <w:t>2.2.1</w:t>
            </w:r>
            <w:r>
              <w:rPr>
                <w:rFonts w:asciiTheme="minorHAnsi" w:eastAsiaTheme="minorEastAsia" w:hAnsiTheme="minorHAnsi"/>
                <w:noProof/>
                <w:lang w:eastAsia="en-GB"/>
              </w:rPr>
              <w:tab/>
            </w:r>
            <w:r>
              <w:rPr>
                <w:rStyle w:val="Hyperlink"/>
                <w:noProof/>
              </w:rPr>
              <w:t>Funding with risk concentration</w:t>
            </w:r>
            <w:r>
              <w:rPr>
                <w:noProof/>
                <w:webHidden/>
              </w:rPr>
              <w:tab/>
            </w:r>
            <w:r>
              <w:rPr>
                <w:noProof/>
                <w:webHidden/>
              </w:rPr>
              <w:fldChar w:fldCharType="begin"/>
            </w:r>
            <w:r>
              <w:rPr>
                <w:noProof/>
                <w:webHidden/>
              </w:rPr>
              <w:instrText xml:space="preserve"> PAGEREF _Toc482715266 \h </w:instrText>
            </w:r>
            <w:r>
              <w:rPr>
                <w:noProof/>
                <w:webHidden/>
              </w:rPr>
            </w:r>
            <w:r>
              <w:rPr>
                <w:noProof/>
                <w:webHidden/>
              </w:rPr>
              <w:fldChar w:fldCharType="separate"/>
            </w:r>
            <w:r>
              <w:rPr>
                <w:noProof/>
                <w:webHidden/>
              </w:rPr>
              <w:t>26</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67" w:history="1">
            <w:r>
              <w:rPr>
                <w:rStyle w:val="Hyperlink"/>
                <w:noProof/>
              </w:rPr>
              <w:t>2.2.2</w:t>
            </w:r>
            <w:r>
              <w:rPr>
                <w:rFonts w:asciiTheme="minorHAnsi" w:eastAsiaTheme="minorEastAsia" w:hAnsiTheme="minorHAnsi"/>
                <w:noProof/>
                <w:lang w:eastAsia="en-GB"/>
              </w:rPr>
              <w:tab/>
            </w:r>
            <w:r>
              <w:rPr>
                <w:rStyle w:val="Hyperlink"/>
                <w:noProof/>
              </w:rPr>
              <w:t>Funding with risk dispersion</w:t>
            </w:r>
            <w:r>
              <w:rPr>
                <w:noProof/>
                <w:webHidden/>
              </w:rPr>
              <w:tab/>
            </w:r>
            <w:r>
              <w:rPr>
                <w:noProof/>
                <w:webHidden/>
              </w:rPr>
              <w:fldChar w:fldCharType="begin"/>
            </w:r>
            <w:r>
              <w:rPr>
                <w:noProof/>
                <w:webHidden/>
              </w:rPr>
              <w:instrText xml:space="preserve"> PAGEREF _Toc482715267 \h </w:instrText>
            </w:r>
            <w:r>
              <w:rPr>
                <w:noProof/>
                <w:webHidden/>
              </w:rPr>
            </w:r>
            <w:r>
              <w:rPr>
                <w:noProof/>
                <w:webHidden/>
              </w:rPr>
              <w:fldChar w:fldCharType="separate"/>
            </w:r>
            <w:r>
              <w:rPr>
                <w:noProof/>
                <w:webHidden/>
              </w:rPr>
              <w:t>30</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68" w:history="1">
            <w:r>
              <w:rPr>
                <w:rStyle w:val="Hyperlink"/>
                <w:noProof/>
              </w:rPr>
              <w:t>2.3</w:t>
            </w:r>
            <w:r>
              <w:rPr>
                <w:rFonts w:asciiTheme="minorHAnsi" w:eastAsiaTheme="minorEastAsia" w:hAnsiTheme="minorHAnsi"/>
                <w:noProof/>
                <w:lang w:eastAsia="en-GB"/>
              </w:rPr>
              <w:tab/>
            </w:r>
            <w:r>
              <w:rPr>
                <w:rStyle w:val="Hyperlink"/>
                <w:noProof/>
              </w:rPr>
              <w:t>General policy implications</w:t>
            </w:r>
            <w:r>
              <w:rPr>
                <w:noProof/>
                <w:webHidden/>
              </w:rPr>
              <w:tab/>
            </w:r>
            <w:r>
              <w:rPr>
                <w:noProof/>
                <w:webHidden/>
              </w:rPr>
              <w:fldChar w:fldCharType="begin"/>
            </w:r>
            <w:r>
              <w:rPr>
                <w:noProof/>
                <w:webHidden/>
              </w:rPr>
              <w:instrText xml:space="preserve"> PAGEREF _Toc482715268 \h </w:instrText>
            </w:r>
            <w:r>
              <w:rPr>
                <w:noProof/>
                <w:webHidden/>
              </w:rPr>
            </w:r>
            <w:r>
              <w:rPr>
                <w:noProof/>
                <w:webHidden/>
              </w:rPr>
              <w:fldChar w:fldCharType="separate"/>
            </w:r>
            <w:r>
              <w:rPr>
                <w:noProof/>
                <w:webHidden/>
              </w:rPr>
              <w:t>33</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69" w:history="1">
            <w:r>
              <w:rPr>
                <w:rStyle w:val="Hyperlink"/>
                <w:noProof/>
              </w:rPr>
              <w:t>2.4</w:t>
            </w:r>
            <w:r>
              <w:rPr>
                <w:rFonts w:asciiTheme="minorHAnsi" w:eastAsiaTheme="minorEastAsia" w:hAnsiTheme="minorHAnsi"/>
                <w:noProof/>
                <w:lang w:eastAsia="en-GB"/>
              </w:rPr>
              <w:tab/>
            </w:r>
            <w:r>
              <w:rPr>
                <w:rStyle w:val="Hyperlink"/>
                <w:noProof/>
              </w:rPr>
              <w:t>Key indicators</w:t>
            </w:r>
            <w:r>
              <w:rPr>
                <w:noProof/>
                <w:webHidden/>
              </w:rPr>
              <w:tab/>
            </w:r>
            <w:r>
              <w:rPr>
                <w:noProof/>
                <w:webHidden/>
              </w:rPr>
              <w:fldChar w:fldCharType="begin"/>
            </w:r>
            <w:r>
              <w:rPr>
                <w:noProof/>
                <w:webHidden/>
              </w:rPr>
              <w:instrText xml:space="preserve"> PAGEREF _Toc482715269 \h </w:instrText>
            </w:r>
            <w:r>
              <w:rPr>
                <w:noProof/>
                <w:webHidden/>
              </w:rPr>
            </w:r>
            <w:r>
              <w:rPr>
                <w:noProof/>
                <w:webHidden/>
              </w:rPr>
              <w:fldChar w:fldCharType="separate"/>
            </w:r>
            <w:r>
              <w:rPr>
                <w:noProof/>
                <w:webHidden/>
              </w:rPr>
              <w:t>34</w:t>
            </w:r>
            <w:r>
              <w:rPr>
                <w:noProof/>
                <w:webHidden/>
              </w:rPr>
              <w:fldChar w:fldCharType="end"/>
            </w:r>
          </w:hyperlink>
        </w:p>
        <w:p w:rsidR="00083C3F" w:rsidRDefault="00E1215B">
          <w:pPr>
            <w:pStyle w:val="TOC1"/>
            <w:tabs>
              <w:tab w:val="left" w:pos="440"/>
            </w:tabs>
            <w:rPr>
              <w:rFonts w:asciiTheme="minorHAnsi" w:eastAsiaTheme="minorEastAsia" w:hAnsiTheme="minorHAnsi"/>
              <w:noProof/>
              <w:lang w:eastAsia="en-GB"/>
            </w:rPr>
          </w:pPr>
          <w:hyperlink w:anchor="_Toc482715270" w:history="1">
            <w:r>
              <w:rPr>
                <w:rStyle w:val="Hyperlink"/>
                <w:noProof/>
              </w:rPr>
              <w:t>3</w:t>
            </w:r>
            <w:r>
              <w:rPr>
                <w:rFonts w:asciiTheme="minorHAnsi" w:eastAsiaTheme="minorEastAsia" w:hAnsiTheme="minorHAnsi"/>
                <w:noProof/>
                <w:lang w:eastAsia="en-GB"/>
              </w:rPr>
              <w:tab/>
            </w:r>
            <w:r>
              <w:rPr>
                <w:rStyle w:val="Hyperlink"/>
                <w:noProof/>
              </w:rPr>
              <w:t xml:space="preserve">Making it Easier for </w:t>
            </w:r>
            <w:r>
              <w:rPr>
                <w:rStyle w:val="Hyperlink"/>
                <w:noProof/>
              </w:rPr>
              <w:t>Companies to Enter and Raise Capital on Public Markets</w:t>
            </w:r>
            <w:r>
              <w:rPr>
                <w:noProof/>
                <w:webHidden/>
              </w:rPr>
              <w:tab/>
            </w:r>
            <w:r>
              <w:rPr>
                <w:noProof/>
                <w:webHidden/>
              </w:rPr>
              <w:fldChar w:fldCharType="begin"/>
            </w:r>
            <w:r>
              <w:rPr>
                <w:noProof/>
                <w:webHidden/>
              </w:rPr>
              <w:instrText xml:space="preserve"> PAGEREF _Toc482715270 \h </w:instrText>
            </w:r>
            <w:r>
              <w:rPr>
                <w:noProof/>
                <w:webHidden/>
              </w:rPr>
            </w:r>
            <w:r>
              <w:rPr>
                <w:noProof/>
                <w:webHidden/>
              </w:rPr>
              <w:fldChar w:fldCharType="separate"/>
            </w:r>
            <w:r>
              <w:rPr>
                <w:noProof/>
                <w:webHidden/>
              </w:rPr>
              <w:t>36</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71" w:history="1">
            <w:r>
              <w:rPr>
                <w:rStyle w:val="Hyperlink"/>
                <w:noProof/>
              </w:rPr>
              <w:t>3.1</w:t>
            </w:r>
            <w:r>
              <w:rPr>
                <w:rFonts w:asciiTheme="minorHAnsi" w:eastAsiaTheme="minorEastAsia" w:hAnsiTheme="minorHAnsi"/>
                <w:noProof/>
                <w:lang w:eastAsia="en-GB"/>
              </w:rPr>
              <w:tab/>
            </w:r>
            <w:r>
              <w:rPr>
                <w:rStyle w:val="Hyperlink"/>
                <w:noProof/>
              </w:rPr>
              <w:t>Access to public markets: long-term trends</w:t>
            </w:r>
            <w:r>
              <w:rPr>
                <w:noProof/>
                <w:webHidden/>
              </w:rPr>
              <w:tab/>
            </w:r>
            <w:r>
              <w:rPr>
                <w:noProof/>
                <w:webHidden/>
              </w:rPr>
              <w:fldChar w:fldCharType="begin"/>
            </w:r>
            <w:r>
              <w:rPr>
                <w:noProof/>
                <w:webHidden/>
              </w:rPr>
              <w:instrText xml:space="preserve"> PAGEREF _Toc482715271 \h</w:instrText>
            </w:r>
            <w:r>
              <w:rPr>
                <w:noProof/>
                <w:webHidden/>
              </w:rPr>
              <w:instrText xml:space="preserve"> </w:instrText>
            </w:r>
            <w:r>
              <w:rPr>
                <w:noProof/>
                <w:webHidden/>
              </w:rPr>
            </w:r>
            <w:r>
              <w:rPr>
                <w:noProof/>
                <w:webHidden/>
              </w:rPr>
              <w:fldChar w:fldCharType="separate"/>
            </w:r>
            <w:r>
              <w:rPr>
                <w:noProof/>
                <w:webHidden/>
              </w:rPr>
              <w:t>36</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72" w:history="1">
            <w:r>
              <w:rPr>
                <w:rStyle w:val="Hyperlink"/>
                <w:noProof/>
              </w:rPr>
              <w:t>3.1.1</w:t>
            </w:r>
            <w:r>
              <w:rPr>
                <w:rFonts w:asciiTheme="minorHAnsi" w:eastAsiaTheme="minorEastAsia" w:hAnsiTheme="minorHAnsi"/>
                <w:noProof/>
                <w:lang w:eastAsia="en-GB"/>
              </w:rPr>
              <w:tab/>
            </w:r>
            <w:r>
              <w:rPr>
                <w:rStyle w:val="Hyperlink"/>
                <w:noProof/>
              </w:rPr>
              <w:t>Financial structure of EU firms</w:t>
            </w:r>
            <w:r>
              <w:rPr>
                <w:noProof/>
                <w:webHidden/>
              </w:rPr>
              <w:tab/>
            </w:r>
            <w:r>
              <w:rPr>
                <w:noProof/>
                <w:webHidden/>
              </w:rPr>
              <w:fldChar w:fldCharType="begin"/>
            </w:r>
            <w:r>
              <w:rPr>
                <w:noProof/>
                <w:webHidden/>
              </w:rPr>
              <w:instrText xml:space="preserve"> PAGEREF _Toc482715272 \h </w:instrText>
            </w:r>
            <w:r>
              <w:rPr>
                <w:noProof/>
                <w:webHidden/>
              </w:rPr>
            </w:r>
            <w:r>
              <w:rPr>
                <w:noProof/>
                <w:webHidden/>
              </w:rPr>
              <w:fldChar w:fldCharType="separate"/>
            </w:r>
            <w:r>
              <w:rPr>
                <w:noProof/>
                <w:webHidden/>
              </w:rPr>
              <w:t>36</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73" w:history="1">
            <w:r>
              <w:rPr>
                <w:rStyle w:val="Hyperlink"/>
                <w:noProof/>
              </w:rPr>
              <w:t>3.1.2</w:t>
            </w:r>
            <w:r>
              <w:rPr>
                <w:rFonts w:asciiTheme="minorHAnsi" w:eastAsiaTheme="minorEastAsia" w:hAnsiTheme="minorHAnsi"/>
                <w:noProof/>
                <w:lang w:eastAsia="en-GB"/>
              </w:rPr>
              <w:tab/>
            </w:r>
            <w:r>
              <w:rPr>
                <w:rStyle w:val="Hyperlink"/>
                <w:noProof/>
              </w:rPr>
              <w:t>Developments in public equity and debt markets</w:t>
            </w:r>
            <w:r>
              <w:rPr>
                <w:noProof/>
                <w:webHidden/>
              </w:rPr>
              <w:tab/>
            </w:r>
            <w:r>
              <w:rPr>
                <w:noProof/>
                <w:webHidden/>
              </w:rPr>
              <w:fldChar w:fldCharType="begin"/>
            </w:r>
            <w:r>
              <w:rPr>
                <w:noProof/>
                <w:webHidden/>
              </w:rPr>
              <w:instrText xml:space="preserve"> PAGEREF _Toc482715273 \h </w:instrText>
            </w:r>
            <w:r>
              <w:rPr>
                <w:noProof/>
                <w:webHidden/>
              </w:rPr>
            </w:r>
            <w:r>
              <w:rPr>
                <w:noProof/>
                <w:webHidden/>
              </w:rPr>
              <w:fldChar w:fldCharType="separate"/>
            </w:r>
            <w:r>
              <w:rPr>
                <w:noProof/>
                <w:webHidden/>
              </w:rPr>
              <w:t>38</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74" w:history="1">
            <w:r>
              <w:rPr>
                <w:rStyle w:val="Hyperlink"/>
                <w:noProof/>
              </w:rPr>
              <w:t>3.2</w:t>
            </w:r>
            <w:r>
              <w:rPr>
                <w:rFonts w:asciiTheme="minorHAnsi" w:eastAsiaTheme="minorEastAsia" w:hAnsiTheme="minorHAnsi"/>
                <w:noProof/>
                <w:lang w:eastAsia="en-GB"/>
              </w:rPr>
              <w:tab/>
            </w:r>
            <w:r>
              <w:rPr>
                <w:rStyle w:val="Hyperlink"/>
                <w:noProof/>
              </w:rPr>
              <w:t>Drivers of going public</w:t>
            </w:r>
            <w:r>
              <w:rPr>
                <w:noProof/>
                <w:webHidden/>
              </w:rPr>
              <w:tab/>
            </w:r>
            <w:r>
              <w:rPr>
                <w:noProof/>
                <w:webHidden/>
              </w:rPr>
              <w:fldChar w:fldCharType="begin"/>
            </w:r>
            <w:r>
              <w:rPr>
                <w:noProof/>
                <w:webHidden/>
              </w:rPr>
              <w:instrText xml:space="preserve"> PAGEREF _Toc482715274 \h </w:instrText>
            </w:r>
            <w:r>
              <w:rPr>
                <w:noProof/>
                <w:webHidden/>
              </w:rPr>
            </w:r>
            <w:r>
              <w:rPr>
                <w:noProof/>
                <w:webHidden/>
              </w:rPr>
              <w:fldChar w:fldCharType="separate"/>
            </w:r>
            <w:r>
              <w:rPr>
                <w:noProof/>
                <w:webHidden/>
              </w:rPr>
              <w:t>42</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75" w:history="1">
            <w:r>
              <w:rPr>
                <w:rStyle w:val="Hyperlink"/>
                <w:noProof/>
              </w:rPr>
              <w:t>3.2.1</w:t>
            </w:r>
            <w:r>
              <w:rPr>
                <w:rFonts w:asciiTheme="minorHAnsi" w:eastAsiaTheme="minorEastAsia" w:hAnsiTheme="minorHAnsi"/>
                <w:noProof/>
                <w:lang w:eastAsia="en-GB"/>
              </w:rPr>
              <w:tab/>
            </w:r>
            <w:r>
              <w:rPr>
                <w:rStyle w:val="Hyperlink"/>
                <w:noProof/>
              </w:rPr>
              <w:t>Equity</w:t>
            </w:r>
            <w:r>
              <w:rPr>
                <w:noProof/>
                <w:webHidden/>
              </w:rPr>
              <w:tab/>
            </w:r>
            <w:r>
              <w:rPr>
                <w:noProof/>
                <w:webHidden/>
              </w:rPr>
              <w:fldChar w:fldCharType="begin"/>
            </w:r>
            <w:r>
              <w:rPr>
                <w:noProof/>
                <w:webHidden/>
              </w:rPr>
              <w:instrText xml:space="preserve"> PAGEREF _Toc482715275 \h </w:instrText>
            </w:r>
            <w:r>
              <w:rPr>
                <w:noProof/>
                <w:webHidden/>
              </w:rPr>
            </w:r>
            <w:r>
              <w:rPr>
                <w:noProof/>
                <w:webHidden/>
              </w:rPr>
              <w:fldChar w:fldCharType="separate"/>
            </w:r>
            <w:r>
              <w:rPr>
                <w:noProof/>
                <w:webHidden/>
              </w:rPr>
              <w:t>42</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76" w:history="1">
            <w:r>
              <w:rPr>
                <w:rStyle w:val="Hyperlink"/>
                <w:noProof/>
              </w:rPr>
              <w:t>3.2.2</w:t>
            </w:r>
            <w:r>
              <w:rPr>
                <w:rFonts w:asciiTheme="minorHAnsi" w:eastAsiaTheme="minorEastAsia" w:hAnsiTheme="minorHAnsi"/>
                <w:noProof/>
                <w:lang w:eastAsia="en-GB"/>
              </w:rPr>
              <w:tab/>
            </w:r>
            <w:r>
              <w:rPr>
                <w:rStyle w:val="Hyperlink"/>
                <w:noProof/>
              </w:rPr>
              <w:t>Corporate bonds</w:t>
            </w:r>
            <w:r>
              <w:rPr>
                <w:noProof/>
                <w:webHidden/>
              </w:rPr>
              <w:tab/>
            </w:r>
            <w:r>
              <w:rPr>
                <w:noProof/>
                <w:webHidden/>
              </w:rPr>
              <w:fldChar w:fldCharType="begin"/>
            </w:r>
            <w:r>
              <w:rPr>
                <w:noProof/>
                <w:webHidden/>
              </w:rPr>
              <w:instrText xml:space="preserve"> PAGEREF _Toc482715276 \h </w:instrText>
            </w:r>
            <w:r>
              <w:rPr>
                <w:noProof/>
                <w:webHidden/>
              </w:rPr>
            </w:r>
            <w:r>
              <w:rPr>
                <w:noProof/>
                <w:webHidden/>
              </w:rPr>
              <w:fldChar w:fldCharType="separate"/>
            </w:r>
            <w:r>
              <w:rPr>
                <w:noProof/>
                <w:webHidden/>
              </w:rPr>
              <w:t>47</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77" w:history="1">
            <w:r>
              <w:rPr>
                <w:rStyle w:val="Hyperlink"/>
                <w:noProof/>
              </w:rPr>
              <w:t>3.3</w:t>
            </w:r>
            <w:r>
              <w:rPr>
                <w:rFonts w:asciiTheme="minorHAnsi" w:eastAsiaTheme="minorEastAsia" w:hAnsiTheme="minorHAnsi"/>
                <w:noProof/>
                <w:lang w:eastAsia="en-GB"/>
              </w:rPr>
              <w:tab/>
            </w:r>
            <w:r>
              <w:rPr>
                <w:rStyle w:val="Hyperlink"/>
                <w:noProof/>
              </w:rPr>
              <w:t>Ge</w:t>
            </w:r>
            <w:r>
              <w:rPr>
                <w:rStyle w:val="Hyperlink"/>
                <w:noProof/>
              </w:rPr>
              <w:t>neral policy implications</w:t>
            </w:r>
            <w:r>
              <w:rPr>
                <w:noProof/>
                <w:webHidden/>
              </w:rPr>
              <w:tab/>
            </w:r>
            <w:r>
              <w:rPr>
                <w:noProof/>
                <w:webHidden/>
              </w:rPr>
              <w:fldChar w:fldCharType="begin"/>
            </w:r>
            <w:r>
              <w:rPr>
                <w:noProof/>
                <w:webHidden/>
              </w:rPr>
              <w:instrText xml:space="preserve"> PAGEREF _Toc482715277 \h </w:instrText>
            </w:r>
            <w:r>
              <w:rPr>
                <w:noProof/>
                <w:webHidden/>
              </w:rPr>
            </w:r>
            <w:r>
              <w:rPr>
                <w:noProof/>
                <w:webHidden/>
              </w:rPr>
              <w:fldChar w:fldCharType="separate"/>
            </w:r>
            <w:r>
              <w:rPr>
                <w:noProof/>
                <w:webHidden/>
              </w:rPr>
              <w:t>49</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78" w:history="1">
            <w:r>
              <w:rPr>
                <w:rStyle w:val="Hyperlink"/>
                <w:noProof/>
              </w:rPr>
              <w:t>3.4</w:t>
            </w:r>
            <w:r>
              <w:rPr>
                <w:rFonts w:asciiTheme="minorHAnsi" w:eastAsiaTheme="minorEastAsia" w:hAnsiTheme="minorHAnsi"/>
                <w:noProof/>
                <w:lang w:eastAsia="en-GB"/>
              </w:rPr>
              <w:tab/>
            </w:r>
            <w:r>
              <w:rPr>
                <w:rStyle w:val="Hyperlink"/>
                <w:noProof/>
              </w:rPr>
              <w:t>Key indicators</w:t>
            </w:r>
            <w:r>
              <w:rPr>
                <w:noProof/>
                <w:webHidden/>
              </w:rPr>
              <w:tab/>
            </w:r>
            <w:r>
              <w:rPr>
                <w:noProof/>
                <w:webHidden/>
              </w:rPr>
              <w:fldChar w:fldCharType="begin"/>
            </w:r>
            <w:r>
              <w:rPr>
                <w:noProof/>
                <w:webHidden/>
              </w:rPr>
              <w:instrText xml:space="preserve"> PAGEREF _Toc482715278 \h </w:instrText>
            </w:r>
            <w:r>
              <w:rPr>
                <w:noProof/>
                <w:webHidden/>
              </w:rPr>
            </w:r>
            <w:r>
              <w:rPr>
                <w:noProof/>
                <w:webHidden/>
              </w:rPr>
              <w:fldChar w:fldCharType="separate"/>
            </w:r>
            <w:r>
              <w:rPr>
                <w:noProof/>
                <w:webHidden/>
              </w:rPr>
              <w:t>50</w:t>
            </w:r>
            <w:r>
              <w:rPr>
                <w:noProof/>
                <w:webHidden/>
              </w:rPr>
              <w:fldChar w:fldCharType="end"/>
            </w:r>
          </w:hyperlink>
        </w:p>
        <w:p w:rsidR="00083C3F" w:rsidRDefault="00E1215B">
          <w:pPr>
            <w:pStyle w:val="TOC1"/>
            <w:tabs>
              <w:tab w:val="left" w:pos="440"/>
            </w:tabs>
            <w:rPr>
              <w:rFonts w:asciiTheme="minorHAnsi" w:eastAsiaTheme="minorEastAsia" w:hAnsiTheme="minorHAnsi"/>
              <w:noProof/>
              <w:lang w:eastAsia="en-GB"/>
            </w:rPr>
          </w:pPr>
          <w:hyperlink w:anchor="_Toc482715279" w:history="1">
            <w:r>
              <w:rPr>
                <w:rStyle w:val="Hyperlink"/>
                <w:noProof/>
              </w:rPr>
              <w:t>4</w:t>
            </w:r>
            <w:r>
              <w:rPr>
                <w:rFonts w:asciiTheme="minorHAnsi" w:eastAsiaTheme="minorEastAsia" w:hAnsiTheme="minorHAnsi"/>
                <w:noProof/>
                <w:lang w:eastAsia="en-GB"/>
              </w:rPr>
              <w:tab/>
            </w:r>
            <w:r>
              <w:rPr>
                <w:rStyle w:val="Hyperlink"/>
                <w:noProof/>
              </w:rPr>
              <w:t>Strengthening banking capacity to support the wider economy</w:t>
            </w:r>
            <w:r>
              <w:rPr>
                <w:noProof/>
                <w:webHidden/>
              </w:rPr>
              <w:tab/>
            </w:r>
            <w:r>
              <w:rPr>
                <w:noProof/>
                <w:webHidden/>
              </w:rPr>
              <w:fldChar w:fldCharType="begin"/>
            </w:r>
            <w:r>
              <w:rPr>
                <w:noProof/>
                <w:webHidden/>
              </w:rPr>
              <w:instrText xml:space="preserve"> PAGEREF _Toc482715279 \h </w:instrText>
            </w:r>
            <w:r>
              <w:rPr>
                <w:noProof/>
                <w:webHidden/>
              </w:rPr>
            </w:r>
            <w:r>
              <w:rPr>
                <w:noProof/>
                <w:webHidden/>
              </w:rPr>
              <w:fldChar w:fldCharType="separate"/>
            </w:r>
            <w:r>
              <w:rPr>
                <w:noProof/>
                <w:webHidden/>
              </w:rPr>
              <w:t>51</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80" w:history="1">
            <w:r>
              <w:rPr>
                <w:rStyle w:val="Hyperlink"/>
                <w:noProof/>
              </w:rPr>
              <w:t>4.1</w:t>
            </w:r>
            <w:r>
              <w:rPr>
                <w:rFonts w:asciiTheme="minorHAnsi" w:eastAsiaTheme="minorEastAsia" w:hAnsiTheme="minorHAnsi"/>
                <w:noProof/>
                <w:lang w:eastAsia="en-GB"/>
              </w:rPr>
              <w:tab/>
            </w:r>
            <w:r>
              <w:rPr>
                <w:rStyle w:val="Hyperlink"/>
                <w:noProof/>
              </w:rPr>
              <w:t xml:space="preserve">Asset </w:t>
            </w:r>
            <w:r>
              <w:rPr>
                <w:rStyle w:val="Hyperlink"/>
                <w:noProof/>
              </w:rPr>
              <w:t>securitisation</w:t>
            </w:r>
            <w:r>
              <w:rPr>
                <w:noProof/>
                <w:webHidden/>
              </w:rPr>
              <w:tab/>
            </w:r>
            <w:r>
              <w:rPr>
                <w:noProof/>
                <w:webHidden/>
              </w:rPr>
              <w:fldChar w:fldCharType="begin"/>
            </w:r>
            <w:r>
              <w:rPr>
                <w:noProof/>
                <w:webHidden/>
              </w:rPr>
              <w:instrText xml:space="preserve"> PAGEREF _Toc482715280 \h </w:instrText>
            </w:r>
            <w:r>
              <w:rPr>
                <w:noProof/>
                <w:webHidden/>
              </w:rPr>
            </w:r>
            <w:r>
              <w:rPr>
                <w:noProof/>
                <w:webHidden/>
              </w:rPr>
              <w:fldChar w:fldCharType="separate"/>
            </w:r>
            <w:r>
              <w:rPr>
                <w:noProof/>
                <w:webHidden/>
              </w:rPr>
              <w:t>51</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81" w:history="1">
            <w:r>
              <w:rPr>
                <w:rStyle w:val="Hyperlink"/>
                <w:noProof/>
              </w:rPr>
              <w:t>4.1.1</w:t>
            </w:r>
            <w:r>
              <w:rPr>
                <w:rFonts w:asciiTheme="minorHAnsi" w:eastAsiaTheme="minorEastAsia" w:hAnsiTheme="minorHAnsi"/>
                <w:noProof/>
                <w:lang w:eastAsia="en-GB"/>
              </w:rPr>
              <w:tab/>
            </w:r>
            <w:r>
              <w:rPr>
                <w:rStyle w:val="Hyperlink"/>
                <w:noProof/>
              </w:rPr>
              <w:t>Trends in securitisation markets in Europe</w:t>
            </w:r>
            <w:r>
              <w:rPr>
                <w:noProof/>
                <w:webHidden/>
              </w:rPr>
              <w:tab/>
            </w:r>
            <w:r>
              <w:rPr>
                <w:noProof/>
                <w:webHidden/>
              </w:rPr>
              <w:fldChar w:fldCharType="begin"/>
            </w:r>
            <w:r>
              <w:rPr>
                <w:noProof/>
                <w:webHidden/>
              </w:rPr>
              <w:instrText xml:space="preserve"> PAGEREF _Toc482715281 \h </w:instrText>
            </w:r>
            <w:r>
              <w:rPr>
                <w:noProof/>
                <w:webHidden/>
              </w:rPr>
            </w:r>
            <w:r>
              <w:rPr>
                <w:noProof/>
                <w:webHidden/>
              </w:rPr>
              <w:fldChar w:fldCharType="separate"/>
            </w:r>
            <w:r>
              <w:rPr>
                <w:noProof/>
                <w:webHidden/>
              </w:rPr>
              <w:t>51</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82" w:history="1">
            <w:r>
              <w:rPr>
                <w:rStyle w:val="Hyperlink"/>
                <w:noProof/>
              </w:rPr>
              <w:t>4.1.2</w:t>
            </w:r>
            <w:r>
              <w:rPr>
                <w:rFonts w:asciiTheme="minorHAnsi" w:eastAsiaTheme="minorEastAsia" w:hAnsiTheme="minorHAnsi"/>
                <w:noProof/>
                <w:lang w:eastAsia="en-GB"/>
              </w:rPr>
              <w:tab/>
            </w:r>
            <w:r>
              <w:rPr>
                <w:rStyle w:val="Hyperlink"/>
                <w:noProof/>
              </w:rPr>
              <w:t>Levers to revive securitisation in the EU</w:t>
            </w:r>
            <w:r>
              <w:rPr>
                <w:noProof/>
                <w:webHidden/>
              </w:rPr>
              <w:tab/>
            </w:r>
            <w:r>
              <w:rPr>
                <w:noProof/>
                <w:webHidden/>
              </w:rPr>
              <w:fldChar w:fldCharType="begin"/>
            </w:r>
            <w:r>
              <w:rPr>
                <w:noProof/>
                <w:webHidden/>
              </w:rPr>
              <w:instrText xml:space="preserve"> PAGEREF _Toc482715282 \h </w:instrText>
            </w:r>
            <w:r>
              <w:rPr>
                <w:noProof/>
                <w:webHidden/>
              </w:rPr>
            </w:r>
            <w:r>
              <w:rPr>
                <w:noProof/>
                <w:webHidden/>
              </w:rPr>
              <w:fldChar w:fldCharType="separate"/>
            </w:r>
            <w:r>
              <w:rPr>
                <w:noProof/>
                <w:webHidden/>
              </w:rPr>
              <w:t>53</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83" w:history="1">
            <w:r>
              <w:rPr>
                <w:rStyle w:val="Hyperlink"/>
                <w:noProof/>
              </w:rPr>
              <w:t>4.2</w:t>
            </w:r>
            <w:r>
              <w:rPr>
                <w:rFonts w:asciiTheme="minorHAnsi" w:eastAsiaTheme="minorEastAsia" w:hAnsiTheme="minorHAnsi"/>
                <w:noProof/>
                <w:lang w:eastAsia="en-GB"/>
              </w:rPr>
              <w:tab/>
            </w:r>
            <w:r>
              <w:rPr>
                <w:rStyle w:val="Hyperlink"/>
                <w:noProof/>
              </w:rPr>
              <w:t xml:space="preserve">Covered </w:t>
            </w:r>
            <w:r>
              <w:rPr>
                <w:rStyle w:val="Hyperlink"/>
                <w:noProof/>
              </w:rPr>
              <w:t>bond markets</w:t>
            </w:r>
            <w:r>
              <w:rPr>
                <w:noProof/>
                <w:webHidden/>
              </w:rPr>
              <w:tab/>
            </w:r>
            <w:r>
              <w:rPr>
                <w:noProof/>
                <w:webHidden/>
              </w:rPr>
              <w:fldChar w:fldCharType="begin"/>
            </w:r>
            <w:r>
              <w:rPr>
                <w:noProof/>
                <w:webHidden/>
              </w:rPr>
              <w:instrText xml:space="preserve"> PAGEREF _Toc482715283 \h </w:instrText>
            </w:r>
            <w:r>
              <w:rPr>
                <w:noProof/>
                <w:webHidden/>
              </w:rPr>
            </w:r>
            <w:r>
              <w:rPr>
                <w:noProof/>
                <w:webHidden/>
              </w:rPr>
              <w:fldChar w:fldCharType="separate"/>
            </w:r>
            <w:r>
              <w:rPr>
                <w:noProof/>
                <w:webHidden/>
              </w:rPr>
              <w:t>54</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84" w:history="1">
            <w:r>
              <w:rPr>
                <w:rStyle w:val="Hyperlink"/>
                <w:noProof/>
              </w:rPr>
              <w:t>4.2.1</w:t>
            </w:r>
            <w:r>
              <w:rPr>
                <w:rFonts w:asciiTheme="minorHAnsi" w:eastAsiaTheme="minorEastAsia" w:hAnsiTheme="minorHAnsi"/>
                <w:noProof/>
                <w:lang w:eastAsia="en-GB"/>
              </w:rPr>
              <w:tab/>
            </w:r>
            <w:r>
              <w:rPr>
                <w:rStyle w:val="Hyperlink"/>
                <w:noProof/>
              </w:rPr>
              <w:t>Market trends</w:t>
            </w:r>
            <w:r>
              <w:rPr>
                <w:noProof/>
                <w:webHidden/>
              </w:rPr>
              <w:tab/>
            </w:r>
            <w:r>
              <w:rPr>
                <w:noProof/>
                <w:webHidden/>
              </w:rPr>
              <w:fldChar w:fldCharType="begin"/>
            </w:r>
            <w:r>
              <w:rPr>
                <w:noProof/>
                <w:webHidden/>
              </w:rPr>
              <w:instrText xml:space="preserve"> PAGEREF _Toc482715284 \h </w:instrText>
            </w:r>
            <w:r>
              <w:rPr>
                <w:noProof/>
                <w:webHidden/>
              </w:rPr>
            </w:r>
            <w:r>
              <w:rPr>
                <w:noProof/>
                <w:webHidden/>
              </w:rPr>
              <w:fldChar w:fldCharType="separate"/>
            </w:r>
            <w:r>
              <w:rPr>
                <w:noProof/>
                <w:webHidden/>
              </w:rPr>
              <w:t>54</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85" w:history="1">
            <w:r>
              <w:rPr>
                <w:rStyle w:val="Hyperlink"/>
                <w:noProof/>
              </w:rPr>
              <w:t>4.2.2</w:t>
            </w:r>
            <w:r>
              <w:rPr>
                <w:rFonts w:asciiTheme="minorHAnsi" w:eastAsiaTheme="minorEastAsia" w:hAnsiTheme="minorHAnsi"/>
                <w:noProof/>
                <w:lang w:eastAsia="en-GB"/>
              </w:rPr>
              <w:tab/>
            </w:r>
            <w:r>
              <w:rPr>
                <w:rStyle w:val="Hyperlink"/>
                <w:noProof/>
              </w:rPr>
              <w:t>Market barriers and challenges</w:t>
            </w:r>
            <w:r>
              <w:rPr>
                <w:noProof/>
                <w:webHidden/>
              </w:rPr>
              <w:tab/>
            </w:r>
            <w:r>
              <w:rPr>
                <w:noProof/>
                <w:webHidden/>
              </w:rPr>
              <w:fldChar w:fldCharType="begin"/>
            </w:r>
            <w:r>
              <w:rPr>
                <w:noProof/>
                <w:webHidden/>
              </w:rPr>
              <w:instrText xml:space="preserve"> PAGEREF _Toc482715285 \h </w:instrText>
            </w:r>
            <w:r>
              <w:rPr>
                <w:noProof/>
                <w:webHidden/>
              </w:rPr>
            </w:r>
            <w:r>
              <w:rPr>
                <w:noProof/>
                <w:webHidden/>
              </w:rPr>
              <w:fldChar w:fldCharType="separate"/>
            </w:r>
            <w:r>
              <w:rPr>
                <w:noProof/>
                <w:webHidden/>
              </w:rPr>
              <w:t>56</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86" w:history="1">
            <w:r>
              <w:rPr>
                <w:rStyle w:val="Hyperlink"/>
                <w:noProof/>
              </w:rPr>
              <w:t>4.3</w:t>
            </w:r>
            <w:r>
              <w:rPr>
                <w:rFonts w:asciiTheme="minorHAnsi" w:eastAsiaTheme="minorEastAsia" w:hAnsiTheme="minorHAnsi"/>
                <w:noProof/>
                <w:lang w:eastAsia="en-GB"/>
              </w:rPr>
              <w:tab/>
            </w:r>
            <w:r>
              <w:rPr>
                <w:rStyle w:val="Hyperlink"/>
                <w:noProof/>
              </w:rPr>
              <w:t>European Secured Notes (ESNs)</w:t>
            </w:r>
            <w:r>
              <w:rPr>
                <w:noProof/>
                <w:webHidden/>
              </w:rPr>
              <w:tab/>
            </w:r>
            <w:r>
              <w:rPr>
                <w:noProof/>
                <w:webHidden/>
              </w:rPr>
              <w:fldChar w:fldCharType="begin"/>
            </w:r>
            <w:r>
              <w:rPr>
                <w:noProof/>
                <w:webHidden/>
              </w:rPr>
              <w:instrText xml:space="preserve"> PAGEREF _Toc482715286 \h </w:instrText>
            </w:r>
            <w:r>
              <w:rPr>
                <w:noProof/>
                <w:webHidden/>
              </w:rPr>
            </w:r>
            <w:r>
              <w:rPr>
                <w:noProof/>
                <w:webHidden/>
              </w:rPr>
              <w:fldChar w:fldCharType="separate"/>
            </w:r>
            <w:r>
              <w:rPr>
                <w:noProof/>
                <w:webHidden/>
              </w:rPr>
              <w:t>57</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87" w:history="1">
            <w:r>
              <w:rPr>
                <w:rStyle w:val="Hyperlink"/>
                <w:noProof/>
              </w:rPr>
              <w:t>4.4</w:t>
            </w:r>
            <w:r>
              <w:rPr>
                <w:rFonts w:asciiTheme="minorHAnsi" w:eastAsiaTheme="minorEastAsia" w:hAnsiTheme="minorHAnsi"/>
                <w:noProof/>
                <w:lang w:eastAsia="en-GB"/>
              </w:rPr>
              <w:tab/>
            </w:r>
            <w:r>
              <w:rPr>
                <w:rStyle w:val="Hyperlink"/>
                <w:noProof/>
              </w:rPr>
              <w:t>Improving the functioning of a secondary market for NPLs</w:t>
            </w:r>
            <w:r>
              <w:rPr>
                <w:noProof/>
                <w:webHidden/>
              </w:rPr>
              <w:tab/>
            </w:r>
            <w:r>
              <w:rPr>
                <w:noProof/>
                <w:webHidden/>
              </w:rPr>
              <w:fldChar w:fldCharType="begin"/>
            </w:r>
            <w:r>
              <w:rPr>
                <w:noProof/>
                <w:webHidden/>
              </w:rPr>
              <w:instrText xml:space="preserve"> PAGEREF _Toc482715287 \h </w:instrText>
            </w:r>
            <w:r>
              <w:rPr>
                <w:noProof/>
                <w:webHidden/>
              </w:rPr>
            </w:r>
            <w:r>
              <w:rPr>
                <w:noProof/>
                <w:webHidden/>
              </w:rPr>
              <w:fldChar w:fldCharType="separate"/>
            </w:r>
            <w:r>
              <w:rPr>
                <w:noProof/>
                <w:webHidden/>
              </w:rPr>
              <w:t>58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88" w:history="1">
            <w:r>
              <w:rPr>
                <w:rStyle w:val="Hyperlink"/>
                <w:noProof/>
              </w:rPr>
              <w:t>4.4.1</w:t>
            </w:r>
            <w:r>
              <w:rPr>
                <w:rFonts w:asciiTheme="minorHAnsi" w:eastAsiaTheme="minorEastAsia" w:hAnsiTheme="minorHAnsi"/>
                <w:noProof/>
                <w:lang w:eastAsia="en-GB"/>
              </w:rPr>
              <w:tab/>
            </w:r>
            <w:r>
              <w:rPr>
                <w:rStyle w:val="Hyperlink"/>
                <w:noProof/>
              </w:rPr>
              <w:t>The stock of non-performing loans</w:t>
            </w:r>
            <w:r>
              <w:rPr>
                <w:noProof/>
                <w:webHidden/>
              </w:rPr>
              <w:tab/>
            </w:r>
            <w:r>
              <w:rPr>
                <w:noProof/>
                <w:webHidden/>
              </w:rPr>
              <w:fldChar w:fldCharType="begin"/>
            </w:r>
            <w:r>
              <w:rPr>
                <w:noProof/>
                <w:webHidden/>
              </w:rPr>
              <w:instrText xml:space="preserve"> PAGEREF _Toc4827152</w:instrText>
            </w:r>
            <w:r>
              <w:rPr>
                <w:noProof/>
                <w:webHidden/>
              </w:rPr>
              <w:instrText xml:space="preserve">88 \h </w:instrText>
            </w:r>
            <w:r>
              <w:rPr>
                <w:noProof/>
                <w:webHidden/>
              </w:rPr>
            </w:r>
            <w:r>
              <w:rPr>
                <w:noProof/>
                <w:webHidden/>
              </w:rPr>
              <w:fldChar w:fldCharType="separate"/>
            </w:r>
            <w:r>
              <w:rPr>
                <w:noProof/>
                <w:webHidden/>
              </w:rPr>
              <w:t>58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89" w:history="1">
            <w:r>
              <w:rPr>
                <w:rStyle w:val="Hyperlink"/>
                <w:noProof/>
              </w:rPr>
              <w:t>4.4.2</w:t>
            </w:r>
            <w:r>
              <w:rPr>
                <w:rFonts w:asciiTheme="minorHAnsi" w:eastAsiaTheme="minorEastAsia" w:hAnsiTheme="minorHAnsi"/>
                <w:noProof/>
                <w:lang w:eastAsia="en-GB"/>
              </w:rPr>
              <w:tab/>
            </w:r>
            <w:r>
              <w:rPr>
                <w:rStyle w:val="Hyperlink"/>
                <w:noProof/>
              </w:rPr>
              <w:t>Developments in loan sales markets</w:t>
            </w:r>
            <w:r>
              <w:rPr>
                <w:noProof/>
                <w:webHidden/>
              </w:rPr>
              <w:tab/>
            </w:r>
            <w:r>
              <w:rPr>
                <w:noProof/>
                <w:webHidden/>
              </w:rPr>
              <w:fldChar w:fldCharType="begin"/>
            </w:r>
            <w:r>
              <w:rPr>
                <w:noProof/>
                <w:webHidden/>
              </w:rPr>
              <w:instrText xml:space="preserve"> PAGEREF _Toc482715289 \h </w:instrText>
            </w:r>
            <w:r>
              <w:rPr>
                <w:noProof/>
                <w:webHidden/>
              </w:rPr>
            </w:r>
            <w:r>
              <w:rPr>
                <w:noProof/>
                <w:webHidden/>
              </w:rPr>
              <w:fldChar w:fldCharType="separate"/>
            </w:r>
            <w:r>
              <w:rPr>
                <w:noProof/>
                <w:webHidden/>
              </w:rPr>
              <w:t>59</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0" w:history="1">
            <w:r>
              <w:rPr>
                <w:rStyle w:val="Hyperlink"/>
                <w:noProof/>
              </w:rPr>
              <w:t>4.5</w:t>
            </w:r>
            <w:r>
              <w:rPr>
                <w:rFonts w:asciiTheme="minorHAnsi" w:eastAsiaTheme="minorEastAsia" w:hAnsiTheme="minorHAnsi"/>
                <w:noProof/>
                <w:lang w:eastAsia="en-GB"/>
              </w:rPr>
              <w:tab/>
            </w:r>
            <w:r>
              <w:rPr>
                <w:rStyle w:val="Hyperlink"/>
                <w:noProof/>
              </w:rPr>
              <w:t>General policy implications</w:t>
            </w:r>
            <w:r>
              <w:rPr>
                <w:noProof/>
                <w:webHidden/>
              </w:rPr>
              <w:tab/>
            </w:r>
            <w:r>
              <w:rPr>
                <w:noProof/>
                <w:webHidden/>
              </w:rPr>
              <w:fldChar w:fldCharType="begin"/>
            </w:r>
            <w:r>
              <w:rPr>
                <w:noProof/>
                <w:webHidden/>
              </w:rPr>
              <w:instrText xml:space="preserve"> PAGEREF _Toc482715290 \h </w:instrText>
            </w:r>
            <w:r>
              <w:rPr>
                <w:noProof/>
                <w:webHidden/>
              </w:rPr>
            </w:r>
            <w:r>
              <w:rPr>
                <w:noProof/>
                <w:webHidden/>
              </w:rPr>
              <w:fldChar w:fldCharType="separate"/>
            </w:r>
            <w:r>
              <w:rPr>
                <w:noProof/>
                <w:webHidden/>
              </w:rPr>
              <w:t>61</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1" w:history="1">
            <w:r>
              <w:rPr>
                <w:rStyle w:val="Hyperlink"/>
                <w:noProof/>
              </w:rPr>
              <w:t>4.6</w:t>
            </w:r>
            <w:r>
              <w:rPr>
                <w:rFonts w:asciiTheme="minorHAnsi" w:eastAsiaTheme="minorEastAsia" w:hAnsiTheme="minorHAnsi"/>
                <w:noProof/>
                <w:lang w:eastAsia="en-GB"/>
              </w:rPr>
              <w:tab/>
            </w:r>
            <w:r>
              <w:rPr>
                <w:rStyle w:val="Hyperlink"/>
                <w:noProof/>
              </w:rPr>
              <w:t>Key indicators</w:t>
            </w:r>
            <w:r>
              <w:rPr>
                <w:noProof/>
                <w:webHidden/>
              </w:rPr>
              <w:tab/>
            </w:r>
            <w:r>
              <w:rPr>
                <w:noProof/>
                <w:webHidden/>
              </w:rPr>
              <w:fldChar w:fldCharType="begin"/>
            </w:r>
            <w:r>
              <w:rPr>
                <w:noProof/>
                <w:webHidden/>
              </w:rPr>
              <w:instrText xml:space="preserve"> PAGEREF _Toc482715291 \h </w:instrText>
            </w:r>
            <w:r>
              <w:rPr>
                <w:noProof/>
                <w:webHidden/>
              </w:rPr>
            </w:r>
            <w:r>
              <w:rPr>
                <w:noProof/>
                <w:webHidden/>
              </w:rPr>
              <w:fldChar w:fldCharType="separate"/>
            </w:r>
            <w:r>
              <w:rPr>
                <w:noProof/>
                <w:webHidden/>
              </w:rPr>
              <w:t>62</w:t>
            </w:r>
            <w:r>
              <w:rPr>
                <w:noProof/>
                <w:webHidden/>
              </w:rPr>
              <w:fldChar w:fldCharType="end"/>
            </w:r>
          </w:hyperlink>
        </w:p>
        <w:p w:rsidR="00083C3F" w:rsidRDefault="00E1215B">
          <w:pPr>
            <w:pStyle w:val="TOC1"/>
            <w:tabs>
              <w:tab w:val="left" w:pos="440"/>
            </w:tabs>
            <w:rPr>
              <w:rFonts w:asciiTheme="minorHAnsi" w:eastAsiaTheme="minorEastAsia" w:hAnsiTheme="minorHAnsi"/>
              <w:noProof/>
              <w:lang w:eastAsia="en-GB"/>
            </w:rPr>
          </w:pPr>
          <w:hyperlink w:anchor="_Toc482715292" w:history="1">
            <w:r>
              <w:rPr>
                <w:rStyle w:val="Hyperlink"/>
                <w:noProof/>
              </w:rPr>
              <w:t>5</w:t>
            </w:r>
            <w:r>
              <w:rPr>
                <w:rFonts w:asciiTheme="minorHAnsi" w:eastAsiaTheme="minorEastAsia" w:hAnsiTheme="minorHAnsi"/>
                <w:noProof/>
                <w:lang w:eastAsia="en-GB"/>
              </w:rPr>
              <w:tab/>
            </w:r>
            <w:r>
              <w:rPr>
                <w:rStyle w:val="Hyperlink"/>
                <w:noProof/>
              </w:rPr>
              <w:t>Institut</w:t>
            </w:r>
            <w:r>
              <w:rPr>
                <w:rStyle w:val="Hyperlink"/>
                <w:noProof/>
              </w:rPr>
              <w:t>ional investment: Investing for Long-term, Infrastructure and Sustainable Investment</w:t>
            </w:r>
            <w:r>
              <w:rPr>
                <w:noProof/>
                <w:webHidden/>
              </w:rPr>
              <w:tab/>
            </w:r>
            <w:r>
              <w:rPr>
                <w:noProof/>
                <w:webHidden/>
              </w:rPr>
              <w:fldChar w:fldCharType="begin"/>
            </w:r>
            <w:r>
              <w:rPr>
                <w:noProof/>
                <w:webHidden/>
              </w:rPr>
              <w:instrText xml:space="preserve"> PAGEREF _Toc482715292 \h </w:instrText>
            </w:r>
            <w:r>
              <w:rPr>
                <w:noProof/>
                <w:webHidden/>
              </w:rPr>
            </w:r>
            <w:r>
              <w:rPr>
                <w:noProof/>
                <w:webHidden/>
              </w:rPr>
              <w:fldChar w:fldCharType="separate"/>
            </w:r>
            <w:r>
              <w:rPr>
                <w:noProof/>
                <w:webHidden/>
              </w:rPr>
              <w:t>63</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3" w:history="1">
            <w:r>
              <w:rPr>
                <w:rStyle w:val="Hyperlink"/>
                <w:noProof/>
              </w:rPr>
              <w:t>5.1</w:t>
            </w:r>
            <w:r>
              <w:rPr>
                <w:rFonts w:asciiTheme="minorHAnsi" w:eastAsiaTheme="minorEastAsia" w:hAnsiTheme="minorHAnsi"/>
                <w:noProof/>
                <w:lang w:eastAsia="en-GB"/>
              </w:rPr>
              <w:tab/>
            </w:r>
            <w:r>
              <w:rPr>
                <w:rStyle w:val="Hyperlink"/>
                <w:noProof/>
              </w:rPr>
              <w:t>Long-term institutional investments at</w:t>
            </w:r>
            <w:r>
              <w:rPr>
                <w:rStyle w:val="Hyperlink"/>
                <w:noProof/>
              </w:rPr>
              <w:t xml:space="preserve"> the forefront</w:t>
            </w:r>
            <w:r>
              <w:rPr>
                <w:noProof/>
                <w:webHidden/>
              </w:rPr>
              <w:tab/>
            </w:r>
            <w:r>
              <w:rPr>
                <w:noProof/>
                <w:webHidden/>
              </w:rPr>
              <w:fldChar w:fldCharType="begin"/>
            </w:r>
            <w:r>
              <w:rPr>
                <w:noProof/>
                <w:webHidden/>
              </w:rPr>
              <w:instrText xml:space="preserve"> PAGEREF _Toc482715293 \h </w:instrText>
            </w:r>
            <w:r>
              <w:rPr>
                <w:noProof/>
                <w:webHidden/>
              </w:rPr>
            </w:r>
            <w:r>
              <w:rPr>
                <w:noProof/>
                <w:webHidden/>
              </w:rPr>
              <w:fldChar w:fldCharType="separate"/>
            </w:r>
            <w:r>
              <w:rPr>
                <w:noProof/>
                <w:webHidden/>
              </w:rPr>
              <w:t>63</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94" w:history="1">
            <w:r>
              <w:rPr>
                <w:rStyle w:val="Hyperlink"/>
                <w:noProof/>
              </w:rPr>
              <w:t>5.1.1</w:t>
            </w:r>
            <w:r>
              <w:rPr>
                <w:rFonts w:asciiTheme="minorHAnsi" w:eastAsiaTheme="minorEastAsia" w:hAnsiTheme="minorHAnsi"/>
                <w:noProof/>
                <w:lang w:eastAsia="en-GB"/>
              </w:rPr>
              <w:tab/>
            </w:r>
            <w:r>
              <w:rPr>
                <w:rStyle w:val="Hyperlink"/>
                <w:noProof/>
              </w:rPr>
              <w:t>Trends</w:t>
            </w:r>
            <w:r>
              <w:rPr>
                <w:noProof/>
                <w:webHidden/>
              </w:rPr>
              <w:tab/>
            </w:r>
            <w:r>
              <w:rPr>
                <w:noProof/>
                <w:webHidden/>
              </w:rPr>
              <w:fldChar w:fldCharType="begin"/>
            </w:r>
            <w:r>
              <w:rPr>
                <w:noProof/>
                <w:webHidden/>
              </w:rPr>
              <w:instrText xml:space="preserve"> PAGEREF _Toc482715294 \h </w:instrText>
            </w:r>
            <w:r>
              <w:rPr>
                <w:noProof/>
                <w:webHidden/>
              </w:rPr>
            </w:r>
            <w:r>
              <w:rPr>
                <w:noProof/>
                <w:webHidden/>
              </w:rPr>
              <w:fldChar w:fldCharType="separate"/>
            </w:r>
            <w:r>
              <w:rPr>
                <w:noProof/>
                <w:webHidden/>
              </w:rPr>
              <w:t>63</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295" w:history="1">
            <w:r>
              <w:rPr>
                <w:rStyle w:val="Hyperlink"/>
                <w:noProof/>
              </w:rPr>
              <w:t>5.1.2</w:t>
            </w:r>
            <w:r>
              <w:rPr>
                <w:rFonts w:asciiTheme="minorHAnsi" w:eastAsiaTheme="minorEastAsia" w:hAnsiTheme="minorHAnsi"/>
                <w:noProof/>
                <w:lang w:eastAsia="en-GB"/>
              </w:rPr>
              <w:tab/>
            </w:r>
            <w:r>
              <w:rPr>
                <w:rStyle w:val="Hyperlink"/>
                <w:noProof/>
              </w:rPr>
              <w:t>Drivers</w:t>
            </w:r>
            <w:r>
              <w:rPr>
                <w:noProof/>
                <w:webHidden/>
              </w:rPr>
              <w:tab/>
            </w:r>
            <w:r>
              <w:rPr>
                <w:noProof/>
                <w:webHidden/>
              </w:rPr>
              <w:fldChar w:fldCharType="begin"/>
            </w:r>
            <w:r>
              <w:rPr>
                <w:noProof/>
                <w:webHidden/>
              </w:rPr>
              <w:instrText xml:space="preserve"> PAGEREF _Toc482715295 \h </w:instrText>
            </w:r>
            <w:r>
              <w:rPr>
                <w:noProof/>
                <w:webHidden/>
              </w:rPr>
            </w:r>
            <w:r>
              <w:rPr>
                <w:noProof/>
                <w:webHidden/>
              </w:rPr>
              <w:fldChar w:fldCharType="separate"/>
            </w:r>
            <w:r>
              <w:rPr>
                <w:noProof/>
                <w:webHidden/>
              </w:rPr>
              <w:t>65</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6" w:history="1">
            <w:r>
              <w:rPr>
                <w:rStyle w:val="Hyperlink"/>
                <w:noProof/>
              </w:rPr>
              <w:t>5.2</w:t>
            </w:r>
            <w:r>
              <w:rPr>
                <w:rFonts w:asciiTheme="minorHAnsi" w:eastAsiaTheme="minorEastAsia" w:hAnsiTheme="minorHAnsi"/>
                <w:noProof/>
                <w:lang w:eastAsia="en-GB"/>
              </w:rPr>
              <w:tab/>
            </w:r>
            <w:r>
              <w:rPr>
                <w:rStyle w:val="Hyperlink"/>
                <w:noProof/>
              </w:rPr>
              <w:t>Infrastructure</w:t>
            </w:r>
            <w:r>
              <w:rPr>
                <w:noProof/>
                <w:webHidden/>
              </w:rPr>
              <w:tab/>
            </w:r>
            <w:r>
              <w:rPr>
                <w:noProof/>
                <w:webHidden/>
              </w:rPr>
              <w:fldChar w:fldCharType="begin"/>
            </w:r>
            <w:r>
              <w:rPr>
                <w:noProof/>
                <w:webHidden/>
              </w:rPr>
              <w:instrText xml:space="preserve"> PAGEREF _Toc482715296 \h </w:instrText>
            </w:r>
            <w:r>
              <w:rPr>
                <w:noProof/>
                <w:webHidden/>
              </w:rPr>
            </w:r>
            <w:r>
              <w:rPr>
                <w:noProof/>
                <w:webHidden/>
              </w:rPr>
              <w:fldChar w:fldCharType="separate"/>
            </w:r>
            <w:r>
              <w:rPr>
                <w:noProof/>
                <w:webHidden/>
              </w:rPr>
              <w:t>66</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7" w:history="1">
            <w:r>
              <w:rPr>
                <w:rStyle w:val="Hyperlink"/>
                <w:noProof/>
              </w:rPr>
              <w:t>5.3</w:t>
            </w:r>
            <w:r>
              <w:rPr>
                <w:rFonts w:asciiTheme="minorHAnsi" w:eastAsiaTheme="minorEastAsia" w:hAnsiTheme="minorHAnsi"/>
                <w:noProof/>
                <w:lang w:eastAsia="en-GB"/>
              </w:rPr>
              <w:tab/>
            </w:r>
            <w:r>
              <w:rPr>
                <w:rStyle w:val="Hyperlink"/>
                <w:noProof/>
              </w:rPr>
              <w:t>Sustai</w:t>
            </w:r>
            <w:r>
              <w:rPr>
                <w:rStyle w:val="Hyperlink"/>
                <w:noProof/>
              </w:rPr>
              <w:t>nable finance</w:t>
            </w:r>
            <w:r>
              <w:rPr>
                <w:noProof/>
                <w:webHidden/>
              </w:rPr>
              <w:tab/>
            </w:r>
            <w:r>
              <w:rPr>
                <w:noProof/>
                <w:webHidden/>
              </w:rPr>
              <w:fldChar w:fldCharType="begin"/>
            </w:r>
            <w:r>
              <w:rPr>
                <w:noProof/>
                <w:webHidden/>
              </w:rPr>
              <w:instrText xml:space="preserve"> PAGEREF _Toc482715297 \h </w:instrText>
            </w:r>
            <w:r>
              <w:rPr>
                <w:noProof/>
                <w:webHidden/>
              </w:rPr>
            </w:r>
            <w:r>
              <w:rPr>
                <w:noProof/>
                <w:webHidden/>
              </w:rPr>
              <w:fldChar w:fldCharType="separate"/>
            </w:r>
            <w:r>
              <w:rPr>
                <w:noProof/>
                <w:webHidden/>
              </w:rPr>
              <w:t>68</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8" w:history="1">
            <w:r>
              <w:rPr>
                <w:rStyle w:val="Hyperlink"/>
                <w:noProof/>
              </w:rPr>
              <w:t>5.4</w:t>
            </w:r>
            <w:r>
              <w:rPr>
                <w:rFonts w:asciiTheme="minorHAnsi" w:eastAsiaTheme="minorEastAsia" w:hAnsiTheme="minorHAnsi"/>
                <w:noProof/>
                <w:lang w:eastAsia="en-GB"/>
              </w:rPr>
              <w:tab/>
            </w:r>
            <w:r>
              <w:rPr>
                <w:rStyle w:val="Hyperlink"/>
                <w:noProof/>
              </w:rPr>
              <w:t>General policy implications</w:t>
            </w:r>
            <w:r>
              <w:rPr>
                <w:noProof/>
                <w:webHidden/>
              </w:rPr>
              <w:tab/>
            </w:r>
            <w:r>
              <w:rPr>
                <w:noProof/>
                <w:webHidden/>
              </w:rPr>
              <w:fldChar w:fldCharType="begin"/>
            </w:r>
            <w:r>
              <w:rPr>
                <w:noProof/>
                <w:webHidden/>
              </w:rPr>
              <w:instrText xml:space="preserve"> PAGEREF _Toc482715298 \h </w:instrText>
            </w:r>
            <w:r>
              <w:rPr>
                <w:noProof/>
                <w:webHidden/>
              </w:rPr>
            </w:r>
            <w:r>
              <w:rPr>
                <w:noProof/>
                <w:webHidden/>
              </w:rPr>
              <w:fldChar w:fldCharType="separate"/>
            </w:r>
            <w:r>
              <w:rPr>
                <w:noProof/>
                <w:webHidden/>
              </w:rPr>
              <w:t>69</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299" w:history="1">
            <w:r>
              <w:rPr>
                <w:rStyle w:val="Hyperlink"/>
                <w:noProof/>
              </w:rPr>
              <w:t>5.5</w:t>
            </w:r>
            <w:r>
              <w:rPr>
                <w:rFonts w:asciiTheme="minorHAnsi" w:eastAsiaTheme="minorEastAsia" w:hAnsiTheme="minorHAnsi"/>
                <w:noProof/>
                <w:lang w:eastAsia="en-GB"/>
              </w:rPr>
              <w:tab/>
            </w:r>
            <w:r>
              <w:rPr>
                <w:rStyle w:val="Hyperlink"/>
                <w:noProof/>
              </w:rPr>
              <w:t>Key indicators</w:t>
            </w:r>
            <w:r>
              <w:rPr>
                <w:noProof/>
                <w:webHidden/>
              </w:rPr>
              <w:tab/>
            </w:r>
            <w:r>
              <w:rPr>
                <w:noProof/>
                <w:webHidden/>
              </w:rPr>
              <w:fldChar w:fldCharType="begin"/>
            </w:r>
            <w:r>
              <w:rPr>
                <w:noProof/>
                <w:webHidden/>
              </w:rPr>
              <w:instrText xml:space="preserve"> PAGEREF _Toc482715299 \h </w:instrText>
            </w:r>
            <w:r>
              <w:rPr>
                <w:noProof/>
                <w:webHidden/>
              </w:rPr>
            </w:r>
            <w:r>
              <w:rPr>
                <w:noProof/>
                <w:webHidden/>
              </w:rPr>
              <w:fldChar w:fldCharType="separate"/>
            </w:r>
            <w:r>
              <w:rPr>
                <w:noProof/>
                <w:webHidden/>
              </w:rPr>
              <w:t>70</w:t>
            </w:r>
            <w:r>
              <w:rPr>
                <w:noProof/>
                <w:webHidden/>
              </w:rPr>
              <w:fldChar w:fldCharType="end"/>
            </w:r>
          </w:hyperlink>
        </w:p>
        <w:p w:rsidR="00083C3F" w:rsidRDefault="00E1215B">
          <w:pPr>
            <w:pStyle w:val="TOC1"/>
            <w:tabs>
              <w:tab w:val="left" w:pos="440"/>
            </w:tabs>
            <w:rPr>
              <w:rFonts w:asciiTheme="minorHAnsi" w:eastAsiaTheme="minorEastAsia" w:hAnsiTheme="minorHAnsi"/>
              <w:noProof/>
              <w:lang w:eastAsia="en-GB"/>
            </w:rPr>
          </w:pPr>
          <w:hyperlink w:anchor="_Toc482715300" w:history="1">
            <w:r>
              <w:rPr>
                <w:rStyle w:val="Hyperlink"/>
                <w:noProof/>
              </w:rPr>
              <w:t>6</w:t>
            </w:r>
            <w:r>
              <w:rPr>
                <w:rFonts w:asciiTheme="minorHAnsi" w:eastAsiaTheme="minorEastAsia" w:hAnsiTheme="minorHAnsi"/>
                <w:noProof/>
                <w:lang w:eastAsia="en-GB"/>
              </w:rPr>
              <w:tab/>
            </w:r>
            <w:r>
              <w:rPr>
                <w:rStyle w:val="Hyperlink"/>
                <w:noProof/>
              </w:rPr>
              <w:t>Fostering retail investments</w:t>
            </w:r>
            <w:r>
              <w:rPr>
                <w:noProof/>
                <w:webHidden/>
              </w:rPr>
              <w:tab/>
            </w:r>
            <w:r>
              <w:rPr>
                <w:noProof/>
                <w:webHidden/>
              </w:rPr>
              <w:fldChar w:fldCharType="begin"/>
            </w:r>
            <w:r>
              <w:rPr>
                <w:noProof/>
                <w:webHidden/>
              </w:rPr>
              <w:instrText xml:space="preserve"> PAGEREF _Toc482715300 \h </w:instrText>
            </w:r>
            <w:r>
              <w:rPr>
                <w:noProof/>
                <w:webHidden/>
              </w:rPr>
            </w:r>
            <w:r>
              <w:rPr>
                <w:noProof/>
                <w:webHidden/>
              </w:rPr>
              <w:fldChar w:fldCharType="separate"/>
            </w:r>
            <w:r>
              <w:rPr>
                <w:noProof/>
                <w:webHidden/>
              </w:rPr>
              <w:t>72</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301" w:history="1">
            <w:r>
              <w:rPr>
                <w:rStyle w:val="Hyperlink"/>
                <w:noProof/>
              </w:rPr>
              <w:t>6.1</w:t>
            </w:r>
            <w:r>
              <w:rPr>
                <w:rFonts w:asciiTheme="minorHAnsi" w:eastAsiaTheme="minorEastAsia" w:hAnsiTheme="minorHAnsi"/>
                <w:noProof/>
                <w:lang w:eastAsia="en-GB"/>
              </w:rPr>
              <w:tab/>
            </w:r>
            <w:r>
              <w:rPr>
                <w:rStyle w:val="Hyperlink"/>
                <w:noProof/>
              </w:rPr>
              <w:t>Key trends in retail investments</w:t>
            </w:r>
            <w:r>
              <w:rPr>
                <w:noProof/>
                <w:webHidden/>
              </w:rPr>
              <w:tab/>
            </w:r>
            <w:r>
              <w:rPr>
                <w:noProof/>
                <w:webHidden/>
              </w:rPr>
              <w:fldChar w:fldCharType="begin"/>
            </w:r>
            <w:r>
              <w:rPr>
                <w:noProof/>
                <w:webHidden/>
              </w:rPr>
              <w:instrText xml:space="preserve"> PAGEREF _Toc482715301 \h </w:instrText>
            </w:r>
            <w:r>
              <w:rPr>
                <w:noProof/>
                <w:webHidden/>
              </w:rPr>
            </w:r>
            <w:r>
              <w:rPr>
                <w:noProof/>
                <w:webHidden/>
              </w:rPr>
              <w:fldChar w:fldCharType="separate"/>
            </w:r>
            <w:r>
              <w:rPr>
                <w:noProof/>
                <w:webHidden/>
              </w:rPr>
              <w:t>72</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302" w:history="1">
            <w:r>
              <w:rPr>
                <w:rStyle w:val="Hyperlink"/>
                <w:noProof/>
              </w:rPr>
              <w:t>6.1.1</w:t>
            </w:r>
            <w:r>
              <w:rPr>
                <w:rFonts w:asciiTheme="minorHAnsi" w:eastAsiaTheme="minorEastAsia" w:hAnsiTheme="minorHAnsi"/>
                <w:noProof/>
                <w:lang w:eastAsia="en-GB"/>
              </w:rPr>
              <w:tab/>
            </w:r>
            <w:r>
              <w:rPr>
                <w:rStyle w:val="Hyperlink"/>
                <w:noProof/>
              </w:rPr>
              <w:t>Saving Rates</w:t>
            </w:r>
            <w:r>
              <w:rPr>
                <w:noProof/>
                <w:webHidden/>
              </w:rPr>
              <w:tab/>
            </w:r>
            <w:r>
              <w:rPr>
                <w:noProof/>
                <w:webHidden/>
              </w:rPr>
              <w:fldChar w:fldCharType="begin"/>
            </w:r>
            <w:r>
              <w:rPr>
                <w:noProof/>
                <w:webHidden/>
              </w:rPr>
              <w:instrText xml:space="preserve"> PAGEREF _Toc482715302 \h </w:instrText>
            </w:r>
            <w:r>
              <w:rPr>
                <w:noProof/>
                <w:webHidden/>
              </w:rPr>
            </w:r>
            <w:r>
              <w:rPr>
                <w:noProof/>
                <w:webHidden/>
              </w:rPr>
              <w:fldChar w:fldCharType="separate"/>
            </w:r>
            <w:r>
              <w:rPr>
                <w:noProof/>
                <w:webHidden/>
              </w:rPr>
              <w:t>72</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303" w:history="1">
            <w:r>
              <w:rPr>
                <w:rStyle w:val="Hyperlink"/>
                <w:noProof/>
              </w:rPr>
              <w:t>6.1.2</w:t>
            </w:r>
            <w:r>
              <w:rPr>
                <w:rFonts w:asciiTheme="minorHAnsi" w:eastAsiaTheme="minorEastAsia" w:hAnsiTheme="minorHAnsi"/>
                <w:noProof/>
                <w:lang w:eastAsia="en-GB"/>
              </w:rPr>
              <w:tab/>
            </w:r>
            <w:r>
              <w:rPr>
                <w:rStyle w:val="Hyperlink"/>
                <w:noProof/>
              </w:rPr>
              <w:t>Household Financial Assets: a balance sheet analysis</w:t>
            </w:r>
            <w:r>
              <w:rPr>
                <w:noProof/>
                <w:webHidden/>
              </w:rPr>
              <w:tab/>
            </w:r>
            <w:r>
              <w:rPr>
                <w:noProof/>
                <w:webHidden/>
              </w:rPr>
              <w:fldChar w:fldCharType="begin"/>
            </w:r>
            <w:r>
              <w:rPr>
                <w:noProof/>
                <w:webHidden/>
              </w:rPr>
              <w:instrText xml:space="preserve"> PAGEREF _Toc482715303 \h </w:instrText>
            </w:r>
            <w:r>
              <w:rPr>
                <w:noProof/>
                <w:webHidden/>
              </w:rPr>
            </w:r>
            <w:r>
              <w:rPr>
                <w:noProof/>
                <w:webHidden/>
              </w:rPr>
              <w:fldChar w:fldCharType="separate"/>
            </w:r>
            <w:r>
              <w:rPr>
                <w:noProof/>
                <w:webHidden/>
              </w:rPr>
              <w:t>73</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304" w:history="1">
            <w:r>
              <w:rPr>
                <w:rStyle w:val="Hyperlink"/>
                <w:noProof/>
              </w:rPr>
              <w:t>6.1.3</w:t>
            </w:r>
            <w:r>
              <w:rPr>
                <w:rFonts w:asciiTheme="minorHAnsi" w:eastAsiaTheme="minorEastAsia" w:hAnsiTheme="minorHAnsi"/>
                <w:noProof/>
                <w:lang w:eastAsia="en-GB"/>
              </w:rPr>
              <w:tab/>
            </w:r>
            <w:r>
              <w:rPr>
                <w:rStyle w:val="Hyperlink"/>
                <w:noProof/>
              </w:rPr>
              <w:t>Europe's retail market structure</w:t>
            </w:r>
            <w:r>
              <w:rPr>
                <w:noProof/>
                <w:webHidden/>
              </w:rPr>
              <w:tab/>
            </w:r>
            <w:r>
              <w:rPr>
                <w:noProof/>
                <w:webHidden/>
              </w:rPr>
              <w:fldChar w:fldCharType="begin"/>
            </w:r>
            <w:r>
              <w:rPr>
                <w:noProof/>
                <w:webHidden/>
              </w:rPr>
              <w:instrText xml:space="preserve"> PAGEREF _Toc482715304 \h </w:instrText>
            </w:r>
            <w:r>
              <w:rPr>
                <w:noProof/>
                <w:webHidden/>
              </w:rPr>
            </w:r>
            <w:r>
              <w:rPr>
                <w:noProof/>
                <w:webHidden/>
              </w:rPr>
              <w:fldChar w:fldCharType="separate"/>
            </w:r>
            <w:r>
              <w:rPr>
                <w:noProof/>
                <w:webHidden/>
              </w:rPr>
              <w:t>75</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305" w:history="1">
            <w:r>
              <w:rPr>
                <w:rStyle w:val="Hyperlink"/>
                <w:noProof/>
              </w:rPr>
              <w:t>6.2</w:t>
            </w:r>
            <w:r>
              <w:rPr>
                <w:rFonts w:asciiTheme="minorHAnsi" w:eastAsiaTheme="minorEastAsia" w:hAnsiTheme="minorHAnsi"/>
                <w:noProof/>
                <w:lang w:eastAsia="en-GB"/>
              </w:rPr>
              <w:tab/>
            </w:r>
            <w:r>
              <w:rPr>
                <w:rStyle w:val="Hyperlink"/>
                <w:noProof/>
              </w:rPr>
              <w:t>Characteristics of retail investment services markets</w:t>
            </w:r>
            <w:r>
              <w:rPr>
                <w:noProof/>
                <w:webHidden/>
              </w:rPr>
              <w:tab/>
            </w:r>
            <w:r>
              <w:rPr>
                <w:noProof/>
                <w:webHidden/>
              </w:rPr>
              <w:fldChar w:fldCharType="begin"/>
            </w:r>
            <w:r>
              <w:rPr>
                <w:noProof/>
                <w:webHidden/>
              </w:rPr>
              <w:instrText xml:space="preserve"> PAGEREF _Toc482715305 \h </w:instrText>
            </w:r>
            <w:r>
              <w:rPr>
                <w:noProof/>
                <w:webHidden/>
              </w:rPr>
            </w:r>
            <w:r>
              <w:rPr>
                <w:noProof/>
                <w:webHidden/>
              </w:rPr>
              <w:fldChar w:fldCharType="separate"/>
            </w:r>
            <w:r>
              <w:rPr>
                <w:noProof/>
                <w:webHidden/>
              </w:rPr>
              <w:t>77</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306" w:history="1">
            <w:r>
              <w:rPr>
                <w:rStyle w:val="Hyperlink"/>
                <w:noProof/>
              </w:rPr>
              <w:t>6.2.1</w:t>
            </w:r>
            <w:r>
              <w:rPr>
                <w:rFonts w:asciiTheme="minorHAnsi" w:eastAsiaTheme="minorEastAsia" w:hAnsiTheme="minorHAnsi"/>
                <w:noProof/>
                <w:lang w:eastAsia="en-GB"/>
              </w:rPr>
              <w:tab/>
            </w:r>
            <w:r>
              <w:rPr>
                <w:rStyle w:val="Hyperlink"/>
                <w:noProof/>
              </w:rPr>
              <w:t>Structural information asymmetry</w:t>
            </w:r>
            <w:r>
              <w:rPr>
                <w:noProof/>
                <w:webHidden/>
              </w:rPr>
              <w:tab/>
            </w:r>
            <w:r>
              <w:rPr>
                <w:noProof/>
                <w:webHidden/>
              </w:rPr>
              <w:fldChar w:fldCharType="begin"/>
            </w:r>
            <w:r>
              <w:rPr>
                <w:noProof/>
                <w:webHidden/>
              </w:rPr>
              <w:instrText xml:space="preserve"> PAGEREF _Toc482715306 \h </w:instrText>
            </w:r>
            <w:r>
              <w:rPr>
                <w:noProof/>
                <w:webHidden/>
              </w:rPr>
            </w:r>
            <w:r>
              <w:rPr>
                <w:noProof/>
                <w:webHidden/>
              </w:rPr>
              <w:fldChar w:fldCharType="separate"/>
            </w:r>
            <w:r>
              <w:rPr>
                <w:noProof/>
                <w:webHidden/>
              </w:rPr>
              <w:t>78</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307" w:history="1">
            <w:r>
              <w:rPr>
                <w:rStyle w:val="Hyperlink"/>
                <w:noProof/>
              </w:rPr>
              <w:t>6.2.2</w:t>
            </w:r>
            <w:r>
              <w:rPr>
                <w:rFonts w:asciiTheme="minorHAnsi" w:eastAsiaTheme="minorEastAsia" w:hAnsiTheme="minorHAnsi"/>
                <w:noProof/>
                <w:lang w:eastAsia="en-GB"/>
              </w:rPr>
              <w:tab/>
            </w:r>
            <w:r>
              <w:rPr>
                <w:rStyle w:val="Hyperlink"/>
                <w:noProof/>
              </w:rPr>
              <w:t>Transaction costs in cross-border provision of retail financial services</w:t>
            </w:r>
            <w:r>
              <w:rPr>
                <w:noProof/>
                <w:webHidden/>
              </w:rPr>
              <w:tab/>
            </w:r>
            <w:r>
              <w:rPr>
                <w:noProof/>
                <w:webHidden/>
              </w:rPr>
              <w:fldChar w:fldCharType="begin"/>
            </w:r>
            <w:r>
              <w:rPr>
                <w:noProof/>
                <w:webHidden/>
              </w:rPr>
              <w:instrText xml:space="preserve"> PAGEREF _Toc482715307 \h </w:instrText>
            </w:r>
            <w:r>
              <w:rPr>
                <w:noProof/>
                <w:webHidden/>
              </w:rPr>
            </w:r>
            <w:r>
              <w:rPr>
                <w:noProof/>
                <w:webHidden/>
              </w:rPr>
              <w:fldChar w:fldCharType="separate"/>
            </w:r>
            <w:r>
              <w:rPr>
                <w:noProof/>
                <w:webHidden/>
              </w:rPr>
              <w:t>79</w:t>
            </w:r>
            <w:r>
              <w:rPr>
                <w:noProof/>
                <w:webHidden/>
              </w:rPr>
              <w:fldChar w:fldCharType="end"/>
            </w:r>
          </w:hyperlink>
        </w:p>
        <w:p w:rsidR="00083C3F" w:rsidRDefault="00E1215B">
          <w:pPr>
            <w:pStyle w:val="TOC3"/>
            <w:tabs>
              <w:tab w:val="left" w:pos="1320"/>
              <w:tab w:val="right" w:leader="dot" w:pos="9060"/>
            </w:tabs>
            <w:rPr>
              <w:rFonts w:asciiTheme="minorHAnsi" w:eastAsiaTheme="minorEastAsia" w:hAnsiTheme="minorHAnsi"/>
              <w:noProof/>
              <w:lang w:eastAsia="en-GB"/>
            </w:rPr>
          </w:pPr>
          <w:hyperlink w:anchor="_Toc482715308" w:history="1">
            <w:r>
              <w:rPr>
                <w:rStyle w:val="Hyperlink"/>
                <w:noProof/>
              </w:rPr>
              <w:t>6.2.3</w:t>
            </w:r>
            <w:r>
              <w:rPr>
                <w:rFonts w:asciiTheme="minorHAnsi" w:eastAsiaTheme="minorEastAsia" w:hAnsiTheme="minorHAnsi"/>
                <w:noProof/>
                <w:lang w:eastAsia="en-GB"/>
              </w:rPr>
              <w:tab/>
            </w:r>
            <w:r>
              <w:rPr>
                <w:rStyle w:val="Hyperlink"/>
                <w:noProof/>
              </w:rPr>
              <w:t>Behavioural Aspects: biases in r</w:t>
            </w:r>
            <w:r>
              <w:rPr>
                <w:rStyle w:val="Hyperlink"/>
                <w:noProof/>
              </w:rPr>
              <w:t>etail investment decision-making</w:t>
            </w:r>
            <w:r>
              <w:rPr>
                <w:noProof/>
                <w:webHidden/>
              </w:rPr>
              <w:tab/>
            </w:r>
            <w:r>
              <w:rPr>
                <w:noProof/>
                <w:webHidden/>
              </w:rPr>
              <w:fldChar w:fldCharType="begin"/>
            </w:r>
            <w:r>
              <w:rPr>
                <w:noProof/>
                <w:webHidden/>
              </w:rPr>
              <w:instrText xml:space="preserve"> PAGEREF _Toc482715308 \h </w:instrText>
            </w:r>
            <w:r>
              <w:rPr>
                <w:noProof/>
                <w:webHidden/>
              </w:rPr>
            </w:r>
            <w:r>
              <w:rPr>
                <w:noProof/>
                <w:webHidden/>
              </w:rPr>
              <w:fldChar w:fldCharType="separate"/>
            </w:r>
            <w:r>
              <w:rPr>
                <w:noProof/>
                <w:webHidden/>
              </w:rPr>
              <w:t>82</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309" w:history="1">
            <w:r>
              <w:rPr>
                <w:rStyle w:val="Hyperlink"/>
                <w:noProof/>
              </w:rPr>
              <w:t>6.3</w:t>
            </w:r>
            <w:r>
              <w:rPr>
                <w:rFonts w:asciiTheme="minorHAnsi" w:eastAsiaTheme="minorEastAsia" w:hAnsiTheme="minorHAnsi"/>
                <w:noProof/>
                <w:lang w:eastAsia="en-GB"/>
              </w:rPr>
              <w:tab/>
            </w:r>
            <w:r>
              <w:rPr>
                <w:rStyle w:val="Hyperlink"/>
                <w:noProof/>
              </w:rPr>
              <w:t>General policy implications</w:t>
            </w:r>
            <w:r>
              <w:rPr>
                <w:noProof/>
                <w:webHidden/>
              </w:rPr>
              <w:tab/>
            </w:r>
            <w:r>
              <w:rPr>
                <w:noProof/>
                <w:webHidden/>
              </w:rPr>
              <w:fldChar w:fldCharType="begin"/>
            </w:r>
            <w:r>
              <w:rPr>
                <w:noProof/>
                <w:webHidden/>
              </w:rPr>
              <w:instrText xml:space="preserve"> PAGEREF _Toc482715309 \h </w:instrText>
            </w:r>
            <w:r>
              <w:rPr>
                <w:noProof/>
                <w:webHidden/>
              </w:rPr>
            </w:r>
            <w:r>
              <w:rPr>
                <w:noProof/>
                <w:webHidden/>
              </w:rPr>
              <w:fldChar w:fldCharType="separate"/>
            </w:r>
            <w:r>
              <w:rPr>
                <w:noProof/>
                <w:webHidden/>
              </w:rPr>
              <w:t>88</w:t>
            </w:r>
            <w:r>
              <w:rPr>
                <w:noProof/>
                <w:webHidden/>
              </w:rPr>
              <w:fldChar w:fldCharType="end"/>
            </w:r>
          </w:hyperlink>
        </w:p>
        <w:p w:rsidR="00083C3F" w:rsidRDefault="00E1215B">
          <w:pPr>
            <w:pStyle w:val="TOC2"/>
            <w:tabs>
              <w:tab w:val="left" w:pos="880"/>
              <w:tab w:val="right" w:leader="dot" w:pos="9060"/>
            </w:tabs>
            <w:rPr>
              <w:rFonts w:asciiTheme="minorHAnsi" w:eastAsiaTheme="minorEastAsia" w:hAnsiTheme="minorHAnsi"/>
              <w:noProof/>
              <w:lang w:eastAsia="en-GB"/>
            </w:rPr>
          </w:pPr>
          <w:hyperlink w:anchor="_Toc482715310" w:history="1">
            <w:r>
              <w:rPr>
                <w:rStyle w:val="Hyperlink"/>
                <w:noProof/>
              </w:rPr>
              <w:t>6.4</w:t>
            </w:r>
            <w:r>
              <w:rPr>
                <w:rFonts w:asciiTheme="minorHAnsi" w:eastAsiaTheme="minorEastAsia" w:hAnsiTheme="minorHAnsi"/>
                <w:noProof/>
                <w:lang w:eastAsia="en-GB"/>
              </w:rPr>
              <w:tab/>
            </w:r>
            <w:r>
              <w:rPr>
                <w:rStyle w:val="Hyperlink"/>
                <w:noProof/>
              </w:rPr>
              <w:t>Key indicators</w:t>
            </w:r>
            <w:r>
              <w:rPr>
                <w:noProof/>
                <w:webHidden/>
              </w:rPr>
              <w:tab/>
            </w:r>
            <w:r>
              <w:rPr>
                <w:noProof/>
                <w:webHidden/>
              </w:rPr>
              <w:fldChar w:fldCharType="begin"/>
            </w:r>
            <w:r>
              <w:rPr>
                <w:noProof/>
                <w:webHidden/>
              </w:rPr>
              <w:instrText xml:space="preserve"> PAGEREF _Toc482715310 \h </w:instrText>
            </w:r>
            <w:r>
              <w:rPr>
                <w:noProof/>
                <w:webHidden/>
              </w:rPr>
            </w:r>
            <w:r>
              <w:rPr>
                <w:noProof/>
                <w:webHidden/>
              </w:rPr>
              <w:fldChar w:fldCharType="separate"/>
            </w:r>
            <w:r>
              <w:rPr>
                <w:noProof/>
                <w:webHidden/>
              </w:rPr>
              <w:t>89</w:t>
            </w:r>
            <w:r>
              <w:rPr>
                <w:noProof/>
                <w:webHidden/>
              </w:rPr>
              <w:fldChar w:fldCharType="end"/>
            </w:r>
          </w:hyperlink>
        </w:p>
        <w:p w:rsidR="00083C3F" w:rsidRDefault="00E1215B">
          <w:pPr>
            <w:pStyle w:val="TOC1"/>
            <w:rPr>
              <w:rFonts w:asciiTheme="minorHAnsi" w:eastAsiaTheme="minorEastAsia" w:hAnsiTheme="minorHAnsi"/>
              <w:noProof/>
              <w:lang w:eastAsia="en-GB"/>
            </w:rPr>
          </w:pPr>
          <w:hyperlink w:anchor="_Toc482715311" w:history="1">
            <w:r>
              <w:rPr>
                <w:rStyle w:val="Hyperlink"/>
                <w:noProof/>
              </w:rPr>
              <w:t>References</w:t>
            </w:r>
            <w:r>
              <w:rPr>
                <w:noProof/>
                <w:webHidden/>
              </w:rPr>
              <w:tab/>
            </w:r>
            <w:r>
              <w:rPr>
                <w:noProof/>
                <w:webHidden/>
              </w:rPr>
              <w:fldChar w:fldCharType="begin"/>
            </w:r>
            <w:r>
              <w:rPr>
                <w:noProof/>
                <w:webHidden/>
              </w:rPr>
              <w:instrText xml:space="preserve"> PAGEREF _Toc482715311 \h </w:instrText>
            </w:r>
            <w:r>
              <w:rPr>
                <w:noProof/>
                <w:webHidden/>
              </w:rPr>
            </w:r>
            <w:r>
              <w:rPr>
                <w:noProof/>
                <w:webHidden/>
              </w:rPr>
              <w:fldChar w:fldCharType="separate"/>
            </w:r>
            <w:r>
              <w:rPr>
                <w:noProof/>
                <w:webHidden/>
              </w:rPr>
              <w:t>90</w:t>
            </w:r>
            <w:r>
              <w:rPr>
                <w:noProof/>
                <w:webHidden/>
              </w:rPr>
              <w:fldChar w:fldCharType="end"/>
            </w:r>
          </w:hyperlink>
        </w:p>
        <w:p w:rsidR="00083C3F" w:rsidRDefault="00E1215B">
          <w:pPr>
            <w:rPr>
              <w:noProof/>
            </w:rPr>
          </w:pPr>
          <w:r>
            <w:rPr>
              <w:b/>
              <w:bCs/>
              <w:noProof/>
            </w:rPr>
            <w:fldChar w:fldCharType="end"/>
          </w:r>
        </w:p>
      </w:sdtContent>
    </w:sdt>
    <w:p w:rsidR="00083C3F" w:rsidRDefault="00083C3F">
      <w:pPr>
        <w:spacing w:after="200"/>
        <w:jc w:val="left"/>
        <w:rPr>
          <w:rFonts w:eastAsiaTheme="majorEastAsia" w:cstheme="majorBidi"/>
          <w:b/>
          <w:bCs/>
          <w:noProof/>
          <w:sz w:val="28"/>
          <w:szCs w:val="28"/>
        </w:rPr>
      </w:pPr>
    </w:p>
    <w:p w:rsidR="00083C3F" w:rsidRDefault="00E1215B">
      <w:pPr>
        <w:pStyle w:val="Heading1"/>
        <w:numPr>
          <w:ilvl w:val="0"/>
          <w:numId w:val="0"/>
        </w:numPr>
        <w:ind w:left="431" w:hanging="431"/>
        <w:rPr>
          <w:noProof/>
        </w:rPr>
      </w:pPr>
      <w:bookmarkStart w:id="4" w:name="_Toc481140351"/>
      <w:bookmarkStart w:id="5" w:name="_Toc482710926"/>
      <w:bookmarkStart w:id="6" w:name="_Toc482715248"/>
      <w:r>
        <w:rPr>
          <w:noProof/>
        </w:rPr>
        <w:lastRenderedPageBreak/>
        <w:t>List of abbreviations</w:t>
      </w:r>
      <w:bookmarkEnd w:id="4"/>
      <w:bookmarkEnd w:id="5"/>
      <w:bookmarkEnd w:id="6"/>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902"/>
      </w:tblGrid>
      <w:tr w:rsidR="00083C3F">
        <w:tc>
          <w:tcPr>
            <w:tcW w:w="1384" w:type="dxa"/>
            <w:vAlign w:val="center"/>
          </w:tcPr>
          <w:p w:rsidR="00083C3F" w:rsidRDefault="00E1215B">
            <w:pPr>
              <w:spacing w:after="0"/>
              <w:jc w:val="left"/>
              <w:rPr>
                <w:b/>
                <w:noProof/>
              </w:rPr>
            </w:pPr>
            <w:r>
              <w:rPr>
                <w:b/>
                <w:noProof/>
              </w:rPr>
              <w:t>AIM</w:t>
            </w:r>
          </w:p>
        </w:tc>
        <w:tc>
          <w:tcPr>
            <w:tcW w:w="7902" w:type="dxa"/>
          </w:tcPr>
          <w:p w:rsidR="00083C3F" w:rsidRDefault="00E1215B">
            <w:pPr>
              <w:spacing w:after="0"/>
              <w:rPr>
                <w:noProof/>
              </w:rPr>
            </w:pPr>
            <w:r>
              <w:rPr>
                <w:noProof/>
              </w:rPr>
              <w:t>Alternative Inves</w:t>
            </w:r>
            <w:r>
              <w:rPr>
                <w:noProof/>
              </w:rPr>
              <w:t>tment Market</w:t>
            </w:r>
          </w:p>
        </w:tc>
      </w:tr>
      <w:tr w:rsidR="00083C3F">
        <w:tc>
          <w:tcPr>
            <w:tcW w:w="1384" w:type="dxa"/>
            <w:vAlign w:val="center"/>
          </w:tcPr>
          <w:p w:rsidR="00083C3F" w:rsidRDefault="00E1215B">
            <w:pPr>
              <w:spacing w:after="0"/>
              <w:jc w:val="left"/>
              <w:rPr>
                <w:b/>
                <w:noProof/>
              </w:rPr>
            </w:pPr>
            <w:r>
              <w:rPr>
                <w:b/>
                <w:noProof/>
              </w:rPr>
              <w:t>CCP</w:t>
            </w:r>
          </w:p>
        </w:tc>
        <w:tc>
          <w:tcPr>
            <w:tcW w:w="7902" w:type="dxa"/>
          </w:tcPr>
          <w:p w:rsidR="00083C3F" w:rsidRDefault="00E1215B">
            <w:pPr>
              <w:spacing w:after="0"/>
              <w:rPr>
                <w:noProof/>
              </w:rPr>
            </w:pPr>
            <w:r>
              <w:rPr>
                <w:noProof/>
              </w:rPr>
              <w:t>Central Counterparty (clearing)</w:t>
            </w:r>
          </w:p>
        </w:tc>
      </w:tr>
      <w:tr w:rsidR="00083C3F">
        <w:tc>
          <w:tcPr>
            <w:tcW w:w="1384" w:type="dxa"/>
            <w:vAlign w:val="center"/>
          </w:tcPr>
          <w:p w:rsidR="00083C3F" w:rsidRDefault="00E1215B">
            <w:pPr>
              <w:spacing w:after="0"/>
              <w:jc w:val="left"/>
              <w:rPr>
                <w:b/>
                <w:noProof/>
              </w:rPr>
            </w:pPr>
            <w:r>
              <w:rPr>
                <w:b/>
                <w:noProof/>
              </w:rPr>
              <w:t>CCTB</w:t>
            </w:r>
          </w:p>
        </w:tc>
        <w:tc>
          <w:tcPr>
            <w:tcW w:w="7902" w:type="dxa"/>
          </w:tcPr>
          <w:p w:rsidR="00083C3F" w:rsidRDefault="00E1215B">
            <w:pPr>
              <w:spacing w:after="0"/>
              <w:rPr>
                <w:noProof/>
              </w:rPr>
            </w:pPr>
            <w:r>
              <w:rPr>
                <w:noProof/>
              </w:rPr>
              <w:t>Common Consolidated Corporate Tax Base</w:t>
            </w:r>
          </w:p>
        </w:tc>
      </w:tr>
      <w:tr w:rsidR="00083C3F">
        <w:tc>
          <w:tcPr>
            <w:tcW w:w="1384" w:type="dxa"/>
            <w:vAlign w:val="center"/>
          </w:tcPr>
          <w:p w:rsidR="00083C3F" w:rsidRDefault="00E1215B">
            <w:pPr>
              <w:spacing w:after="0"/>
              <w:jc w:val="left"/>
              <w:rPr>
                <w:b/>
                <w:noProof/>
              </w:rPr>
            </w:pPr>
            <w:r>
              <w:rPr>
                <w:b/>
                <w:noProof/>
              </w:rPr>
              <w:t>CESEE</w:t>
            </w:r>
          </w:p>
        </w:tc>
        <w:tc>
          <w:tcPr>
            <w:tcW w:w="7902" w:type="dxa"/>
          </w:tcPr>
          <w:p w:rsidR="00083C3F" w:rsidRDefault="00E1215B">
            <w:pPr>
              <w:spacing w:after="0"/>
              <w:rPr>
                <w:noProof/>
              </w:rPr>
            </w:pPr>
            <w:r>
              <w:rPr>
                <w:noProof/>
              </w:rPr>
              <w:t>Central Eastern and South-Eastern Europe</w:t>
            </w:r>
          </w:p>
        </w:tc>
      </w:tr>
      <w:tr w:rsidR="00083C3F">
        <w:tc>
          <w:tcPr>
            <w:tcW w:w="1384" w:type="dxa"/>
            <w:vAlign w:val="center"/>
          </w:tcPr>
          <w:p w:rsidR="00083C3F" w:rsidRDefault="00E1215B">
            <w:pPr>
              <w:spacing w:after="0"/>
              <w:jc w:val="left"/>
              <w:rPr>
                <w:b/>
                <w:noProof/>
              </w:rPr>
            </w:pPr>
            <w:r>
              <w:rPr>
                <w:b/>
                <w:noProof/>
              </w:rPr>
              <w:t>CMU</w:t>
            </w:r>
          </w:p>
        </w:tc>
        <w:tc>
          <w:tcPr>
            <w:tcW w:w="7902" w:type="dxa"/>
          </w:tcPr>
          <w:p w:rsidR="00083C3F" w:rsidRDefault="00E1215B">
            <w:pPr>
              <w:spacing w:after="0"/>
              <w:rPr>
                <w:noProof/>
              </w:rPr>
            </w:pPr>
            <w:r>
              <w:rPr>
                <w:noProof/>
              </w:rPr>
              <w:t>Capital Markets Union</w:t>
            </w:r>
          </w:p>
        </w:tc>
      </w:tr>
      <w:tr w:rsidR="00083C3F">
        <w:tc>
          <w:tcPr>
            <w:tcW w:w="1384" w:type="dxa"/>
            <w:vAlign w:val="center"/>
          </w:tcPr>
          <w:p w:rsidR="00083C3F" w:rsidRDefault="00E1215B">
            <w:pPr>
              <w:spacing w:after="0"/>
              <w:jc w:val="left"/>
              <w:rPr>
                <w:b/>
                <w:noProof/>
              </w:rPr>
            </w:pPr>
            <w:r>
              <w:rPr>
                <w:b/>
                <w:noProof/>
              </w:rPr>
              <w:t>CR-3, CR-5</w:t>
            </w:r>
          </w:p>
        </w:tc>
        <w:tc>
          <w:tcPr>
            <w:tcW w:w="7902" w:type="dxa"/>
          </w:tcPr>
          <w:p w:rsidR="00083C3F" w:rsidRDefault="00E1215B">
            <w:pPr>
              <w:spacing w:after="0"/>
              <w:rPr>
                <w:noProof/>
              </w:rPr>
            </w:pPr>
            <w:r>
              <w:rPr>
                <w:noProof/>
              </w:rPr>
              <w:t>Concentration Ratio top-3 and top-5 companies</w:t>
            </w:r>
          </w:p>
        </w:tc>
      </w:tr>
      <w:tr w:rsidR="00083C3F">
        <w:tc>
          <w:tcPr>
            <w:tcW w:w="1384" w:type="dxa"/>
            <w:vAlign w:val="center"/>
          </w:tcPr>
          <w:p w:rsidR="00083C3F" w:rsidRDefault="00E1215B">
            <w:pPr>
              <w:spacing w:after="0"/>
              <w:jc w:val="left"/>
              <w:rPr>
                <w:b/>
                <w:noProof/>
              </w:rPr>
            </w:pPr>
            <w:r>
              <w:rPr>
                <w:b/>
                <w:noProof/>
              </w:rPr>
              <w:t>CSD</w:t>
            </w:r>
          </w:p>
        </w:tc>
        <w:tc>
          <w:tcPr>
            <w:tcW w:w="7902" w:type="dxa"/>
          </w:tcPr>
          <w:p w:rsidR="00083C3F" w:rsidRDefault="00E1215B">
            <w:pPr>
              <w:spacing w:after="0"/>
              <w:rPr>
                <w:noProof/>
              </w:rPr>
            </w:pPr>
            <w:r>
              <w:rPr>
                <w:noProof/>
              </w:rPr>
              <w:t xml:space="preserve">Central Securities </w:t>
            </w:r>
            <w:r>
              <w:rPr>
                <w:noProof/>
              </w:rPr>
              <w:t>Depository</w:t>
            </w:r>
          </w:p>
        </w:tc>
      </w:tr>
      <w:tr w:rsidR="00083C3F">
        <w:tc>
          <w:tcPr>
            <w:tcW w:w="1384" w:type="dxa"/>
            <w:vAlign w:val="center"/>
          </w:tcPr>
          <w:p w:rsidR="00083C3F" w:rsidRDefault="00E1215B">
            <w:pPr>
              <w:spacing w:after="0"/>
              <w:jc w:val="left"/>
              <w:rPr>
                <w:b/>
                <w:noProof/>
              </w:rPr>
            </w:pPr>
            <w:r>
              <w:rPr>
                <w:b/>
                <w:noProof/>
              </w:rPr>
              <w:t>ECB</w:t>
            </w:r>
          </w:p>
        </w:tc>
        <w:tc>
          <w:tcPr>
            <w:tcW w:w="7902" w:type="dxa"/>
          </w:tcPr>
          <w:p w:rsidR="00083C3F" w:rsidRDefault="00E1215B">
            <w:pPr>
              <w:spacing w:after="0"/>
              <w:rPr>
                <w:noProof/>
              </w:rPr>
            </w:pPr>
            <w:r>
              <w:rPr>
                <w:noProof/>
              </w:rPr>
              <w:t>European Central Bank</w:t>
            </w:r>
          </w:p>
        </w:tc>
      </w:tr>
      <w:tr w:rsidR="00083C3F">
        <w:tc>
          <w:tcPr>
            <w:tcW w:w="1384" w:type="dxa"/>
            <w:vAlign w:val="center"/>
          </w:tcPr>
          <w:p w:rsidR="00083C3F" w:rsidRDefault="00E1215B">
            <w:pPr>
              <w:spacing w:after="0"/>
              <w:jc w:val="left"/>
              <w:rPr>
                <w:b/>
                <w:noProof/>
              </w:rPr>
            </w:pPr>
            <w:r>
              <w:rPr>
                <w:b/>
                <w:noProof/>
              </w:rPr>
              <w:t>EDGAR</w:t>
            </w:r>
          </w:p>
        </w:tc>
        <w:tc>
          <w:tcPr>
            <w:tcW w:w="7902" w:type="dxa"/>
          </w:tcPr>
          <w:p w:rsidR="00083C3F" w:rsidRDefault="00E1215B">
            <w:pPr>
              <w:spacing w:after="0"/>
              <w:rPr>
                <w:noProof/>
              </w:rPr>
            </w:pPr>
            <w:r>
              <w:rPr>
                <w:noProof/>
              </w:rPr>
              <w:t>Electronic Data Gathering, Analysis and Retrieval system</w:t>
            </w:r>
          </w:p>
        </w:tc>
      </w:tr>
      <w:tr w:rsidR="00083C3F">
        <w:tc>
          <w:tcPr>
            <w:tcW w:w="1384" w:type="dxa"/>
            <w:vAlign w:val="center"/>
          </w:tcPr>
          <w:p w:rsidR="00083C3F" w:rsidRDefault="00E1215B">
            <w:pPr>
              <w:spacing w:after="0"/>
              <w:jc w:val="left"/>
              <w:rPr>
                <w:b/>
                <w:noProof/>
              </w:rPr>
            </w:pPr>
            <w:r>
              <w:rPr>
                <w:b/>
                <w:noProof/>
              </w:rPr>
              <w:t>EEA</w:t>
            </w:r>
          </w:p>
        </w:tc>
        <w:tc>
          <w:tcPr>
            <w:tcW w:w="7902" w:type="dxa"/>
          </w:tcPr>
          <w:p w:rsidR="00083C3F" w:rsidRDefault="00E1215B">
            <w:pPr>
              <w:spacing w:after="0"/>
              <w:rPr>
                <w:noProof/>
              </w:rPr>
            </w:pPr>
            <w:r>
              <w:rPr>
                <w:noProof/>
              </w:rPr>
              <w:t>European Economic Area</w:t>
            </w:r>
          </w:p>
        </w:tc>
      </w:tr>
      <w:tr w:rsidR="00083C3F">
        <w:tc>
          <w:tcPr>
            <w:tcW w:w="1384" w:type="dxa"/>
            <w:vAlign w:val="center"/>
          </w:tcPr>
          <w:p w:rsidR="00083C3F" w:rsidRDefault="00E1215B">
            <w:pPr>
              <w:spacing w:after="0"/>
              <w:jc w:val="left"/>
              <w:rPr>
                <w:b/>
                <w:noProof/>
              </w:rPr>
            </w:pPr>
            <w:r>
              <w:rPr>
                <w:b/>
                <w:noProof/>
              </w:rPr>
              <w:t>EFSI</w:t>
            </w:r>
          </w:p>
        </w:tc>
        <w:tc>
          <w:tcPr>
            <w:tcW w:w="7902" w:type="dxa"/>
          </w:tcPr>
          <w:p w:rsidR="00083C3F" w:rsidRDefault="00E1215B">
            <w:pPr>
              <w:spacing w:after="0"/>
              <w:rPr>
                <w:noProof/>
              </w:rPr>
            </w:pPr>
            <w:r>
              <w:rPr>
                <w:noProof/>
              </w:rPr>
              <w:t>European Fund for Strategic Investment</w:t>
            </w:r>
          </w:p>
        </w:tc>
      </w:tr>
      <w:tr w:rsidR="00083C3F">
        <w:tc>
          <w:tcPr>
            <w:tcW w:w="1384" w:type="dxa"/>
            <w:vAlign w:val="center"/>
          </w:tcPr>
          <w:p w:rsidR="00083C3F" w:rsidRDefault="00E1215B">
            <w:pPr>
              <w:spacing w:after="0"/>
              <w:jc w:val="left"/>
              <w:rPr>
                <w:b/>
                <w:noProof/>
              </w:rPr>
            </w:pPr>
            <w:r>
              <w:rPr>
                <w:b/>
                <w:noProof/>
              </w:rPr>
              <w:t>EIB</w:t>
            </w:r>
          </w:p>
        </w:tc>
        <w:tc>
          <w:tcPr>
            <w:tcW w:w="7902" w:type="dxa"/>
          </w:tcPr>
          <w:p w:rsidR="00083C3F" w:rsidRDefault="00E1215B">
            <w:pPr>
              <w:spacing w:after="0"/>
              <w:rPr>
                <w:noProof/>
              </w:rPr>
            </w:pPr>
            <w:r>
              <w:rPr>
                <w:noProof/>
              </w:rPr>
              <w:t>European Investment Bank</w:t>
            </w:r>
          </w:p>
        </w:tc>
      </w:tr>
      <w:tr w:rsidR="00083C3F">
        <w:tc>
          <w:tcPr>
            <w:tcW w:w="1384" w:type="dxa"/>
            <w:vAlign w:val="center"/>
          </w:tcPr>
          <w:p w:rsidR="00083C3F" w:rsidRDefault="00E1215B">
            <w:pPr>
              <w:spacing w:after="0"/>
              <w:jc w:val="left"/>
              <w:rPr>
                <w:b/>
                <w:noProof/>
              </w:rPr>
            </w:pPr>
            <w:r>
              <w:rPr>
                <w:b/>
                <w:noProof/>
              </w:rPr>
              <w:t>ESA</w:t>
            </w:r>
          </w:p>
        </w:tc>
        <w:tc>
          <w:tcPr>
            <w:tcW w:w="7902" w:type="dxa"/>
          </w:tcPr>
          <w:p w:rsidR="00083C3F" w:rsidRDefault="00E1215B">
            <w:pPr>
              <w:spacing w:after="0"/>
              <w:rPr>
                <w:rStyle w:val="st"/>
                <w:noProof/>
              </w:rPr>
            </w:pPr>
            <w:r>
              <w:rPr>
                <w:rStyle w:val="st"/>
                <w:noProof/>
              </w:rPr>
              <w:t>European Supervisory Agency</w:t>
            </w:r>
          </w:p>
        </w:tc>
      </w:tr>
      <w:tr w:rsidR="00083C3F">
        <w:tc>
          <w:tcPr>
            <w:tcW w:w="1384" w:type="dxa"/>
            <w:vAlign w:val="center"/>
          </w:tcPr>
          <w:p w:rsidR="00083C3F" w:rsidRDefault="00E1215B">
            <w:pPr>
              <w:spacing w:after="0"/>
              <w:jc w:val="left"/>
              <w:rPr>
                <w:b/>
                <w:noProof/>
              </w:rPr>
            </w:pPr>
            <w:r>
              <w:rPr>
                <w:b/>
                <w:noProof/>
              </w:rPr>
              <w:t>ESMA</w:t>
            </w:r>
          </w:p>
        </w:tc>
        <w:tc>
          <w:tcPr>
            <w:tcW w:w="7902" w:type="dxa"/>
          </w:tcPr>
          <w:p w:rsidR="00083C3F" w:rsidRDefault="00E1215B">
            <w:pPr>
              <w:spacing w:after="0"/>
              <w:rPr>
                <w:rStyle w:val="st"/>
                <w:noProof/>
              </w:rPr>
            </w:pPr>
            <w:r>
              <w:rPr>
                <w:rStyle w:val="st"/>
                <w:noProof/>
              </w:rPr>
              <w:t xml:space="preserve">European </w:t>
            </w:r>
            <w:r>
              <w:rPr>
                <w:rStyle w:val="st"/>
                <w:noProof/>
              </w:rPr>
              <w:t>Securities and Markets Authority</w:t>
            </w:r>
          </w:p>
        </w:tc>
      </w:tr>
      <w:tr w:rsidR="00083C3F">
        <w:tc>
          <w:tcPr>
            <w:tcW w:w="1384" w:type="dxa"/>
            <w:vAlign w:val="center"/>
          </w:tcPr>
          <w:p w:rsidR="00083C3F" w:rsidRDefault="00E1215B">
            <w:pPr>
              <w:spacing w:after="0"/>
              <w:jc w:val="left"/>
              <w:rPr>
                <w:b/>
                <w:noProof/>
              </w:rPr>
            </w:pPr>
            <w:r>
              <w:rPr>
                <w:b/>
                <w:noProof/>
              </w:rPr>
              <w:t>ESRB</w:t>
            </w:r>
          </w:p>
        </w:tc>
        <w:tc>
          <w:tcPr>
            <w:tcW w:w="7902" w:type="dxa"/>
          </w:tcPr>
          <w:p w:rsidR="00083C3F" w:rsidRDefault="00E1215B">
            <w:pPr>
              <w:spacing w:after="0"/>
              <w:rPr>
                <w:rStyle w:val="st"/>
                <w:noProof/>
              </w:rPr>
            </w:pPr>
            <w:r>
              <w:rPr>
                <w:rStyle w:val="st"/>
                <w:noProof/>
              </w:rPr>
              <w:t>European Systemic Risk Board</w:t>
            </w:r>
          </w:p>
        </w:tc>
      </w:tr>
      <w:tr w:rsidR="00083C3F">
        <w:tc>
          <w:tcPr>
            <w:tcW w:w="1384" w:type="dxa"/>
            <w:vAlign w:val="center"/>
          </w:tcPr>
          <w:p w:rsidR="00083C3F" w:rsidRDefault="00E1215B">
            <w:pPr>
              <w:spacing w:after="0"/>
              <w:jc w:val="left"/>
              <w:rPr>
                <w:b/>
                <w:noProof/>
              </w:rPr>
            </w:pPr>
            <w:r>
              <w:rPr>
                <w:b/>
                <w:noProof/>
              </w:rPr>
              <w:t>ETF</w:t>
            </w:r>
          </w:p>
        </w:tc>
        <w:tc>
          <w:tcPr>
            <w:tcW w:w="7902" w:type="dxa"/>
          </w:tcPr>
          <w:p w:rsidR="00083C3F" w:rsidRDefault="00E1215B">
            <w:pPr>
              <w:spacing w:after="0"/>
              <w:rPr>
                <w:rStyle w:val="st"/>
                <w:noProof/>
              </w:rPr>
            </w:pPr>
            <w:r>
              <w:rPr>
                <w:rStyle w:val="st"/>
                <w:noProof/>
              </w:rPr>
              <w:t>Exchange-Traded Fund</w:t>
            </w:r>
          </w:p>
        </w:tc>
      </w:tr>
      <w:tr w:rsidR="00083C3F">
        <w:tc>
          <w:tcPr>
            <w:tcW w:w="1384" w:type="dxa"/>
            <w:vAlign w:val="center"/>
          </w:tcPr>
          <w:p w:rsidR="00083C3F" w:rsidRDefault="00E1215B">
            <w:pPr>
              <w:spacing w:after="0"/>
              <w:jc w:val="left"/>
              <w:rPr>
                <w:b/>
                <w:noProof/>
              </w:rPr>
            </w:pPr>
            <w:r>
              <w:rPr>
                <w:b/>
                <w:noProof/>
              </w:rPr>
              <w:t>EU</w:t>
            </w:r>
          </w:p>
        </w:tc>
        <w:tc>
          <w:tcPr>
            <w:tcW w:w="7902" w:type="dxa"/>
          </w:tcPr>
          <w:p w:rsidR="00083C3F" w:rsidRDefault="00E1215B">
            <w:pPr>
              <w:spacing w:after="0"/>
              <w:rPr>
                <w:noProof/>
              </w:rPr>
            </w:pPr>
            <w:r>
              <w:rPr>
                <w:noProof/>
              </w:rPr>
              <w:t>European Union</w:t>
            </w:r>
          </w:p>
        </w:tc>
      </w:tr>
      <w:tr w:rsidR="00083C3F">
        <w:tc>
          <w:tcPr>
            <w:tcW w:w="1384" w:type="dxa"/>
            <w:vAlign w:val="center"/>
          </w:tcPr>
          <w:p w:rsidR="00083C3F" w:rsidRDefault="00E1215B">
            <w:pPr>
              <w:spacing w:after="0"/>
              <w:jc w:val="left"/>
              <w:rPr>
                <w:b/>
                <w:noProof/>
              </w:rPr>
            </w:pPr>
            <w:r>
              <w:rPr>
                <w:b/>
                <w:noProof/>
              </w:rPr>
              <w:t>EU-27</w:t>
            </w:r>
          </w:p>
        </w:tc>
        <w:tc>
          <w:tcPr>
            <w:tcW w:w="7902" w:type="dxa"/>
          </w:tcPr>
          <w:p w:rsidR="00083C3F" w:rsidRDefault="00E1215B">
            <w:pPr>
              <w:spacing w:after="0"/>
              <w:rPr>
                <w:noProof/>
              </w:rPr>
            </w:pPr>
            <w:r>
              <w:rPr>
                <w:noProof/>
              </w:rPr>
              <w:t>European Union 27 Member States (excluding United Kingdom)</w:t>
            </w:r>
          </w:p>
        </w:tc>
      </w:tr>
      <w:tr w:rsidR="00083C3F">
        <w:tc>
          <w:tcPr>
            <w:tcW w:w="1384" w:type="dxa"/>
            <w:vAlign w:val="center"/>
          </w:tcPr>
          <w:p w:rsidR="00083C3F" w:rsidRDefault="00E1215B">
            <w:pPr>
              <w:spacing w:after="0"/>
              <w:jc w:val="left"/>
              <w:rPr>
                <w:b/>
                <w:noProof/>
              </w:rPr>
            </w:pPr>
            <w:r>
              <w:rPr>
                <w:b/>
                <w:noProof/>
              </w:rPr>
              <w:t>EUR</w:t>
            </w:r>
          </w:p>
        </w:tc>
        <w:tc>
          <w:tcPr>
            <w:tcW w:w="7902" w:type="dxa"/>
          </w:tcPr>
          <w:p w:rsidR="00083C3F" w:rsidRDefault="00E1215B">
            <w:pPr>
              <w:spacing w:after="0"/>
              <w:rPr>
                <w:noProof/>
              </w:rPr>
            </w:pPr>
            <w:r>
              <w:rPr>
                <w:noProof/>
              </w:rPr>
              <w:t>Euro</w:t>
            </w:r>
          </w:p>
        </w:tc>
      </w:tr>
      <w:tr w:rsidR="00083C3F">
        <w:tc>
          <w:tcPr>
            <w:tcW w:w="1384" w:type="dxa"/>
            <w:vAlign w:val="center"/>
          </w:tcPr>
          <w:p w:rsidR="00083C3F" w:rsidRDefault="00E1215B">
            <w:pPr>
              <w:spacing w:after="0"/>
              <w:jc w:val="left"/>
              <w:rPr>
                <w:b/>
                <w:noProof/>
              </w:rPr>
            </w:pPr>
            <w:r>
              <w:rPr>
                <w:b/>
                <w:noProof/>
              </w:rPr>
              <w:t>EA</w:t>
            </w:r>
          </w:p>
        </w:tc>
        <w:tc>
          <w:tcPr>
            <w:tcW w:w="7902" w:type="dxa"/>
          </w:tcPr>
          <w:p w:rsidR="00083C3F" w:rsidRDefault="00E1215B">
            <w:pPr>
              <w:spacing w:after="0"/>
              <w:rPr>
                <w:rStyle w:val="st"/>
                <w:noProof/>
              </w:rPr>
            </w:pPr>
            <w:r>
              <w:rPr>
                <w:rStyle w:val="st"/>
                <w:noProof/>
              </w:rPr>
              <w:t>Euro area</w:t>
            </w:r>
          </w:p>
        </w:tc>
      </w:tr>
      <w:tr w:rsidR="00083C3F">
        <w:tc>
          <w:tcPr>
            <w:tcW w:w="1384" w:type="dxa"/>
            <w:vAlign w:val="center"/>
          </w:tcPr>
          <w:p w:rsidR="00083C3F" w:rsidRDefault="00E1215B">
            <w:pPr>
              <w:spacing w:after="0"/>
              <w:jc w:val="left"/>
              <w:rPr>
                <w:b/>
                <w:noProof/>
              </w:rPr>
            </w:pPr>
            <w:r>
              <w:rPr>
                <w:b/>
                <w:noProof/>
              </w:rPr>
              <w:t>EuSEF</w:t>
            </w:r>
          </w:p>
        </w:tc>
        <w:tc>
          <w:tcPr>
            <w:tcW w:w="7902" w:type="dxa"/>
          </w:tcPr>
          <w:p w:rsidR="00083C3F" w:rsidRDefault="00E1215B">
            <w:pPr>
              <w:spacing w:after="0"/>
              <w:rPr>
                <w:noProof/>
              </w:rPr>
            </w:pPr>
            <w:r>
              <w:rPr>
                <w:rStyle w:val="st"/>
                <w:noProof/>
              </w:rPr>
              <w:t>European Social Entrepreneurship Funds</w:t>
            </w:r>
          </w:p>
        </w:tc>
      </w:tr>
      <w:tr w:rsidR="00083C3F">
        <w:tc>
          <w:tcPr>
            <w:tcW w:w="1384" w:type="dxa"/>
            <w:vAlign w:val="center"/>
          </w:tcPr>
          <w:p w:rsidR="00083C3F" w:rsidRDefault="00E1215B">
            <w:pPr>
              <w:spacing w:after="0"/>
              <w:jc w:val="left"/>
              <w:rPr>
                <w:b/>
                <w:noProof/>
              </w:rPr>
            </w:pPr>
            <w:r>
              <w:rPr>
                <w:b/>
                <w:noProof/>
              </w:rPr>
              <w:t>EuVECA</w:t>
            </w:r>
          </w:p>
        </w:tc>
        <w:tc>
          <w:tcPr>
            <w:tcW w:w="7902" w:type="dxa"/>
          </w:tcPr>
          <w:p w:rsidR="00083C3F" w:rsidRDefault="00E1215B">
            <w:pPr>
              <w:spacing w:after="0"/>
              <w:rPr>
                <w:noProof/>
              </w:rPr>
            </w:pPr>
            <w:r>
              <w:rPr>
                <w:rStyle w:val="st"/>
                <w:noProof/>
              </w:rPr>
              <w:t>European Venture Capital Funds</w:t>
            </w:r>
          </w:p>
        </w:tc>
      </w:tr>
      <w:tr w:rsidR="00083C3F">
        <w:tc>
          <w:tcPr>
            <w:tcW w:w="1384" w:type="dxa"/>
            <w:vAlign w:val="center"/>
          </w:tcPr>
          <w:p w:rsidR="00083C3F" w:rsidRDefault="00E1215B">
            <w:pPr>
              <w:spacing w:after="0"/>
              <w:jc w:val="left"/>
              <w:rPr>
                <w:b/>
                <w:noProof/>
              </w:rPr>
            </w:pPr>
            <w:r>
              <w:rPr>
                <w:b/>
                <w:noProof/>
              </w:rPr>
              <w:t>GDP</w:t>
            </w:r>
          </w:p>
        </w:tc>
        <w:tc>
          <w:tcPr>
            <w:tcW w:w="7902" w:type="dxa"/>
          </w:tcPr>
          <w:p w:rsidR="00083C3F" w:rsidRDefault="00E1215B">
            <w:pPr>
              <w:spacing w:after="0"/>
              <w:rPr>
                <w:noProof/>
              </w:rPr>
            </w:pPr>
            <w:r>
              <w:rPr>
                <w:noProof/>
              </w:rPr>
              <w:t>Gross Domestic Product</w:t>
            </w:r>
          </w:p>
        </w:tc>
      </w:tr>
      <w:tr w:rsidR="00083C3F">
        <w:tc>
          <w:tcPr>
            <w:tcW w:w="1384" w:type="dxa"/>
            <w:vAlign w:val="center"/>
          </w:tcPr>
          <w:p w:rsidR="00083C3F" w:rsidRDefault="00E1215B">
            <w:pPr>
              <w:spacing w:after="0"/>
              <w:jc w:val="left"/>
              <w:rPr>
                <w:b/>
                <w:noProof/>
              </w:rPr>
            </w:pPr>
            <w:r>
              <w:rPr>
                <w:b/>
                <w:noProof/>
              </w:rPr>
              <w:t>IPO</w:t>
            </w:r>
          </w:p>
        </w:tc>
        <w:tc>
          <w:tcPr>
            <w:tcW w:w="7902" w:type="dxa"/>
          </w:tcPr>
          <w:p w:rsidR="00083C3F" w:rsidRDefault="00E1215B">
            <w:pPr>
              <w:spacing w:after="0"/>
              <w:rPr>
                <w:noProof/>
              </w:rPr>
            </w:pPr>
            <w:r>
              <w:rPr>
                <w:noProof/>
              </w:rPr>
              <w:t>Initial public Offering</w:t>
            </w:r>
          </w:p>
        </w:tc>
      </w:tr>
      <w:tr w:rsidR="00083C3F">
        <w:tc>
          <w:tcPr>
            <w:tcW w:w="1384" w:type="dxa"/>
            <w:vAlign w:val="center"/>
          </w:tcPr>
          <w:p w:rsidR="00083C3F" w:rsidRDefault="00E1215B">
            <w:pPr>
              <w:spacing w:after="0"/>
              <w:jc w:val="left"/>
              <w:rPr>
                <w:b/>
                <w:noProof/>
              </w:rPr>
            </w:pPr>
            <w:r>
              <w:rPr>
                <w:b/>
                <w:noProof/>
              </w:rPr>
              <w:t>M&amp;A</w:t>
            </w:r>
          </w:p>
        </w:tc>
        <w:tc>
          <w:tcPr>
            <w:tcW w:w="7902" w:type="dxa"/>
          </w:tcPr>
          <w:p w:rsidR="00083C3F" w:rsidRDefault="00E1215B">
            <w:pPr>
              <w:spacing w:after="0"/>
              <w:rPr>
                <w:noProof/>
              </w:rPr>
            </w:pPr>
            <w:r>
              <w:rPr>
                <w:noProof/>
              </w:rPr>
              <w:t>Mergers and Acquisitions</w:t>
            </w:r>
          </w:p>
        </w:tc>
      </w:tr>
      <w:tr w:rsidR="00083C3F">
        <w:tc>
          <w:tcPr>
            <w:tcW w:w="1384" w:type="dxa"/>
            <w:vAlign w:val="center"/>
          </w:tcPr>
          <w:p w:rsidR="00083C3F" w:rsidRDefault="00E1215B">
            <w:pPr>
              <w:spacing w:after="0"/>
              <w:jc w:val="left"/>
              <w:rPr>
                <w:b/>
                <w:noProof/>
              </w:rPr>
            </w:pPr>
            <w:r>
              <w:rPr>
                <w:b/>
                <w:noProof/>
                <w:lang w:eastAsia="en-GB"/>
              </w:rPr>
              <w:t>MFI</w:t>
            </w:r>
          </w:p>
        </w:tc>
        <w:tc>
          <w:tcPr>
            <w:tcW w:w="7902" w:type="dxa"/>
          </w:tcPr>
          <w:p w:rsidR="00083C3F" w:rsidRDefault="00E1215B">
            <w:pPr>
              <w:spacing w:after="0"/>
              <w:rPr>
                <w:noProof/>
              </w:rPr>
            </w:pPr>
            <w:r>
              <w:rPr>
                <w:noProof/>
              </w:rPr>
              <w:t>Monetary Financial Institution</w:t>
            </w:r>
          </w:p>
        </w:tc>
      </w:tr>
      <w:tr w:rsidR="00083C3F">
        <w:tc>
          <w:tcPr>
            <w:tcW w:w="1384" w:type="dxa"/>
            <w:vAlign w:val="center"/>
          </w:tcPr>
          <w:p w:rsidR="00083C3F" w:rsidRDefault="00E1215B">
            <w:pPr>
              <w:spacing w:after="0"/>
              <w:jc w:val="left"/>
              <w:rPr>
                <w:b/>
                <w:noProof/>
              </w:rPr>
            </w:pPr>
            <w:r>
              <w:rPr>
                <w:b/>
                <w:noProof/>
              </w:rPr>
              <w:t>MiFID</w:t>
            </w:r>
          </w:p>
        </w:tc>
        <w:tc>
          <w:tcPr>
            <w:tcW w:w="7902" w:type="dxa"/>
          </w:tcPr>
          <w:p w:rsidR="00083C3F" w:rsidRDefault="00E1215B">
            <w:pPr>
              <w:spacing w:after="0"/>
              <w:rPr>
                <w:noProof/>
              </w:rPr>
            </w:pPr>
            <w:r>
              <w:rPr>
                <w:noProof/>
              </w:rPr>
              <w:t>Markets in Financial Instruments Directive</w:t>
            </w:r>
          </w:p>
        </w:tc>
      </w:tr>
      <w:tr w:rsidR="00083C3F">
        <w:tc>
          <w:tcPr>
            <w:tcW w:w="1384" w:type="dxa"/>
            <w:vAlign w:val="center"/>
          </w:tcPr>
          <w:p w:rsidR="00083C3F" w:rsidRDefault="00E1215B">
            <w:pPr>
              <w:spacing w:after="0"/>
              <w:jc w:val="left"/>
              <w:rPr>
                <w:b/>
                <w:noProof/>
              </w:rPr>
            </w:pPr>
            <w:r>
              <w:rPr>
                <w:b/>
                <w:noProof/>
              </w:rPr>
              <w:t>MiFIR</w:t>
            </w:r>
          </w:p>
        </w:tc>
        <w:tc>
          <w:tcPr>
            <w:tcW w:w="7902" w:type="dxa"/>
          </w:tcPr>
          <w:p w:rsidR="00083C3F" w:rsidRDefault="00E1215B">
            <w:pPr>
              <w:spacing w:after="0"/>
              <w:rPr>
                <w:noProof/>
              </w:rPr>
            </w:pPr>
            <w:r>
              <w:rPr>
                <w:noProof/>
              </w:rPr>
              <w:t>Markets in Financial Instruments Regulation</w:t>
            </w:r>
          </w:p>
        </w:tc>
      </w:tr>
      <w:tr w:rsidR="00083C3F">
        <w:tc>
          <w:tcPr>
            <w:tcW w:w="1384" w:type="dxa"/>
            <w:vAlign w:val="center"/>
          </w:tcPr>
          <w:p w:rsidR="00083C3F" w:rsidRDefault="00E1215B">
            <w:pPr>
              <w:spacing w:after="0"/>
              <w:jc w:val="left"/>
              <w:rPr>
                <w:b/>
                <w:noProof/>
              </w:rPr>
            </w:pPr>
            <w:r>
              <w:rPr>
                <w:b/>
                <w:noProof/>
              </w:rPr>
              <w:t>NFC</w:t>
            </w:r>
          </w:p>
        </w:tc>
        <w:tc>
          <w:tcPr>
            <w:tcW w:w="7902" w:type="dxa"/>
          </w:tcPr>
          <w:p w:rsidR="00083C3F" w:rsidRDefault="00E1215B">
            <w:pPr>
              <w:spacing w:after="0"/>
              <w:rPr>
                <w:noProof/>
              </w:rPr>
            </w:pPr>
            <w:r>
              <w:rPr>
                <w:noProof/>
              </w:rPr>
              <w:t>Non-Financial Corporations</w:t>
            </w:r>
          </w:p>
        </w:tc>
      </w:tr>
      <w:tr w:rsidR="00083C3F">
        <w:tc>
          <w:tcPr>
            <w:tcW w:w="1384" w:type="dxa"/>
            <w:vAlign w:val="center"/>
          </w:tcPr>
          <w:p w:rsidR="00083C3F" w:rsidRDefault="00E1215B">
            <w:pPr>
              <w:spacing w:after="0"/>
              <w:jc w:val="left"/>
              <w:rPr>
                <w:b/>
                <w:noProof/>
              </w:rPr>
            </w:pPr>
            <w:r>
              <w:rPr>
                <w:b/>
                <w:noProof/>
              </w:rPr>
              <w:t>P2P</w:t>
            </w:r>
          </w:p>
        </w:tc>
        <w:tc>
          <w:tcPr>
            <w:tcW w:w="7902" w:type="dxa"/>
          </w:tcPr>
          <w:p w:rsidR="00083C3F" w:rsidRDefault="00E1215B">
            <w:pPr>
              <w:spacing w:after="0"/>
              <w:rPr>
                <w:noProof/>
              </w:rPr>
            </w:pPr>
            <w:r>
              <w:rPr>
                <w:noProof/>
              </w:rPr>
              <w:t>Peer-to-Peer</w:t>
            </w:r>
          </w:p>
        </w:tc>
      </w:tr>
      <w:tr w:rsidR="00083C3F">
        <w:tc>
          <w:tcPr>
            <w:tcW w:w="1384" w:type="dxa"/>
            <w:vAlign w:val="center"/>
          </w:tcPr>
          <w:p w:rsidR="00083C3F" w:rsidRDefault="00E1215B">
            <w:pPr>
              <w:spacing w:after="0"/>
              <w:jc w:val="left"/>
              <w:rPr>
                <w:b/>
                <w:noProof/>
              </w:rPr>
            </w:pPr>
            <w:r>
              <w:rPr>
                <w:b/>
                <w:noProof/>
              </w:rPr>
              <w:t>PP</w:t>
            </w:r>
          </w:p>
        </w:tc>
        <w:tc>
          <w:tcPr>
            <w:tcW w:w="7902" w:type="dxa"/>
          </w:tcPr>
          <w:p w:rsidR="00083C3F" w:rsidRDefault="00E1215B">
            <w:pPr>
              <w:spacing w:after="0"/>
              <w:rPr>
                <w:noProof/>
              </w:rPr>
            </w:pPr>
            <w:r>
              <w:rPr>
                <w:noProof/>
              </w:rPr>
              <w:t>Private Placement</w:t>
            </w:r>
          </w:p>
        </w:tc>
      </w:tr>
      <w:tr w:rsidR="00083C3F">
        <w:tc>
          <w:tcPr>
            <w:tcW w:w="1384" w:type="dxa"/>
            <w:vAlign w:val="center"/>
          </w:tcPr>
          <w:p w:rsidR="00083C3F" w:rsidRDefault="00E1215B">
            <w:pPr>
              <w:spacing w:after="0"/>
              <w:jc w:val="left"/>
              <w:rPr>
                <w:b/>
                <w:noProof/>
              </w:rPr>
            </w:pPr>
            <w:r>
              <w:rPr>
                <w:b/>
                <w:noProof/>
              </w:rPr>
              <w:t>PPP</w:t>
            </w:r>
          </w:p>
        </w:tc>
        <w:tc>
          <w:tcPr>
            <w:tcW w:w="7902" w:type="dxa"/>
          </w:tcPr>
          <w:p w:rsidR="00083C3F" w:rsidRDefault="00E1215B">
            <w:pPr>
              <w:spacing w:after="0"/>
              <w:rPr>
                <w:noProof/>
              </w:rPr>
            </w:pPr>
            <w:r>
              <w:rPr>
                <w:noProof/>
              </w:rPr>
              <w:t>Public-Private Partnership</w:t>
            </w:r>
          </w:p>
        </w:tc>
      </w:tr>
      <w:tr w:rsidR="00083C3F">
        <w:tc>
          <w:tcPr>
            <w:tcW w:w="1384" w:type="dxa"/>
            <w:vAlign w:val="center"/>
          </w:tcPr>
          <w:p w:rsidR="00083C3F" w:rsidRDefault="00E1215B">
            <w:pPr>
              <w:spacing w:after="0"/>
              <w:jc w:val="left"/>
              <w:rPr>
                <w:b/>
                <w:noProof/>
              </w:rPr>
            </w:pPr>
            <w:r>
              <w:rPr>
                <w:b/>
                <w:noProof/>
              </w:rPr>
              <w:t>RES</w:t>
            </w:r>
          </w:p>
        </w:tc>
        <w:tc>
          <w:tcPr>
            <w:tcW w:w="7902" w:type="dxa"/>
          </w:tcPr>
          <w:p w:rsidR="00083C3F" w:rsidRDefault="00E1215B">
            <w:pPr>
              <w:spacing w:after="0"/>
              <w:rPr>
                <w:noProof/>
              </w:rPr>
            </w:pPr>
            <w:r>
              <w:rPr>
                <w:noProof/>
              </w:rPr>
              <w:t>Renewable Energy Sources</w:t>
            </w:r>
          </w:p>
        </w:tc>
      </w:tr>
      <w:tr w:rsidR="00083C3F">
        <w:tc>
          <w:tcPr>
            <w:tcW w:w="1384" w:type="dxa"/>
            <w:vAlign w:val="center"/>
          </w:tcPr>
          <w:p w:rsidR="00083C3F" w:rsidRDefault="00E1215B">
            <w:pPr>
              <w:spacing w:after="0"/>
              <w:jc w:val="left"/>
              <w:rPr>
                <w:b/>
                <w:noProof/>
              </w:rPr>
            </w:pPr>
            <w:r>
              <w:rPr>
                <w:b/>
                <w:noProof/>
              </w:rPr>
              <w:t>SAFE</w:t>
            </w:r>
          </w:p>
        </w:tc>
        <w:tc>
          <w:tcPr>
            <w:tcW w:w="7902" w:type="dxa"/>
          </w:tcPr>
          <w:p w:rsidR="00083C3F" w:rsidRDefault="00E1215B">
            <w:pPr>
              <w:spacing w:after="0"/>
              <w:rPr>
                <w:noProof/>
              </w:rPr>
            </w:pPr>
            <w:r>
              <w:rPr>
                <w:noProof/>
              </w:rPr>
              <w:t>Survey on the Access to Finance of Enterprises</w:t>
            </w:r>
          </w:p>
        </w:tc>
      </w:tr>
      <w:tr w:rsidR="00083C3F">
        <w:tc>
          <w:tcPr>
            <w:tcW w:w="1384" w:type="dxa"/>
            <w:vAlign w:val="center"/>
          </w:tcPr>
          <w:p w:rsidR="00083C3F" w:rsidRDefault="00E1215B">
            <w:pPr>
              <w:spacing w:after="0"/>
              <w:jc w:val="left"/>
              <w:rPr>
                <w:b/>
                <w:noProof/>
              </w:rPr>
            </w:pPr>
            <w:r>
              <w:rPr>
                <w:b/>
                <w:noProof/>
              </w:rPr>
              <w:t>SEC</w:t>
            </w:r>
          </w:p>
        </w:tc>
        <w:tc>
          <w:tcPr>
            <w:tcW w:w="7902" w:type="dxa"/>
          </w:tcPr>
          <w:p w:rsidR="00083C3F" w:rsidRDefault="00E1215B">
            <w:pPr>
              <w:spacing w:after="0"/>
              <w:rPr>
                <w:noProof/>
              </w:rPr>
            </w:pPr>
            <w:r>
              <w:rPr>
                <w:noProof/>
              </w:rPr>
              <w:t>Securities and Exchange Commission</w:t>
            </w:r>
          </w:p>
        </w:tc>
      </w:tr>
      <w:tr w:rsidR="00083C3F">
        <w:tc>
          <w:tcPr>
            <w:tcW w:w="1384" w:type="dxa"/>
            <w:vAlign w:val="center"/>
          </w:tcPr>
          <w:p w:rsidR="00083C3F" w:rsidRDefault="00E1215B">
            <w:pPr>
              <w:spacing w:after="0"/>
              <w:jc w:val="left"/>
              <w:rPr>
                <w:b/>
                <w:noProof/>
              </w:rPr>
            </w:pPr>
            <w:r>
              <w:rPr>
                <w:b/>
                <w:noProof/>
              </w:rPr>
              <w:t>SME</w:t>
            </w:r>
          </w:p>
        </w:tc>
        <w:tc>
          <w:tcPr>
            <w:tcW w:w="7902" w:type="dxa"/>
          </w:tcPr>
          <w:p w:rsidR="00083C3F" w:rsidRDefault="00E1215B">
            <w:pPr>
              <w:spacing w:after="0"/>
              <w:rPr>
                <w:noProof/>
              </w:rPr>
            </w:pPr>
            <w:r>
              <w:rPr>
                <w:noProof/>
              </w:rPr>
              <w:t xml:space="preserve">Small and Medium </w:t>
            </w:r>
            <w:r>
              <w:rPr>
                <w:noProof/>
              </w:rPr>
              <w:t>Enterprise</w:t>
            </w:r>
          </w:p>
        </w:tc>
      </w:tr>
      <w:tr w:rsidR="00083C3F">
        <w:tc>
          <w:tcPr>
            <w:tcW w:w="1384" w:type="dxa"/>
            <w:vAlign w:val="center"/>
          </w:tcPr>
          <w:p w:rsidR="00083C3F" w:rsidRDefault="00E1215B">
            <w:pPr>
              <w:spacing w:after="0"/>
              <w:jc w:val="left"/>
              <w:rPr>
                <w:b/>
                <w:noProof/>
              </w:rPr>
            </w:pPr>
            <w:r>
              <w:rPr>
                <w:b/>
                <w:noProof/>
              </w:rPr>
              <w:t>STS</w:t>
            </w:r>
          </w:p>
        </w:tc>
        <w:tc>
          <w:tcPr>
            <w:tcW w:w="7902" w:type="dxa"/>
          </w:tcPr>
          <w:p w:rsidR="00083C3F" w:rsidRDefault="00E1215B">
            <w:pPr>
              <w:spacing w:after="0"/>
              <w:rPr>
                <w:noProof/>
              </w:rPr>
            </w:pPr>
            <w:r>
              <w:rPr>
                <w:noProof/>
              </w:rPr>
              <w:t>Simple, Transparent and Standardised</w:t>
            </w:r>
          </w:p>
        </w:tc>
      </w:tr>
      <w:tr w:rsidR="00083C3F">
        <w:tc>
          <w:tcPr>
            <w:tcW w:w="1384" w:type="dxa"/>
            <w:vAlign w:val="center"/>
          </w:tcPr>
          <w:p w:rsidR="00083C3F" w:rsidRDefault="00E1215B">
            <w:pPr>
              <w:spacing w:after="0"/>
              <w:jc w:val="left"/>
              <w:rPr>
                <w:b/>
                <w:noProof/>
              </w:rPr>
            </w:pPr>
            <w:r>
              <w:rPr>
                <w:b/>
                <w:noProof/>
              </w:rPr>
              <w:t>SWD</w:t>
            </w:r>
          </w:p>
        </w:tc>
        <w:tc>
          <w:tcPr>
            <w:tcW w:w="7902" w:type="dxa"/>
          </w:tcPr>
          <w:p w:rsidR="00083C3F" w:rsidRDefault="00E1215B">
            <w:pPr>
              <w:spacing w:after="0"/>
              <w:rPr>
                <w:noProof/>
              </w:rPr>
            </w:pPr>
            <w:r>
              <w:rPr>
                <w:noProof/>
              </w:rPr>
              <w:t>Staff Working Document</w:t>
            </w:r>
          </w:p>
        </w:tc>
      </w:tr>
      <w:tr w:rsidR="00083C3F">
        <w:tc>
          <w:tcPr>
            <w:tcW w:w="1384" w:type="dxa"/>
            <w:vAlign w:val="center"/>
          </w:tcPr>
          <w:p w:rsidR="00083C3F" w:rsidRDefault="00E1215B">
            <w:pPr>
              <w:spacing w:after="0"/>
              <w:jc w:val="left"/>
              <w:rPr>
                <w:b/>
                <w:noProof/>
              </w:rPr>
            </w:pPr>
            <w:r>
              <w:rPr>
                <w:b/>
                <w:noProof/>
              </w:rPr>
              <w:t>USD</w:t>
            </w:r>
          </w:p>
        </w:tc>
        <w:tc>
          <w:tcPr>
            <w:tcW w:w="7902" w:type="dxa"/>
          </w:tcPr>
          <w:p w:rsidR="00083C3F" w:rsidRDefault="00E1215B">
            <w:pPr>
              <w:spacing w:after="0"/>
              <w:rPr>
                <w:noProof/>
              </w:rPr>
            </w:pPr>
            <w:r>
              <w:rPr>
                <w:noProof/>
              </w:rPr>
              <w:t>United States Dollar</w:t>
            </w:r>
          </w:p>
        </w:tc>
      </w:tr>
      <w:tr w:rsidR="00083C3F">
        <w:tc>
          <w:tcPr>
            <w:tcW w:w="1384" w:type="dxa"/>
            <w:vAlign w:val="center"/>
          </w:tcPr>
          <w:p w:rsidR="00083C3F" w:rsidRDefault="00E1215B">
            <w:pPr>
              <w:spacing w:after="0"/>
              <w:jc w:val="left"/>
              <w:rPr>
                <w:b/>
                <w:noProof/>
              </w:rPr>
            </w:pPr>
            <w:r>
              <w:rPr>
                <w:b/>
                <w:noProof/>
              </w:rPr>
              <w:t>T2S</w:t>
            </w:r>
          </w:p>
        </w:tc>
        <w:tc>
          <w:tcPr>
            <w:tcW w:w="7902" w:type="dxa"/>
          </w:tcPr>
          <w:p w:rsidR="00083C3F" w:rsidRDefault="00E1215B">
            <w:pPr>
              <w:spacing w:after="0"/>
              <w:rPr>
                <w:noProof/>
              </w:rPr>
            </w:pPr>
            <w:r>
              <w:rPr>
                <w:noProof/>
              </w:rPr>
              <w:t>TARGET2-Securities</w:t>
            </w:r>
          </w:p>
        </w:tc>
      </w:tr>
      <w:tr w:rsidR="00083C3F">
        <w:tc>
          <w:tcPr>
            <w:tcW w:w="1384" w:type="dxa"/>
            <w:vAlign w:val="center"/>
          </w:tcPr>
          <w:p w:rsidR="00083C3F" w:rsidRDefault="00E1215B">
            <w:pPr>
              <w:spacing w:after="0"/>
              <w:jc w:val="left"/>
              <w:rPr>
                <w:b/>
                <w:noProof/>
              </w:rPr>
            </w:pPr>
            <w:r>
              <w:rPr>
                <w:b/>
                <w:noProof/>
              </w:rPr>
              <w:t>VC</w:t>
            </w:r>
          </w:p>
        </w:tc>
        <w:tc>
          <w:tcPr>
            <w:tcW w:w="7902" w:type="dxa"/>
          </w:tcPr>
          <w:p w:rsidR="00083C3F" w:rsidRDefault="00E1215B">
            <w:pPr>
              <w:spacing w:after="0"/>
              <w:rPr>
                <w:noProof/>
              </w:rPr>
            </w:pPr>
            <w:r>
              <w:rPr>
                <w:noProof/>
              </w:rPr>
              <w:t>Venture Capital</w:t>
            </w:r>
          </w:p>
        </w:tc>
      </w:tr>
    </w:tbl>
    <w:p w:rsidR="00083C3F" w:rsidRDefault="00E1215B">
      <w:pPr>
        <w:spacing w:after="200" w:line="276" w:lineRule="auto"/>
        <w:jc w:val="left"/>
        <w:rPr>
          <w:rFonts w:eastAsiaTheme="majorEastAsia" w:cstheme="majorBidi"/>
          <w:b/>
          <w:bCs/>
          <w:noProof/>
          <w:sz w:val="28"/>
          <w:szCs w:val="28"/>
        </w:rPr>
      </w:pPr>
      <w:r>
        <w:rPr>
          <w:noProof/>
        </w:rPr>
        <w:br w:type="page"/>
      </w:r>
    </w:p>
    <w:p w:rsidR="00083C3F" w:rsidRDefault="00E1215B">
      <w:pPr>
        <w:pStyle w:val="Heading1"/>
        <w:numPr>
          <w:ilvl w:val="0"/>
          <w:numId w:val="0"/>
        </w:numPr>
        <w:rPr>
          <w:noProof/>
        </w:rPr>
      </w:pPr>
      <w:bookmarkStart w:id="7" w:name="_Toc482710927"/>
      <w:bookmarkStart w:id="8" w:name="_Toc482715249"/>
      <w:bookmarkStart w:id="9" w:name="_Toc481140352"/>
      <w:r>
        <w:rPr>
          <w:noProof/>
        </w:rPr>
        <w:lastRenderedPageBreak/>
        <w:t>Executive Summary</w:t>
      </w:r>
      <w:bookmarkEnd w:id="7"/>
      <w:bookmarkEnd w:id="8"/>
      <w:r>
        <w:rPr>
          <w:noProof/>
        </w:rPr>
        <w:t xml:space="preserve"> </w:t>
      </w:r>
      <w:bookmarkEnd w:id="9"/>
    </w:p>
    <w:p w:rsidR="00083C3F" w:rsidRDefault="00E1215B">
      <w:pPr>
        <w:rPr>
          <w:noProof/>
        </w:rPr>
      </w:pPr>
      <w:r>
        <w:rPr>
          <w:noProof/>
        </w:rPr>
        <w:t xml:space="preserve">This Commission Staff Working Document (SWD) accompanies the Communication on the </w:t>
      </w:r>
      <w:r>
        <w:rPr>
          <w:noProof/>
        </w:rPr>
        <w:t>Mid-term Review of the Capital Markets Union (CMU) Action Plan. The document provides an in-depth economic analysis of underlying long-term trends and capital market failures to underpin the policy priorities of the Mid-Term Review. Each chapter includes a</w:t>
      </w:r>
      <w:r>
        <w:rPr>
          <w:noProof/>
        </w:rPr>
        <w:t>n introduction about long-term trends and main indicators. This is followed by a discussion about the drivers of those trends and the general policy implications.</w:t>
      </w:r>
    </w:p>
    <w:p w:rsidR="00083C3F" w:rsidRDefault="00E1215B">
      <w:pPr>
        <w:rPr>
          <w:noProof/>
        </w:rPr>
      </w:pPr>
      <w:r>
        <w:rPr>
          <w:b/>
          <w:noProof/>
        </w:rPr>
        <w:t>Chapter 1</w:t>
      </w:r>
      <w:r>
        <w:rPr>
          <w:noProof/>
        </w:rPr>
        <w:t xml:space="preserve"> proposes a coherent economic framework underpinning the CMU long-term objectives an</w:t>
      </w:r>
      <w:r>
        <w:rPr>
          <w:noProof/>
        </w:rPr>
        <w:t>d provides aggregate indicators about measures of financial integration, as well as investments. The diversification of the financial system in Europe is still far from optimal, but there are signs in the post-crisis recovery that the financial integration</w:t>
      </w:r>
      <w:r>
        <w:rPr>
          <w:noProof/>
        </w:rPr>
        <w:t xml:space="preserve"> process is moving towards a more sustainable path. Based on the economic framework the chapter identifies a number of indicators to measure progress towards the completion of CMU, also leveraging on internal empirical work conducted by the Joint Research </w:t>
      </w:r>
      <w:r>
        <w:rPr>
          <w:noProof/>
        </w:rPr>
        <w:t>Centre (JRC). Particular attention, as key highlights of the Mid-Term Review, is paid to cross-cutting policy issues such as supervisory convergence and capital market capacity building for the Central, Eastern and South Eastern (CESEE) region.</w:t>
      </w:r>
    </w:p>
    <w:p w:rsidR="00083C3F" w:rsidRDefault="00E1215B">
      <w:pPr>
        <w:rPr>
          <w:noProof/>
        </w:rPr>
      </w:pPr>
      <w:r>
        <w:rPr>
          <w:b/>
          <w:noProof/>
        </w:rPr>
        <w:t>Chapter 2</w:t>
      </w:r>
      <w:r>
        <w:rPr>
          <w:noProof/>
        </w:rPr>
        <w:t xml:space="preserve"> r</w:t>
      </w:r>
      <w:r>
        <w:rPr>
          <w:noProof/>
        </w:rPr>
        <w:t>eviews developments in the pre-IPO (initial public offering) ecosystem for unlisted companies, such as start-ups, scale-ups and other Small and Medium sized Enterprises (SMEs), to review the areas of non-bank funding for innovation that may call for action</w:t>
      </w:r>
      <w:r>
        <w:rPr>
          <w:noProof/>
        </w:rPr>
        <w:t>. Market-based finance and bank financing complement one another - the banking sector and capital markets have complementary roles and comparative advantages in different stages of development of an economy. Nonetheless, financing constraints remain, in pa</w:t>
      </w:r>
      <w:r>
        <w:rPr>
          <w:noProof/>
        </w:rPr>
        <w:t>rticular for start-ups, scale-ups and non-listed companies. On the one hand, banks tend not to lend to young companies without collateral and certain future cash flows. On the other, capital markets are under-developed in several Member States, leaving SME</w:t>
      </w:r>
      <w:r>
        <w:rPr>
          <w:noProof/>
        </w:rPr>
        <w:t xml:space="preserve">s vulnerable to stress in the banking sector. Market-based solutions in this area include business angels, private equity and venture capital, which rely on risk concentration and strong influence on the governance of the firm, as well as crowdfunding and </w:t>
      </w:r>
      <w:r>
        <w:rPr>
          <w:noProof/>
        </w:rPr>
        <w:t>private placement, which rely on risk dispersion and information disclosure by the company seeking funds. These forms of funding need a more holistic approach to help them develop a better ecosystem. Moreover, many entrepreneurs, start-up and small busines</w:t>
      </w:r>
      <w:r>
        <w:rPr>
          <w:noProof/>
        </w:rPr>
        <w:t>ses fail due to cash flow problems although having a viable business model. Solutions such as supply chain finance (invoice trading) can help companies overcome temporary cash flow problems.</w:t>
      </w:r>
    </w:p>
    <w:p w:rsidR="00083C3F" w:rsidRDefault="00E1215B">
      <w:pPr>
        <w:rPr>
          <w:noProof/>
        </w:rPr>
      </w:pPr>
      <w:r>
        <w:rPr>
          <w:b/>
          <w:noProof/>
        </w:rPr>
        <w:t>Chapter 3</w:t>
      </w:r>
      <w:r>
        <w:rPr>
          <w:noProof/>
        </w:rPr>
        <w:t xml:space="preserve"> focuses on raising equity and debt finance on public ca</w:t>
      </w:r>
      <w:r>
        <w:rPr>
          <w:noProof/>
        </w:rPr>
        <w:t xml:space="preserve">pital markets. Access to bond and equity markets occur in waves, depending on macro-economic, firm-specific and institutional factors. Initial access to equity markets facilitates subsequent access to finance (equity, bond, and bank financing) and mergers </w:t>
      </w:r>
      <w:r>
        <w:rPr>
          <w:noProof/>
        </w:rPr>
        <w:t>and acquisition (M&amp;A) activity. Firms' financial structure and access to public markets differs depending on the firm's size (large firms versus SMEs) and across Member States. Dependency on bank-based financing decreased following the financial crisis but</w:t>
      </w:r>
      <w:r>
        <w:rPr>
          <w:noProof/>
        </w:rPr>
        <w:t xml:space="preserve"> still remains high on average. SMEs overall access to external finance shows signs of improvement, but SMEs still face structural barriers to access public markets due to higher information asymmetries, high fixed costs, underdeveloped ecosystems and rela</w:t>
      </w:r>
      <w:r>
        <w:rPr>
          <w:noProof/>
        </w:rPr>
        <w:t>tively low demand from institutional and retail investors. Proportionate regulation could help targeting those firms for whom access to public markets is relevant – like fast-growing young SMEs – while ensuring investor protection to preserve sufficient de</w:t>
      </w:r>
      <w:r>
        <w:rPr>
          <w:noProof/>
        </w:rPr>
        <w:t>mand from investors.</w:t>
      </w:r>
    </w:p>
    <w:p w:rsidR="00083C3F" w:rsidRDefault="00E1215B">
      <w:pPr>
        <w:rPr>
          <w:noProof/>
        </w:rPr>
      </w:pPr>
      <w:r>
        <w:rPr>
          <w:b/>
          <w:noProof/>
        </w:rPr>
        <w:t>Chapter 4</w:t>
      </w:r>
      <w:r>
        <w:rPr>
          <w:noProof/>
        </w:rPr>
        <w:t xml:space="preserve"> reviews how banks can use capital markets to support bank lending. STS securitisation aims to support the revival of the EU securitisation market, which will provide banks with an important tool to manage their balance sheet </w:t>
      </w:r>
      <w:r>
        <w:rPr>
          <w:noProof/>
        </w:rPr>
        <w:t>and transfer risk. Market practices to achieve greater standardisation and transparency of deals can support this process. Covered bonds have proven to be an effective long-term funding instrument for the mortgage loan and public sector loan portfolio of b</w:t>
      </w:r>
      <w:r>
        <w:rPr>
          <w:noProof/>
        </w:rPr>
        <w:t xml:space="preserve">anks. A larger EU market for covered bonds, based on existing covered bond frameworks, would reduce issuance costs for banks and offer an asset class to investors. The development of a new dual </w:t>
      </w:r>
      <w:r>
        <w:rPr>
          <w:noProof/>
        </w:rPr>
        <w:lastRenderedPageBreak/>
        <w:t>recourse instrument similar to covered bonds – a European Secu</w:t>
      </w:r>
      <w:r>
        <w:rPr>
          <w:noProof/>
        </w:rPr>
        <w:t>red Note (ESN) – could provide a focused way of financing SME and infrastructure loans. As several banks across the EU have built-up a large stock of non-performing loans (NPL), improvements to the functioning of the NPL secondary market would benefit from</w:t>
      </w:r>
      <w:r>
        <w:rPr>
          <w:noProof/>
        </w:rPr>
        <w:t xml:space="preserve"> the expansion of the investor base to specialised buyers such as hedge funds and investment firms, helping banks to refocus on their core business.</w:t>
      </w:r>
    </w:p>
    <w:p w:rsidR="00083C3F" w:rsidRDefault="00E1215B">
      <w:pPr>
        <w:rPr>
          <w:noProof/>
        </w:rPr>
      </w:pPr>
      <w:r>
        <w:rPr>
          <w:b/>
          <w:noProof/>
        </w:rPr>
        <w:t>Chapter 5</w:t>
      </w:r>
      <w:r>
        <w:rPr>
          <w:noProof/>
        </w:rPr>
        <w:t xml:space="preserve"> discusses long-term institutional investors' participation in capital markets and to support infr</w:t>
      </w:r>
      <w:r>
        <w:rPr>
          <w:noProof/>
        </w:rPr>
        <w:t>astructure and sustainable investments. Equity finance is an important source of long-term investments. The corporate sector in some Member States remains highly leveraged and start-ups, in particular, ask for equity rather than loan finance to support the</w:t>
      </w:r>
      <w:r>
        <w:rPr>
          <w:noProof/>
        </w:rPr>
        <w:t>ir growth. Equity investment by insurance undertakings and pension funds however remains low. Capital markets could support sustainable finance by redirecting private funds to environmentally-friendly production processes and help to generate financial ret</w:t>
      </w:r>
      <w:r>
        <w:rPr>
          <w:noProof/>
        </w:rPr>
        <w:t>urns with positive social externalities.</w:t>
      </w:r>
    </w:p>
    <w:p w:rsidR="00083C3F" w:rsidRDefault="00E1215B">
      <w:pPr>
        <w:rPr>
          <w:noProof/>
        </w:rPr>
      </w:pPr>
      <w:r>
        <w:rPr>
          <w:b/>
          <w:noProof/>
        </w:rPr>
        <w:t>Chapter 6</w:t>
      </w:r>
      <w:r>
        <w:rPr>
          <w:noProof/>
        </w:rPr>
        <w:t xml:space="preserve"> argues for greater engagement of retail investors in capital markets. EU households have one of the highest savings rate worldwide, but those savings are held predominantly in cash deposits, which may gene</w:t>
      </w:r>
      <w:r>
        <w:rPr>
          <w:noProof/>
        </w:rPr>
        <w:t>rate insufficient returns to meet long-term liabilities, such as education, health and ageing population. Retail investors are important to support market liquidity for stocks and bonds and thereby reduce the cost of finance for EU businesses, including SM</w:t>
      </w:r>
      <w:r>
        <w:rPr>
          <w:noProof/>
        </w:rPr>
        <w:t>Es. Lack of retail investors' participation relates to market frictions in the forms of explicit transaction costs, information asymmetry and behavioural biases. On the supply side, a lack of (domestic and cross-border) competition may lead to rent-seeking</w:t>
      </w:r>
      <w:r>
        <w:rPr>
          <w:noProof/>
        </w:rPr>
        <w:t xml:space="preserve"> behaviour by service providers. New market entrants, such as FinTech companies, could put competitive pressures on incumbents in the years to come. On the demand side, investors' deviation from the optimal portfolio choice can be minimised through more ef</w:t>
      </w:r>
      <w:r>
        <w:rPr>
          <w:noProof/>
        </w:rPr>
        <w:t xml:space="preserve">fective transparency of retail investment products (information disclosure) and ability to deal with behavioural frictions. </w:t>
      </w:r>
    </w:p>
    <w:tbl>
      <w:tblPr>
        <w:tblStyle w:val="TableGrid"/>
        <w:tblW w:w="0" w:type="auto"/>
        <w:tblLook w:val="04A0" w:firstRow="1" w:lastRow="0" w:firstColumn="1" w:lastColumn="0" w:noHBand="0" w:noVBand="1"/>
      </w:tblPr>
      <w:tblGrid>
        <w:gridCol w:w="9286"/>
      </w:tblGrid>
      <w:tr w:rsidR="00083C3F">
        <w:tc>
          <w:tcPr>
            <w:tcW w:w="9286" w:type="dxa"/>
          </w:tcPr>
          <w:p w:rsidR="00083C3F" w:rsidRDefault="00E1215B">
            <w:pPr>
              <w:rPr>
                <w:i/>
                <w:noProof/>
              </w:rPr>
            </w:pPr>
            <w:r>
              <w:rPr>
                <w:i/>
                <w:noProof/>
              </w:rPr>
              <w:t xml:space="preserve">This SWD analyses and monitors trends in capital markets that are relevant to the objectives of the CMU action plan. Building on </w:t>
            </w:r>
            <w:r>
              <w:rPr>
                <w:i/>
                <w:noProof/>
              </w:rPr>
              <w:t>its 2016 commitment to further develop and update indicators to measure CMU objectives,</w:t>
            </w:r>
            <w:r>
              <w:rPr>
                <w:rStyle w:val="FootnoteReference"/>
                <w:i/>
                <w:noProof/>
              </w:rPr>
              <w:footnoteReference w:id="2"/>
            </w:r>
            <w:r>
              <w:rPr>
                <w:i/>
                <w:noProof/>
              </w:rPr>
              <w:t>the SWD includes a section at the end of each chapter with a recap of the indicators used in the text. While other factors beyond CMU actions have a sizable impact on t</w:t>
            </w:r>
            <w:r>
              <w:rPr>
                <w:i/>
                <w:noProof/>
              </w:rPr>
              <w:t xml:space="preserve">he evolution of capital markets in Europe, these indicators offer an insight on the state of development and integration of European capital markets that will inform current and future policy actions. </w:t>
            </w:r>
          </w:p>
        </w:tc>
      </w:tr>
    </w:tbl>
    <w:p w:rsidR="00083C3F" w:rsidRDefault="00083C3F">
      <w:pPr>
        <w:rPr>
          <w:noProof/>
        </w:rPr>
      </w:pPr>
    </w:p>
    <w:p w:rsidR="00083C3F" w:rsidRDefault="00E1215B">
      <w:pPr>
        <w:pStyle w:val="Heading1"/>
        <w:numPr>
          <w:ilvl w:val="0"/>
          <w:numId w:val="0"/>
        </w:numPr>
        <w:ind w:left="431" w:hanging="431"/>
        <w:rPr>
          <w:noProof/>
        </w:rPr>
      </w:pPr>
      <w:bookmarkStart w:id="10" w:name="_Toc482710928"/>
      <w:bookmarkStart w:id="11" w:name="_Toc482715250"/>
      <w:bookmarkStart w:id="12" w:name="_Toc481140353"/>
      <w:r>
        <w:rPr>
          <w:noProof/>
        </w:rPr>
        <w:lastRenderedPageBreak/>
        <w:t>Introduction</w:t>
      </w:r>
      <w:bookmarkEnd w:id="10"/>
      <w:bookmarkEnd w:id="11"/>
      <w:r>
        <w:rPr>
          <w:noProof/>
        </w:rPr>
        <w:t xml:space="preserve"> </w:t>
      </w:r>
      <w:bookmarkEnd w:id="12"/>
    </w:p>
    <w:p w:rsidR="00083C3F" w:rsidRDefault="00E1215B">
      <w:pPr>
        <w:rPr>
          <w:noProof/>
        </w:rPr>
      </w:pPr>
      <w:r>
        <w:rPr>
          <w:noProof/>
        </w:rPr>
        <w:t>This Commission Staff Working Document</w:t>
      </w:r>
      <w:r>
        <w:rPr>
          <w:noProof/>
        </w:rPr>
        <w:t xml:space="preserve"> (SWD) accompanies the Communication on the Mid-term Review of the Capital Markets Union (CMU) Action Plan. The economic analysis on the functioning of capital markets in the European Union (EU) in this SWD provides the economic context for the policy acti</w:t>
      </w:r>
      <w:r>
        <w:rPr>
          <w:noProof/>
        </w:rPr>
        <w:t xml:space="preserve">ons in the mid-term review. The SWD provides a general context for identifying weaknesses and market failures in the functioning of EU capital markets, some of which may be suitable candidates for action in the CMU mid-term review. The SWD seeks to review </w:t>
      </w:r>
      <w:r>
        <w:rPr>
          <w:noProof/>
        </w:rPr>
        <w:t>the main structural shifts in EU capital markets, understand the drivers of change building on insights from economic theory and conclude, where possible, with key messages for implications on policy. It analyses and monitors trends in capital markets that</w:t>
      </w:r>
      <w:r>
        <w:rPr>
          <w:noProof/>
        </w:rPr>
        <w:t xml:space="preserve"> are relevant to the objectives of the CMU initiative through the use of indicators.</w:t>
      </w:r>
      <w:r>
        <w:rPr>
          <w:rStyle w:val="FootnoteReference"/>
          <w:noProof/>
        </w:rPr>
        <w:footnoteReference w:id="3"/>
      </w:r>
    </w:p>
    <w:p w:rsidR="00083C3F" w:rsidRDefault="00E1215B">
      <w:pPr>
        <w:rPr>
          <w:noProof/>
        </w:rPr>
      </w:pPr>
      <w:r>
        <w:rPr>
          <w:noProof/>
        </w:rPr>
        <w:t xml:space="preserve">This SWD extends and complements the economic analysis done previously. In particular, the SWD that accompanied the CMU Action Plan of September 2015 provided a thorough </w:t>
      </w:r>
      <w:r>
        <w:rPr>
          <w:noProof/>
        </w:rPr>
        <w:t>rationale for the objectives of the CMU. The 2016 European Financial Stability and Integration Review (EFSIR) provided an extensive statistical overview of the EU financial system, including capital markets.</w:t>
      </w:r>
    </w:p>
    <w:p w:rsidR="00083C3F" w:rsidRDefault="00E1215B">
      <w:pPr>
        <w:rPr>
          <w:noProof/>
        </w:rPr>
      </w:pPr>
      <w:r>
        <w:rPr>
          <w:noProof/>
        </w:rPr>
        <w:t>The SWD starts by introducing a general framewor</w:t>
      </w:r>
      <w:r>
        <w:rPr>
          <w:noProof/>
        </w:rPr>
        <w:t>k underlying the CMU in Chapter 1 and is then followed by five thematic chapters reflecting the CMU policy areas. Chapters 2 to 4 focus on funding sources and chapters 5 and 6 look at asset allocation.</w:t>
      </w:r>
    </w:p>
    <w:p w:rsidR="00083C3F" w:rsidRDefault="00083C3F">
      <w:pPr>
        <w:rPr>
          <w:noProof/>
        </w:rPr>
      </w:pPr>
    </w:p>
    <w:p w:rsidR="00083C3F" w:rsidRDefault="00E1215B">
      <w:pPr>
        <w:rPr>
          <w:rFonts w:eastAsiaTheme="majorEastAsia" w:cstheme="majorBidi"/>
          <w:noProof/>
          <w:sz w:val="28"/>
          <w:szCs w:val="28"/>
        </w:rPr>
      </w:pPr>
      <w:r>
        <w:rPr>
          <w:noProof/>
        </w:rPr>
        <w:br w:type="page"/>
      </w:r>
    </w:p>
    <w:p w:rsidR="00083C3F" w:rsidRDefault="00E1215B">
      <w:pPr>
        <w:pStyle w:val="Heading1"/>
        <w:rPr>
          <w:noProof/>
        </w:rPr>
      </w:pPr>
      <w:bookmarkStart w:id="13" w:name="_Toc481140354"/>
      <w:bookmarkStart w:id="14" w:name="_Toc482710929"/>
      <w:bookmarkStart w:id="15" w:name="_Toc482715251"/>
      <w:r>
        <w:rPr>
          <w:noProof/>
        </w:rPr>
        <w:lastRenderedPageBreak/>
        <w:t>CMU: a general framework</w:t>
      </w:r>
      <w:bookmarkEnd w:id="0"/>
      <w:bookmarkEnd w:id="1"/>
      <w:bookmarkEnd w:id="13"/>
      <w:bookmarkEnd w:id="14"/>
      <w:bookmarkEnd w:id="15"/>
      <w:r>
        <w:rPr>
          <w:noProof/>
        </w:rPr>
        <w:t xml:space="preserve"> </w:t>
      </w:r>
    </w:p>
    <w:p w:rsidR="00083C3F" w:rsidRDefault="00E1215B">
      <w:pPr>
        <w:rPr>
          <w:noProof/>
        </w:rPr>
      </w:pPr>
      <w:r>
        <w:rPr>
          <w:noProof/>
        </w:rPr>
        <w:t>This chapter presents a g</w:t>
      </w:r>
      <w:r>
        <w:rPr>
          <w:noProof/>
        </w:rPr>
        <w:t>eneral framework for the CMU based on economic theory. The framework identifies relevant indicators to measure the progress of the CMU action plan in the long term. It also provides a framework to prioritise actions. The first section looks at the potentia</w:t>
      </w:r>
      <w:r>
        <w:rPr>
          <w:noProof/>
        </w:rPr>
        <w:t>l design of the plan and its objectives, which help to identify the long-term indicators. The second section reviews the implementation of the plan so far and its main actions. The last section discusses the future challenges of the CMU mid-term review, wi</w:t>
      </w:r>
      <w:r>
        <w:rPr>
          <w:noProof/>
        </w:rPr>
        <w:t>th special focus on the institutional architecture.</w:t>
      </w:r>
    </w:p>
    <w:p w:rsidR="00083C3F" w:rsidRDefault="00E1215B">
      <w:pPr>
        <w:pStyle w:val="Heading2"/>
        <w:rPr>
          <w:noProof/>
        </w:rPr>
      </w:pPr>
      <w:bookmarkStart w:id="16" w:name="_Toc479614351"/>
      <w:bookmarkStart w:id="17" w:name="_Toc481140355"/>
      <w:bookmarkStart w:id="18" w:name="_Toc482710930"/>
      <w:bookmarkStart w:id="19" w:name="_Toc482715252"/>
      <w:r>
        <w:rPr>
          <w:noProof/>
        </w:rPr>
        <w:t>The design of the CMU action plan</w:t>
      </w:r>
      <w:bookmarkEnd w:id="16"/>
      <w:bookmarkEnd w:id="17"/>
      <w:bookmarkEnd w:id="18"/>
      <w:bookmarkEnd w:id="19"/>
    </w:p>
    <w:p w:rsidR="00083C3F" w:rsidRDefault="00E1215B">
      <w:pPr>
        <w:rPr>
          <w:noProof/>
        </w:rPr>
      </w:pPr>
      <w:r>
        <w:rPr>
          <w:noProof/>
        </w:rPr>
        <w:t xml:space="preserve">The CMU action plan builds upon three levels of objectives: </w:t>
      </w:r>
      <w:r>
        <w:rPr>
          <w:b/>
          <w:noProof/>
        </w:rPr>
        <w:t>(1) Overarching objectives,</w:t>
      </w:r>
      <w:r>
        <w:rPr>
          <w:noProof/>
        </w:rPr>
        <w:t xml:space="preserve"> which set the long-term goal of a single market for capital; </w:t>
      </w:r>
      <w:r>
        <w:rPr>
          <w:b/>
          <w:noProof/>
        </w:rPr>
        <w:t>(2) Strategic objecti</w:t>
      </w:r>
      <w:r>
        <w:rPr>
          <w:b/>
          <w:noProof/>
        </w:rPr>
        <w:t>ves,</w:t>
      </w:r>
      <w:r>
        <w:rPr>
          <w:noProof/>
        </w:rPr>
        <w:t xml:space="preserve"> which set the direction on how to create a single market for capital; and </w:t>
      </w:r>
      <w:r>
        <w:rPr>
          <w:b/>
          <w:noProof/>
        </w:rPr>
        <w:t xml:space="preserve">(3) Operational objectives, </w:t>
      </w:r>
      <w:r>
        <w:rPr>
          <w:noProof/>
        </w:rPr>
        <w:t>which define what is the scope of individual policy actions to be effective.</w:t>
      </w:r>
    </w:p>
    <w:p w:rsidR="00083C3F" w:rsidRDefault="00E1215B">
      <w:pPr>
        <w:pStyle w:val="Heading3"/>
        <w:rPr>
          <w:noProof/>
        </w:rPr>
      </w:pPr>
      <w:bookmarkStart w:id="20" w:name="_Toc479614352"/>
      <w:bookmarkStart w:id="21" w:name="_Toc481140356"/>
      <w:bookmarkStart w:id="22" w:name="_Toc482710931"/>
      <w:bookmarkStart w:id="23" w:name="_Toc482715253"/>
      <w:r>
        <w:rPr>
          <w:noProof/>
        </w:rPr>
        <w:t>Overarching objectives</w:t>
      </w:r>
      <w:bookmarkEnd w:id="20"/>
      <w:bookmarkEnd w:id="21"/>
      <w:bookmarkEnd w:id="22"/>
      <w:bookmarkEnd w:id="23"/>
    </w:p>
    <w:p w:rsidR="00083C3F" w:rsidRDefault="00E1215B">
      <w:pPr>
        <w:rPr>
          <w:noProof/>
        </w:rPr>
      </w:pPr>
      <w:r>
        <w:rPr>
          <w:noProof/>
        </w:rPr>
        <w:t>Capital markets are a fundamental part of the fin</w:t>
      </w:r>
      <w:r>
        <w:rPr>
          <w:noProof/>
        </w:rPr>
        <w:t>ancial system. They provide funding to firms and returns to millions of households that have to meet long-term liabilities, like health, education and retirement. A single market for capital would contribute to two overarching objectives in the Commission'</w:t>
      </w:r>
      <w:r>
        <w:rPr>
          <w:noProof/>
        </w:rPr>
        <w:t>s agenda for the years to come:</w:t>
      </w:r>
    </w:p>
    <w:p w:rsidR="00083C3F" w:rsidRDefault="00E1215B">
      <w:pPr>
        <w:pStyle w:val="ListParagraph"/>
        <w:rPr>
          <w:noProof/>
        </w:rPr>
      </w:pPr>
      <w:r>
        <w:rPr>
          <w:noProof/>
        </w:rPr>
        <w:t>Greater support to private and public investments through the development of a capital market architecture that supports all European countries; and</w:t>
      </w:r>
    </w:p>
    <w:p w:rsidR="00083C3F" w:rsidRDefault="00E1215B">
      <w:pPr>
        <w:pStyle w:val="ListParagraph"/>
        <w:rPr>
          <w:noProof/>
        </w:rPr>
      </w:pPr>
      <w:r>
        <w:rPr>
          <w:noProof/>
        </w:rPr>
        <w:t>More sustainable financial integration process to stabilise and improve the</w:t>
      </w:r>
      <w:r>
        <w:rPr>
          <w:noProof/>
        </w:rPr>
        <w:t xml:space="preserve"> functioning of Europe's financial system.</w:t>
      </w:r>
    </w:p>
    <w:p w:rsidR="00083C3F" w:rsidRDefault="00E1215B">
      <w:pPr>
        <w:pStyle w:val="Heading4"/>
        <w:rPr>
          <w:noProof/>
        </w:rPr>
      </w:pPr>
      <w:r>
        <w:rPr>
          <w:noProof/>
        </w:rPr>
        <w:t>Greater support to public and private investments</w:t>
      </w:r>
    </w:p>
    <w:p w:rsidR="00083C3F" w:rsidRDefault="00E1215B">
      <w:pPr>
        <w:rPr>
          <w:noProof/>
        </w:rPr>
      </w:pPr>
      <w:r>
        <w:rPr>
          <w:noProof/>
        </w:rPr>
        <w:t>Since the crisis, European economies are still struggling to get back to normal. The difference between actual and potential GDP (i.e. output gap) is constantly be</w:t>
      </w:r>
      <w:r>
        <w:rPr>
          <w:noProof/>
        </w:rPr>
        <w:t xml:space="preserve">low zero and the economy is performing below its potential (see </w:t>
      </w:r>
      <w:r>
        <w:rPr>
          <w:noProof/>
        </w:rPr>
        <w:fldChar w:fldCharType="begin"/>
      </w:r>
      <w:r>
        <w:rPr>
          <w:noProof/>
        </w:rPr>
        <w:instrText xml:space="preserve"> REF _Ref479612221 \h </w:instrText>
      </w:r>
      <w:r>
        <w:rPr>
          <w:noProof/>
        </w:rPr>
      </w:r>
      <w:r>
        <w:rPr>
          <w:noProof/>
        </w:rPr>
        <w:fldChar w:fldCharType="separate"/>
      </w:r>
      <w:r>
        <w:rPr>
          <w:noProof/>
        </w:rPr>
        <w:t>Figure 1.1</w:t>
      </w:r>
      <w:r>
        <w:rPr>
          <w:noProof/>
        </w:rPr>
        <w:fldChar w:fldCharType="end"/>
      </w:r>
      <w:r>
        <w:rPr>
          <w:noProof/>
        </w:rPr>
        <w:t xml:space="preserve">). </w:t>
      </w:r>
    </w:p>
    <w:p w:rsidR="00083C3F" w:rsidRDefault="00E1215B">
      <w:pPr>
        <w:pStyle w:val="Caption"/>
      </w:pPr>
      <w:bookmarkStart w:id="24" w:name="_Ref479612221"/>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1</w:t>
      </w:r>
      <w:r>
        <w:fldChar w:fldCharType="end"/>
      </w:r>
      <w:bookmarkEnd w:id="24"/>
      <w:r>
        <w:t>. Output gap (actual minus pot</w:t>
      </w:r>
      <w:r>
        <w:t>ential GDP, %)</w:t>
      </w:r>
    </w:p>
    <w:p w:rsidR="00083C3F" w:rsidRDefault="00E1215B">
      <w:pPr>
        <w:pStyle w:val="Figure"/>
        <w:rPr>
          <w:noProof/>
        </w:rPr>
      </w:pPr>
      <w:r>
        <w:rPr>
          <w:noProof/>
          <w:lang w:eastAsia="en-GB"/>
        </w:rPr>
        <w:drawing>
          <wp:inline distT="0" distB="0" distL="0" distR="0" wp14:anchorId="63FAA3A9" wp14:editId="216564FC">
            <wp:extent cx="3730558" cy="2110903"/>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3C3F" w:rsidRDefault="00E1215B">
      <w:pPr>
        <w:pStyle w:val="Source"/>
        <w:rPr>
          <w:noProof/>
        </w:rPr>
      </w:pPr>
      <w:r>
        <w:rPr>
          <w:noProof/>
        </w:rPr>
        <w:t>Source: European Commission calculations from AMECO.</w:t>
      </w:r>
    </w:p>
    <w:p w:rsidR="00083C3F" w:rsidRDefault="00E1215B">
      <w:pPr>
        <w:rPr>
          <w:noProof/>
        </w:rPr>
      </w:pPr>
      <w:r>
        <w:rPr>
          <w:noProof/>
        </w:rPr>
        <w:t xml:space="preserve">The weakness of public and private investments is playing an important role in this output gap, compared to other advanced economies. In particular, assuming investment growth and GDP </w:t>
      </w:r>
      <w:r>
        <w:rPr>
          <w:noProof/>
        </w:rPr>
        <w:t>growth at the rates forecasted for 2017, it would take until 2023 for the investment share to recover to 22%, its level in the years 2000-05 (European Commission 2017).</w:t>
      </w:r>
      <w:r>
        <w:rPr>
          <w:rStyle w:val="CommentReference"/>
          <w:noProof/>
        </w:rPr>
        <w:t xml:space="preserve"> </w:t>
      </w:r>
      <w:r>
        <w:rPr>
          <w:noProof/>
        </w:rPr>
        <w:t>At net of its consumption, the creation of fixed capital has been constantly dropping s</w:t>
      </w:r>
      <w:r>
        <w:rPr>
          <w:noProof/>
        </w:rPr>
        <w:t>ince early 2000s and only slightly recovering after the recent financial crisis, both in absolute value and returns.</w:t>
      </w:r>
    </w:p>
    <w:tbl>
      <w:tblPr>
        <w:tblW w:w="0" w:type="auto"/>
        <w:tblLayout w:type="fixed"/>
        <w:tblLook w:val="04A0" w:firstRow="1" w:lastRow="0" w:firstColumn="1" w:lastColumn="0" w:noHBand="0" w:noVBand="1"/>
      </w:tblPr>
      <w:tblGrid>
        <w:gridCol w:w="4928"/>
        <w:gridCol w:w="4358"/>
      </w:tblGrid>
      <w:tr w:rsidR="00083C3F">
        <w:tc>
          <w:tcPr>
            <w:tcW w:w="4928" w:type="dxa"/>
          </w:tcPr>
          <w:p w:rsidR="00083C3F" w:rsidRDefault="00E1215B">
            <w:pPr>
              <w:pStyle w:val="Caption"/>
            </w:pPr>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2</w:t>
            </w:r>
            <w:r>
              <w:fldChar w:fldCharType="end"/>
            </w:r>
            <w:r>
              <w:t>. Net fixed capital formation (% of GDP)</w:t>
            </w:r>
          </w:p>
          <w:p w:rsidR="00083C3F" w:rsidRDefault="00E1215B">
            <w:pPr>
              <w:pStyle w:val="Caption"/>
            </w:pPr>
            <w:r>
              <w:rPr>
                <w:lang w:eastAsia="en-GB"/>
              </w:rPr>
              <w:drawing>
                <wp:inline distT="0" distB="0" distL="0" distR="0" wp14:anchorId="49DFE22D" wp14:editId="2CF4AEE4">
                  <wp:extent cx="3078804" cy="2880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58" w:type="dxa"/>
          </w:tcPr>
          <w:p w:rsidR="00083C3F" w:rsidRDefault="00E1215B">
            <w:pPr>
              <w:pStyle w:val="Caption"/>
            </w:pPr>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3</w:t>
            </w:r>
            <w:r>
              <w:fldChar w:fldCharType="end"/>
            </w:r>
            <w:r>
              <w:t>. Net returns on net capital stock (2010=100)</w:t>
            </w:r>
          </w:p>
          <w:p w:rsidR="00083C3F" w:rsidRDefault="00E1215B">
            <w:pPr>
              <w:pStyle w:val="Figure"/>
              <w:rPr>
                <w:noProof/>
              </w:rPr>
            </w:pPr>
            <w:r>
              <w:rPr>
                <w:noProof/>
                <w:lang w:eastAsia="en-GB"/>
              </w:rPr>
              <w:drawing>
                <wp:inline distT="0" distB="0" distL="0" distR="0" wp14:anchorId="41E632CD" wp14:editId="3737B15F">
                  <wp:extent cx="2679970" cy="2880000"/>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83C3F">
        <w:tc>
          <w:tcPr>
            <w:tcW w:w="9286" w:type="dxa"/>
            <w:gridSpan w:val="2"/>
          </w:tcPr>
          <w:p w:rsidR="00083C3F" w:rsidRDefault="00E1215B">
            <w:pPr>
              <w:pStyle w:val="Source"/>
              <w:rPr>
                <w:noProof/>
              </w:rPr>
            </w:pPr>
            <w:r>
              <w:rPr>
                <w:noProof/>
              </w:rPr>
              <w:t>Source: European Commission calculations from AMECO.</w:t>
            </w:r>
          </w:p>
        </w:tc>
      </w:tr>
    </w:tbl>
    <w:p w:rsidR="00083C3F" w:rsidRDefault="00E1215B">
      <w:pPr>
        <w:rPr>
          <w:noProof/>
        </w:rPr>
      </w:pPr>
      <w:r>
        <w:rPr>
          <w:noProof/>
        </w:rPr>
        <w:t>Capital markets can provide a strong support for both public and private investments. For instance, public-private partner</w:t>
      </w:r>
      <w:r>
        <w:rPr>
          <w:noProof/>
        </w:rPr>
        <w:t>ships (PPP) are important tools for infrastructure investments to complement public investments. Capital markets allow the use of risk premia to evaluate public and private investments (risk evaluation). Greater capital markets activity also stimulates pri</w:t>
      </w:r>
      <w:r>
        <w:rPr>
          <w:noProof/>
        </w:rPr>
        <w:t>vate and public investments by providing an exit to investments, especially illiquid ones. Their development across regions in the EU would rely on actions to build capacity in terms of investor base, market infrastructure and supervisory practices.</w:t>
      </w:r>
    </w:p>
    <w:p w:rsidR="00083C3F" w:rsidRDefault="00E1215B">
      <w:pPr>
        <w:rPr>
          <w:noProof/>
        </w:rPr>
      </w:pPr>
      <w:r>
        <w:rPr>
          <w:noProof/>
        </w:rPr>
        <w:t>Finall</w:t>
      </w:r>
      <w:r>
        <w:rPr>
          <w:noProof/>
        </w:rPr>
        <w:t xml:space="preserve">y, the Commission is already working to use capital markets to foster public and private investments. </w:t>
      </w:r>
      <w:r>
        <w:rPr>
          <w:rFonts w:cs="Times New Roman"/>
          <w:noProof/>
          <w:szCs w:val="24"/>
        </w:rPr>
        <w:t>The European Fund for Strategic Investment (EFSI) is one of the three pillars of the Commission's Investment Plan for Europe and helps to finance strategi</w:t>
      </w:r>
      <w:r>
        <w:rPr>
          <w:rFonts w:cs="Times New Roman"/>
          <w:noProof/>
          <w:szCs w:val="24"/>
        </w:rPr>
        <w:t xml:space="preserve">c investments in key areas such as infrastructure, research and innovation, education, renewable energy and energy efficiency. </w:t>
      </w:r>
      <w:r>
        <w:rPr>
          <w:rFonts w:cs="Times New Roman"/>
          <w:noProof/>
        </w:rPr>
        <w:t>The European Fund for Strategic Investment has the goal to mobilise at least EUR 315 billion in additional investment over the pe</w:t>
      </w:r>
      <w:r>
        <w:rPr>
          <w:rFonts w:cs="Times New Roman"/>
          <w:noProof/>
        </w:rPr>
        <w:t>riod 2016-2018. Its success is therefore relevant for areas of interventions discussed in the following chapters (in particular, 'Make it easier for companies to raise funds on capital markets' and 'Promote investment in long-term, sustainable projects and</w:t>
      </w:r>
      <w:r>
        <w:rPr>
          <w:rFonts w:cs="Times New Roman"/>
          <w:noProof/>
        </w:rPr>
        <w:t xml:space="preserve"> infrastructure projects'). The take up of infrastructure or innovation projects under the EFSI instrument represents a useful indicator to assess the extent to which this instrument is boosting long-term investment in Europe. The approval process by the E</w:t>
      </w:r>
      <w:r>
        <w:rPr>
          <w:rFonts w:cs="Times New Roman"/>
          <w:noProof/>
        </w:rPr>
        <w:t>uropean Investment Bank (EIB) Group having started in April 2015, the number of approved transactions as of April 2017 reached 477. This represented approved financing from the EIB Group of EUR 33.9 billion, expected to trigger a total investment of EUR 18</w:t>
      </w:r>
      <w:r>
        <w:rPr>
          <w:rFonts w:cs="Times New Roman"/>
          <w:noProof/>
        </w:rPr>
        <w:t>3.5 billion.</w:t>
      </w:r>
      <w:r>
        <w:rPr>
          <w:rStyle w:val="FootnoteReference"/>
          <w:rFonts w:cs="Times New Roman"/>
          <w:noProof/>
        </w:rPr>
        <w:footnoteReference w:id="4"/>
      </w:r>
    </w:p>
    <w:p w:rsidR="00083C3F" w:rsidRDefault="00E1215B">
      <w:pPr>
        <w:pStyle w:val="Heading4"/>
        <w:rPr>
          <w:noProof/>
        </w:rPr>
      </w:pPr>
      <w:r>
        <w:rPr>
          <w:noProof/>
        </w:rPr>
        <w:t>A more sustainable financial integration process</w:t>
      </w:r>
    </w:p>
    <w:p w:rsidR="00083C3F" w:rsidRDefault="00E1215B">
      <w:pPr>
        <w:rPr>
          <w:noProof/>
        </w:rPr>
      </w:pPr>
      <w:r>
        <w:rPr>
          <w:noProof/>
        </w:rPr>
        <w:t>A well-functioning single market for capital relies on a sustainable financial integration process to efficiently allocate resources (Monti Report 2010). The crisis, and following financial fra</w:t>
      </w:r>
      <w:r>
        <w:rPr>
          <w:noProof/>
        </w:rPr>
        <w:t>gmentation, suggested that diversification of financial flows is key for a sustainable financial integration process (Five Presidents’ Report 2015). Europe’s financial system is heavily reliant on bank financing, while the economy may need the support of a</w:t>
      </w:r>
      <w:r>
        <w:rPr>
          <w:noProof/>
        </w:rPr>
        <w:t xml:space="preserve"> financial system that adapts better to the needs of all the firms developing across the funding escalator. The lack of diversification manifested itself via limited geographical risk diversification (see </w:t>
      </w:r>
      <w:r>
        <w:rPr>
          <w:noProof/>
        </w:rPr>
        <w:fldChar w:fldCharType="begin"/>
      </w:r>
      <w:r>
        <w:rPr>
          <w:noProof/>
        </w:rPr>
        <w:instrText xml:space="preserve"> REF _Ref479630026 \h </w:instrText>
      </w:r>
      <w:r>
        <w:rPr>
          <w:noProof/>
        </w:rPr>
      </w:r>
      <w:r>
        <w:rPr>
          <w:noProof/>
        </w:rPr>
        <w:fldChar w:fldCharType="separate"/>
      </w:r>
      <w:r>
        <w:rPr>
          <w:noProof/>
        </w:rPr>
        <w:t>Figure 1.4</w:t>
      </w:r>
      <w:r>
        <w:rPr>
          <w:noProof/>
        </w:rPr>
        <w:fldChar w:fldCharType="end"/>
      </w:r>
      <w:r>
        <w:rPr>
          <w:noProof/>
        </w:rPr>
        <w:t xml:space="preserve">), i.e. deviation from the optimal allocation, as well as limited portfolio diversification (see </w:t>
      </w:r>
      <w:r>
        <w:rPr>
          <w:noProof/>
        </w:rPr>
        <w:fldChar w:fldCharType="begin"/>
      </w:r>
      <w:r>
        <w:rPr>
          <w:noProof/>
        </w:rPr>
        <w:instrText xml:space="preserve"> REF _Ref479632382 \h </w:instrText>
      </w:r>
      <w:r>
        <w:rPr>
          <w:noProof/>
        </w:rPr>
      </w:r>
      <w:r>
        <w:rPr>
          <w:noProof/>
        </w:rPr>
        <w:fldChar w:fldCharType="separate"/>
      </w:r>
      <w:r>
        <w:rPr>
          <w:noProof/>
        </w:rPr>
        <w:t>Figure 1.5</w:t>
      </w:r>
      <w:r>
        <w:rPr>
          <w:noProof/>
        </w:rPr>
        <w:fldChar w:fldCharType="end"/>
      </w:r>
      <w:r>
        <w:rPr>
          <w:noProof/>
        </w:rPr>
        <w:t>).</w:t>
      </w:r>
    </w:p>
    <w:p w:rsidR="00083C3F" w:rsidRDefault="00E1215B">
      <w:pPr>
        <w:pStyle w:val="Caption"/>
      </w:pPr>
      <w:bookmarkStart w:id="25" w:name="_Ref479630026"/>
      <w:r>
        <w:t xml:space="preserve">Figure </w:t>
      </w:r>
      <w:r>
        <w:fldChar w:fldCharType="begin"/>
      </w:r>
      <w:r>
        <w:instrText xml:space="preserve"> S</w:instrText>
      </w:r>
      <w:r>
        <w:instrText xml:space="preserve">TYLEREF 1 \s </w:instrText>
      </w:r>
      <w:r>
        <w:fldChar w:fldCharType="separate"/>
      </w:r>
      <w:r>
        <w:t>1</w:t>
      </w:r>
      <w:r>
        <w:fldChar w:fldCharType="end"/>
      </w:r>
      <w:r>
        <w:t>.</w:t>
      </w:r>
      <w:r>
        <w:fldChar w:fldCharType="begin"/>
      </w:r>
      <w:r>
        <w:instrText xml:space="preserve"> SEQ Figure \* ARABIC \s 1 </w:instrText>
      </w:r>
      <w:r>
        <w:fldChar w:fldCharType="separate"/>
      </w:r>
      <w:r>
        <w:t>4</w:t>
      </w:r>
      <w:r>
        <w:fldChar w:fldCharType="end"/>
      </w:r>
      <w:bookmarkEnd w:id="25"/>
      <w:r>
        <w:t>. Geographical risk diversification index (2000-2015)</w:t>
      </w:r>
      <w:r>
        <w:rPr>
          <w:rStyle w:val="FootnoteReference"/>
        </w:rPr>
        <w:footnoteReference w:id="5"/>
      </w:r>
    </w:p>
    <w:p w:rsidR="00083C3F" w:rsidRDefault="00E1215B">
      <w:pPr>
        <w:pStyle w:val="Figure"/>
        <w:rPr>
          <w:noProof/>
        </w:rPr>
      </w:pPr>
      <w:r>
        <w:rPr>
          <w:noProof/>
          <w:lang w:eastAsia="en-GB"/>
        </w:rPr>
        <w:drawing>
          <wp:inline distT="0" distB="0" distL="0" distR="0" wp14:anchorId="6E9C6D9D" wp14:editId="022613A7">
            <wp:extent cx="4137660" cy="231648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3C3F" w:rsidRDefault="00E1215B">
      <w:pPr>
        <w:pStyle w:val="Source"/>
        <w:rPr>
          <w:noProof/>
        </w:rPr>
      </w:pPr>
      <w:r>
        <w:rPr>
          <w:noProof/>
        </w:rPr>
        <w:t>Source: European Commission (JRC) calculations from the JRC-ECFIN FinFlows dataset. Note: outward diversification index (equity and debt).</w:t>
      </w:r>
    </w:p>
    <w:p w:rsidR="00083C3F" w:rsidRDefault="00E1215B">
      <w:pPr>
        <w:pStyle w:val="Caption"/>
      </w:pPr>
      <w:bookmarkStart w:id="26" w:name="_Ref479632382"/>
      <w:r>
        <w:t xml:space="preserve">Figure </w:t>
      </w:r>
      <w:r>
        <w:fldChar w:fldCharType="begin"/>
      </w:r>
      <w:r>
        <w:instrText xml:space="preserve"> STY</w:instrText>
      </w:r>
      <w:r>
        <w:instrText xml:space="preserve">LEREF 1 \s </w:instrText>
      </w:r>
      <w:r>
        <w:fldChar w:fldCharType="separate"/>
      </w:r>
      <w:r>
        <w:t>1</w:t>
      </w:r>
      <w:r>
        <w:fldChar w:fldCharType="end"/>
      </w:r>
      <w:r>
        <w:t>.</w:t>
      </w:r>
      <w:r>
        <w:fldChar w:fldCharType="begin"/>
      </w:r>
      <w:r>
        <w:instrText xml:space="preserve"> SEQ Figure \* ARABIC \s 1 </w:instrText>
      </w:r>
      <w:r>
        <w:fldChar w:fldCharType="separate"/>
      </w:r>
      <w:r>
        <w:t>5</w:t>
      </w:r>
      <w:r>
        <w:fldChar w:fldCharType="end"/>
      </w:r>
      <w:bookmarkEnd w:id="26"/>
      <w:r>
        <w:t>. Debt and equity portfolio investments intra EU (EUR billion; portfolio risk diversification)</w:t>
      </w:r>
    </w:p>
    <w:p w:rsidR="00083C3F" w:rsidRDefault="00E1215B">
      <w:pPr>
        <w:pStyle w:val="Figure"/>
        <w:rPr>
          <w:noProof/>
        </w:rPr>
      </w:pPr>
      <w:r>
        <w:rPr>
          <w:noProof/>
          <w:lang w:eastAsia="en-GB"/>
        </w:rPr>
        <w:drawing>
          <wp:inline distT="0" distB="0" distL="0" distR="0" wp14:anchorId="09CCABA3" wp14:editId="0BE14803">
            <wp:extent cx="4512129" cy="227511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3C3F" w:rsidRDefault="00E1215B">
      <w:pPr>
        <w:pStyle w:val="Source"/>
        <w:rPr>
          <w:noProof/>
        </w:rPr>
      </w:pPr>
      <w:r>
        <w:rPr>
          <w:noProof/>
        </w:rPr>
        <w:t xml:space="preserve">Source: European Commission (JRC) calculations from the JRC-ECFIN FinFlows dataset. Note: Bilateral country </w:t>
      </w:r>
      <w:r>
        <w:rPr>
          <w:noProof/>
        </w:rPr>
        <w:t>flows within the EU.</w:t>
      </w:r>
    </w:p>
    <w:p w:rsidR="00083C3F" w:rsidRDefault="00E1215B">
      <w:pPr>
        <w:rPr>
          <w:noProof/>
        </w:rPr>
      </w:pPr>
      <w:r>
        <w:rPr>
          <w:noProof/>
        </w:rPr>
        <w:t>This integration process based on low risk diversification (geographical and portfolio risk diversification) resulted in lower cross-border risk sharing and did not prevent massive consumption drop across Europe, and more prominently i</w:t>
      </w:r>
      <w:r>
        <w:rPr>
          <w:noProof/>
        </w:rPr>
        <w:t>n the euro area, when the GDP shock hit Europe's economy. In particular, investment portfolio flows are largely allocated to debt instruments (let alone the system’s overreliance on bank lending; ESRB 2014), while the equity component (which is the one tha</w:t>
      </w:r>
      <w:r>
        <w:rPr>
          <w:noProof/>
        </w:rPr>
        <w:t>t absorb risk most effectively) is very low on average in the last decade but increasing in the post-crisis. Additionally, home bias (measured as the holding of domestic assets versus their optimal intra-EU allocation) also remains very high, especially in</w:t>
      </w:r>
      <w:r>
        <w:rPr>
          <w:noProof/>
        </w:rPr>
        <w:t xml:space="preserve"> equity instruments, even though experiencing a declining trend in the last two years (see </w:t>
      </w:r>
      <w:r>
        <w:rPr>
          <w:noProof/>
        </w:rPr>
        <w:fldChar w:fldCharType="begin"/>
      </w:r>
      <w:r>
        <w:rPr>
          <w:noProof/>
        </w:rPr>
        <w:instrText xml:space="preserve"> REF _Ref481053278 \h </w:instrText>
      </w:r>
      <w:r>
        <w:rPr>
          <w:noProof/>
        </w:rPr>
      </w:r>
      <w:r>
        <w:rPr>
          <w:noProof/>
        </w:rPr>
        <w:fldChar w:fldCharType="separate"/>
      </w:r>
      <w:r>
        <w:rPr>
          <w:noProof/>
        </w:rPr>
        <w:t>Figure 1.7</w:t>
      </w:r>
      <w:r>
        <w:rPr>
          <w:noProof/>
        </w:rPr>
        <w:fldChar w:fldCharType="end"/>
      </w:r>
      <w:r>
        <w:rPr>
          <w:noProof/>
        </w:rPr>
        <w:t>). In effect, the geographical and portfolio diversification of th</w:t>
      </w:r>
      <w:r>
        <w:rPr>
          <w:noProof/>
        </w:rPr>
        <w:t>e financial system in Europe is still far from optimal and there are only timid signs in the post-crisis that the financial integration process is moving towards a more sustainable path, measured by the level of co-movement between price and quantity-based</w:t>
      </w:r>
      <w:r>
        <w:rPr>
          <w:noProof/>
        </w:rPr>
        <w:t xml:space="preserve"> indicators of integration (see </w:t>
      </w:r>
      <w:r>
        <w:rPr>
          <w:noProof/>
        </w:rPr>
        <w:fldChar w:fldCharType="begin"/>
      </w:r>
      <w:r>
        <w:rPr>
          <w:noProof/>
        </w:rPr>
        <w:instrText xml:space="preserve"> REF _Ref481053263 \h </w:instrText>
      </w:r>
      <w:r>
        <w:rPr>
          <w:noProof/>
        </w:rPr>
      </w:r>
      <w:r>
        <w:rPr>
          <w:noProof/>
        </w:rPr>
        <w:fldChar w:fldCharType="separate"/>
      </w:r>
      <w:r>
        <w:rPr>
          <w:noProof/>
        </w:rPr>
        <w:t>Figure 1.6</w:t>
      </w:r>
      <w:r>
        <w:rPr>
          <w:noProof/>
        </w:rPr>
        <w:fldChar w:fldCharType="end"/>
      </w:r>
      <w:r>
        <w:rPr>
          <w:noProof/>
        </w:rPr>
        <w:t xml:space="preserve"> and </w:t>
      </w:r>
      <w:r>
        <w:rPr>
          <w:noProof/>
        </w:rPr>
        <w:fldChar w:fldCharType="begin"/>
      </w:r>
      <w:r>
        <w:rPr>
          <w:noProof/>
        </w:rPr>
        <w:instrText xml:space="preserve"> REF _Ref481053278 \h </w:instrText>
      </w:r>
      <w:r>
        <w:rPr>
          <w:noProof/>
        </w:rPr>
      </w:r>
      <w:r>
        <w:rPr>
          <w:noProof/>
        </w:rPr>
        <w:fldChar w:fldCharType="separate"/>
      </w:r>
      <w:r>
        <w:rPr>
          <w:noProof/>
        </w:rPr>
        <w:t>Figure 1.7</w:t>
      </w:r>
      <w:r>
        <w:rPr>
          <w:noProof/>
        </w:rPr>
        <w:fldChar w:fldCharType="end"/>
      </w:r>
      <w:r>
        <w:rPr>
          <w:noProof/>
        </w:rPr>
        <w:t>).</w:t>
      </w:r>
    </w:p>
    <w:p w:rsidR="00083C3F" w:rsidRDefault="00E1215B">
      <w:pPr>
        <w:pStyle w:val="Caption"/>
      </w:pPr>
      <w:bookmarkStart w:id="27" w:name="_Ref481053263"/>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6</w:t>
      </w:r>
      <w:r>
        <w:fldChar w:fldCharType="end"/>
      </w:r>
      <w:bookmarkEnd w:id="27"/>
      <w:r>
        <w:t xml:space="preserve"> Price-based integration in Europe</w:t>
      </w:r>
      <w:r>
        <w:rPr>
          <w:rStyle w:val="FootnoteReference"/>
        </w:rPr>
        <w:footnoteReference w:id="6"/>
      </w:r>
    </w:p>
    <w:tbl>
      <w:tblPr>
        <w:tblStyle w:val="TableGrid"/>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083C3F">
        <w:tc>
          <w:tcPr>
            <w:tcW w:w="4786" w:type="dxa"/>
          </w:tcPr>
          <w:p w:rsidR="00083C3F" w:rsidRDefault="00E1215B">
            <w:pPr>
              <w:pStyle w:val="Figure"/>
              <w:jc w:val="both"/>
              <w:rPr>
                <w:noProof/>
                <w:sz w:val="20"/>
                <w:lang w:eastAsia="en-GB"/>
              </w:rPr>
            </w:pPr>
            <w:r>
              <w:rPr>
                <w:noProof/>
                <w:sz w:val="20"/>
                <w:lang w:eastAsia="en-GB"/>
              </w:rPr>
              <w:t>Equity markets</w:t>
            </w:r>
          </w:p>
        </w:tc>
        <w:tc>
          <w:tcPr>
            <w:tcW w:w="4825" w:type="dxa"/>
          </w:tcPr>
          <w:p w:rsidR="00083C3F" w:rsidRDefault="00E1215B">
            <w:pPr>
              <w:pStyle w:val="Figure"/>
              <w:jc w:val="both"/>
              <w:rPr>
                <w:noProof/>
                <w:sz w:val="20"/>
                <w:lang w:eastAsia="en-GB"/>
              </w:rPr>
            </w:pPr>
            <w:r>
              <w:rPr>
                <w:noProof/>
                <w:sz w:val="20"/>
                <w:lang w:eastAsia="en-GB"/>
              </w:rPr>
              <w:t>Bond markets</w:t>
            </w:r>
          </w:p>
        </w:tc>
      </w:tr>
      <w:tr w:rsidR="00083C3F">
        <w:tc>
          <w:tcPr>
            <w:tcW w:w="4786" w:type="dxa"/>
          </w:tcPr>
          <w:p w:rsidR="00083C3F" w:rsidRDefault="00E1215B">
            <w:pPr>
              <w:pStyle w:val="Figure"/>
              <w:jc w:val="both"/>
              <w:rPr>
                <w:noProof/>
              </w:rPr>
            </w:pPr>
            <w:r>
              <w:rPr>
                <w:noProof/>
                <w:lang w:eastAsia="en-GB"/>
              </w:rPr>
              <w:drawing>
                <wp:inline distT="0" distB="0" distL="0" distR="0" wp14:anchorId="5C94639C" wp14:editId="43BE4206">
                  <wp:extent cx="2916000" cy="21600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25" w:type="dxa"/>
          </w:tcPr>
          <w:p w:rsidR="00083C3F" w:rsidRDefault="00E1215B">
            <w:pPr>
              <w:pStyle w:val="Figure"/>
              <w:rPr>
                <w:noProof/>
              </w:rPr>
            </w:pPr>
            <w:r>
              <w:rPr>
                <w:noProof/>
                <w:lang w:eastAsia="en-GB"/>
              </w:rPr>
              <w:drawing>
                <wp:inline distT="0" distB="0" distL="0" distR="0" wp14:anchorId="74F7B7C5" wp14:editId="5E51E75E">
                  <wp:extent cx="2916000" cy="216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083C3F" w:rsidRDefault="00E1215B">
      <w:pPr>
        <w:pStyle w:val="Source"/>
        <w:rPr>
          <w:noProof/>
          <w:lang w:val="fr-BE"/>
        </w:rPr>
      </w:pPr>
      <w:r>
        <w:rPr>
          <w:noProof/>
          <w:lang w:val="fr-BE"/>
        </w:rPr>
        <w:t xml:space="preserve">Source: European Commission (JRC)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083C3F">
        <w:tc>
          <w:tcPr>
            <w:tcW w:w="9286" w:type="dxa"/>
            <w:gridSpan w:val="2"/>
          </w:tcPr>
          <w:p w:rsidR="00083C3F" w:rsidRDefault="00E1215B">
            <w:pPr>
              <w:pStyle w:val="Caption"/>
            </w:pPr>
            <w:bookmarkStart w:id="28" w:name="_Ref481053278"/>
            <w:r>
              <w:t xml:space="preserve">Figure </w:t>
            </w:r>
            <w:r>
              <w:fldChar w:fldCharType="begin"/>
            </w:r>
            <w:r>
              <w:instrText xml:space="preserve"> STYL</w:instrText>
            </w:r>
            <w:r>
              <w:instrText xml:space="preserve">EREF 1 \s </w:instrText>
            </w:r>
            <w:r>
              <w:fldChar w:fldCharType="separate"/>
            </w:r>
            <w:r>
              <w:t>1</w:t>
            </w:r>
            <w:r>
              <w:fldChar w:fldCharType="end"/>
            </w:r>
            <w:r>
              <w:t>.</w:t>
            </w:r>
            <w:r>
              <w:fldChar w:fldCharType="begin"/>
            </w:r>
            <w:r>
              <w:instrText xml:space="preserve"> SEQ Figure \* ARABIC \s 1 </w:instrText>
            </w:r>
            <w:r>
              <w:fldChar w:fldCharType="separate"/>
            </w:r>
            <w:r>
              <w:t>7</w:t>
            </w:r>
            <w:r>
              <w:fldChar w:fldCharType="end"/>
            </w:r>
            <w:bookmarkEnd w:id="28"/>
            <w:r>
              <w:t xml:space="preserve"> Quantity-based integration (home bias) in Europe</w:t>
            </w:r>
            <w:r>
              <w:rPr>
                <w:rStyle w:val="FootnoteReference"/>
              </w:rPr>
              <w:footnoteReference w:id="7"/>
            </w:r>
          </w:p>
        </w:tc>
      </w:tr>
      <w:tr w:rsidR="00083C3F">
        <w:tc>
          <w:tcPr>
            <w:tcW w:w="4643" w:type="dxa"/>
          </w:tcPr>
          <w:p w:rsidR="00083C3F" w:rsidRDefault="00E1215B">
            <w:pPr>
              <w:keepNext/>
              <w:keepLines/>
              <w:spacing w:after="0"/>
              <w:rPr>
                <w:noProof/>
                <w:sz w:val="20"/>
              </w:rPr>
            </w:pPr>
            <w:r>
              <w:rPr>
                <w:noProof/>
                <w:sz w:val="20"/>
              </w:rPr>
              <w:t>Equity markets</w:t>
            </w:r>
          </w:p>
        </w:tc>
        <w:tc>
          <w:tcPr>
            <w:tcW w:w="4643" w:type="dxa"/>
          </w:tcPr>
          <w:p w:rsidR="00083C3F" w:rsidRDefault="00E1215B">
            <w:pPr>
              <w:keepNext/>
              <w:keepLines/>
              <w:spacing w:after="0"/>
              <w:rPr>
                <w:noProof/>
                <w:sz w:val="20"/>
              </w:rPr>
            </w:pPr>
            <w:r>
              <w:rPr>
                <w:noProof/>
                <w:sz w:val="20"/>
              </w:rPr>
              <w:t>Bond markets</w:t>
            </w:r>
          </w:p>
        </w:tc>
      </w:tr>
      <w:tr w:rsidR="00083C3F">
        <w:trPr>
          <w:trHeight w:val="3420"/>
        </w:trPr>
        <w:tc>
          <w:tcPr>
            <w:tcW w:w="4643" w:type="dxa"/>
          </w:tcPr>
          <w:p w:rsidR="00083C3F" w:rsidRDefault="00E1215B">
            <w:pPr>
              <w:pStyle w:val="Figure"/>
              <w:rPr>
                <w:noProof/>
              </w:rPr>
            </w:pPr>
            <w:r>
              <w:rPr>
                <w:noProof/>
                <w:lang w:eastAsia="en-GB"/>
              </w:rPr>
              <w:drawing>
                <wp:inline distT="0" distB="0" distL="0" distR="0" wp14:anchorId="0725E315" wp14:editId="53855F9D">
                  <wp:extent cx="2750411" cy="2209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3098" cy="2211959"/>
                          </a:xfrm>
                          <a:prstGeom prst="rect">
                            <a:avLst/>
                          </a:prstGeom>
                          <a:noFill/>
                        </pic:spPr>
                      </pic:pic>
                    </a:graphicData>
                  </a:graphic>
                </wp:inline>
              </w:drawing>
            </w:r>
          </w:p>
        </w:tc>
        <w:tc>
          <w:tcPr>
            <w:tcW w:w="4643" w:type="dxa"/>
          </w:tcPr>
          <w:p w:rsidR="00083C3F" w:rsidRDefault="00E1215B">
            <w:pPr>
              <w:pStyle w:val="Figure"/>
              <w:rPr>
                <w:noProof/>
              </w:rPr>
            </w:pPr>
            <w:r>
              <w:rPr>
                <w:noProof/>
                <w:lang w:eastAsia="en-GB"/>
              </w:rPr>
              <w:drawing>
                <wp:inline distT="0" distB="0" distL="0" distR="0" wp14:anchorId="3EB1F2B6" wp14:editId="4BB90071">
                  <wp:extent cx="2712720" cy="22132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7833" cy="2217383"/>
                          </a:xfrm>
                          <a:prstGeom prst="rect">
                            <a:avLst/>
                          </a:prstGeom>
                          <a:noFill/>
                        </pic:spPr>
                      </pic:pic>
                    </a:graphicData>
                  </a:graphic>
                </wp:inline>
              </w:drawing>
            </w:r>
          </w:p>
        </w:tc>
      </w:tr>
      <w:tr w:rsidR="00083C3F" w:rsidRPr="00E1215B">
        <w:trPr>
          <w:trHeight w:val="143"/>
        </w:trPr>
        <w:tc>
          <w:tcPr>
            <w:tcW w:w="9286" w:type="dxa"/>
            <w:gridSpan w:val="2"/>
          </w:tcPr>
          <w:p w:rsidR="00083C3F" w:rsidRDefault="00E1215B">
            <w:pPr>
              <w:pStyle w:val="Source"/>
              <w:rPr>
                <w:noProof/>
                <w:lang w:val="pt-PT"/>
              </w:rPr>
            </w:pPr>
            <w:r>
              <w:rPr>
                <w:noProof/>
                <w:lang w:val="fr-BE"/>
              </w:rPr>
              <w:t xml:space="preserve">Source: European Commission (JRC) calculations. </w:t>
            </w:r>
            <w:r>
              <w:rPr>
                <w:noProof/>
                <w:lang w:val="pt-PT"/>
              </w:rPr>
              <w:t>Note: No data for Croatia.</w:t>
            </w:r>
          </w:p>
        </w:tc>
      </w:tr>
    </w:tbl>
    <w:p w:rsidR="00083C3F" w:rsidRDefault="00E1215B">
      <w:pPr>
        <w:pStyle w:val="Heading3"/>
        <w:rPr>
          <w:noProof/>
        </w:rPr>
      </w:pPr>
      <w:bookmarkStart w:id="29" w:name="_Toc481139149"/>
      <w:bookmarkStart w:id="30" w:name="_Toc481140357"/>
      <w:bookmarkStart w:id="31" w:name="_Toc481145504"/>
      <w:bookmarkStart w:id="32" w:name="_Toc481147916"/>
      <w:bookmarkStart w:id="33" w:name="_Toc481139150"/>
      <w:bookmarkStart w:id="34" w:name="_Toc481140358"/>
      <w:bookmarkStart w:id="35" w:name="_Toc481145505"/>
      <w:bookmarkStart w:id="36" w:name="_Toc481147917"/>
      <w:bookmarkStart w:id="37" w:name="_Toc479614353"/>
      <w:bookmarkStart w:id="38" w:name="_Toc481140359"/>
      <w:bookmarkStart w:id="39" w:name="_Toc482710932"/>
      <w:bookmarkStart w:id="40" w:name="_Toc482715254"/>
      <w:bookmarkEnd w:id="29"/>
      <w:bookmarkEnd w:id="30"/>
      <w:bookmarkEnd w:id="31"/>
      <w:bookmarkEnd w:id="32"/>
      <w:bookmarkEnd w:id="33"/>
      <w:bookmarkEnd w:id="34"/>
      <w:bookmarkEnd w:id="35"/>
      <w:bookmarkEnd w:id="36"/>
      <w:r>
        <w:rPr>
          <w:noProof/>
        </w:rPr>
        <w:t>Strategic objectives</w:t>
      </w:r>
      <w:bookmarkEnd w:id="37"/>
      <w:bookmarkEnd w:id="38"/>
      <w:bookmarkEnd w:id="39"/>
      <w:bookmarkEnd w:id="40"/>
    </w:p>
    <w:p w:rsidR="00083C3F" w:rsidRDefault="00E1215B">
      <w:pPr>
        <w:rPr>
          <w:noProof/>
        </w:rPr>
      </w:pPr>
      <w:r>
        <w:rPr>
          <w:noProof/>
        </w:rPr>
        <w:t xml:space="preserve">In order to achieve the </w:t>
      </w:r>
      <w:r>
        <w:rPr>
          <w:noProof/>
        </w:rPr>
        <w:t>overarching objectives mentioned above and deal with the long-term issues to create a single market, as highlighted by the Monti report (2010),</w:t>
      </w:r>
      <w:r>
        <w:rPr>
          <w:i/>
          <w:noProof/>
        </w:rPr>
        <w:t xml:space="preserve"> </w:t>
      </w:r>
      <w:r>
        <w:rPr>
          <w:noProof/>
        </w:rPr>
        <w:t xml:space="preserve">capital markets would need to be more: </w:t>
      </w:r>
    </w:p>
    <w:p w:rsidR="00083C3F" w:rsidRDefault="00E1215B">
      <w:pPr>
        <w:pStyle w:val="ListParagraph"/>
        <w:numPr>
          <w:ilvl w:val="0"/>
          <w:numId w:val="62"/>
        </w:numPr>
        <w:rPr>
          <w:noProof/>
        </w:rPr>
      </w:pPr>
      <w:r>
        <w:rPr>
          <w:b/>
          <w:noProof/>
        </w:rPr>
        <w:t>Competitive and efficient</w:t>
      </w:r>
      <w:r>
        <w:rPr>
          <w:noProof/>
        </w:rPr>
        <w:t xml:space="preserve"> (to deal with 'market fatigue').</w:t>
      </w:r>
    </w:p>
    <w:p w:rsidR="00083C3F" w:rsidRDefault="00E1215B">
      <w:pPr>
        <w:rPr>
          <w:b/>
          <w:noProof/>
        </w:rPr>
      </w:pPr>
      <w:r>
        <w:rPr>
          <w:noProof/>
        </w:rPr>
        <w:t>CMU should de</w:t>
      </w:r>
      <w:r>
        <w:rPr>
          <w:noProof/>
        </w:rPr>
        <w:t>liver greater access to finance (private investments) and a better framework for public investments (for demand-side policies). Liquidity and market microstructure are also part of the market functioning and efficiency. Increased competition between fundin</w:t>
      </w:r>
      <w:r>
        <w:rPr>
          <w:noProof/>
        </w:rPr>
        <w:t>g sources and within the financial sector would result in more diversified asset side for capital providers and liability side for capital seekers. A more competitive market and industry structure are key to overcoming ‘market fatigue’. Technologies applie</w:t>
      </w:r>
      <w:r>
        <w:rPr>
          <w:noProof/>
        </w:rPr>
        <w:t>d to financial services (FinTech) provide an indispensable toolkit to promote access, efficiency and competition among capital markets service providers.</w:t>
      </w:r>
    </w:p>
    <w:p w:rsidR="00083C3F" w:rsidRDefault="00E1215B">
      <w:pPr>
        <w:pStyle w:val="ListParagraph"/>
        <w:rPr>
          <w:noProof/>
        </w:rPr>
      </w:pPr>
      <w:r>
        <w:rPr>
          <w:b/>
          <w:noProof/>
        </w:rPr>
        <w:t>Financially stable and integrated</w:t>
      </w:r>
      <w:r>
        <w:rPr>
          <w:noProof/>
        </w:rPr>
        <w:t xml:space="preserve"> (to deal with 'integration fatigue'). </w:t>
      </w:r>
    </w:p>
    <w:p w:rsidR="00083C3F" w:rsidRDefault="00E1215B">
      <w:pPr>
        <w:spacing w:after="0"/>
        <w:rPr>
          <w:noProof/>
        </w:rPr>
      </w:pPr>
      <w:r>
        <w:rPr>
          <w:noProof/>
        </w:rPr>
        <w:t>Improving channels of private</w:t>
      </w:r>
      <w:r>
        <w:rPr>
          <w:noProof/>
        </w:rPr>
        <w:t xml:space="preserve"> risk sharing (i.e. cross-border holdings of financial assets), through the risk dispersion provided by cross-border capital market transactions, is key for financial stability. In effect, on a cross-border basis, capital (and credit) markets are the main </w:t>
      </w:r>
      <w:r>
        <w:rPr>
          <w:noProof/>
        </w:rPr>
        <w:t>channel of risk absorption in case of asymmetric shocks like the last financial crisis (Asdrubali et al. 1996, among others).</w:t>
      </w:r>
      <w:r>
        <w:rPr>
          <w:rStyle w:val="FootnoteReference"/>
          <w:noProof/>
        </w:rPr>
        <w:footnoteReference w:id="8"/>
      </w:r>
      <w:r>
        <w:rPr>
          <w:noProof/>
        </w:rPr>
        <w:t xml:space="preserve"> Stability also includes sounder investor protection to be enforced at EU level. As </w:t>
      </w:r>
      <w:r>
        <w:rPr>
          <w:noProof/>
        </w:rPr>
        <w:fldChar w:fldCharType="begin"/>
      </w:r>
      <w:r>
        <w:rPr>
          <w:noProof/>
        </w:rPr>
        <w:instrText xml:space="preserve"> REF _Ref479636270 \h </w:instrText>
      </w:r>
      <w:r>
        <w:rPr>
          <w:noProof/>
        </w:rPr>
      </w:r>
      <w:r>
        <w:rPr>
          <w:noProof/>
        </w:rPr>
        <w:fldChar w:fldCharType="separate"/>
      </w:r>
      <w:r>
        <w:rPr>
          <w:noProof/>
        </w:rPr>
        <w:t>Figure 1.8</w:t>
      </w:r>
      <w:r>
        <w:rPr>
          <w:noProof/>
        </w:rPr>
        <w:fldChar w:fldCharType="end"/>
      </w:r>
      <w:r>
        <w:rPr>
          <w:noProof/>
        </w:rPr>
        <w:t xml:space="preserve"> and </w:t>
      </w:r>
      <w:r>
        <w:rPr>
          <w:noProof/>
        </w:rPr>
        <w:fldChar w:fldCharType="begin"/>
      </w:r>
      <w:r>
        <w:rPr>
          <w:noProof/>
        </w:rPr>
        <w:instrText xml:space="preserve"> REF _Ref479607539 \h </w:instrText>
      </w:r>
      <w:r>
        <w:rPr>
          <w:noProof/>
        </w:rPr>
      </w:r>
      <w:r>
        <w:rPr>
          <w:noProof/>
        </w:rPr>
        <w:fldChar w:fldCharType="separate"/>
      </w:r>
      <w:r>
        <w:rPr>
          <w:noProof/>
        </w:rPr>
        <w:t>Figure 1.9</w:t>
      </w:r>
      <w:r>
        <w:rPr>
          <w:noProof/>
        </w:rPr>
        <w:fldChar w:fldCharType="end"/>
      </w:r>
      <w:r>
        <w:rPr>
          <w:noProof/>
        </w:rPr>
        <w:t xml:space="preserve"> suggest, both greater geographical risk diversification and lower home bias (i.e. propensity to h</w:t>
      </w:r>
      <w:r>
        <w:rPr>
          <w:noProof/>
        </w:rPr>
        <w:t>old domestic assets over other EU foreign ones) could be associated with greater risk sharing via cross-border credit and capital markets (obtained from the net factor income).</w:t>
      </w:r>
      <w:r>
        <w:rPr>
          <w:rStyle w:val="FootnoteReference"/>
          <w:noProof/>
        </w:rPr>
        <w:footnoteReference w:id="9"/>
      </w:r>
      <w:r>
        <w:rPr>
          <w:noProof/>
        </w:rPr>
        <w:t xml:space="preserve"> This means that the more the financial system is diversified according to the </w:t>
      </w:r>
      <w:r>
        <w:rPr>
          <w:noProof/>
        </w:rPr>
        <w:t>'importance' of the partner country (geographical risk diversification)</w:t>
      </w:r>
      <w:r>
        <w:rPr>
          <w:rStyle w:val="FootnoteReference"/>
          <w:noProof/>
        </w:rPr>
        <w:footnoteReference w:id="10"/>
      </w:r>
      <w:r>
        <w:rPr>
          <w:noProof/>
        </w:rPr>
        <w:t xml:space="preserve"> and according to the 'importance' of the local capital markets vis-à-vis the total EU markets (home bias), the greater is its overall stability, resulting from the greater ability to </w:t>
      </w:r>
      <w:r>
        <w:rPr>
          <w:noProof/>
        </w:rPr>
        <w:t xml:space="preserve">absorb risk (see </w:t>
      </w:r>
      <w:r>
        <w:rPr>
          <w:noProof/>
        </w:rPr>
        <w:fldChar w:fldCharType="begin"/>
      </w:r>
      <w:r>
        <w:rPr>
          <w:noProof/>
        </w:rPr>
        <w:instrText xml:space="preserve"> REF _Ref479636270 \h </w:instrText>
      </w:r>
      <w:r>
        <w:rPr>
          <w:noProof/>
        </w:rPr>
      </w:r>
      <w:r>
        <w:rPr>
          <w:noProof/>
        </w:rPr>
        <w:fldChar w:fldCharType="separate"/>
      </w:r>
      <w:r>
        <w:rPr>
          <w:noProof/>
        </w:rPr>
        <w:t>Figure 1.8</w:t>
      </w:r>
      <w:r>
        <w:rPr>
          <w:noProof/>
        </w:rPr>
        <w:fldChar w:fldCharType="end"/>
      </w:r>
      <w:r>
        <w:rPr>
          <w:noProof/>
        </w:rPr>
        <w:t xml:space="preserve"> and </w:t>
      </w:r>
      <w:r>
        <w:rPr>
          <w:noProof/>
        </w:rPr>
        <w:fldChar w:fldCharType="begin"/>
      </w:r>
      <w:r>
        <w:rPr>
          <w:noProof/>
        </w:rPr>
        <w:instrText xml:space="preserve"> REF _Ref479607539 \h </w:instrText>
      </w:r>
      <w:r>
        <w:rPr>
          <w:noProof/>
        </w:rPr>
      </w:r>
      <w:r>
        <w:rPr>
          <w:noProof/>
        </w:rPr>
        <w:fldChar w:fldCharType="separate"/>
      </w:r>
      <w:r>
        <w:rPr>
          <w:noProof/>
        </w:rPr>
        <w:t>Figure 1.9</w:t>
      </w:r>
      <w:r>
        <w:rPr>
          <w:noProof/>
        </w:rPr>
        <w:fldChar w:fldCharType="end"/>
      </w:r>
      <w:r>
        <w:rPr>
          <w:noProof/>
        </w:rPr>
        <w:t>).</w:t>
      </w:r>
    </w:p>
    <w:tbl>
      <w:tblPr>
        <w:tblW w:w="0" w:type="auto"/>
        <w:tblInd w:w="-318" w:type="dxa"/>
        <w:tblLayout w:type="fixed"/>
        <w:tblLook w:val="04A0" w:firstRow="1" w:lastRow="0" w:firstColumn="1" w:lastColumn="0" w:noHBand="0" w:noVBand="1"/>
      </w:tblPr>
      <w:tblGrid>
        <w:gridCol w:w="325"/>
        <w:gridCol w:w="4496"/>
        <w:gridCol w:w="4783"/>
      </w:tblGrid>
      <w:tr w:rsidR="00083C3F">
        <w:tc>
          <w:tcPr>
            <w:tcW w:w="4821" w:type="dxa"/>
            <w:gridSpan w:val="2"/>
          </w:tcPr>
          <w:p w:rsidR="00083C3F" w:rsidRDefault="00E1215B">
            <w:pPr>
              <w:pStyle w:val="Caption"/>
            </w:pPr>
            <w:bookmarkStart w:id="41" w:name="_Ref479636270"/>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w:instrText>
            </w:r>
            <w:r>
              <w:instrText xml:space="preserve">igure \* ARABIC \s 1 </w:instrText>
            </w:r>
            <w:r>
              <w:fldChar w:fldCharType="separate"/>
            </w:r>
            <w:r>
              <w:t>8</w:t>
            </w:r>
            <w:r>
              <w:fldChar w:fldCharType="end"/>
            </w:r>
            <w:bookmarkEnd w:id="41"/>
            <w:r>
              <w:t>. Geographical risk diversification and risk sharing (EU28)</w:t>
            </w:r>
          </w:p>
        </w:tc>
        <w:tc>
          <w:tcPr>
            <w:tcW w:w="4783" w:type="dxa"/>
          </w:tcPr>
          <w:p w:rsidR="00083C3F" w:rsidRDefault="00E1215B">
            <w:pPr>
              <w:pStyle w:val="Caption"/>
            </w:pPr>
            <w:bookmarkStart w:id="42" w:name="_Ref479607539"/>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9</w:t>
            </w:r>
            <w:r>
              <w:fldChar w:fldCharType="end"/>
            </w:r>
            <w:bookmarkEnd w:id="42"/>
            <w:r>
              <w:t>. Home bias vs risk sharing (EU28)</w:t>
            </w:r>
          </w:p>
        </w:tc>
      </w:tr>
      <w:tr w:rsidR="00083C3F">
        <w:tc>
          <w:tcPr>
            <w:tcW w:w="4821" w:type="dxa"/>
            <w:gridSpan w:val="2"/>
          </w:tcPr>
          <w:p w:rsidR="00083C3F" w:rsidRDefault="00E1215B">
            <w:pPr>
              <w:rPr>
                <w:b/>
                <w:noProof/>
              </w:rPr>
            </w:pPr>
            <w:r>
              <w:rPr>
                <w:noProof/>
                <w:lang w:eastAsia="en-GB"/>
              </w:rPr>
              <w:drawing>
                <wp:inline distT="0" distB="0" distL="0" distR="0" wp14:anchorId="1352BE1A" wp14:editId="6853B71F">
                  <wp:extent cx="3024000" cy="1926000"/>
                  <wp:effectExtent l="0" t="0" r="508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3" w:type="dxa"/>
          </w:tcPr>
          <w:p w:rsidR="00083C3F" w:rsidRDefault="00E1215B">
            <w:pPr>
              <w:rPr>
                <w:b/>
                <w:noProof/>
              </w:rPr>
            </w:pPr>
            <w:r>
              <w:rPr>
                <w:noProof/>
                <w:lang w:eastAsia="en-GB"/>
              </w:rPr>
              <w:drawing>
                <wp:inline distT="0" distB="0" distL="0" distR="0" wp14:anchorId="6EA50BA2" wp14:editId="4CBC2ADB">
                  <wp:extent cx="3024000" cy="1926000"/>
                  <wp:effectExtent l="0" t="0" r="508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83C3F">
        <w:trPr>
          <w:gridBefore w:val="1"/>
          <w:wBefore w:w="325" w:type="dxa"/>
        </w:trPr>
        <w:tc>
          <w:tcPr>
            <w:tcW w:w="9279" w:type="dxa"/>
            <w:gridSpan w:val="2"/>
          </w:tcPr>
          <w:p w:rsidR="00083C3F" w:rsidRDefault="00E1215B">
            <w:pPr>
              <w:pStyle w:val="Source"/>
              <w:rPr>
                <w:noProof/>
              </w:rPr>
            </w:pPr>
            <w:r>
              <w:rPr>
                <w:noProof/>
                <w:lang w:val="fr-BE"/>
              </w:rPr>
              <w:t xml:space="preserve">Source: European Commission (JRC) calculations. </w:t>
            </w:r>
            <w:r>
              <w:rPr>
                <w:noProof/>
              </w:rPr>
              <w:t xml:space="preserve">Last available estimate is for 2015. Note: For illustrative purposes, </w:t>
            </w:r>
            <w:r>
              <w:rPr>
                <w:noProof/>
              </w:rPr>
              <w:fldChar w:fldCharType="begin"/>
            </w:r>
            <w:r>
              <w:rPr>
                <w:noProof/>
              </w:rPr>
              <w:instrText xml:space="preserve"> REF _Ref479607539 \h  \* MERGEFORMAT </w:instrText>
            </w:r>
            <w:r>
              <w:rPr>
                <w:noProof/>
              </w:rPr>
            </w:r>
            <w:r>
              <w:rPr>
                <w:noProof/>
              </w:rPr>
              <w:fldChar w:fldCharType="separate"/>
            </w:r>
            <w:r>
              <w:rPr>
                <w:noProof/>
              </w:rPr>
              <w:t>Figure 1.9</w:t>
            </w:r>
            <w:r>
              <w:rPr>
                <w:noProof/>
              </w:rPr>
              <w:fldChar w:fldCharType="end"/>
            </w:r>
            <w:r>
              <w:rPr>
                <w:noProof/>
              </w:rPr>
              <w:t xml:space="preserve"> does not include Ireland and Luxembourg where home bias is close to z</w:t>
            </w:r>
            <w:r>
              <w:rPr>
                <w:noProof/>
              </w:rPr>
              <w:t>ero.</w:t>
            </w:r>
          </w:p>
        </w:tc>
      </w:tr>
    </w:tbl>
    <w:p w:rsidR="00083C3F" w:rsidRDefault="00E1215B">
      <w:pPr>
        <w:rPr>
          <w:noProof/>
        </w:rPr>
      </w:pPr>
      <w:r>
        <w:rPr>
          <w:noProof/>
        </w:rPr>
        <w:t xml:space="preserve">Diversification also involves funding sources. In effect, lack of financial diversification exposes the system to further instability caused by the volatility of some financial flows when there is a structural shock (see </w:t>
      </w:r>
      <w:r>
        <w:rPr>
          <w:noProof/>
        </w:rPr>
        <w:fldChar w:fldCharType="begin"/>
      </w:r>
      <w:r>
        <w:rPr>
          <w:noProof/>
        </w:rPr>
        <w:instrText xml:space="preserve"> REF _Ref479637167 \h </w:instrText>
      </w:r>
      <w:r>
        <w:rPr>
          <w:noProof/>
        </w:rPr>
      </w:r>
      <w:r>
        <w:rPr>
          <w:noProof/>
        </w:rPr>
        <w:fldChar w:fldCharType="separate"/>
      </w:r>
      <w:r>
        <w:rPr>
          <w:noProof/>
        </w:rPr>
        <w:t xml:space="preserve">Figure </w:t>
      </w:r>
      <w:r>
        <w:rPr>
          <w:noProof/>
        </w:rPr>
        <w:t>1.10</w:t>
      </w:r>
      <w:r>
        <w:rPr>
          <w:noProof/>
        </w:rPr>
        <w:fldChar w:fldCharType="end"/>
      </w:r>
      <w:r>
        <w:rPr>
          <w:noProof/>
        </w:rPr>
        <w:t>).</w:t>
      </w:r>
    </w:p>
    <w:p w:rsidR="00083C3F" w:rsidRDefault="00E1215B">
      <w:pPr>
        <w:pStyle w:val="Caption"/>
      </w:pPr>
      <w:bookmarkStart w:id="43" w:name="_Ref479637167"/>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10</w:t>
      </w:r>
      <w:r>
        <w:fldChar w:fldCharType="end"/>
      </w:r>
      <w:bookmarkEnd w:id="43"/>
      <w:r>
        <w:t>. Financial flows to non-financial corporations (EUR billion, net amounts)</w:t>
      </w:r>
    </w:p>
    <w:p w:rsidR="00083C3F" w:rsidRDefault="00E1215B">
      <w:pPr>
        <w:jc w:val="center"/>
        <w:rPr>
          <w:noProof/>
        </w:rPr>
      </w:pPr>
      <w:r>
        <w:rPr>
          <w:noProof/>
          <w:lang w:eastAsia="en-GB"/>
        </w:rPr>
        <w:drawing>
          <wp:inline distT="0" distB="0" distL="0" distR="0" wp14:anchorId="69C4E7B3" wp14:editId="41F9BD8E">
            <wp:extent cx="3704492" cy="242081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3C3F" w:rsidRDefault="00E1215B">
      <w:pPr>
        <w:pStyle w:val="Source"/>
        <w:rPr>
          <w:noProof/>
        </w:rPr>
      </w:pPr>
      <w:r>
        <w:rPr>
          <w:noProof/>
        </w:rPr>
        <w:t>Source: ECB and European Commission calculati</w:t>
      </w:r>
      <w:r>
        <w:rPr>
          <w:noProof/>
        </w:rPr>
        <w:t>ons.</w:t>
      </w:r>
    </w:p>
    <w:p w:rsidR="00083C3F" w:rsidRDefault="00E1215B">
      <w:pPr>
        <w:rPr>
          <w:noProof/>
        </w:rPr>
      </w:pPr>
      <w:r>
        <w:rPr>
          <w:noProof/>
        </w:rPr>
        <w:t>Bank loans do usually have a much higher volatility, compared to listed shares and debt instruments, which are more resilient to asymmetric shocks.</w:t>
      </w:r>
    </w:p>
    <w:p w:rsidR="00083C3F" w:rsidRDefault="00E1215B">
      <w:pPr>
        <w:pStyle w:val="ListParagraph"/>
        <w:rPr>
          <w:noProof/>
        </w:rPr>
      </w:pPr>
      <w:r>
        <w:rPr>
          <w:b/>
          <w:noProof/>
        </w:rPr>
        <w:t>Cohesive</w:t>
      </w:r>
      <w:r>
        <w:rPr>
          <w:noProof/>
        </w:rPr>
        <w:t xml:space="preserve"> (to deal with 'eroding consensus'). </w:t>
      </w:r>
    </w:p>
    <w:p w:rsidR="00083C3F" w:rsidRDefault="00E1215B">
      <w:pPr>
        <w:rPr>
          <w:noProof/>
        </w:rPr>
      </w:pPr>
      <w:r>
        <w:rPr>
          <w:noProof/>
        </w:rPr>
        <w:t>CMU also helps to strengthen the cohesion of the single m</w:t>
      </w:r>
      <w:r>
        <w:rPr>
          <w:noProof/>
        </w:rPr>
        <w:t>arket plan, as: it is a multi-currency project; it does not need public risk sharing; it does not need an institutional overhaul (like for banking union), beyond the upgrade of the current institutional framework. It also interacts well with banking union,</w:t>
      </w:r>
      <w:r>
        <w:rPr>
          <w:noProof/>
        </w:rPr>
        <w:t xml:space="preserve"> as it complements the importance of greater cross-border credit markets.</w:t>
      </w:r>
    </w:p>
    <w:p w:rsidR="00083C3F" w:rsidRDefault="00E1215B">
      <w:pPr>
        <w:pStyle w:val="Heading3"/>
        <w:rPr>
          <w:noProof/>
        </w:rPr>
      </w:pPr>
      <w:bookmarkStart w:id="44" w:name="_Toc481140360"/>
      <w:bookmarkStart w:id="45" w:name="_Toc482710933"/>
      <w:bookmarkStart w:id="46" w:name="_Toc482715255"/>
      <w:r>
        <w:rPr>
          <w:noProof/>
        </w:rPr>
        <w:t>Operational objectives</w:t>
      </w:r>
      <w:bookmarkEnd w:id="44"/>
      <w:bookmarkEnd w:id="45"/>
      <w:bookmarkEnd w:id="46"/>
      <w:r>
        <w:rPr>
          <w:noProof/>
        </w:rPr>
        <w:t xml:space="preserve"> </w:t>
      </w:r>
    </w:p>
    <w:p w:rsidR="00083C3F" w:rsidRDefault="00E1215B">
      <w:pPr>
        <w:rPr>
          <w:noProof/>
        </w:rPr>
      </w:pPr>
      <w:r>
        <w:rPr>
          <w:noProof/>
        </w:rPr>
        <w:t xml:space="preserve">A capital market transaction is a market-based financial transaction that typically involves several capital providers (investors). Compared to a traditional </w:t>
      </w:r>
      <w:r>
        <w:rPr>
          <w:noProof/>
        </w:rPr>
        <w:t>bank lending operation, where there is one institution as the capital provider, which directly collects and processes information, market-based transactions involve multiple capital providers in every transaction (typically through the issuance of a financ</w:t>
      </w:r>
      <w:r>
        <w:rPr>
          <w:noProof/>
        </w:rPr>
        <w:t>ial instrument), who do not have the size and cost structure to undergo complex due diligence to collect and process information about the capital seeker. As a result, a system of rules and procedures is usually designed and enforced, in order to give inve</w:t>
      </w:r>
      <w:r>
        <w:rPr>
          <w:noProof/>
        </w:rPr>
        <w:t>stors and capital seekers the certainty that the transaction will take place and sufficient information will be available, if they do not have the scale to produce the information themselves. For instance, regulators typically foresee disclosure rules to c</w:t>
      </w:r>
      <w:r>
        <w:rPr>
          <w:noProof/>
        </w:rPr>
        <w:t xml:space="preserve">omplement the voluntary disclosure of information by the issuer. Components of a capital market transaction are thus: </w:t>
      </w:r>
    </w:p>
    <w:p w:rsidR="00083C3F" w:rsidRDefault="00E1215B">
      <w:pPr>
        <w:rPr>
          <w:noProof/>
        </w:rPr>
      </w:pPr>
      <w:r>
        <w:rPr>
          <w:noProof/>
        </w:rPr>
        <w:t xml:space="preserve">(1) Information flows that allow price discovery and so pricing; </w:t>
      </w:r>
    </w:p>
    <w:p w:rsidR="00083C3F" w:rsidRDefault="00E1215B">
      <w:pPr>
        <w:rPr>
          <w:noProof/>
        </w:rPr>
      </w:pPr>
      <w:r>
        <w:rPr>
          <w:noProof/>
        </w:rPr>
        <w:t xml:space="preserve">(2) The execution infrastructure that allows access to markets and products; and </w:t>
      </w:r>
    </w:p>
    <w:p w:rsidR="00083C3F" w:rsidRDefault="00E1215B">
      <w:pPr>
        <w:rPr>
          <w:noProof/>
        </w:rPr>
      </w:pPr>
      <w:r>
        <w:rPr>
          <w:noProof/>
        </w:rPr>
        <w:t xml:space="preserve">(3) The rules and contracts that allow uniform rules to be applied with a high degree of legal certainty across the EU. </w:t>
      </w:r>
    </w:p>
    <w:p w:rsidR="00083C3F" w:rsidRDefault="00E1215B">
      <w:pPr>
        <w:rPr>
          <w:noProof/>
        </w:rPr>
      </w:pPr>
      <w:r>
        <w:rPr>
          <w:noProof/>
        </w:rPr>
        <w:t>On a pan-European scale, the CMU action plan therefor</w:t>
      </w:r>
      <w:r>
        <w:rPr>
          <w:noProof/>
        </w:rPr>
        <w:t>e promotes the following operational objectives:</w:t>
      </w:r>
    </w:p>
    <w:p w:rsidR="00083C3F" w:rsidRDefault="00E1215B">
      <w:pPr>
        <w:pStyle w:val="ListParagraph"/>
        <w:numPr>
          <w:ilvl w:val="0"/>
          <w:numId w:val="4"/>
        </w:numPr>
        <w:rPr>
          <w:noProof/>
        </w:rPr>
      </w:pPr>
      <w:r>
        <w:rPr>
          <w:noProof/>
        </w:rPr>
        <w:t>Greater data availability and comparability on a cross-border basis (for price discovery);</w:t>
      </w:r>
    </w:p>
    <w:p w:rsidR="00083C3F" w:rsidRDefault="00E1215B">
      <w:pPr>
        <w:pStyle w:val="ListParagraph"/>
        <w:numPr>
          <w:ilvl w:val="0"/>
          <w:numId w:val="4"/>
        </w:numPr>
        <w:rPr>
          <w:noProof/>
        </w:rPr>
      </w:pPr>
      <w:r>
        <w:rPr>
          <w:noProof/>
        </w:rPr>
        <w:t>More accessibility to markets and product (with fair access);</w:t>
      </w:r>
    </w:p>
    <w:p w:rsidR="00083C3F" w:rsidRDefault="00E1215B">
      <w:pPr>
        <w:pStyle w:val="ListParagraph"/>
        <w:numPr>
          <w:ilvl w:val="0"/>
          <w:numId w:val="4"/>
        </w:numPr>
        <w:rPr>
          <w:noProof/>
        </w:rPr>
      </w:pPr>
      <w:r>
        <w:rPr>
          <w:noProof/>
        </w:rPr>
        <w:t>Stronger enforcement of rules and procedures (to achie</w:t>
      </w:r>
      <w:r>
        <w:rPr>
          <w:noProof/>
        </w:rPr>
        <w:t>ve greater legal certainty and investor protection).</w:t>
      </w:r>
    </w:p>
    <w:p w:rsidR="00083C3F" w:rsidRDefault="00E1215B">
      <w:pPr>
        <w:rPr>
          <w:noProof/>
        </w:rPr>
      </w:pPr>
      <w:r>
        <w:rPr>
          <w:noProof/>
        </w:rPr>
        <w:t xml:space="preserve">As specified in </w:t>
      </w:r>
      <w:r>
        <w:rPr>
          <w:noProof/>
        </w:rPr>
        <w:fldChar w:fldCharType="begin"/>
      </w:r>
      <w:r>
        <w:rPr>
          <w:noProof/>
        </w:rPr>
        <w:instrText xml:space="preserve"> REF _Ref479638649 \h </w:instrText>
      </w:r>
      <w:r>
        <w:rPr>
          <w:noProof/>
        </w:rPr>
      </w:r>
      <w:r>
        <w:rPr>
          <w:noProof/>
        </w:rPr>
        <w:fldChar w:fldCharType="separate"/>
      </w:r>
      <w:r>
        <w:rPr>
          <w:noProof/>
        </w:rPr>
        <w:t>Figure 1.11</w:t>
      </w:r>
      <w:r>
        <w:rPr>
          <w:noProof/>
        </w:rPr>
        <w:fldChar w:fldCharType="end"/>
      </w:r>
      <w:r>
        <w:rPr>
          <w:noProof/>
        </w:rPr>
        <w:t>, once defined the three levels of objectives (overarching, strategic and operational)</w:t>
      </w:r>
      <w:r>
        <w:rPr>
          <w:noProof/>
        </w:rPr>
        <w:t>, the CMU action plan has identified one general area of intervention on supervision and capital market capacity building and six specific areas of intervention according to the developing phases of the funding escalator and investment, which are defined a</w:t>
      </w:r>
      <w:r>
        <w:rPr>
          <w:noProof/>
        </w:rPr>
        <w:t>s follows:</w:t>
      </w:r>
    </w:p>
    <w:p w:rsidR="00083C3F" w:rsidRDefault="00E1215B">
      <w:pPr>
        <w:pStyle w:val="ListParagraph"/>
        <w:numPr>
          <w:ilvl w:val="0"/>
          <w:numId w:val="3"/>
        </w:numPr>
        <w:rPr>
          <w:noProof/>
        </w:rPr>
      </w:pPr>
      <w:r>
        <w:rPr>
          <w:noProof/>
        </w:rPr>
        <w:t>Strengthening supervision and building capital markets capacity in the EU;</w:t>
      </w:r>
    </w:p>
    <w:p w:rsidR="00083C3F" w:rsidRDefault="00E1215B">
      <w:pPr>
        <w:pStyle w:val="ListParagraph"/>
        <w:numPr>
          <w:ilvl w:val="0"/>
          <w:numId w:val="3"/>
        </w:numPr>
        <w:rPr>
          <w:noProof/>
        </w:rPr>
      </w:pPr>
      <w:r>
        <w:rPr>
          <w:noProof/>
        </w:rPr>
        <w:t>Financing for innovation, start-ups and unlisted companies;</w:t>
      </w:r>
    </w:p>
    <w:p w:rsidR="00083C3F" w:rsidRDefault="00E1215B">
      <w:pPr>
        <w:pStyle w:val="ListParagraph"/>
        <w:numPr>
          <w:ilvl w:val="0"/>
          <w:numId w:val="3"/>
        </w:numPr>
        <w:rPr>
          <w:noProof/>
        </w:rPr>
      </w:pPr>
      <w:r>
        <w:rPr>
          <w:noProof/>
        </w:rPr>
        <w:t>Making easier for firms to raise money on public markets;</w:t>
      </w:r>
    </w:p>
    <w:p w:rsidR="00083C3F" w:rsidRDefault="00E1215B">
      <w:pPr>
        <w:pStyle w:val="ListParagraph"/>
        <w:numPr>
          <w:ilvl w:val="0"/>
          <w:numId w:val="3"/>
        </w:numPr>
        <w:rPr>
          <w:noProof/>
        </w:rPr>
      </w:pPr>
      <w:r>
        <w:rPr>
          <w:noProof/>
        </w:rPr>
        <w:t>Strengthening banking capacity to support the econom</w:t>
      </w:r>
      <w:r>
        <w:rPr>
          <w:noProof/>
        </w:rPr>
        <w:t>y;</w:t>
      </w:r>
    </w:p>
    <w:p w:rsidR="00083C3F" w:rsidRDefault="00E1215B">
      <w:pPr>
        <w:pStyle w:val="ListParagraph"/>
        <w:numPr>
          <w:ilvl w:val="0"/>
          <w:numId w:val="3"/>
        </w:numPr>
        <w:rPr>
          <w:noProof/>
        </w:rPr>
      </w:pPr>
      <w:r>
        <w:rPr>
          <w:noProof/>
        </w:rPr>
        <w:t>Investing for long-term, infrastructure and sustainable investments;</w:t>
      </w:r>
    </w:p>
    <w:p w:rsidR="00083C3F" w:rsidRDefault="00E1215B">
      <w:pPr>
        <w:pStyle w:val="ListParagraph"/>
        <w:numPr>
          <w:ilvl w:val="0"/>
          <w:numId w:val="3"/>
        </w:numPr>
        <w:rPr>
          <w:noProof/>
        </w:rPr>
      </w:pPr>
      <w:r>
        <w:rPr>
          <w:noProof/>
        </w:rPr>
        <w:t>Fostering retail investment; and</w:t>
      </w:r>
    </w:p>
    <w:p w:rsidR="00083C3F" w:rsidRDefault="00E1215B">
      <w:pPr>
        <w:pStyle w:val="ListParagraph"/>
        <w:numPr>
          <w:ilvl w:val="0"/>
          <w:numId w:val="3"/>
        </w:numPr>
        <w:rPr>
          <w:noProof/>
        </w:rPr>
      </w:pPr>
      <w:r>
        <w:rPr>
          <w:noProof/>
        </w:rPr>
        <w:t>Facilitating cross-border investments.</w:t>
      </w:r>
    </w:p>
    <w:p w:rsidR="00083C3F" w:rsidRDefault="00083C3F">
      <w:pPr>
        <w:rPr>
          <w:noProof/>
        </w:rPr>
        <w:sectPr w:rsidR="00083C3F">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709" w:footer="709" w:gutter="0"/>
          <w:pgNumType w:start="2"/>
          <w:cols w:space="720"/>
          <w:docGrid w:linePitch="299"/>
        </w:sectPr>
      </w:pPr>
    </w:p>
    <w:p w:rsidR="00083C3F" w:rsidRDefault="00E1215B">
      <w:pPr>
        <w:pStyle w:val="Caption"/>
      </w:pPr>
      <w:bookmarkStart w:id="47" w:name="_Ref479638649"/>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11</w:t>
      </w:r>
      <w:r>
        <w:fldChar w:fldCharType="end"/>
      </w:r>
      <w:bookmarkEnd w:id="47"/>
      <w:r>
        <w:t>. The CMU Action Plan</w:t>
      </w:r>
    </w:p>
    <w:p w:rsidR="00083C3F" w:rsidRDefault="00083C3F">
      <w:pPr>
        <w:rPr>
          <w:noProof/>
        </w:rPr>
      </w:pPr>
    </w:p>
    <w:p w:rsidR="00083C3F" w:rsidRDefault="00E1215B">
      <w:pPr>
        <w:pStyle w:val="Figure"/>
        <w:rPr>
          <w:noProof/>
        </w:rPr>
        <w:sectPr w:rsidR="00083C3F">
          <w:headerReference w:type="even" r:id="rId37"/>
          <w:headerReference w:type="default" r:id="rId38"/>
          <w:footerReference w:type="even" r:id="rId39"/>
          <w:footerReference w:type="default" r:id="rId40"/>
          <w:headerReference w:type="first" r:id="rId41"/>
          <w:footerReference w:type="first" r:id="rId42"/>
          <w:pgSz w:w="16838" w:h="11906" w:orient="landscape"/>
          <w:pgMar w:top="1418" w:right="1418" w:bottom="1418" w:left="1418" w:header="709" w:footer="709" w:gutter="0"/>
          <w:cols w:space="720"/>
        </w:sectPr>
      </w:pPr>
      <w:r>
        <w:rPr>
          <w:noProof/>
          <w:lang w:eastAsia="en-GB"/>
        </w:rPr>
        <w:drawing>
          <wp:inline distT="0" distB="0" distL="0" distR="0" wp14:anchorId="24E9D045" wp14:editId="38E7BF2F">
            <wp:extent cx="7720644" cy="452336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22452" cy="4524421"/>
                    </a:xfrm>
                    <a:prstGeom prst="rect">
                      <a:avLst/>
                    </a:prstGeom>
                    <a:noFill/>
                  </pic:spPr>
                </pic:pic>
              </a:graphicData>
            </a:graphic>
          </wp:inline>
        </w:drawing>
      </w:r>
    </w:p>
    <w:p w:rsidR="00083C3F" w:rsidRDefault="00E1215B">
      <w:pPr>
        <w:pStyle w:val="Heading3"/>
        <w:rPr>
          <w:rFonts w:eastAsia="Times New Roman"/>
          <w:noProof/>
          <w:sz w:val="26"/>
          <w:szCs w:val="26"/>
        </w:rPr>
      </w:pPr>
      <w:bookmarkStart w:id="48" w:name="_Ref481678637"/>
      <w:bookmarkStart w:id="49" w:name="_Toc482710934"/>
      <w:bookmarkStart w:id="50" w:name="_Toc482715256"/>
      <w:bookmarkStart w:id="51" w:name="_Toc479614356"/>
      <w:bookmarkStart w:id="52" w:name="_Toc481140361"/>
      <w:r>
        <w:rPr>
          <w:noProof/>
        </w:rPr>
        <w:t>Completed actions so far</w:t>
      </w:r>
      <w:bookmarkEnd w:id="48"/>
      <w:bookmarkEnd w:id="49"/>
      <w:bookmarkEnd w:id="50"/>
    </w:p>
    <w:p w:rsidR="00083C3F" w:rsidRDefault="00E1215B">
      <w:pPr>
        <w:rPr>
          <w:noProof/>
        </w:rPr>
      </w:pPr>
      <w:r>
        <w:rPr>
          <w:noProof/>
        </w:rPr>
        <w:t>Over the past 18 months, the Commission has delivered the following 20 actions (out of 33) in accordance with the list</w:t>
      </w:r>
      <w:r>
        <w:rPr>
          <w:noProof/>
        </w:rPr>
        <w:t xml:space="preserve"> announced in the 2015 CMU Action Plan.</w:t>
      </w:r>
    </w:p>
    <w:tbl>
      <w:tblPr>
        <w:tblW w:w="145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8363"/>
        <w:gridCol w:w="1370"/>
        <w:gridCol w:w="1370"/>
        <w:gridCol w:w="1371"/>
      </w:tblGrid>
      <w:tr w:rsidR="00083C3F">
        <w:tc>
          <w:tcPr>
            <w:tcW w:w="2082" w:type="dxa"/>
            <w:tcBorders>
              <w:top w:val="nil"/>
              <w:left w:val="nil"/>
              <w:right w:val="nil"/>
            </w:tcBorders>
            <w:vAlign w:val="bottom"/>
          </w:tcPr>
          <w:p w:rsidR="00083C3F" w:rsidRDefault="00083C3F">
            <w:pPr>
              <w:jc w:val="left"/>
              <w:rPr>
                <w:noProof/>
                <w:sz w:val="18"/>
                <w:szCs w:val="18"/>
              </w:rPr>
            </w:pPr>
          </w:p>
        </w:tc>
        <w:tc>
          <w:tcPr>
            <w:tcW w:w="8363" w:type="dxa"/>
            <w:tcBorders>
              <w:top w:val="nil"/>
              <w:left w:val="nil"/>
              <w:right w:val="single" w:sz="4" w:space="0" w:color="auto"/>
            </w:tcBorders>
            <w:vAlign w:val="bottom"/>
          </w:tcPr>
          <w:p w:rsidR="00083C3F" w:rsidRDefault="00E1215B">
            <w:pPr>
              <w:jc w:val="left"/>
              <w:rPr>
                <w:noProof/>
                <w:sz w:val="18"/>
                <w:szCs w:val="18"/>
              </w:rPr>
            </w:pPr>
            <w:r>
              <w:rPr>
                <w:noProof/>
                <w:sz w:val="18"/>
                <w:szCs w:val="18"/>
              </w:rPr>
              <w:t>Note: legislative actions are shaded in grey; Tick '</w:t>
            </w:r>
            <w:r>
              <w:rPr>
                <w:noProof/>
                <w:sz w:val="24"/>
              </w:rPr>
              <w:t xml:space="preserve">√' </w:t>
            </w:r>
            <w:r>
              <w:rPr>
                <w:noProof/>
                <w:sz w:val="18"/>
                <w:szCs w:val="18"/>
              </w:rPr>
              <w:t>means that the measure has an impact on that dimension of capital markets and 'X' otherwise</w:t>
            </w:r>
          </w:p>
        </w:tc>
        <w:tc>
          <w:tcPr>
            <w:tcW w:w="1370" w:type="dxa"/>
            <w:tcBorders>
              <w:left w:val="single" w:sz="4" w:space="0" w:color="auto"/>
            </w:tcBorders>
            <w:vAlign w:val="center"/>
          </w:tcPr>
          <w:p w:rsidR="00083C3F" w:rsidRDefault="00E1215B">
            <w:pPr>
              <w:spacing w:before="120"/>
              <w:contextualSpacing/>
              <w:jc w:val="center"/>
              <w:rPr>
                <w:b/>
                <w:noProof/>
                <w:sz w:val="18"/>
                <w:szCs w:val="18"/>
              </w:rPr>
            </w:pPr>
            <w:r>
              <w:rPr>
                <w:b/>
                <w:noProof/>
                <w:sz w:val="18"/>
                <w:szCs w:val="18"/>
              </w:rPr>
              <w:t>Price discovery</w:t>
            </w:r>
          </w:p>
        </w:tc>
        <w:tc>
          <w:tcPr>
            <w:tcW w:w="1370" w:type="dxa"/>
            <w:vAlign w:val="center"/>
          </w:tcPr>
          <w:p w:rsidR="00083C3F" w:rsidRDefault="00E1215B">
            <w:pPr>
              <w:spacing w:before="120"/>
              <w:contextualSpacing/>
              <w:jc w:val="center"/>
              <w:rPr>
                <w:b/>
                <w:noProof/>
                <w:sz w:val="18"/>
                <w:szCs w:val="18"/>
              </w:rPr>
            </w:pPr>
            <w:r>
              <w:rPr>
                <w:b/>
                <w:noProof/>
                <w:sz w:val="18"/>
                <w:szCs w:val="18"/>
              </w:rPr>
              <w:t>Market and product access</w:t>
            </w:r>
          </w:p>
        </w:tc>
        <w:tc>
          <w:tcPr>
            <w:tcW w:w="1371" w:type="dxa"/>
            <w:vAlign w:val="center"/>
          </w:tcPr>
          <w:p w:rsidR="00083C3F" w:rsidRDefault="00E1215B">
            <w:pPr>
              <w:spacing w:before="120"/>
              <w:contextualSpacing/>
              <w:jc w:val="center"/>
              <w:rPr>
                <w:b/>
                <w:noProof/>
                <w:sz w:val="18"/>
                <w:szCs w:val="18"/>
              </w:rPr>
            </w:pPr>
            <w:r>
              <w:rPr>
                <w:b/>
                <w:noProof/>
                <w:sz w:val="18"/>
                <w:szCs w:val="18"/>
              </w:rPr>
              <w:t>Enforcement</w:t>
            </w:r>
          </w:p>
        </w:tc>
      </w:tr>
      <w:tr w:rsidR="00083C3F">
        <w:tc>
          <w:tcPr>
            <w:tcW w:w="2082" w:type="dxa"/>
            <w:vMerge w:val="restart"/>
            <w:vAlign w:val="center"/>
          </w:tcPr>
          <w:p w:rsidR="00083C3F" w:rsidRDefault="00E1215B">
            <w:pPr>
              <w:jc w:val="center"/>
              <w:rPr>
                <w:b/>
                <w:noProof/>
                <w:sz w:val="18"/>
                <w:szCs w:val="18"/>
              </w:rPr>
            </w:pPr>
            <w:r>
              <w:rPr>
                <w:b/>
                <w:noProof/>
                <w:sz w:val="18"/>
                <w:szCs w:val="18"/>
              </w:rPr>
              <w:t>Financing for</w:t>
            </w:r>
            <w:r>
              <w:rPr>
                <w:b/>
                <w:noProof/>
                <w:sz w:val="18"/>
                <w:szCs w:val="18"/>
              </w:rPr>
              <w:t xml:space="preserve"> innovation, start-ups and non-listed companies</w:t>
            </w: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Pan-European venture capital fund-of-funds and multi-country funds (proposal and adopted and selection of managers to be finalised in Q2 2017)</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ind w:left="459" w:hanging="426"/>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vAlign w:val="center"/>
          </w:tcPr>
          <w:p w:rsidR="00083C3F" w:rsidRDefault="00083C3F">
            <w:pPr>
              <w:rPr>
                <w:noProof/>
                <w:sz w:val="18"/>
                <w:szCs w:val="18"/>
              </w:rPr>
            </w:pP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 xml:space="preserve">EuVECA and EuSEF legislation review (proposal adopted in </w:t>
            </w:r>
            <w:r>
              <w:rPr>
                <w:noProof/>
              </w:rPr>
              <w:t>July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vAlign w:val="center"/>
          </w:tcPr>
          <w:p w:rsidR="00083C3F" w:rsidRDefault="00083C3F">
            <w:pPr>
              <w:rPr>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Study on tax incentives for venture capital and business angels (adopted in June 2017)</w:t>
            </w:r>
          </w:p>
        </w:tc>
        <w:tc>
          <w:tcPr>
            <w:tcW w:w="1370" w:type="dxa"/>
            <w:shd w:val="clear" w:color="auto" w:fill="auto"/>
            <w:vAlign w:val="center"/>
          </w:tcPr>
          <w:p w:rsidR="00083C3F" w:rsidRDefault="00E1215B">
            <w:pPr>
              <w:contextualSpacing/>
              <w:jc w:val="center"/>
              <w:rPr>
                <w:noProof/>
                <w:sz w:val="24"/>
              </w:rPr>
            </w:pPr>
            <w:r>
              <w:rPr>
                <w:noProof/>
                <w:sz w:val="24"/>
              </w:rPr>
              <w:t>X</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Industry high-level principles for banks' feedback to declined SME credit applications (adopted in May 2017)</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Map out existing local or</w:t>
            </w:r>
            <w:r>
              <w:rPr>
                <w:noProof/>
              </w:rPr>
              <w:t xml:space="preserve"> national support and advisory capacities across the EU to promote best practices (staff working document adopted in June 2017)</w:t>
            </w:r>
          </w:p>
        </w:tc>
        <w:tc>
          <w:tcPr>
            <w:tcW w:w="1370" w:type="dxa"/>
            <w:shd w:val="clear" w:color="auto" w:fill="auto"/>
            <w:vAlign w:val="center"/>
          </w:tcPr>
          <w:p w:rsidR="00083C3F" w:rsidRDefault="00E1215B">
            <w:pPr>
              <w:contextualSpacing/>
              <w:jc w:val="center"/>
              <w:rPr>
                <w:noProof/>
                <w:sz w:val="24"/>
              </w:rPr>
            </w:pPr>
            <w:r>
              <w:rPr>
                <w:noProof/>
                <w:sz w:val="24"/>
              </w:rPr>
              <w:t>X</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Report on crowdfunding (published in May 2016)</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w:t>
            </w:r>
          </w:p>
        </w:tc>
      </w:tr>
      <w:tr w:rsidR="00083C3F">
        <w:tc>
          <w:tcPr>
            <w:tcW w:w="2082" w:type="dxa"/>
            <w:vMerge w:val="restart"/>
            <w:vAlign w:val="center"/>
          </w:tcPr>
          <w:p w:rsidR="00083C3F" w:rsidRDefault="00E1215B">
            <w:pPr>
              <w:jc w:val="center"/>
              <w:rPr>
                <w:b/>
                <w:noProof/>
                <w:sz w:val="18"/>
                <w:szCs w:val="18"/>
              </w:rPr>
            </w:pPr>
            <w:r>
              <w:rPr>
                <w:b/>
                <w:noProof/>
                <w:sz w:val="18"/>
                <w:szCs w:val="18"/>
              </w:rPr>
              <w:t xml:space="preserve">Making it easier for companies to enter and raise capital on </w:t>
            </w:r>
            <w:r>
              <w:rPr>
                <w:b/>
                <w:noProof/>
                <w:sz w:val="18"/>
                <w:szCs w:val="18"/>
              </w:rPr>
              <w:t>public markets</w:t>
            </w: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Regulation to modernise the Prospectus Directive (agreement reached in December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noProof/>
                <w:sz w:val="18"/>
                <w:szCs w:val="18"/>
              </w:rPr>
            </w:pP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Common Consolidated Corporate Tax Base (CCCTB) and debt-equity tax bias (proposal adopted in October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val="restart"/>
            <w:vAlign w:val="center"/>
          </w:tcPr>
          <w:p w:rsidR="00083C3F" w:rsidRDefault="00083C3F">
            <w:pPr>
              <w:jc w:val="center"/>
              <w:rPr>
                <w:b/>
                <w:noProof/>
                <w:sz w:val="18"/>
                <w:szCs w:val="18"/>
              </w:rPr>
            </w:pPr>
          </w:p>
          <w:p w:rsidR="00083C3F" w:rsidRDefault="00E1215B">
            <w:pPr>
              <w:jc w:val="center"/>
              <w:rPr>
                <w:b/>
                <w:noProof/>
                <w:sz w:val="18"/>
                <w:szCs w:val="18"/>
              </w:rPr>
            </w:pPr>
            <w:r>
              <w:rPr>
                <w:b/>
                <w:noProof/>
                <w:sz w:val="18"/>
                <w:szCs w:val="18"/>
              </w:rPr>
              <w:t xml:space="preserve">Institutional investors - </w:t>
            </w:r>
            <w:r>
              <w:rPr>
                <w:b/>
                <w:noProof/>
                <w:sz w:val="18"/>
                <w:szCs w:val="18"/>
              </w:rPr>
              <w:t>Investing for long term, infrastructure and sustainable investment</w:t>
            </w: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Review of infrastructure calibrations for banks through the CRR proposal (proposal adopted in November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noProof/>
                <w:sz w:val="18"/>
                <w:szCs w:val="18"/>
              </w:rPr>
            </w:pP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 xml:space="preserve">Solvency II calibrations for insurance companies' investments in </w:t>
            </w:r>
            <w:r>
              <w:rPr>
                <w:noProof/>
              </w:rPr>
              <w:t>infrastructure and European Long Term Investment Funds (proposal adopted in April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i/>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Call for evidence on the cumulative impact of the financial reform (Communication adopted in November 2016)</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X</w:t>
            </w:r>
          </w:p>
        </w:tc>
      </w:tr>
      <w:tr w:rsidR="00083C3F">
        <w:tc>
          <w:tcPr>
            <w:tcW w:w="2082" w:type="dxa"/>
            <w:vMerge w:val="restart"/>
            <w:vAlign w:val="center"/>
          </w:tcPr>
          <w:p w:rsidR="00083C3F" w:rsidRDefault="00E1215B">
            <w:pPr>
              <w:keepNext/>
              <w:jc w:val="center"/>
              <w:rPr>
                <w:i/>
                <w:noProof/>
                <w:sz w:val="18"/>
                <w:szCs w:val="18"/>
              </w:rPr>
            </w:pPr>
            <w:r>
              <w:rPr>
                <w:b/>
                <w:noProof/>
                <w:sz w:val="18"/>
                <w:szCs w:val="18"/>
              </w:rPr>
              <w:t>Fostering retail investment</w:t>
            </w:r>
          </w:p>
        </w:tc>
        <w:tc>
          <w:tcPr>
            <w:tcW w:w="8363" w:type="dxa"/>
            <w:shd w:val="clear" w:color="auto" w:fill="auto"/>
            <w:vAlign w:val="center"/>
          </w:tcPr>
          <w:p w:rsidR="00083C3F" w:rsidRDefault="00E1215B">
            <w:pPr>
              <w:pStyle w:val="ListParagraph"/>
              <w:keepNext/>
              <w:numPr>
                <w:ilvl w:val="0"/>
                <w:numId w:val="2"/>
              </w:numPr>
              <w:rPr>
                <w:noProof/>
              </w:rPr>
            </w:pPr>
            <w:r>
              <w:rPr>
                <w:noProof/>
              </w:rPr>
              <w:t xml:space="preserve">Following the </w:t>
            </w:r>
            <w:r>
              <w:rPr>
                <w:noProof/>
              </w:rPr>
              <w:t>Green Paper on retail financial services and insurance, the Commission adopted on 23 March 2017 the 'Consumer Financial Services Action Plan: Better products and more choice for EU consumers.'</w:t>
            </w:r>
          </w:p>
        </w:tc>
        <w:tc>
          <w:tcPr>
            <w:tcW w:w="1370" w:type="dxa"/>
            <w:shd w:val="clear" w:color="auto" w:fill="auto"/>
            <w:vAlign w:val="center"/>
          </w:tcPr>
          <w:p w:rsidR="00083C3F" w:rsidRDefault="00E1215B">
            <w:pPr>
              <w:keepNext/>
              <w:contextualSpacing/>
              <w:jc w:val="center"/>
              <w:rPr>
                <w:noProof/>
                <w:sz w:val="24"/>
              </w:rPr>
            </w:pPr>
            <w:r>
              <w:rPr>
                <w:noProof/>
                <w:sz w:val="24"/>
              </w:rPr>
              <w:t>√</w:t>
            </w:r>
          </w:p>
        </w:tc>
        <w:tc>
          <w:tcPr>
            <w:tcW w:w="1370" w:type="dxa"/>
            <w:shd w:val="clear" w:color="auto" w:fill="auto"/>
            <w:vAlign w:val="center"/>
          </w:tcPr>
          <w:p w:rsidR="00083C3F" w:rsidRDefault="00E1215B">
            <w:pPr>
              <w:keepNext/>
              <w:contextualSpacing/>
              <w:jc w:val="center"/>
              <w:rPr>
                <w:noProof/>
                <w:sz w:val="24"/>
              </w:rPr>
            </w:pPr>
            <w:r>
              <w:rPr>
                <w:noProof/>
                <w:sz w:val="24"/>
              </w:rPr>
              <w:t>√</w:t>
            </w:r>
          </w:p>
        </w:tc>
        <w:tc>
          <w:tcPr>
            <w:tcW w:w="1371" w:type="dxa"/>
            <w:shd w:val="clear" w:color="auto" w:fill="auto"/>
            <w:vAlign w:val="center"/>
          </w:tcPr>
          <w:p w:rsidR="00083C3F" w:rsidRDefault="00E1215B">
            <w:pPr>
              <w:keepNext/>
              <w:contextualSpacing/>
              <w:jc w:val="center"/>
              <w:rPr>
                <w:noProof/>
                <w:sz w:val="24"/>
              </w:rPr>
            </w:pPr>
            <w:r>
              <w:rPr>
                <w:noProof/>
                <w:sz w:val="24"/>
              </w:rPr>
              <w:t>√</w:t>
            </w:r>
          </w:p>
        </w:tc>
      </w:tr>
      <w:tr w:rsidR="00083C3F">
        <w:tc>
          <w:tcPr>
            <w:tcW w:w="2082" w:type="dxa"/>
            <w:vMerge/>
          </w:tcPr>
          <w:p w:rsidR="00083C3F" w:rsidRDefault="00083C3F">
            <w:pPr>
              <w:rPr>
                <w:i/>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 xml:space="preserve">Consultation on the main barriers to the cross-border </w:t>
            </w:r>
            <w:r>
              <w:rPr>
                <w:noProof/>
              </w:rPr>
              <w:t>distribution of investment funds (consultation closed in October 2016)</w:t>
            </w:r>
          </w:p>
        </w:tc>
        <w:tc>
          <w:tcPr>
            <w:tcW w:w="1370" w:type="dxa"/>
            <w:shd w:val="clear" w:color="auto" w:fill="auto"/>
            <w:vAlign w:val="center"/>
          </w:tcPr>
          <w:p w:rsidR="00083C3F" w:rsidRDefault="00E1215B">
            <w:pPr>
              <w:contextualSpacing/>
              <w:jc w:val="center"/>
              <w:rPr>
                <w:noProof/>
                <w:sz w:val="24"/>
              </w:rPr>
            </w:pPr>
            <w:r>
              <w:rPr>
                <w:noProof/>
                <w:sz w:val="24"/>
              </w:rPr>
              <w:t>X</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rFonts w:cs="Times New Roman"/>
                <w:noProof/>
                <w:szCs w:val="24"/>
              </w:rPr>
            </w:pP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Assessment of the case for a policy framework to establish a European personal pension product (legislative proposal due by end of June 2017)</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val="restart"/>
            <w:vAlign w:val="center"/>
          </w:tcPr>
          <w:p w:rsidR="00083C3F" w:rsidRDefault="00E1215B">
            <w:pPr>
              <w:jc w:val="center"/>
              <w:rPr>
                <w:i/>
                <w:noProof/>
                <w:sz w:val="18"/>
                <w:szCs w:val="18"/>
              </w:rPr>
            </w:pPr>
            <w:r>
              <w:rPr>
                <w:b/>
                <w:noProof/>
                <w:sz w:val="18"/>
                <w:szCs w:val="18"/>
              </w:rPr>
              <w:t xml:space="preserve">Leveraging banking capacity </w:t>
            </w:r>
            <w:r>
              <w:rPr>
                <w:b/>
                <w:noProof/>
                <w:sz w:val="18"/>
                <w:szCs w:val="18"/>
              </w:rPr>
              <w:t>to support the wider economy</w:t>
            </w: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Credit unions' authorisation outside the EU's capital requirements rules for banks (proposal adopted in November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i/>
                <w:noProof/>
                <w:sz w:val="18"/>
                <w:szCs w:val="18"/>
              </w:rPr>
            </w:pP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 xml:space="preserve">Simple, transparent and standardised (STS) securitisations and revision of the capital calibrations </w:t>
            </w:r>
            <w:r>
              <w:rPr>
                <w:noProof/>
              </w:rPr>
              <w:t>for banks (proposal adopted in September 2015)</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X</w:t>
            </w:r>
          </w:p>
        </w:tc>
      </w:tr>
      <w:tr w:rsidR="00083C3F">
        <w:tc>
          <w:tcPr>
            <w:tcW w:w="2082" w:type="dxa"/>
            <w:vMerge/>
          </w:tcPr>
          <w:p w:rsidR="00083C3F" w:rsidRDefault="00083C3F">
            <w:pPr>
              <w:rPr>
                <w:i/>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Consultation on an EU-wide framework for covered bonds and similar structures for SME loans (consultation closed in January 2016)</w:t>
            </w:r>
          </w:p>
        </w:tc>
        <w:tc>
          <w:tcPr>
            <w:tcW w:w="1370" w:type="dxa"/>
            <w:shd w:val="clear" w:color="auto" w:fill="auto"/>
            <w:vAlign w:val="center"/>
          </w:tcPr>
          <w:p w:rsidR="00083C3F" w:rsidRDefault="00E1215B">
            <w:pPr>
              <w:contextualSpacing/>
              <w:jc w:val="center"/>
              <w:rPr>
                <w:noProof/>
                <w:sz w:val="24"/>
              </w:rPr>
            </w:pPr>
            <w:r>
              <w:rPr>
                <w:noProof/>
                <w:sz w:val="24"/>
              </w:rPr>
              <w:t>X</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X</w:t>
            </w:r>
          </w:p>
        </w:tc>
      </w:tr>
      <w:tr w:rsidR="00083C3F">
        <w:tc>
          <w:tcPr>
            <w:tcW w:w="2082" w:type="dxa"/>
            <w:vMerge w:val="restart"/>
            <w:vAlign w:val="center"/>
          </w:tcPr>
          <w:p w:rsidR="00083C3F" w:rsidRDefault="00E1215B">
            <w:pPr>
              <w:jc w:val="center"/>
              <w:rPr>
                <w:i/>
                <w:noProof/>
                <w:sz w:val="18"/>
                <w:szCs w:val="18"/>
              </w:rPr>
            </w:pPr>
            <w:r>
              <w:rPr>
                <w:b/>
                <w:noProof/>
                <w:sz w:val="18"/>
                <w:szCs w:val="18"/>
              </w:rPr>
              <w:t>Facilitating cross-border investment</w:t>
            </w:r>
          </w:p>
        </w:tc>
        <w:tc>
          <w:tcPr>
            <w:tcW w:w="8363" w:type="dxa"/>
            <w:shd w:val="clear" w:color="auto" w:fill="auto"/>
            <w:vAlign w:val="center"/>
          </w:tcPr>
          <w:p w:rsidR="00083C3F" w:rsidRDefault="00E1215B">
            <w:pPr>
              <w:pStyle w:val="ListParagraph"/>
              <w:numPr>
                <w:ilvl w:val="0"/>
                <w:numId w:val="2"/>
              </w:numPr>
              <w:rPr>
                <w:noProof/>
              </w:rPr>
            </w:pPr>
            <w:r>
              <w:rPr>
                <w:noProof/>
              </w:rPr>
              <w:t>Report on national barriers</w:t>
            </w:r>
            <w:r>
              <w:rPr>
                <w:noProof/>
              </w:rPr>
              <w:t xml:space="preserve"> to the free movement of capital (adopted in March 2017)</w:t>
            </w:r>
          </w:p>
        </w:tc>
        <w:tc>
          <w:tcPr>
            <w:tcW w:w="1370" w:type="dxa"/>
            <w:shd w:val="clear" w:color="auto" w:fill="auto"/>
            <w:vAlign w:val="center"/>
          </w:tcPr>
          <w:p w:rsidR="00083C3F" w:rsidRDefault="00E1215B">
            <w:pPr>
              <w:contextualSpacing/>
              <w:jc w:val="center"/>
              <w:rPr>
                <w:noProof/>
                <w:sz w:val="24"/>
              </w:rPr>
            </w:pPr>
            <w:r>
              <w:rPr>
                <w:noProof/>
                <w:sz w:val="24"/>
              </w:rPr>
              <w:t>X</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w:t>
            </w:r>
          </w:p>
        </w:tc>
      </w:tr>
      <w:tr w:rsidR="00083C3F">
        <w:tc>
          <w:tcPr>
            <w:tcW w:w="2082" w:type="dxa"/>
            <w:vMerge/>
          </w:tcPr>
          <w:p w:rsidR="00083C3F" w:rsidRDefault="00083C3F">
            <w:pPr>
              <w:rPr>
                <w:i/>
                <w:noProof/>
                <w:sz w:val="18"/>
                <w:szCs w:val="18"/>
              </w:rPr>
            </w:pPr>
          </w:p>
        </w:tc>
        <w:tc>
          <w:tcPr>
            <w:tcW w:w="8363" w:type="dxa"/>
            <w:shd w:val="clear" w:color="auto" w:fill="F2F2F2" w:themeFill="background1" w:themeFillShade="F2"/>
            <w:vAlign w:val="center"/>
          </w:tcPr>
          <w:p w:rsidR="00083C3F" w:rsidRDefault="00E1215B">
            <w:pPr>
              <w:pStyle w:val="ListParagraph"/>
              <w:numPr>
                <w:ilvl w:val="0"/>
                <w:numId w:val="2"/>
              </w:numPr>
              <w:rPr>
                <w:noProof/>
              </w:rPr>
            </w:pPr>
            <w:r>
              <w:rPr>
                <w:noProof/>
              </w:rPr>
              <w:t>Business restructuring and second chance framework (proposal adopted in November 2016)</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X</w:t>
            </w:r>
          </w:p>
        </w:tc>
        <w:tc>
          <w:tcPr>
            <w:tcW w:w="1370" w:type="dxa"/>
            <w:shd w:val="clear" w:color="auto" w:fill="F2F2F2" w:themeFill="background1" w:themeFillShade="F2"/>
            <w:vAlign w:val="center"/>
          </w:tcPr>
          <w:p w:rsidR="00083C3F" w:rsidRDefault="00E1215B">
            <w:pPr>
              <w:contextualSpacing/>
              <w:jc w:val="center"/>
              <w:rPr>
                <w:noProof/>
                <w:sz w:val="24"/>
              </w:rPr>
            </w:pPr>
            <w:r>
              <w:rPr>
                <w:noProof/>
                <w:sz w:val="24"/>
              </w:rPr>
              <w:t>√</w:t>
            </w:r>
          </w:p>
        </w:tc>
        <w:tc>
          <w:tcPr>
            <w:tcW w:w="1371" w:type="dxa"/>
            <w:shd w:val="clear" w:color="auto" w:fill="F2F2F2" w:themeFill="background1" w:themeFillShade="F2"/>
            <w:vAlign w:val="center"/>
          </w:tcPr>
          <w:p w:rsidR="00083C3F" w:rsidRDefault="00E1215B">
            <w:pPr>
              <w:contextualSpacing/>
              <w:jc w:val="center"/>
              <w:rPr>
                <w:noProof/>
                <w:sz w:val="24"/>
              </w:rPr>
            </w:pPr>
            <w:r>
              <w:rPr>
                <w:noProof/>
                <w:sz w:val="24"/>
              </w:rPr>
              <w:t>√</w:t>
            </w:r>
          </w:p>
        </w:tc>
      </w:tr>
      <w:tr w:rsidR="00083C3F">
        <w:tc>
          <w:tcPr>
            <w:tcW w:w="2082" w:type="dxa"/>
            <w:vMerge/>
          </w:tcPr>
          <w:p w:rsidR="00083C3F" w:rsidRDefault="00083C3F">
            <w:pPr>
              <w:rPr>
                <w:i/>
                <w:noProof/>
                <w:sz w:val="18"/>
                <w:szCs w:val="18"/>
              </w:rPr>
            </w:pPr>
          </w:p>
        </w:tc>
        <w:tc>
          <w:tcPr>
            <w:tcW w:w="8363" w:type="dxa"/>
            <w:shd w:val="clear" w:color="auto" w:fill="auto"/>
            <w:vAlign w:val="center"/>
          </w:tcPr>
          <w:p w:rsidR="00083C3F" w:rsidRDefault="00E1215B">
            <w:pPr>
              <w:pStyle w:val="ListParagraph"/>
              <w:numPr>
                <w:ilvl w:val="0"/>
                <w:numId w:val="2"/>
              </w:numPr>
              <w:rPr>
                <w:noProof/>
              </w:rPr>
            </w:pPr>
            <w:r>
              <w:rPr>
                <w:noProof/>
              </w:rPr>
              <w:t xml:space="preserve">Assisting ESMA in developing and implementing a strategy on fostering supervisory convergence </w:t>
            </w:r>
            <w:r>
              <w:rPr>
                <w:noProof/>
              </w:rPr>
              <w:t>(Supported ESMA in implementing its first and second annual work programme on supervisory convergence in 2016 and 2017).</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0" w:type="dxa"/>
            <w:shd w:val="clear" w:color="auto" w:fill="auto"/>
            <w:vAlign w:val="center"/>
          </w:tcPr>
          <w:p w:rsidR="00083C3F" w:rsidRDefault="00E1215B">
            <w:pPr>
              <w:contextualSpacing/>
              <w:jc w:val="center"/>
              <w:rPr>
                <w:noProof/>
                <w:sz w:val="24"/>
              </w:rPr>
            </w:pPr>
            <w:r>
              <w:rPr>
                <w:noProof/>
                <w:sz w:val="24"/>
              </w:rPr>
              <w:t>√</w:t>
            </w:r>
          </w:p>
        </w:tc>
        <w:tc>
          <w:tcPr>
            <w:tcW w:w="1371" w:type="dxa"/>
            <w:shd w:val="clear" w:color="auto" w:fill="auto"/>
            <w:vAlign w:val="center"/>
          </w:tcPr>
          <w:p w:rsidR="00083C3F" w:rsidRDefault="00E1215B">
            <w:pPr>
              <w:contextualSpacing/>
              <w:jc w:val="center"/>
              <w:rPr>
                <w:noProof/>
                <w:sz w:val="24"/>
              </w:rPr>
            </w:pPr>
            <w:r>
              <w:rPr>
                <w:noProof/>
                <w:sz w:val="24"/>
              </w:rPr>
              <w:t>√</w:t>
            </w:r>
          </w:p>
        </w:tc>
      </w:tr>
    </w:tbl>
    <w:p w:rsidR="00083C3F" w:rsidRDefault="00083C3F">
      <w:pPr>
        <w:rPr>
          <w:noProof/>
        </w:rPr>
      </w:pPr>
    </w:p>
    <w:p w:rsidR="00083C3F" w:rsidRDefault="00083C3F">
      <w:pPr>
        <w:rPr>
          <w:noProof/>
          <w:highlight w:val="yellow"/>
        </w:rPr>
      </w:pPr>
    </w:p>
    <w:p w:rsidR="00083C3F" w:rsidRDefault="00083C3F">
      <w:pPr>
        <w:rPr>
          <w:noProof/>
        </w:rPr>
        <w:sectPr w:rsidR="00083C3F">
          <w:headerReference w:type="even" r:id="rId44"/>
          <w:headerReference w:type="default" r:id="rId45"/>
          <w:footerReference w:type="even" r:id="rId46"/>
          <w:footerReference w:type="default" r:id="rId47"/>
          <w:headerReference w:type="first" r:id="rId48"/>
          <w:footerReference w:type="first" r:id="rId49"/>
          <w:pgSz w:w="16838" w:h="11906" w:orient="landscape"/>
          <w:pgMar w:top="1417" w:right="1417" w:bottom="1417" w:left="1417" w:header="708" w:footer="708" w:gutter="0"/>
          <w:cols w:space="708"/>
          <w:docGrid w:linePitch="360"/>
        </w:sectPr>
      </w:pPr>
    </w:p>
    <w:p w:rsidR="00083C3F" w:rsidRDefault="00E1215B">
      <w:pPr>
        <w:pStyle w:val="Heading2"/>
        <w:rPr>
          <w:noProof/>
        </w:rPr>
      </w:pPr>
      <w:bookmarkStart w:id="53" w:name="_Toc482710935"/>
      <w:bookmarkStart w:id="54" w:name="_Toc482715257"/>
      <w:r>
        <w:rPr>
          <w:noProof/>
        </w:rPr>
        <w:t>CMU mid-term review: focus on supervision and capacity building</w:t>
      </w:r>
      <w:bookmarkEnd w:id="51"/>
      <w:bookmarkEnd w:id="52"/>
      <w:bookmarkEnd w:id="53"/>
      <w:bookmarkEnd w:id="54"/>
    </w:p>
    <w:p w:rsidR="00083C3F" w:rsidRDefault="00E1215B">
      <w:pPr>
        <w:rPr>
          <w:noProof/>
        </w:rPr>
      </w:pPr>
      <w:r>
        <w:rPr>
          <w:noProof/>
        </w:rPr>
        <w:t xml:space="preserve">The CMU </w:t>
      </w:r>
      <w:r>
        <w:rPr>
          <w:noProof/>
        </w:rPr>
        <w:t>action plan is a structural reform programme, which is being implemented and reviewed over a long time span. Since its launch in September 2015, the action plan mostly focused on measures to improve access to markets and products (see Section 1.1.4), via l</w:t>
      </w:r>
      <w:r>
        <w:rPr>
          <w:noProof/>
        </w:rPr>
        <w:t xml:space="preserve">owering direct costs. Actions, such as the revised Prospectus rules or the regime for standardised and transparent securitisation, aim to reduce fixed costs of access to markets by lowering listing costs. Other actions to fine-tune prudential treatment of </w:t>
      </w:r>
      <w:r>
        <w:rPr>
          <w:noProof/>
        </w:rPr>
        <w:t>transparent and standardised securitised instruments seek to improve product market access. Actions to address availability of information flows (price discovery) or strengthen rule enforcement to ensure legal certainty are less prominent.</w:t>
      </w:r>
    </w:p>
    <w:p w:rsidR="00083C3F" w:rsidRDefault="00E1215B">
      <w:pPr>
        <w:rPr>
          <w:noProof/>
        </w:rPr>
      </w:pPr>
      <w:r>
        <w:rPr>
          <w:noProof/>
        </w:rPr>
        <w:t>The review of th</w:t>
      </w:r>
      <w:r>
        <w:rPr>
          <w:noProof/>
        </w:rPr>
        <w:t>e CMU action plan broadens the policy agenda by adding actions to promote greater price discovery and enforcement across the EU. Among those actions, a key development is the intent to ensure the well-functioning of the capital markets’ supervisory archite</w:t>
      </w:r>
      <w:r>
        <w:rPr>
          <w:noProof/>
        </w:rPr>
        <w:t>cture. This will ultimately benefit market and product access, price discovery and enforcement of EU rules and private contracts altogether. A sound supervisory architecture would then implement and enforce the Single Rulebook across Europe. Finally, the p</w:t>
      </w:r>
      <w:r>
        <w:rPr>
          <w:noProof/>
        </w:rPr>
        <w:t>lan foresees actions to support capacity building for local or regional capital markets that have limited scalability, which would have beneficial impact on the three functions mentioned above.</w:t>
      </w:r>
    </w:p>
    <w:p w:rsidR="00083C3F" w:rsidRDefault="00E1215B">
      <w:pPr>
        <w:pStyle w:val="Heading3"/>
        <w:rPr>
          <w:noProof/>
        </w:rPr>
      </w:pPr>
      <w:bookmarkStart w:id="55" w:name="_Toc479614357"/>
      <w:bookmarkStart w:id="56" w:name="_Toc481140362"/>
      <w:bookmarkStart w:id="57" w:name="_Toc482710936"/>
      <w:bookmarkStart w:id="58" w:name="_Toc482715258"/>
      <w:r>
        <w:rPr>
          <w:noProof/>
        </w:rPr>
        <w:t>Pan-European enforcement and supervisory convergence</w:t>
      </w:r>
      <w:bookmarkEnd w:id="55"/>
      <w:bookmarkEnd w:id="56"/>
      <w:bookmarkEnd w:id="57"/>
      <w:bookmarkEnd w:id="58"/>
    </w:p>
    <w:p w:rsidR="00083C3F" w:rsidRDefault="00E1215B">
      <w:pPr>
        <w:rPr>
          <w:noProof/>
        </w:rPr>
      </w:pPr>
      <w:r>
        <w:rPr>
          <w:noProof/>
        </w:rPr>
        <w:t xml:space="preserve">Capital </w:t>
      </w:r>
      <w:r>
        <w:rPr>
          <w:noProof/>
        </w:rPr>
        <w:t>markets comprise a wide spectrum of market segments ranging from local financial providers that sell products to retail investors to large and complex wholesale market providers like stock exchanges and CCPs that might hide cross-border financial contagion</w:t>
      </w:r>
      <w:r>
        <w:rPr>
          <w:noProof/>
        </w:rPr>
        <w:t xml:space="preserve"> risk. The supervisory approach for EU capital markets needs to be pragmatic and combine supervisory convergence and direct supervision in the most effective and proportionate manner. The ability to enforce contracts with a common supervisory treatment acr</w:t>
      </w:r>
      <w:r>
        <w:rPr>
          <w:noProof/>
        </w:rPr>
        <w:t xml:space="preserve">oss the EU is key component of a well-functioning capital market, as it is the case for the US (see Box 1). Supervision of capital markets in a complex multilateral environment, as the EU, has to deal with two types of economic costs: monitoring costs and </w:t>
      </w:r>
      <w:r>
        <w:rPr>
          <w:noProof/>
        </w:rPr>
        <w:t>coordination costs.</w:t>
      </w:r>
    </w:p>
    <w:p w:rsidR="00083C3F" w:rsidRDefault="00E1215B">
      <w:pPr>
        <w:rPr>
          <w:noProof/>
        </w:rPr>
      </w:pPr>
      <w:r>
        <w:rPr>
          <w:noProof/>
        </w:rPr>
        <w:t>First, every financial transaction generates monitoring costs. The cross-border dimension of European markets raises this cost even further for national supervisors, who may be discouraged or not allowed to expand their supervisory acti</w:t>
      </w:r>
      <w:r>
        <w:rPr>
          <w:noProof/>
        </w:rPr>
        <w:t>vity cross-border, while many financial services firms nowadays do operate cross-border. The inability to monitor the counterpart effectively, especially in a dispersed environment like capital markets, requires risk signalling mechanisms that are also del</w:t>
      </w:r>
      <w:r>
        <w:rPr>
          <w:noProof/>
        </w:rPr>
        <w:t>ivered by the supervisory infrastructure, such as minimum licensing requirements to enter a market and ongoing monitoring. A well-functioning supervisory mechanism also reduces other monitoring costs by interposing itself between investors and capital seek</w:t>
      </w:r>
      <w:r>
        <w:rPr>
          <w:noProof/>
        </w:rPr>
        <w:t>ers in the enforcement of rules and contracts. Enforcement tools include effective and uniform sanctions, redress procedures and proper implementation of EU rules. The credibility of capital market operators is the driving force of capital market integrati</w:t>
      </w:r>
      <w:r>
        <w:rPr>
          <w:noProof/>
        </w:rPr>
        <w:t>on and a sound supervisory architecture contribute to that too. As a consequence, strengthened pan-European supervision would need to consider areas where to expand the exclusive powers of the pan-European supervisor.</w:t>
      </w:r>
    </w:p>
    <w:p w:rsidR="00083C3F" w:rsidRDefault="00E1215B">
      <w:pPr>
        <w:rPr>
          <w:noProof/>
        </w:rPr>
      </w:pPr>
      <w:r>
        <w:rPr>
          <w:noProof/>
        </w:rPr>
        <w:t xml:space="preserve">Second, supervision in a community of </w:t>
      </w:r>
      <w:r>
        <w:rPr>
          <w:noProof/>
        </w:rPr>
        <w:t>sovereign states may also face significant coordination costs, due to a collective action problem. As a result, some member states may decide to not align themselves, via 'gold plating' EU rules, with others that cooperate via strictly implementing EU legi</w:t>
      </w:r>
      <w:r>
        <w:rPr>
          <w:noProof/>
        </w:rPr>
        <w:t>slation. Supervisory convergence could minimise the risk of a ‘race-to-the-bottom’ in enforcing EU rules, as well as forum shopping and regulatory arbitrage by private entities operating cross-border. A more solid supervisory architecture at EU level would</w:t>
      </w:r>
      <w:r>
        <w:rPr>
          <w:noProof/>
        </w:rPr>
        <w:t xml:space="preserve"> therefore ensure the implementation of a Single Rulebook for capital markets in the EU, reducing compliance costs for firms and investors, as well as operational costs for supervisors. The latter implies a greater binding role of the pan-European supervis</w:t>
      </w:r>
      <w:r>
        <w:rPr>
          <w:noProof/>
        </w:rPr>
        <w:t>or in solving conflicts among national authorities and more representation of the EU interests in the decision-making bodies of the key European agencies.</w:t>
      </w:r>
    </w:p>
    <w:p w:rsidR="00083C3F" w:rsidRDefault="00E1215B">
      <w:pPr>
        <w:pStyle w:val="Heading4"/>
        <w:rPr>
          <w:noProof/>
        </w:rPr>
      </w:pPr>
      <w:r>
        <w:rPr>
          <w:noProof/>
        </w:rPr>
        <w:t>Enforcement and supervision in the EU</w:t>
      </w:r>
    </w:p>
    <w:p w:rsidR="00083C3F" w:rsidRDefault="00E1215B">
      <w:pPr>
        <w:rPr>
          <w:noProof/>
        </w:rPr>
      </w:pPr>
      <w:r>
        <w:rPr>
          <w:noProof/>
        </w:rPr>
        <w:t>The underlying rationale for setting up the European Supervisor</w:t>
      </w:r>
      <w:r>
        <w:rPr>
          <w:noProof/>
        </w:rPr>
        <w:t>y Agencies (ESAs) was to deepen the EU financial Rulebook, ensure closer cooperation and exchange of information among national supervisors and advance the coherent interpretation and application of rules. By contributing to the promulgation of common rule</w:t>
      </w:r>
      <w:r>
        <w:rPr>
          <w:noProof/>
        </w:rPr>
        <w:t>s and ensuring supervisory convergence and coordination the ESAs should shape the further development of a single rule book applicable to all EU Member States and thus contribute to the functioning of the Single Market. To this end, the ESAs have been assi</w:t>
      </w:r>
      <w:r>
        <w:rPr>
          <w:noProof/>
        </w:rPr>
        <w:t>gned in the founding Regulations and subsequent secondary Union legislation regulatory, supervisory, financial stability and consumer protection roles and powers.</w:t>
      </w:r>
    </w:p>
    <w:p w:rsidR="00083C3F" w:rsidRDefault="00E1215B">
      <w:pPr>
        <w:rPr>
          <w:noProof/>
        </w:rPr>
      </w:pPr>
      <w:r>
        <w:rPr>
          <w:noProof/>
        </w:rPr>
        <w:t>The creation of a common supervisory culture, with convergent supervisory practices, is a lon</w:t>
      </w:r>
      <w:r>
        <w:rPr>
          <w:noProof/>
        </w:rPr>
        <w:t>g term process. The ESAs have so far focussed principally on their regulatory role, as deepening the common rule-book was the upper-most priority in the wake of the crisis. Their supervisory and enforcement role may produce even greater impact in the long-</w:t>
      </w:r>
      <w:r>
        <w:rPr>
          <w:noProof/>
        </w:rPr>
        <w:t xml:space="preserve">term and needs to be stepped up to achieve more consistent implementation and supervision of new EU rules. </w:t>
      </w:r>
    </w:p>
    <w:p w:rsidR="00083C3F" w:rsidRDefault="00E1215B">
      <w:pPr>
        <w:rPr>
          <w:noProof/>
        </w:rPr>
      </w:pPr>
      <w:r>
        <w:rPr>
          <w:noProof/>
        </w:rPr>
        <w:t>Correct and consistent implementation of EU law at national level is essential to enforce a single rulebook, particularly when transposing EU Direct</w:t>
      </w:r>
      <w:r>
        <w:rPr>
          <w:noProof/>
        </w:rPr>
        <w:t>ives into national law. Significant compliance costs may result from divergent and/or inconsistent transposition of EU Directives into national legislation. When transposing EU Directives, Member States may deviate from the text of the Directives or interp</w:t>
      </w:r>
      <w:r>
        <w:rPr>
          <w:noProof/>
        </w:rPr>
        <w:t xml:space="preserve">ret the rules (including definitions) in different ways. Such divergences undermine the single rulebook and the level playing field and create complexity and additional compliance costs for firms operating cross-border. In addition, in several areas, some </w:t>
      </w:r>
      <w:r>
        <w:rPr>
          <w:noProof/>
        </w:rPr>
        <w:t>Member States go beyond what is required by EU law when implementing legislation at national level. In this context, the ESAs have started conducting peer reviews,</w:t>
      </w:r>
      <w:r>
        <w:rPr>
          <w:rStyle w:val="FootnoteReference"/>
          <w:noProof/>
        </w:rPr>
        <w:footnoteReference w:id="11"/>
      </w:r>
      <w:r>
        <w:rPr>
          <w:noProof/>
        </w:rPr>
        <w:t xml:space="preserve"> but their scope is often very limited and more intrusive powers (such as the 'breach of EU </w:t>
      </w:r>
      <w:r>
        <w:rPr>
          <w:noProof/>
        </w:rPr>
        <w:t>law') have been rarely used.</w:t>
      </w:r>
      <w:r>
        <w:rPr>
          <w:rStyle w:val="FootnoteReference"/>
          <w:noProof/>
        </w:rPr>
        <w:footnoteReference w:id="12"/>
      </w:r>
      <w:r>
        <w:rPr>
          <w:noProof/>
        </w:rPr>
        <w:t xml:space="preserve"> </w:t>
      </w:r>
    </w:p>
    <w:p w:rsidR="00083C3F" w:rsidRDefault="00E1215B">
      <w:pPr>
        <w:rPr>
          <w:noProof/>
        </w:rPr>
      </w:pPr>
      <w:r>
        <w:rPr>
          <w:noProof/>
        </w:rPr>
        <w:t>The need to reinforce the EU dimension of supervision and to strengthen the supervisory framework has been stressed in the Commission Communication on Capital Markets Union – Accelerating Reform of September 2016. The Five Pr</w:t>
      </w:r>
      <w:r>
        <w:rPr>
          <w:noProof/>
        </w:rPr>
        <w:t>esidents' Report has also acknowledged the need to strengthen the supervisory framework to ensure the solidity of all financial actors.</w:t>
      </w:r>
    </w:p>
    <w:p w:rsidR="00083C3F" w:rsidRDefault="00E1215B">
      <w:pPr>
        <w:pStyle w:val="Heading4"/>
        <w:rPr>
          <w:noProof/>
        </w:rPr>
      </w:pPr>
      <w:r>
        <w:rPr>
          <w:noProof/>
        </w:rPr>
        <w:t>Role and functioning of ESMA</w:t>
      </w:r>
    </w:p>
    <w:p w:rsidR="00083C3F" w:rsidRDefault="00E1215B">
      <w:pPr>
        <w:rPr>
          <w:noProof/>
        </w:rPr>
      </w:pPr>
      <w:r>
        <w:rPr>
          <w:noProof/>
        </w:rPr>
        <w:t>The European Securities and Markets Authority (ESMA) is the capital market supervisor for E</w:t>
      </w:r>
      <w:r>
        <w:rPr>
          <w:noProof/>
        </w:rPr>
        <w:t>urope’s capital markets. The decisions are taken by the Board of Supervisors (BoS), consisting of national competent authorities (peers). Currently ESMA exercises direct supervisory powers only over trade repositories and credit rating agencies. As capital</w:t>
      </w:r>
      <w:r>
        <w:rPr>
          <w:noProof/>
        </w:rPr>
        <w:t xml:space="preserve"> markets deepen and get more integrated, there is a need to ensure that the capacity to supervise and manage risks, especially cross-border, keeps pace. This gives rise to questions on whether ESMA's current toolbox and powers are sufficient and appropriat</w:t>
      </w:r>
      <w:r>
        <w:rPr>
          <w:noProof/>
        </w:rPr>
        <w:t>e to underpin efficient and cost effective supervision also in a deeper CMU. The growing cross-border component increases monitoring and coordination costs that cannot be dealt with at national level. For example, the development of more integrated capital</w:t>
      </w:r>
      <w:r>
        <w:rPr>
          <w:noProof/>
        </w:rPr>
        <w:t xml:space="preserve"> markets could justify the centralisation of supervision in certain areas where risk emerges from this cross-border dimension. Reflections on a stronger role for ESMA could most productively focus on those market segments or functions where the degree of i</w:t>
      </w:r>
      <w:r>
        <w:rPr>
          <w:noProof/>
        </w:rPr>
        <w:t>ntegration creates strong spill over effects or synergies that cannot be effectively overseen by nationally segmented operators. Strengthened powers for ESMA would ensure that market participants with a similar business model, size or risk profile are subj</w:t>
      </w:r>
      <w:r>
        <w:rPr>
          <w:noProof/>
        </w:rPr>
        <w:t>ect to the same intensity and extent of oversight to ensure a level playing field among market participants and equal protection for domestic and cross-border investors. It would also ensure that potential risks to financial stability that might arise, fol</w:t>
      </w:r>
      <w:r>
        <w:rPr>
          <w:noProof/>
        </w:rPr>
        <w:t>lowing the integration of the markets, would be monitored and mitigated in an effective manner across Member States.</w:t>
      </w:r>
    </w:p>
    <w:p w:rsidR="00083C3F" w:rsidRDefault="00E1215B">
      <w:pPr>
        <w:rPr>
          <w:noProof/>
        </w:rPr>
      </w:pPr>
      <w:r>
        <w:rPr>
          <w:noProof/>
        </w:rPr>
        <w:t>Moreover, there are general market support services with a 'public good' dimension that have strong economies of scale and are capable of r</w:t>
      </w:r>
      <w:r>
        <w:rPr>
          <w:noProof/>
        </w:rPr>
        <w:t xml:space="preserve">educing costs for Member States and supervised entities. These services are mainly data collection, management and publication. This centralisation process is applicable to all sorts of data reporting, including transaction reporting, accounting, business </w:t>
      </w:r>
      <w:r>
        <w:rPr>
          <w:noProof/>
        </w:rPr>
        <w:t>registry information. The simplification that centralisation brings about will improve cross-border data accessibility via greater standardisation and streamlined submission procedures. This process would benefit supervised entities, supervisors and invest</w:t>
      </w:r>
      <w:r>
        <w:rPr>
          <w:noProof/>
        </w:rPr>
        <w:t>ors at large.</w:t>
      </w:r>
      <w:bookmarkStart w:id="59" w:name="_Toc479614359"/>
    </w:p>
    <w:p w:rsidR="00083C3F" w:rsidRDefault="00E1215B">
      <w:pPr>
        <w:pStyle w:val="Box"/>
        <w:rPr>
          <w:noProof/>
        </w:rPr>
      </w:pPr>
      <w:bookmarkStart w:id="60" w:name="_Ref480473672"/>
      <w:r>
        <w:rPr>
          <w:noProof/>
        </w:rPr>
        <w:t>Powers of the U.S. Securities and Exchange Commission (SEC)</w:t>
      </w:r>
      <w:bookmarkEnd w:id="60"/>
      <w:r>
        <w:rPr>
          <w:noProof/>
        </w:rPr>
        <w:t xml:space="preserve"> </w:t>
      </w:r>
      <w:bookmarkEnd w:id="59"/>
    </w:p>
    <w:p w:rsidR="00083C3F" w:rsidRDefault="00E1215B">
      <w:pPr>
        <w:shd w:val="clear" w:color="auto" w:fill="B8CCE4" w:themeFill="accent1" w:themeFillTint="66"/>
        <w:rPr>
          <w:rFonts w:cs="Times New Roman"/>
          <w:noProof/>
        </w:rPr>
      </w:pPr>
      <w:r>
        <w:rPr>
          <w:rFonts w:cs="Times New Roman"/>
          <w:noProof/>
        </w:rPr>
        <w:t xml:space="preserve">The U.S. Securities and Exchange Commission (SEC) is responsible for enforcing federal securities laws, proposing securities rules, and regulating the securities industry including </w:t>
      </w:r>
      <w:r>
        <w:rPr>
          <w:rFonts w:cs="Times New Roman"/>
          <w:noProof/>
        </w:rPr>
        <w:t xml:space="preserve">stock and options exchanges and the electronic securities markets in the US. The mission of the SEC is to protect investors, maintain fair, orderly, and efficient markets, and to facilitate capital formation. </w:t>
      </w:r>
    </w:p>
    <w:p w:rsidR="00083C3F" w:rsidRDefault="00E1215B">
      <w:pPr>
        <w:shd w:val="clear" w:color="auto" w:fill="B8CCE4" w:themeFill="accent1" w:themeFillTint="66"/>
        <w:rPr>
          <w:rFonts w:cs="Times New Roman"/>
          <w:noProof/>
        </w:rPr>
      </w:pPr>
      <w:r>
        <w:rPr>
          <w:rFonts w:cs="Times New Roman"/>
          <w:noProof/>
        </w:rPr>
        <w:t>The SEC has several key powers. First, the SEC</w:t>
      </w:r>
      <w:r>
        <w:rPr>
          <w:rFonts w:cs="Times New Roman"/>
          <w:noProof/>
        </w:rPr>
        <w:t xml:space="preserve"> interprets and enforces federal </w:t>
      </w:r>
      <w:r>
        <w:rPr>
          <w:rFonts w:cs="Times New Roman"/>
          <w:b/>
          <w:noProof/>
        </w:rPr>
        <w:t>securities laws</w:t>
      </w:r>
      <w:r>
        <w:rPr>
          <w:rFonts w:cs="Times New Roman"/>
          <w:noProof/>
        </w:rPr>
        <w:t>. It investigates violations of securities laws and regulations and takes actions when violations have been uncovered. The SEC can bring a civil action, or an administrative proceeding which is heard by an in</w:t>
      </w:r>
      <w:r>
        <w:rPr>
          <w:rFonts w:cs="Times New Roman"/>
          <w:noProof/>
        </w:rPr>
        <w:t>dependent administrative law judge. The SEC does not have criminal authority, but may refer matters to state and federal prosecutors.</w:t>
      </w:r>
    </w:p>
    <w:p w:rsidR="00083C3F" w:rsidRDefault="00E1215B">
      <w:pPr>
        <w:shd w:val="clear" w:color="auto" w:fill="B8CCE4" w:themeFill="accent1" w:themeFillTint="66"/>
        <w:rPr>
          <w:rFonts w:cs="Times New Roman"/>
          <w:noProof/>
        </w:rPr>
      </w:pPr>
      <w:r>
        <w:rPr>
          <w:rFonts w:cs="Times New Roman"/>
          <w:noProof/>
        </w:rPr>
        <w:t xml:space="preserve">Second, the SEC oversees the </w:t>
      </w:r>
      <w:r>
        <w:rPr>
          <w:rFonts w:cs="Times New Roman"/>
          <w:b/>
          <w:noProof/>
        </w:rPr>
        <w:t>disclosure made by public companies</w:t>
      </w:r>
      <w:r>
        <w:rPr>
          <w:rFonts w:cs="Times New Roman"/>
          <w:noProof/>
        </w:rPr>
        <w:t>, as well as the registration of transactions, such as mer</w:t>
      </w:r>
      <w:r>
        <w:rPr>
          <w:rFonts w:cs="Times New Roman"/>
          <w:noProof/>
        </w:rPr>
        <w:t>gers, made by companies. The SEC requires public companies to disclose meaningful financial and other information to the public, providing a common pool of knowledge for all investors. It maintains an online database called EDGAR (the Electronic Data Gathe</w:t>
      </w:r>
      <w:r>
        <w:rPr>
          <w:rFonts w:cs="Times New Roman"/>
          <w:noProof/>
        </w:rPr>
        <w:t>ring, Analysis, and Retrieval system). EDGAR provides investors with access to the information filed with the agency. It is also possible to file complaints and report violators of securities laws via EDGAR.</w:t>
      </w:r>
    </w:p>
    <w:p w:rsidR="00083C3F" w:rsidRDefault="00E1215B">
      <w:pPr>
        <w:shd w:val="clear" w:color="auto" w:fill="B8CCE4" w:themeFill="accent1" w:themeFillTint="66"/>
        <w:rPr>
          <w:rFonts w:cs="Times New Roman"/>
          <w:noProof/>
        </w:rPr>
      </w:pPr>
      <w:r>
        <w:rPr>
          <w:rFonts w:cs="Times New Roman"/>
          <w:noProof/>
        </w:rPr>
        <w:t>Third, the SEC oversees securities trading and m</w:t>
      </w:r>
      <w:r>
        <w:rPr>
          <w:rFonts w:cs="Times New Roman"/>
          <w:noProof/>
        </w:rPr>
        <w:t xml:space="preserve">arkets. It oversees the inspection of </w:t>
      </w:r>
      <w:r>
        <w:rPr>
          <w:rFonts w:cs="Times New Roman"/>
          <w:b/>
          <w:noProof/>
        </w:rPr>
        <w:t>securities firms, clearing infrastructure, brokers, investment advisers</w:t>
      </w:r>
      <w:r>
        <w:rPr>
          <w:rFonts w:cs="Times New Roman"/>
          <w:noProof/>
        </w:rPr>
        <w:t xml:space="preserve"> and </w:t>
      </w:r>
      <w:r>
        <w:rPr>
          <w:rFonts w:cs="Times New Roman"/>
          <w:b/>
          <w:noProof/>
        </w:rPr>
        <w:t>ratings agencies</w:t>
      </w:r>
      <w:r>
        <w:rPr>
          <w:rFonts w:cs="Times New Roman"/>
          <w:noProof/>
        </w:rPr>
        <w:t xml:space="preserve">, as well as private regulatory organizations in the securities, </w:t>
      </w:r>
      <w:r>
        <w:rPr>
          <w:rFonts w:cs="Times New Roman"/>
          <w:b/>
          <w:noProof/>
        </w:rPr>
        <w:t>accounting</w:t>
      </w:r>
      <w:r>
        <w:rPr>
          <w:rFonts w:cs="Times New Roman"/>
          <w:noProof/>
        </w:rPr>
        <w:t xml:space="preserve"> and </w:t>
      </w:r>
      <w:r>
        <w:rPr>
          <w:rFonts w:cs="Times New Roman"/>
          <w:b/>
          <w:noProof/>
        </w:rPr>
        <w:t>auditing</w:t>
      </w:r>
      <w:r>
        <w:rPr>
          <w:rFonts w:cs="Times New Roman"/>
          <w:noProof/>
        </w:rPr>
        <w:t xml:space="preserve"> fields. The SEC interprets proposed c</w:t>
      </w:r>
      <w:r>
        <w:rPr>
          <w:rFonts w:cs="Times New Roman"/>
          <w:noProof/>
        </w:rPr>
        <w:t>hanges to regulations and monitors operations of the industry.</w:t>
      </w:r>
    </w:p>
    <w:p w:rsidR="00083C3F" w:rsidRDefault="00E1215B">
      <w:pPr>
        <w:shd w:val="clear" w:color="auto" w:fill="B8CCE4" w:themeFill="accent1" w:themeFillTint="66"/>
        <w:rPr>
          <w:rFonts w:cs="Times New Roman"/>
          <w:noProof/>
        </w:rPr>
      </w:pPr>
      <w:r>
        <w:rPr>
          <w:rFonts w:cs="Times New Roman"/>
          <w:noProof/>
        </w:rPr>
        <w:t xml:space="preserve">Fourth, the SEC </w:t>
      </w:r>
      <w:r>
        <w:rPr>
          <w:rFonts w:cs="Times New Roman"/>
          <w:b/>
          <w:noProof/>
        </w:rPr>
        <w:t>oversees registered investment companies</w:t>
      </w:r>
      <w:r>
        <w:rPr>
          <w:rFonts w:cs="Times New Roman"/>
          <w:noProof/>
        </w:rPr>
        <w:t>, which include mutual funds, as well as registered investment advisers. The SEC focuses on ensuring that disclosures about mutual funds,</w:t>
      </w:r>
      <w:r>
        <w:rPr>
          <w:rFonts w:cs="Times New Roman"/>
          <w:noProof/>
        </w:rPr>
        <w:t xml:space="preserve"> ETFs and other such investments are useful to retail customers, and that the regulatory costs which consumers must bear are not excessive. </w:t>
      </w:r>
    </w:p>
    <w:p w:rsidR="00083C3F" w:rsidRDefault="00E1215B">
      <w:pPr>
        <w:shd w:val="clear" w:color="auto" w:fill="B8CCE4" w:themeFill="accent1" w:themeFillTint="66"/>
        <w:rPr>
          <w:rFonts w:cs="Times New Roman"/>
          <w:noProof/>
        </w:rPr>
      </w:pPr>
      <w:r>
        <w:rPr>
          <w:rFonts w:cs="Times New Roman"/>
          <w:noProof/>
        </w:rPr>
        <w:t xml:space="preserve">Finally, the SEC can make use of </w:t>
      </w:r>
      <w:r>
        <w:rPr>
          <w:rFonts w:cs="Times New Roman"/>
          <w:b/>
          <w:noProof/>
        </w:rPr>
        <w:t>no-action letters</w:t>
      </w:r>
      <w:r>
        <w:rPr>
          <w:rFonts w:cs="Times New Roman"/>
          <w:noProof/>
        </w:rPr>
        <w:t xml:space="preserve"> to issue guidance in a more formal manner. A company seeks a no-</w:t>
      </w:r>
      <w:r>
        <w:rPr>
          <w:rFonts w:cs="Times New Roman"/>
          <w:noProof/>
        </w:rPr>
        <w:t>action letter from the staff of the SEC when it plans to enter uncharted legal territory in the securities industry. For example, if a company wants to try a new marketing or financial technique, it can ask the SEC staff to write a letter indicating whethe</w:t>
      </w:r>
      <w:r>
        <w:rPr>
          <w:rFonts w:cs="Times New Roman"/>
          <w:noProof/>
        </w:rPr>
        <w:t>r it would or would not recommend that the SEC take action against the company for engaging in its new practice.</w:t>
      </w:r>
    </w:p>
    <w:p w:rsidR="00083C3F" w:rsidRDefault="00E1215B">
      <w:pPr>
        <w:pStyle w:val="Heading3"/>
        <w:rPr>
          <w:noProof/>
        </w:rPr>
      </w:pPr>
      <w:bookmarkStart w:id="61" w:name="_Toc479614360"/>
      <w:bookmarkStart w:id="62" w:name="_Toc481140363"/>
      <w:bookmarkStart w:id="63" w:name="_Toc482710937"/>
      <w:bookmarkStart w:id="64" w:name="_Toc482715259"/>
      <w:r>
        <w:rPr>
          <w:noProof/>
        </w:rPr>
        <w:t>Building capacity for Europe's regional markets</w:t>
      </w:r>
      <w:bookmarkEnd w:id="61"/>
      <w:bookmarkEnd w:id="62"/>
      <w:bookmarkEnd w:id="63"/>
      <w:bookmarkEnd w:id="64"/>
    </w:p>
    <w:p w:rsidR="00083C3F" w:rsidRDefault="00E1215B">
      <w:pPr>
        <w:rPr>
          <w:noProof/>
        </w:rPr>
      </w:pPr>
      <w:r>
        <w:rPr>
          <w:noProof/>
        </w:rPr>
        <w:t>The importance of geographical location proximity in complex financial ecosystems is an unsettl</w:t>
      </w:r>
      <w:r>
        <w:rPr>
          <w:noProof/>
        </w:rPr>
        <w:t>ed discussion in economic literature. In order to create liquidity, capital markets need volumes and so rely on strong economies of scale. As a result, also due to technological developments in recent years, capital markets tend to consolidate around big c</w:t>
      </w:r>
      <w:r>
        <w:rPr>
          <w:noProof/>
        </w:rPr>
        <w:t xml:space="preserve">lusters of liquidity, which are usually big Member States or regional trading hubs, due to benefits that spill over the entire economy (Pandit et al. 2002). Nonetheless, not all forms of finance need centralisation to develop. Geographical proximity still </w:t>
      </w:r>
      <w:r>
        <w:rPr>
          <w:noProof/>
        </w:rPr>
        <w:t xml:space="preserve">matters for many of them and for specific categories of users, such as start-ups. For instance, despite its ability to make geographical proximity less important, crowdfunding is not able to overcome all the distance-sensitive costs related to information </w:t>
      </w:r>
      <w:r>
        <w:rPr>
          <w:noProof/>
        </w:rPr>
        <w:t>(Agrawal et al. 2015). It is less clear whether public equity markets for SMEs at national level or more locally are more beneficial than centralised regional hubs in any given area (Klagge &amp; Martin 2005). While trading of listed blue chips becomes increas</w:t>
      </w:r>
      <w:r>
        <w:rPr>
          <w:noProof/>
        </w:rPr>
        <w:t>ingly international, cost of equity is higher for firms that come from countries with a weak governance and institutional design (Boubakri et al. 2016). Spatial proximity between financial intermediaries and SMEs facilitates information exchange to lower t</w:t>
      </w:r>
      <w:r>
        <w:rPr>
          <w:noProof/>
        </w:rPr>
        <w:t>ransaction costs and non-cost barriers for capital provision (Klagge &amp; Martin 2005). Some specialised regional stock markets can also attract the interest of other forms of finance (like private equity), which finds in these markets either an exit or a gui</w:t>
      </w:r>
      <w:r>
        <w:rPr>
          <w:noProof/>
        </w:rPr>
        <w:t xml:space="preserve">de to price SME risk. There is also evidence that firms’ propensity in looking for external finance grows in proximity of venture capital markets (Colombo et al. 2016). </w:t>
      </w:r>
    </w:p>
    <w:p w:rsidR="00083C3F" w:rsidRDefault="00E1215B">
      <w:pPr>
        <w:rPr>
          <w:noProof/>
        </w:rPr>
      </w:pPr>
      <w:r>
        <w:rPr>
          <w:noProof/>
        </w:rPr>
        <w:t>The development of capital markets across the EU should consider the different maturit</w:t>
      </w:r>
      <w:r>
        <w:rPr>
          <w:noProof/>
        </w:rPr>
        <w:t>y of capital markets across Member States. For market based finance to be a viable and sustainable alternative to bank lending, the CMU needs to build the financial circuits, market conventions and technical and legal infrastructures that will allow market</w:t>
      </w:r>
      <w:r>
        <w:rPr>
          <w:noProof/>
        </w:rPr>
        <w:t xml:space="preserve"> participants to operate at local, regional or national level while, at the same time, to transact confidently on a pan-European scale. There is a need to broaden the geographical reach of capital markets so that all Member States reap the benefits of deep</w:t>
      </w:r>
      <w:r>
        <w:rPr>
          <w:noProof/>
        </w:rPr>
        <w:t>er and more integrated capital markets. Mobilising the local investor base in regional markets requires more than the presence of a regional market. Some Member States would need to strengthen their capacity also in other areas than access and competitiven</w:t>
      </w:r>
      <w:r>
        <w:rPr>
          <w:noProof/>
        </w:rPr>
        <w:t>ess of financial intermediation, such as supervisory capability or other policy areas that help to create an environment conducive to capital mobility in the region, as well as clustering of specific forms of finance (e.g. venture capital, private equity o</w:t>
      </w:r>
      <w:r>
        <w:rPr>
          <w:noProof/>
        </w:rPr>
        <w:t>r SME crowdfunding tools). Technical assistance may help these Member States. The Central Eastern and South-Eastern Europe (CESEE) region is an area where some capacity building for the development of a regional hub in specific forms of finance can be achi</w:t>
      </w:r>
      <w:r>
        <w:rPr>
          <w:noProof/>
        </w:rPr>
        <w:t>eved. The incidence of bank finance in this area is lower than the rest of the EU (154% of GDP versus 410% of GDP). Banks are mainly foreign-owned and they operate under limited interference by local governments, thus with a more market-oriented behaviour.</w:t>
      </w:r>
      <w:r>
        <w:rPr>
          <w:noProof/>
        </w:rPr>
        <w:t xml:space="preserve"> Non-financial firms’ access to capital markets is lower that the EU average (6% versus 21% for the EU). Issuance of debt securities is considered irrelevant for SMEs in the CESEE region (ECB Safe Survey on Access to Finance). Insurance and pension funds a</w:t>
      </w:r>
      <w:r>
        <w:rPr>
          <w:noProof/>
        </w:rPr>
        <w:t>re only partially involved in capital markets activities, often because the national regulatory framework creates additional constraints. Households exhibit strong bias towards cash or deposit instruments, but their participation in equity investments is m</w:t>
      </w:r>
      <w:r>
        <w:rPr>
          <w:noProof/>
        </w:rPr>
        <w:t>ixed across countries.</w:t>
      </w:r>
    </w:p>
    <w:p w:rsidR="00083C3F" w:rsidRDefault="00E1215B">
      <w:pPr>
        <w:pStyle w:val="Heading2"/>
        <w:rPr>
          <w:noProof/>
        </w:rPr>
      </w:pPr>
      <w:bookmarkStart w:id="65" w:name="_Toc481140364"/>
      <w:bookmarkStart w:id="66" w:name="_Toc482710938"/>
      <w:bookmarkStart w:id="67" w:name="_Toc482715260"/>
      <w:r>
        <w:rPr>
          <w:noProof/>
        </w:rPr>
        <w:t>Key indicators</w:t>
      </w:r>
      <w:bookmarkEnd w:id="65"/>
      <w:bookmarkEnd w:id="66"/>
      <w:bookmarkEnd w:id="67"/>
      <w:r>
        <w:rPr>
          <w:rStyle w:val="FootnoteReference"/>
          <w:noProof/>
        </w:rPr>
        <w:footnoteReference w:id="13"/>
      </w:r>
    </w:p>
    <w:p w:rsidR="00083C3F" w:rsidRDefault="00E1215B">
      <w:pPr>
        <w:pStyle w:val="Heading4"/>
        <w:rPr>
          <w:noProof/>
        </w:rPr>
      </w:pPr>
      <w:r>
        <w:rPr>
          <w:noProof/>
        </w:rPr>
        <w:t>Support to public and private investments</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rPr>
          <w:trHeight w:val="625"/>
        </w:trPr>
        <w:tc>
          <w:tcPr>
            <w:tcW w:w="4735" w:type="dxa"/>
          </w:tcPr>
          <w:p w:rsidR="00083C3F" w:rsidRDefault="00083C3F">
            <w:pPr>
              <w:spacing w:after="0"/>
              <w:jc w:val="center"/>
              <w:rPr>
                <w:rFonts w:cs="Times New Roman"/>
                <w:noProof/>
              </w:rPr>
            </w:pPr>
          </w:p>
          <w:p w:rsidR="00083C3F" w:rsidRDefault="00E1215B">
            <w:pPr>
              <w:spacing w:after="0"/>
              <w:jc w:val="center"/>
              <w:rPr>
                <w:rFonts w:cs="Times New Roman"/>
                <w:noProof/>
              </w:rPr>
            </w:pPr>
            <w:r>
              <w:rPr>
                <w:rFonts w:cs="Times New Roman"/>
                <w:b/>
                <w:noProof/>
              </w:rPr>
              <w:t>Indicator</w:t>
            </w:r>
          </w:p>
        </w:tc>
        <w:tc>
          <w:tcPr>
            <w:tcW w:w="1559" w:type="dxa"/>
            <w:vAlign w:val="center"/>
          </w:tcPr>
          <w:p w:rsidR="00083C3F" w:rsidRDefault="00E1215B">
            <w:pPr>
              <w:spacing w:after="0"/>
              <w:jc w:val="center"/>
              <w:rPr>
                <w:rFonts w:cs="Times New Roman"/>
                <w:noProof/>
              </w:rPr>
            </w:pPr>
            <w:r>
              <w:rPr>
                <w:rFonts w:cs="Times New Roman"/>
                <w:b/>
                <w:noProof/>
              </w:rPr>
              <w:t>Last 5-year average</w:t>
            </w:r>
          </w:p>
        </w:tc>
        <w:tc>
          <w:tcPr>
            <w:tcW w:w="1559" w:type="dxa"/>
            <w:vAlign w:val="center"/>
          </w:tcPr>
          <w:p w:rsidR="00083C3F" w:rsidRDefault="00E1215B">
            <w:pPr>
              <w:spacing w:after="0"/>
              <w:jc w:val="center"/>
              <w:rPr>
                <w:rFonts w:cs="Times New Roman"/>
                <w:noProof/>
              </w:rPr>
            </w:pPr>
            <w:r>
              <w:rPr>
                <w:rFonts w:cs="Times New Roman"/>
                <w:b/>
                <w:noProof/>
              </w:rPr>
              <w:t>Latest observation</w:t>
            </w:r>
          </w:p>
        </w:tc>
        <w:tc>
          <w:tcPr>
            <w:tcW w:w="1559" w:type="dxa"/>
            <w:vAlign w:val="center"/>
          </w:tcPr>
          <w:p w:rsidR="00083C3F" w:rsidRDefault="00E1215B">
            <w:pPr>
              <w:spacing w:after="0"/>
              <w:jc w:val="center"/>
              <w:rPr>
                <w:rFonts w:cs="Times New Roman"/>
                <w:noProof/>
              </w:rPr>
            </w:pPr>
            <w:r>
              <w:rPr>
                <w:rFonts w:cs="Times New Roman"/>
                <w:b/>
                <w:noProof/>
              </w:rPr>
              <w:t>Value</w:t>
            </w:r>
          </w:p>
        </w:tc>
      </w:tr>
      <w:tr w:rsidR="00083C3F">
        <w:tc>
          <w:tcPr>
            <w:tcW w:w="4735" w:type="dxa"/>
          </w:tcPr>
          <w:p w:rsidR="00083C3F" w:rsidRDefault="00E1215B">
            <w:pPr>
              <w:spacing w:after="0"/>
              <w:jc w:val="left"/>
              <w:rPr>
                <w:noProof/>
              </w:rPr>
            </w:pPr>
            <w:r>
              <w:rPr>
                <w:noProof/>
              </w:rPr>
              <w:t>Ouput gap (actual minus potential GDP, % of GDP)</w:t>
            </w:r>
          </w:p>
        </w:tc>
        <w:tc>
          <w:tcPr>
            <w:tcW w:w="1559" w:type="dxa"/>
            <w:vAlign w:val="center"/>
          </w:tcPr>
          <w:p w:rsidR="00083C3F" w:rsidRDefault="00E1215B">
            <w:pPr>
              <w:spacing w:after="0"/>
              <w:jc w:val="center"/>
              <w:rPr>
                <w:rFonts w:cs="Times New Roman"/>
                <w:noProof/>
              </w:rPr>
            </w:pPr>
            <w:r>
              <w:rPr>
                <w:rFonts w:cs="Times New Roman"/>
                <w:noProof/>
              </w:rPr>
              <w:t>-1.83%</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-0.69%</w:t>
            </w:r>
          </w:p>
        </w:tc>
      </w:tr>
      <w:tr w:rsidR="00083C3F">
        <w:tc>
          <w:tcPr>
            <w:tcW w:w="4735" w:type="dxa"/>
          </w:tcPr>
          <w:p w:rsidR="00083C3F" w:rsidRDefault="00E1215B">
            <w:pPr>
              <w:spacing w:after="0"/>
              <w:jc w:val="left"/>
              <w:rPr>
                <w:rFonts w:cs="Times New Roman"/>
                <w:noProof/>
              </w:rPr>
            </w:pPr>
            <w:r>
              <w:rPr>
                <w:noProof/>
              </w:rPr>
              <w:t>Net fixed capital formation (% of GDP)</w:t>
            </w:r>
          </w:p>
        </w:tc>
        <w:tc>
          <w:tcPr>
            <w:tcW w:w="1559" w:type="dxa"/>
            <w:vAlign w:val="center"/>
          </w:tcPr>
          <w:p w:rsidR="00083C3F" w:rsidRDefault="00E1215B">
            <w:pPr>
              <w:spacing w:after="0"/>
              <w:jc w:val="center"/>
              <w:rPr>
                <w:rFonts w:cs="Times New Roman"/>
                <w:noProof/>
              </w:rPr>
            </w:pPr>
            <w:r>
              <w:rPr>
                <w:rFonts w:cs="Times New Roman"/>
                <w:noProof/>
              </w:rPr>
              <w:t>2.42%</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2.63%</w:t>
            </w:r>
          </w:p>
        </w:tc>
      </w:tr>
      <w:tr w:rsidR="00083C3F">
        <w:tc>
          <w:tcPr>
            <w:tcW w:w="4735" w:type="dxa"/>
          </w:tcPr>
          <w:p w:rsidR="00083C3F" w:rsidRDefault="00E1215B">
            <w:pPr>
              <w:spacing w:after="0"/>
              <w:jc w:val="left"/>
              <w:rPr>
                <w:rFonts w:cs="Times New Roman"/>
                <w:noProof/>
              </w:rPr>
            </w:pPr>
            <w:r>
              <w:rPr>
                <w:rFonts w:cs="Times New Roman"/>
                <w:noProof/>
              </w:rPr>
              <w:t>Net returns on net capital stock (index value rebased in 2010 as equal to 100)</w:t>
            </w:r>
          </w:p>
        </w:tc>
        <w:tc>
          <w:tcPr>
            <w:tcW w:w="1559" w:type="dxa"/>
            <w:vAlign w:val="center"/>
          </w:tcPr>
          <w:p w:rsidR="00083C3F" w:rsidRDefault="00E1215B">
            <w:pPr>
              <w:spacing w:after="0"/>
              <w:jc w:val="center"/>
              <w:rPr>
                <w:rFonts w:cs="Times New Roman"/>
                <w:noProof/>
              </w:rPr>
            </w:pPr>
            <w:r>
              <w:rPr>
                <w:rFonts w:cs="Times New Roman"/>
                <w:noProof/>
              </w:rPr>
              <w:t>101.6</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105.8</w:t>
            </w:r>
          </w:p>
        </w:tc>
      </w:tr>
    </w:tbl>
    <w:p w:rsidR="00083C3F" w:rsidRDefault="00083C3F">
      <w:pPr>
        <w:pStyle w:val="Source"/>
        <w:rPr>
          <w:noProof/>
        </w:rPr>
      </w:pPr>
    </w:p>
    <w:p w:rsidR="00083C3F" w:rsidRDefault="00E1215B">
      <w:pPr>
        <w:pStyle w:val="Heading4"/>
        <w:rPr>
          <w:noProof/>
        </w:rPr>
      </w:pPr>
      <w:r>
        <w:rPr>
          <w:noProof/>
        </w:rPr>
        <w:t>A sustainable financial integration process</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c>
          <w:tcPr>
            <w:tcW w:w="4735" w:type="dxa"/>
          </w:tcPr>
          <w:p w:rsidR="00083C3F" w:rsidRDefault="00083C3F">
            <w:pPr>
              <w:spacing w:after="0"/>
              <w:jc w:val="center"/>
              <w:rPr>
                <w:rFonts w:cs="Times New Roman"/>
                <w:noProof/>
              </w:rPr>
            </w:pPr>
          </w:p>
          <w:p w:rsidR="00083C3F" w:rsidRDefault="00E1215B">
            <w:pPr>
              <w:spacing w:after="0"/>
              <w:jc w:val="center"/>
              <w:rPr>
                <w:rFonts w:cs="Times New Roman"/>
                <w:noProof/>
              </w:rPr>
            </w:pPr>
            <w:r>
              <w:rPr>
                <w:rFonts w:cs="Times New Roman"/>
                <w:b/>
                <w:noProof/>
              </w:rPr>
              <w:t>Indicator</w:t>
            </w:r>
          </w:p>
        </w:tc>
        <w:tc>
          <w:tcPr>
            <w:tcW w:w="1559" w:type="dxa"/>
            <w:vAlign w:val="center"/>
          </w:tcPr>
          <w:p w:rsidR="00083C3F" w:rsidRDefault="00E1215B">
            <w:pPr>
              <w:spacing w:after="0"/>
              <w:jc w:val="center"/>
              <w:rPr>
                <w:rFonts w:cs="Times New Roman"/>
                <w:noProof/>
              </w:rPr>
            </w:pPr>
            <w:r>
              <w:rPr>
                <w:rFonts w:cs="Times New Roman"/>
                <w:b/>
                <w:noProof/>
              </w:rPr>
              <w:t>Last 5-year average</w:t>
            </w:r>
          </w:p>
        </w:tc>
        <w:tc>
          <w:tcPr>
            <w:tcW w:w="1559" w:type="dxa"/>
            <w:vAlign w:val="center"/>
          </w:tcPr>
          <w:p w:rsidR="00083C3F" w:rsidRDefault="00E1215B">
            <w:pPr>
              <w:spacing w:after="0"/>
              <w:jc w:val="center"/>
              <w:rPr>
                <w:rFonts w:cs="Times New Roman"/>
                <w:noProof/>
              </w:rPr>
            </w:pPr>
            <w:r>
              <w:rPr>
                <w:rFonts w:cs="Times New Roman"/>
                <w:b/>
                <w:noProof/>
              </w:rPr>
              <w:t>Latest observation</w:t>
            </w:r>
          </w:p>
        </w:tc>
        <w:tc>
          <w:tcPr>
            <w:tcW w:w="1559" w:type="dxa"/>
            <w:vAlign w:val="center"/>
          </w:tcPr>
          <w:p w:rsidR="00083C3F" w:rsidRDefault="00E1215B">
            <w:pPr>
              <w:spacing w:after="0"/>
              <w:jc w:val="center"/>
              <w:rPr>
                <w:rFonts w:cs="Times New Roman"/>
                <w:noProof/>
              </w:rPr>
            </w:pPr>
            <w:r>
              <w:rPr>
                <w:rFonts w:cs="Times New Roman"/>
                <w:b/>
                <w:noProof/>
              </w:rPr>
              <w:t>Value</w:t>
            </w:r>
          </w:p>
        </w:tc>
      </w:tr>
      <w:tr w:rsidR="00083C3F">
        <w:tc>
          <w:tcPr>
            <w:tcW w:w="4735" w:type="dxa"/>
          </w:tcPr>
          <w:p w:rsidR="00083C3F" w:rsidRDefault="00E1215B">
            <w:pPr>
              <w:spacing w:after="0"/>
              <w:jc w:val="left"/>
              <w:rPr>
                <w:rFonts w:cs="Times New Roman"/>
                <w:noProof/>
              </w:rPr>
            </w:pPr>
            <w:r>
              <w:rPr>
                <w:noProof/>
              </w:rPr>
              <w:t xml:space="preserve">Geographical risk diversification index (outward </w:t>
            </w:r>
            <w:r>
              <w:rPr>
                <w:noProof/>
              </w:rPr>
              <w:t>flows, equity and debt; index value between 0 and 1)</w:t>
            </w:r>
          </w:p>
        </w:tc>
        <w:tc>
          <w:tcPr>
            <w:tcW w:w="1559" w:type="dxa"/>
            <w:vAlign w:val="center"/>
          </w:tcPr>
          <w:p w:rsidR="00083C3F" w:rsidRDefault="00E1215B">
            <w:pPr>
              <w:spacing w:after="0"/>
              <w:jc w:val="center"/>
              <w:rPr>
                <w:rFonts w:cs="Times New Roman"/>
                <w:noProof/>
              </w:rPr>
            </w:pPr>
            <w:r>
              <w:rPr>
                <w:rFonts w:cs="Times New Roman"/>
                <w:noProof/>
              </w:rPr>
              <w:t>0.5</w:t>
            </w:r>
          </w:p>
        </w:tc>
        <w:tc>
          <w:tcPr>
            <w:tcW w:w="1559" w:type="dxa"/>
            <w:vAlign w:val="center"/>
          </w:tcPr>
          <w:p w:rsidR="00083C3F" w:rsidRDefault="00E1215B">
            <w:pPr>
              <w:spacing w:after="0"/>
              <w:jc w:val="center"/>
              <w:rPr>
                <w:rFonts w:cs="Times New Roman"/>
                <w:noProof/>
              </w:rPr>
            </w:pPr>
            <w:r>
              <w:rPr>
                <w:rFonts w:cs="Times New Roman"/>
                <w:noProof/>
              </w:rPr>
              <w:t>2015</w:t>
            </w:r>
          </w:p>
        </w:tc>
        <w:tc>
          <w:tcPr>
            <w:tcW w:w="1559" w:type="dxa"/>
            <w:vAlign w:val="center"/>
          </w:tcPr>
          <w:p w:rsidR="00083C3F" w:rsidRDefault="00E1215B">
            <w:pPr>
              <w:spacing w:after="0"/>
              <w:jc w:val="center"/>
              <w:rPr>
                <w:rFonts w:cs="Times New Roman"/>
                <w:noProof/>
              </w:rPr>
            </w:pPr>
            <w:r>
              <w:rPr>
                <w:rFonts w:cs="Times New Roman"/>
                <w:noProof/>
              </w:rPr>
              <w:t>0.5</w:t>
            </w:r>
          </w:p>
        </w:tc>
      </w:tr>
      <w:tr w:rsidR="00083C3F">
        <w:tc>
          <w:tcPr>
            <w:tcW w:w="4735" w:type="dxa"/>
            <w:vAlign w:val="center"/>
          </w:tcPr>
          <w:p w:rsidR="00083C3F" w:rsidRDefault="00E1215B">
            <w:pPr>
              <w:spacing w:after="0"/>
              <w:jc w:val="left"/>
              <w:rPr>
                <w:rFonts w:cs="Times New Roman"/>
                <w:noProof/>
              </w:rPr>
            </w:pPr>
            <w:r>
              <w:rPr>
                <w:noProof/>
              </w:rPr>
              <w:t>Debt portfolio investments intra EU (end of period; EUR trillion)</w:t>
            </w:r>
          </w:p>
        </w:tc>
        <w:tc>
          <w:tcPr>
            <w:tcW w:w="1559" w:type="dxa"/>
            <w:vAlign w:val="center"/>
          </w:tcPr>
          <w:p w:rsidR="00083C3F" w:rsidRDefault="00E1215B">
            <w:pPr>
              <w:spacing w:after="0"/>
              <w:jc w:val="center"/>
              <w:rPr>
                <w:rFonts w:cs="Times New Roman"/>
                <w:noProof/>
              </w:rPr>
            </w:pPr>
            <w:r>
              <w:rPr>
                <w:rFonts w:cs="Times New Roman"/>
                <w:noProof/>
              </w:rPr>
              <w:t>EUR 8.71 trillion</w:t>
            </w:r>
          </w:p>
        </w:tc>
        <w:tc>
          <w:tcPr>
            <w:tcW w:w="1559" w:type="dxa"/>
            <w:vAlign w:val="center"/>
          </w:tcPr>
          <w:p w:rsidR="00083C3F" w:rsidRDefault="00E1215B">
            <w:pPr>
              <w:spacing w:after="0"/>
              <w:jc w:val="center"/>
              <w:rPr>
                <w:rFonts w:cs="Times New Roman"/>
                <w:noProof/>
              </w:rPr>
            </w:pPr>
            <w:r>
              <w:rPr>
                <w:rFonts w:cs="Times New Roman"/>
                <w:noProof/>
              </w:rPr>
              <w:t>2015</w:t>
            </w:r>
          </w:p>
        </w:tc>
        <w:tc>
          <w:tcPr>
            <w:tcW w:w="1559" w:type="dxa"/>
            <w:vAlign w:val="center"/>
          </w:tcPr>
          <w:p w:rsidR="00083C3F" w:rsidRDefault="00E1215B">
            <w:pPr>
              <w:spacing w:after="0"/>
              <w:jc w:val="center"/>
              <w:rPr>
                <w:rFonts w:cs="Times New Roman"/>
                <w:noProof/>
              </w:rPr>
            </w:pPr>
            <w:r>
              <w:rPr>
                <w:rFonts w:cs="Times New Roman"/>
                <w:noProof/>
              </w:rPr>
              <w:t>EUR 8.25 trillion</w:t>
            </w:r>
          </w:p>
        </w:tc>
      </w:tr>
      <w:tr w:rsidR="00083C3F">
        <w:tc>
          <w:tcPr>
            <w:tcW w:w="4735" w:type="dxa"/>
            <w:vAlign w:val="center"/>
          </w:tcPr>
          <w:p w:rsidR="00083C3F" w:rsidRDefault="00E1215B">
            <w:pPr>
              <w:spacing w:after="0"/>
              <w:jc w:val="left"/>
              <w:rPr>
                <w:noProof/>
              </w:rPr>
            </w:pPr>
            <w:r>
              <w:rPr>
                <w:noProof/>
              </w:rPr>
              <w:t>Equity portfolio investments intra EU (end of period; EUR trillion)</w:t>
            </w:r>
          </w:p>
        </w:tc>
        <w:tc>
          <w:tcPr>
            <w:tcW w:w="1559" w:type="dxa"/>
            <w:vAlign w:val="center"/>
          </w:tcPr>
          <w:p w:rsidR="00083C3F" w:rsidRDefault="00E1215B">
            <w:pPr>
              <w:spacing w:after="0"/>
              <w:jc w:val="center"/>
              <w:rPr>
                <w:rFonts w:cs="Times New Roman"/>
                <w:noProof/>
              </w:rPr>
            </w:pPr>
            <w:r>
              <w:rPr>
                <w:rFonts w:cs="Times New Roman"/>
                <w:noProof/>
              </w:rPr>
              <w:t xml:space="preserve">EUR 4.22 </w:t>
            </w:r>
            <w:r>
              <w:rPr>
                <w:rFonts w:cs="Times New Roman"/>
                <w:noProof/>
              </w:rPr>
              <w:t>trillion</w:t>
            </w:r>
          </w:p>
        </w:tc>
        <w:tc>
          <w:tcPr>
            <w:tcW w:w="1559" w:type="dxa"/>
            <w:vAlign w:val="center"/>
          </w:tcPr>
          <w:p w:rsidR="00083C3F" w:rsidRDefault="00E1215B">
            <w:pPr>
              <w:spacing w:after="0"/>
              <w:jc w:val="center"/>
              <w:rPr>
                <w:rFonts w:cs="Times New Roman"/>
                <w:noProof/>
              </w:rPr>
            </w:pPr>
            <w:r>
              <w:rPr>
                <w:rFonts w:cs="Times New Roman"/>
                <w:noProof/>
              </w:rPr>
              <w:t>2015</w:t>
            </w:r>
          </w:p>
        </w:tc>
        <w:tc>
          <w:tcPr>
            <w:tcW w:w="1559" w:type="dxa"/>
            <w:vAlign w:val="center"/>
          </w:tcPr>
          <w:p w:rsidR="00083C3F" w:rsidRDefault="00E1215B">
            <w:pPr>
              <w:spacing w:after="0"/>
              <w:jc w:val="center"/>
              <w:rPr>
                <w:rFonts w:cs="Times New Roman"/>
                <w:noProof/>
              </w:rPr>
            </w:pPr>
            <w:r>
              <w:rPr>
                <w:rFonts w:cs="Times New Roman"/>
                <w:noProof/>
              </w:rPr>
              <w:t>EUR 4.98 trillion</w:t>
            </w:r>
          </w:p>
        </w:tc>
      </w:tr>
      <w:tr w:rsidR="00083C3F">
        <w:tc>
          <w:tcPr>
            <w:tcW w:w="4735" w:type="dxa"/>
            <w:vAlign w:val="center"/>
          </w:tcPr>
          <w:p w:rsidR="00083C3F" w:rsidRDefault="00E1215B">
            <w:pPr>
              <w:spacing w:after="0"/>
              <w:jc w:val="left"/>
              <w:rPr>
                <w:rFonts w:cs="Times New Roman"/>
                <w:noProof/>
              </w:rPr>
            </w:pPr>
            <w:r>
              <w:rPr>
                <w:rFonts w:cs="Times New Roman"/>
                <w:noProof/>
              </w:rPr>
              <w:t>Price-based integration in EU (bond markets; index value between 0 and 1)</w:t>
            </w:r>
          </w:p>
        </w:tc>
        <w:tc>
          <w:tcPr>
            <w:tcW w:w="1559" w:type="dxa"/>
            <w:vAlign w:val="center"/>
          </w:tcPr>
          <w:p w:rsidR="00083C3F" w:rsidRDefault="00E1215B">
            <w:pPr>
              <w:spacing w:after="0"/>
              <w:jc w:val="center"/>
              <w:rPr>
                <w:rFonts w:cs="Times New Roman"/>
                <w:noProof/>
              </w:rPr>
            </w:pPr>
            <w:r>
              <w:rPr>
                <w:rFonts w:cs="Times New Roman"/>
                <w:noProof/>
              </w:rPr>
              <w:t>0.31</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0.4</w:t>
            </w:r>
          </w:p>
        </w:tc>
      </w:tr>
      <w:tr w:rsidR="00083C3F">
        <w:tc>
          <w:tcPr>
            <w:tcW w:w="4735" w:type="dxa"/>
            <w:vAlign w:val="center"/>
          </w:tcPr>
          <w:p w:rsidR="00083C3F" w:rsidRDefault="00E1215B">
            <w:pPr>
              <w:spacing w:after="0"/>
              <w:jc w:val="left"/>
              <w:rPr>
                <w:rFonts w:cs="Times New Roman"/>
                <w:noProof/>
              </w:rPr>
            </w:pPr>
            <w:r>
              <w:rPr>
                <w:rFonts w:cs="Times New Roman"/>
                <w:noProof/>
              </w:rPr>
              <w:t>Price-based integration in EU (equity markets; index value between 0 and 1)</w:t>
            </w:r>
          </w:p>
        </w:tc>
        <w:tc>
          <w:tcPr>
            <w:tcW w:w="1559" w:type="dxa"/>
            <w:vAlign w:val="center"/>
          </w:tcPr>
          <w:p w:rsidR="00083C3F" w:rsidRDefault="00E1215B">
            <w:pPr>
              <w:spacing w:after="0"/>
              <w:jc w:val="center"/>
              <w:rPr>
                <w:rFonts w:cs="Times New Roman"/>
                <w:noProof/>
              </w:rPr>
            </w:pPr>
            <w:r>
              <w:rPr>
                <w:rFonts w:cs="Times New Roman"/>
                <w:noProof/>
              </w:rPr>
              <w:t>0.51</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0.46</w:t>
            </w:r>
          </w:p>
        </w:tc>
      </w:tr>
      <w:tr w:rsidR="00083C3F">
        <w:tc>
          <w:tcPr>
            <w:tcW w:w="4735" w:type="dxa"/>
          </w:tcPr>
          <w:p w:rsidR="00083C3F" w:rsidRDefault="00E1215B">
            <w:pPr>
              <w:spacing w:after="0"/>
              <w:jc w:val="left"/>
              <w:rPr>
                <w:rFonts w:cs="Times New Roman"/>
                <w:noProof/>
              </w:rPr>
            </w:pPr>
            <w:r>
              <w:rPr>
                <w:noProof/>
              </w:rPr>
              <w:t xml:space="preserve">Quantity-based integration in EU (home </w:t>
            </w:r>
            <w:r>
              <w:rPr>
                <w:noProof/>
              </w:rPr>
              <w:t>bias; index value between 0% and 100%)</w:t>
            </w:r>
          </w:p>
        </w:tc>
        <w:tc>
          <w:tcPr>
            <w:tcW w:w="1559" w:type="dxa"/>
            <w:vAlign w:val="center"/>
          </w:tcPr>
          <w:p w:rsidR="00083C3F" w:rsidRDefault="00E1215B">
            <w:pPr>
              <w:spacing w:after="0"/>
              <w:jc w:val="center"/>
              <w:rPr>
                <w:rFonts w:cs="Times New Roman"/>
                <w:noProof/>
              </w:rPr>
            </w:pPr>
            <w:r>
              <w:rPr>
                <w:rFonts w:cs="Times New Roman"/>
                <w:noProof/>
              </w:rPr>
              <w:t>82%</w:t>
            </w:r>
          </w:p>
        </w:tc>
        <w:tc>
          <w:tcPr>
            <w:tcW w:w="1559" w:type="dxa"/>
            <w:vAlign w:val="center"/>
          </w:tcPr>
          <w:p w:rsidR="00083C3F" w:rsidRDefault="00E1215B">
            <w:pPr>
              <w:spacing w:after="0"/>
              <w:jc w:val="center"/>
              <w:rPr>
                <w:rFonts w:cs="Times New Roman"/>
                <w:noProof/>
              </w:rPr>
            </w:pPr>
            <w:r>
              <w:rPr>
                <w:rFonts w:cs="Times New Roman"/>
                <w:noProof/>
              </w:rPr>
              <w:t>2015</w:t>
            </w:r>
          </w:p>
        </w:tc>
        <w:tc>
          <w:tcPr>
            <w:tcW w:w="1559" w:type="dxa"/>
            <w:vAlign w:val="center"/>
          </w:tcPr>
          <w:p w:rsidR="00083C3F" w:rsidRDefault="00E1215B">
            <w:pPr>
              <w:spacing w:after="0"/>
              <w:jc w:val="center"/>
              <w:rPr>
                <w:rFonts w:cs="Times New Roman"/>
                <w:noProof/>
              </w:rPr>
            </w:pPr>
            <w:r>
              <w:rPr>
                <w:rFonts w:cs="Times New Roman"/>
                <w:noProof/>
              </w:rPr>
              <w:t>80%</w:t>
            </w:r>
          </w:p>
        </w:tc>
      </w:tr>
    </w:tbl>
    <w:p w:rsidR="00083C3F" w:rsidRDefault="00083C3F">
      <w:pPr>
        <w:pStyle w:val="Source"/>
        <w:rPr>
          <w:noProof/>
        </w:rPr>
      </w:pPr>
    </w:p>
    <w:p w:rsidR="00083C3F" w:rsidRDefault="00083C3F">
      <w:pPr>
        <w:pStyle w:val="Source"/>
        <w:rPr>
          <w:noProof/>
        </w:rPr>
      </w:pPr>
    </w:p>
    <w:p w:rsidR="00083C3F" w:rsidRDefault="00E1215B">
      <w:pPr>
        <w:spacing w:after="200"/>
        <w:jc w:val="left"/>
        <w:rPr>
          <w:noProof/>
        </w:rPr>
      </w:pPr>
      <w:r>
        <w:rPr>
          <w:noProof/>
        </w:rPr>
        <w:br w:type="page"/>
      </w:r>
    </w:p>
    <w:p w:rsidR="00083C3F" w:rsidRDefault="00E1215B">
      <w:pPr>
        <w:pStyle w:val="Heading1"/>
        <w:rPr>
          <w:noProof/>
        </w:rPr>
      </w:pPr>
      <w:bookmarkStart w:id="68" w:name="_Toc481140365"/>
      <w:bookmarkStart w:id="69" w:name="_Toc482710939"/>
      <w:bookmarkStart w:id="70" w:name="_Toc482715261"/>
      <w:r>
        <w:rPr>
          <w:rFonts w:eastAsia="Times New Roman"/>
          <w:noProof/>
        </w:rPr>
        <w:t>Financing for Innovation, Start-ups and Non-listed Companies</w:t>
      </w:r>
      <w:bookmarkEnd w:id="68"/>
      <w:bookmarkEnd w:id="69"/>
      <w:bookmarkEnd w:id="70"/>
    </w:p>
    <w:p w:rsidR="00083C3F" w:rsidRDefault="00E1215B">
      <w:pPr>
        <w:rPr>
          <w:noProof/>
        </w:rPr>
      </w:pPr>
      <w:r>
        <w:rPr>
          <w:noProof/>
        </w:rPr>
        <w:t>Access to a diversified pool of funding options is critical for financial stability and economic growth. Successful entrepreneurs, start-u</w:t>
      </w:r>
      <w:r>
        <w:rPr>
          <w:noProof/>
        </w:rPr>
        <w:t>ps, scale-ups and firms need access to different types of financing to fund innovation and their expansion. This chapter reviews the funding channels via capital markets for innovative and growing firms seeking to raise equity or debt outside the banking s</w:t>
      </w:r>
      <w:r>
        <w:rPr>
          <w:noProof/>
        </w:rPr>
        <w:t xml:space="preserve">ystem, and explores the overall challenges to improve the pre-IPO environment in the EU. </w:t>
      </w:r>
    </w:p>
    <w:p w:rsidR="00083C3F" w:rsidRDefault="00E1215B">
      <w:pPr>
        <w:pStyle w:val="Heading2"/>
        <w:rPr>
          <w:noProof/>
        </w:rPr>
      </w:pPr>
      <w:bookmarkStart w:id="71" w:name="_Toc481140366"/>
      <w:bookmarkStart w:id="72" w:name="_Toc482710940"/>
      <w:bookmarkStart w:id="73" w:name="_Toc482715262"/>
      <w:r>
        <w:rPr>
          <w:noProof/>
        </w:rPr>
        <w:t>Markets and banks along the funding escalator</w:t>
      </w:r>
      <w:bookmarkEnd w:id="71"/>
      <w:bookmarkEnd w:id="72"/>
      <w:bookmarkEnd w:id="73"/>
    </w:p>
    <w:p w:rsidR="00083C3F" w:rsidRDefault="00E1215B">
      <w:pPr>
        <w:rPr>
          <w:noProof/>
        </w:rPr>
      </w:pPr>
      <w:r>
        <w:rPr>
          <w:noProof/>
        </w:rPr>
        <w:t>A company's financing needs evolve with its growth in size and specialisation over time. Its stage of development, growt</w:t>
      </w:r>
      <w:r>
        <w:rPr>
          <w:noProof/>
        </w:rPr>
        <w:t>h objectives, innovativeness, operations, and credit profile determine its financing needs. This is generally defined in corporate finance as the 'funding escalator'. In the start-up phase, a company needs mostly cash to develop its business idea. Most fou</w:t>
      </w:r>
      <w:r>
        <w:rPr>
          <w:noProof/>
        </w:rPr>
        <w:t>nders begin by investing their savings, making use of personal credit facilities, and tapping family and friends for funds (Robb and Robinson (2014)). For founders who have exhausted such ‘personal’ finance, raising outside finance is a considerable challe</w:t>
      </w:r>
      <w:r>
        <w:rPr>
          <w:noProof/>
        </w:rPr>
        <w:t>nge. For instance, start-ups generally do not generate steady cash flows to pay interest and—beyond re-mortgaging the founder’s personal assets — they lack other kinds of collateral (Schmalz et al 2013). This makes them unattractive candidates for standard</w:t>
      </w:r>
      <w:r>
        <w:rPr>
          <w:noProof/>
        </w:rPr>
        <w:t xml:space="preserve"> corporate debt financing (e.g. loans) (Berger and Udell 1998; Aghion et al 2004).</w:t>
      </w:r>
      <w:r>
        <w:rPr>
          <w:rStyle w:val="FootnoteReference"/>
          <w:noProof/>
        </w:rPr>
        <w:t xml:space="preserve"> </w:t>
      </w:r>
    </w:p>
    <w:p w:rsidR="00083C3F" w:rsidRDefault="00E1215B">
      <w:pPr>
        <w:pStyle w:val="Caption"/>
      </w:pPr>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1</w:t>
      </w:r>
      <w:r>
        <w:fldChar w:fldCharType="end"/>
      </w:r>
      <w:r>
        <w:t>. Funding escalator</w:t>
      </w:r>
    </w:p>
    <w:p w:rsidR="00083C3F" w:rsidRDefault="00E1215B">
      <w:pPr>
        <w:pStyle w:val="Figure"/>
        <w:rPr>
          <w:noProof/>
        </w:rPr>
      </w:pPr>
      <w:r>
        <w:rPr>
          <w:noProof/>
          <w:lang w:eastAsia="en-GB"/>
        </w:rPr>
        <w:drawing>
          <wp:inline distT="0" distB="0" distL="0" distR="0" wp14:anchorId="2D9E38EE" wp14:editId="29FAC78C">
            <wp:extent cx="5472430" cy="325751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72430" cy="3257510"/>
                    </a:xfrm>
                    <a:prstGeom prst="rect">
                      <a:avLst/>
                    </a:prstGeom>
                  </pic:spPr>
                </pic:pic>
              </a:graphicData>
            </a:graphic>
          </wp:inline>
        </w:drawing>
      </w:r>
    </w:p>
    <w:p w:rsidR="00083C3F" w:rsidRDefault="00E1215B">
      <w:pPr>
        <w:pStyle w:val="Source"/>
        <w:rPr>
          <w:noProof/>
        </w:rPr>
      </w:pPr>
      <w:r>
        <w:rPr>
          <w:noProof/>
        </w:rPr>
        <w:t>Source: Commission services.</w:t>
      </w:r>
    </w:p>
    <w:p w:rsidR="00083C3F" w:rsidRDefault="00E1215B">
      <w:pPr>
        <w:rPr>
          <w:noProof/>
        </w:rPr>
      </w:pPr>
      <w:r>
        <w:rPr>
          <w:noProof/>
        </w:rPr>
        <w:t>Although retained earnings increase when a company is successfu</w:t>
      </w:r>
      <w:r>
        <w:rPr>
          <w:noProof/>
        </w:rPr>
        <w:t>l and grows, a firm's external financing stays typically high in the growth stage. Once the firm enters the mature stage, financing structures adjust to the pace of earnings, business growth and collateral at disposal. At a certain point, the company may d</w:t>
      </w:r>
      <w:r>
        <w:rPr>
          <w:noProof/>
        </w:rPr>
        <w:t>ecide to go public, offering its stock to the general public on a security exchange as a means of equity financing and/or issuing bonds.</w:t>
      </w:r>
      <w:r>
        <w:rPr>
          <w:rStyle w:val="FootnoteReference"/>
          <w:noProof/>
        </w:rPr>
        <w:footnoteReference w:id="14"/>
      </w:r>
      <w:r>
        <w:rPr>
          <w:noProof/>
        </w:rPr>
        <w:t xml:space="preserve"> If a firm cannot or does not want to put all retained earnings to operational use, it may decide to buy back its debt </w:t>
      </w:r>
      <w:r>
        <w:rPr>
          <w:noProof/>
        </w:rPr>
        <w:t>or equity. </w:t>
      </w:r>
    </w:p>
    <w:p w:rsidR="00083C3F" w:rsidRDefault="00E1215B">
      <w:pPr>
        <w:rPr>
          <w:noProof/>
        </w:rPr>
      </w:pPr>
      <w:r>
        <w:rPr>
          <w:noProof/>
        </w:rPr>
        <w:t>There are various ways in which funding other than bank lending is provided. Leasing, factoring and various forms of trade and supply chain finance are capable of easing corporate financial problems, but are usually more expensive than bank loa</w:t>
      </w:r>
      <w:r>
        <w:rPr>
          <w:noProof/>
        </w:rPr>
        <w:t>ns. Loans by non-banks, including crowdfunding and peer-to-business platforms, are other potential sources of finance but are underdeveloped to date, even if they often carry lower borrowing costs than bank loans. Still another source of alternative financ</w:t>
      </w:r>
      <w:r>
        <w:rPr>
          <w:noProof/>
        </w:rPr>
        <w:t>e, particularly suited for fast-growing firms, is private equity (especially in the form of venture capital). </w:t>
      </w:r>
    </w:p>
    <w:p w:rsidR="00083C3F" w:rsidRDefault="00E1215B">
      <w:pPr>
        <w:pStyle w:val="Heading3"/>
        <w:rPr>
          <w:noProof/>
        </w:rPr>
      </w:pPr>
      <w:bookmarkStart w:id="74" w:name="_Toc481140367"/>
      <w:bookmarkStart w:id="75" w:name="_Toc482710941"/>
      <w:bookmarkStart w:id="76" w:name="_Toc482715263"/>
      <w:r>
        <w:rPr>
          <w:noProof/>
        </w:rPr>
        <w:t>Interaction between bank and market-based funding</w:t>
      </w:r>
      <w:bookmarkEnd w:id="74"/>
      <w:bookmarkEnd w:id="75"/>
      <w:bookmarkEnd w:id="76"/>
    </w:p>
    <w:p w:rsidR="00083C3F" w:rsidRDefault="00E1215B">
      <w:pPr>
        <w:rPr>
          <w:noProof/>
        </w:rPr>
      </w:pPr>
      <w:r>
        <w:rPr>
          <w:noProof/>
        </w:rPr>
        <w:t xml:space="preserve">Banks and capital markets are two vital components of the financial system, complementing each </w:t>
      </w:r>
      <w:r>
        <w:rPr>
          <w:noProof/>
        </w:rPr>
        <w:t>other. Bank and market funding offer </w:t>
      </w:r>
      <w:r>
        <w:rPr>
          <w:rStyle w:val="Strong"/>
          <w:b w:val="0"/>
          <w:noProof/>
        </w:rPr>
        <w:t>different mechanisms</w:t>
      </w:r>
      <w:r>
        <w:rPr>
          <w:b/>
          <w:noProof/>
        </w:rPr>
        <w:t> </w:t>
      </w:r>
      <w:r>
        <w:rPr>
          <w:noProof/>
        </w:rPr>
        <w:t>to</w:t>
      </w:r>
      <w:r>
        <w:rPr>
          <w:b/>
          <w:noProof/>
        </w:rPr>
        <w:t> </w:t>
      </w:r>
      <w:r>
        <w:rPr>
          <w:rStyle w:val="Strong"/>
          <w:b w:val="0"/>
          <w:noProof/>
        </w:rPr>
        <w:t>overcome information problems,</w:t>
      </w:r>
      <w:r>
        <w:rPr>
          <w:noProof/>
        </w:rPr>
        <w:t> such as adverse selection and moral hazard. </w:t>
      </w:r>
    </w:p>
    <w:p w:rsidR="00083C3F" w:rsidRDefault="00E1215B">
      <w:pPr>
        <w:rPr>
          <w:noProof/>
        </w:rPr>
      </w:pPr>
      <w:r>
        <w:rPr>
          <w:noProof/>
        </w:rPr>
        <w:t>Bank-based financial systems enjoy economies of scale and scope in information gathering and processing, ultimately giv</w:t>
      </w:r>
      <w:r>
        <w:rPr>
          <w:noProof/>
        </w:rPr>
        <w:t>ing the bank an informational advantage in its relationship-based activity.</w:t>
      </w:r>
      <w:r>
        <w:rPr>
          <w:rStyle w:val="FootnoteReference"/>
          <w:noProof/>
        </w:rPr>
        <w:footnoteReference w:id="15"/>
      </w:r>
      <w:r>
        <w:rPr>
          <w:noProof/>
        </w:rPr>
        <w:t xml:space="preserve"> Traditional credit channels, based on bank loans, rely on the heavy cost structure of the credit institution, which can collect much information on the credit risk of a borrower a</w:t>
      </w:r>
      <w:r>
        <w:rPr>
          <w:noProof/>
        </w:rPr>
        <w:t xml:space="preserve">nd/or ask for collateral to overcome information barriers because it can internalise the legal costs of such procedures. As a result, banks are in a better position than capital markets to address the inherent agency problems between debtors and creditors </w:t>
      </w:r>
      <w:r>
        <w:rPr>
          <w:noProof/>
        </w:rPr>
        <w:t>in long-term funding relationships (Leland and Pyle (1977) and Diamond (1984)). The relationship-based funding allows a firm to develop a reputation for good creditworthiness and ultimately to access finance at a lower cost (the "</w:t>
      </w:r>
      <w:r>
        <w:rPr>
          <w:rStyle w:val="Emphasis"/>
          <w:i w:val="0"/>
          <w:noProof/>
        </w:rPr>
        <w:t>certification effect</w:t>
      </w:r>
      <w:r>
        <w:rPr>
          <w:noProof/>
        </w:rPr>
        <w:t>"). Th</w:t>
      </w:r>
      <w:r>
        <w:rPr>
          <w:noProof/>
        </w:rPr>
        <w:t xml:space="preserve">is way, banks also gain special knowledge from performing complementary functions on a large scale (e.g. account keeping for borrowers, provision of payment instruments). As a result this funding tool is more suitable for firms that already have a history </w:t>
      </w:r>
      <w:r>
        <w:rPr>
          <w:noProof/>
        </w:rPr>
        <w:t>of cash flows and business operations.</w:t>
      </w:r>
    </w:p>
    <w:p w:rsidR="00083C3F" w:rsidRDefault="00E1215B">
      <w:pPr>
        <w:rPr>
          <w:noProof/>
        </w:rPr>
      </w:pPr>
      <w:r>
        <w:rPr>
          <w:noProof/>
        </w:rPr>
        <w:t>Market-based funding fills the funding gap left by traditional credit channels. The availability (or not) of collateral and future cash flows are typically priced-in the overall cost of financing and not necessarily a</w:t>
      </w:r>
      <w:r>
        <w:rPr>
          <w:noProof/>
        </w:rPr>
        <w:t xml:space="preserve"> barrier to access funding. As a result, the strength of capital markets is to provide services to finance novel, longer-duration and high-risk projects. Non-bank finance at early stage of firm development is generally more flexible than bank finance (e.g.</w:t>
      </w:r>
      <w:r>
        <w:rPr>
          <w:noProof/>
        </w:rPr>
        <w:t xml:space="preserve"> as regards repayment schedules or providing finance based on expected future earnings). Therefore, by complementing bank funding, capital markets enlarge the potential investor base.</w:t>
      </w:r>
    </w:p>
    <w:p w:rsidR="00083C3F" w:rsidRDefault="00E1215B">
      <w:pPr>
        <w:autoSpaceDE w:val="0"/>
        <w:autoSpaceDN w:val="0"/>
        <w:adjustRightInd w:val="0"/>
        <w:rPr>
          <w:noProof/>
        </w:rPr>
      </w:pPr>
      <w:r>
        <w:rPr>
          <w:rFonts w:cs="Times New Roman"/>
          <w:noProof/>
          <w:szCs w:val="24"/>
        </w:rPr>
        <w:t>Using US data, Adrian et al. (2013) find evidence that bonds and banks w</w:t>
      </w:r>
      <w:r>
        <w:rPr>
          <w:rFonts w:cs="Times New Roman"/>
          <w:noProof/>
          <w:szCs w:val="24"/>
        </w:rPr>
        <w:t>ere substitutes during the 2007-09 crisis. For Europe there is evidence that the bond market, to some extent, had filled the funding gap left by the banking sector. Cariboni et al. (2017) find an increase in the access to the bond market by the corporate s</w:t>
      </w:r>
      <w:r>
        <w:rPr>
          <w:rFonts w:cs="Times New Roman"/>
          <w:noProof/>
          <w:szCs w:val="24"/>
        </w:rPr>
        <w:t>ector (amount issued, number of issuance, first time issuers, even by riskier and unlisted companies) in the period 2012-2014. Thus a more balanced funding structure between bank and market sources can make the real economy more resilient to shocks hitting</w:t>
      </w:r>
      <w:r>
        <w:rPr>
          <w:rFonts w:cs="Times New Roman"/>
          <w:noProof/>
          <w:szCs w:val="24"/>
        </w:rPr>
        <w:t xml:space="preserve"> the banking sector or the public markets.</w:t>
      </w:r>
    </w:p>
    <w:p w:rsidR="00083C3F" w:rsidRDefault="00E1215B">
      <w:pPr>
        <w:pStyle w:val="Heading3"/>
        <w:rPr>
          <w:noProof/>
        </w:rPr>
      </w:pPr>
      <w:bookmarkStart w:id="77" w:name="_Toc481140368"/>
      <w:bookmarkStart w:id="78" w:name="_Toc482710942"/>
      <w:bookmarkStart w:id="79" w:name="_Toc482715264"/>
      <w:r>
        <w:rPr>
          <w:noProof/>
        </w:rPr>
        <w:t>The SMEs funding jigsaw</w:t>
      </w:r>
      <w:bookmarkEnd w:id="77"/>
      <w:bookmarkEnd w:id="78"/>
      <w:bookmarkEnd w:id="79"/>
    </w:p>
    <w:p w:rsidR="00083C3F" w:rsidRDefault="00E1215B">
      <w:pPr>
        <w:rPr>
          <w:noProof/>
        </w:rPr>
      </w:pPr>
      <w:r>
        <w:rPr>
          <w:noProof/>
        </w:rPr>
        <w:t xml:space="preserve">Firms' financing constraints affect their investment decisions and growth prospects. Empirical evidence suggests that financing constraints affect particularly small, young, or single-unit </w:t>
      </w:r>
      <w:r>
        <w:rPr>
          <w:noProof/>
        </w:rPr>
        <w:t>firms. Their business prospects are more difficult to evaluate for investors, as they are perceived as riskier due to the lack of business diversification and collateral. Indeed, information asymmetries are often more pronounced for small firms in their ea</w:t>
      </w:r>
      <w:r>
        <w:rPr>
          <w:noProof/>
        </w:rPr>
        <w:t>rly stages, namely from Stage 1 (inception) until stage 3 (expansion) in the funding escalator model.</w:t>
      </w:r>
      <w:r>
        <w:rPr>
          <w:rStyle w:val="FootnoteReference"/>
          <w:noProof/>
        </w:rPr>
        <w:footnoteReference w:id="16"/>
      </w:r>
      <w:r>
        <w:rPr>
          <w:noProof/>
        </w:rPr>
        <w:t xml:space="preserve"> According to the 2016 ECB Survey on the Access to Finance of Enterprises (SAFE), market-based sources of finance such as equity and debt securities account only for respectively 12% and 3% of the total funding of a SME. The use of alternative financing so</w:t>
      </w:r>
      <w:r>
        <w:rPr>
          <w:noProof/>
        </w:rPr>
        <w:t>urces increases with the size of the firm, even though multiple tools alternative to bank lending exists in the early stage of business development (Table 2.1).</w:t>
      </w:r>
      <w:r>
        <w:rPr>
          <w:rStyle w:val="Strong"/>
          <w:b w:val="0"/>
          <w:noProof/>
        </w:rPr>
        <w:t xml:space="preserve"> In effect, most</w:t>
      </w:r>
      <w:r>
        <w:rPr>
          <w:noProof/>
        </w:rPr>
        <w:t xml:space="preserve"> start-ups fail, so funding a start-up is a risky endeavour. It is not uncommon </w:t>
      </w:r>
      <w:r>
        <w:rPr>
          <w:noProof/>
        </w:rPr>
        <w:t>that the company doesn't have a product yet when it asks for funding. Even if the company had a product, they often need to develop the market for it. To forecast cash flows and therefore putting a valuation on such a firm is not an easy task as production</w:t>
      </w:r>
      <w:r>
        <w:rPr>
          <w:noProof/>
        </w:rPr>
        <w:t xml:space="preserve"> costs and market size have to be estimated. These factors greatly intensify the core problems of any business financing arrangement—namely, uncertainty, information asymmetry, and the risk of opportunism (Gilson (2010)). </w:t>
      </w:r>
    </w:p>
    <w:p w:rsidR="00083C3F" w:rsidRDefault="00E1215B">
      <w:pPr>
        <w:pStyle w:val="Caption"/>
        <w:rPr>
          <w:rFonts w:cs="Times New Roman"/>
        </w:rPr>
      </w:pPr>
      <w:bookmarkStart w:id="80" w:name="_Ref481075186"/>
      <w:bookmarkStart w:id="81" w:name="_Ref481075182"/>
      <w:r>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Pr>
          <w:rFonts w:cs="Times New Roman"/>
        </w:rPr>
        <w:t>2</w:t>
      </w:r>
      <w:r>
        <w:rPr>
          <w:rFonts w:cs="Times New Roman"/>
        </w:rPr>
        <w:fldChar w:fldCharType="end"/>
      </w:r>
      <w:r>
        <w:rPr>
          <w:rFonts w:cs="Times New Roman"/>
        </w:rPr>
        <w:t>.</w:t>
      </w:r>
      <w:r>
        <w:rPr>
          <w:rFonts w:cs="Times New Roman"/>
        </w:rPr>
        <w:fldChar w:fldCharType="begin"/>
      </w:r>
      <w:r>
        <w:rPr>
          <w:rFonts w:cs="Times New Roman"/>
        </w:rPr>
        <w:instrText xml:space="preserve"> SEQ Ta</w:instrText>
      </w:r>
      <w:r>
        <w:rPr>
          <w:rFonts w:cs="Times New Roman"/>
        </w:rPr>
        <w:instrText xml:space="preserve">ble \* ARABIC \s 1 </w:instrText>
      </w:r>
      <w:r>
        <w:rPr>
          <w:rFonts w:cs="Times New Roman"/>
        </w:rPr>
        <w:fldChar w:fldCharType="separate"/>
      </w:r>
      <w:r>
        <w:rPr>
          <w:rFonts w:cs="Times New Roman"/>
        </w:rPr>
        <w:t>1</w:t>
      </w:r>
      <w:r>
        <w:rPr>
          <w:rFonts w:cs="Times New Roman"/>
        </w:rPr>
        <w:fldChar w:fldCharType="end"/>
      </w:r>
      <w:bookmarkEnd w:id="80"/>
      <w:r>
        <w:rPr>
          <w:rFonts w:cs="Times New Roman"/>
        </w:rPr>
        <w:t>. Use of financing instruments by Euro-area non-financial corporations (average; % of total sample over 2009-2014)</w:t>
      </w:r>
      <w:bookmarkEnd w:id="81"/>
    </w:p>
    <w:tbl>
      <w:tblPr>
        <w:tblW w:w="0" w:type="auto"/>
        <w:tblLook w:val="04A0" w:firstRow="1" w:lastRow="0" w:firstColumn="1" w:lastColumn="0" w:noHBand="0" w:noVBand="1"/>
      </w:tblPr>
      <w:tblGrid>
        <w:gridCol w:w="2871"/>
        <w:gridCol w:w="1602"/>
        <w:gridCol w:w="1600"/>
        <w:gridCol w:w="1614"/>
        <w:gridCol w:w="1601"/>
      </w:tblGrid>
      <w:tr w:rsidR="00083C3F">
        <w:tc>
          <w:tcPr>
            <w:tcW w:w="2871" w:type="dxa"/>
          </w:tcPr>
          <w:p w:rsidR="00083C3F" w:rsidRDefault="00083C3F">
            <w:pPr>
              <w:pStyle w:val="NormalWeb"/>
              <w:jc w:val="both"/>
              <w:rPr>
                <w:noProof/>
                <w:sz w:val="20"/>
              </w:rPr>
            </w:pPr>
          </w:p>
        </w:tc>
        <w:tc>
          <w:tcPr>
            <w:tcW w:w="1602" w:type="dxa"/>
          </w:tcPr>
          <w:p w:rsidR="00083C3F" w:rsidRDefault="00E1215B">
            <w:pPr>
              <w:pStyle w:val="NormalWeb"/>
              <w:jc w:val="center"/>
              <w:rPr>
                <w:noProof/>
                <w:sz w:val="20"/>
              </w:rPr>
            </w:pPr>
            <w:r>
              <w:rPr>
                <w:noProof/>
                <w:sz w:val="20"/>
              </w:rPr>
              <w:t>Micro %</w:t>
            </w:r>
          </w:p>
        </w:tc>
        <w:tc>
          <w:tcPr>
            <w:tcW w:w="1600" w:type="dxa"/>
          </w:tcPr>
          <w:p w:rsidR="00083C3F" w:rsidRDefault="00E1215B">
            <w:pPr>
              <w:pStyle w:val="NormalWeb"/>
              <w:jc w:val="center"/>
              <w:rPr>
                <w:noProof/>
                <w:sz w:val="20"/>
              </w:rPr>
            </w:pPr>
            <w:r>
              <w:rPr>
                <w:noProof/>
                <w:sz w:val="20"/>
              </w:rPr>
              <w:t>Small %</w:t>
            </w:r>
          </w:p>
        </w:tc>
        <w:tc>
          <w:tcPr>
            <w:tcW w:w="1614" w:type="dxa"/>
          </w:tcPr>
          <w:p w:rsidR="00083C3F" w:rsidRDefault="00E1215B">
            <w:pPr>
              <w:pStyle w:val="NormalWeb"/>
              <w:jc w:val="center"/>
              <w:rPr>
                <w:noProof/>
                <w:sz w:val="20"/>
              </w:rPr>
            </w:pPr>
            <w:r>
              <w:rPr>
                <w:noProof/>
                <w:sz w:val="20"/>
              </w:rPr>
              <w:t>Medium %</w:t>
            </w:r>
          </w:p>
        </w:tc>
        <w:tc>
          <w:tcPr>
            <w:tcW w:w="1601" w:type="dxa"/>
          </w:tcPr>
          <w:p w:rsidR="00083C3F" w:rsidRDefault="00E1215B">
            <w:pPr>
              <w:pStyle w:val="NormalWeb"/>
              <w:jc w:val="center"/>
              <w:rPr>
                <w:noProof/>
                <w:sz w:val="20"/>
              </w:rPr>
            </w:pPr>
            <w:r>
              <w:rPr>
                <w:noProof/>
                <w:sz w:val="20"/>
              </w:rPr>
              <w:t>Large %</w:t>
            </w:r>
          </w:p>
        </w:tc>
      </w:tr>
      <w:tr w:rsidR="00083C3F">
        <w:tc>
          <w:tcPr>
            <w:tcW w:w="2871" w:type="dxa"/>
          </w:tcPr>
          <w:p w:rsidR="00083C3F" w:rsidRDefault="00E1215B">
            <w:pPr>
              <w:pStyle w:val="NormalWeb"/>
              <w:jc w:val="both"/>
              <w:rPr>
                <w:noProof/>
                <w:sz w:val="20"/>
              </w:rPr>
            </w:pPr>
            <w:r>
              <w:rPr>
                <w:noProof/>
                <w:sz w:val="20"/>
              </w:rPr>
              <w:t>Retained earnings</w:t>
            </w:r>
          </w:p>
        </w:tc>
        <w:tc>
          <w:tcPr>
            <w:tcW w:w="1602" w:type="dxa"/>
          </w:tcPr>
          <w:p w:rsidR="00083C3F" w:rsidRDefault="00E1215B">
            <w:pPr>
              <w:pStyle w:val="NormalWeb"/>
              <w:jc w:val="center"/>
              <w:rPr>
                <w:noProof/>
                <w:sz w:val="20"/>
              </w:rPr>
            </w:pPr>
            <w:r>
              <w:rPr>
                <w:noProof/>
                <w:sz w:val="20"/>
              </w:rPr>
              <w:t>24</w:t>
            </w:r>
          </w:p>
        </w:tc>
        <w:tc>
          <w:tcPr>
            <w:tcW w:w="1600" w:type="dxa"/>
          </w:tcPr>
          <w:p w:rsidR="00083C3F" w:rsidRDefault="00E1215B">
            <w:pPr>
              <w:pStyle w:val="NormalWeb"/>
              <w:jc w:val="center"/>
              <w:rPr>
                <w:noProof/>
                <w:sz w:val="20"/>
              </w:rPr>
            </w:pPr>
            <w:r>
              <w:rPr>
                <w:noProof/>
                <w:sz w:val="20"/>
              </w:rPr>
              <w:t>30</w:t>
            </w:r>
          </w:p>
        </w:tc>
        <w:tc>
          <w:tcPr>
            <w:tcW w:w="1614" w:type="dxa"/>
          </w:tcPr>
          <w:p w:rsidR="00083C3F" w:rsidRDefault="00E1215B">
            <w:pPr>
              <w:pStyle w:val="NormalWeb"/>
              <w:jc w:val="center"/>
              <w:rPr>
                <w:noProof/>
                <w:sz w:val="20"/>
              </w:rPr>
            </w:pPr>
            <w:r>
              <w:rPr>
                <w:noProof/>
                <w:sz w:val="20"/>
              </w:rPr>
              <w:t>38</w:t>
            </w:r>
          </w:p>
        </w:tc>
        <w:tc>
          <w:tcPr>
            <w:tcW w:w="1601" w:type="dxa"/>
          </w:tcPr>
          <w:p w:rsidR="00083C3F" w:rsidRDefault="00E1215B">
            <w:pPr>
              <w:pStyle w:val="NormalWeb"/>
              <w:jc w:val="center"/>
              <w:rPr>
                <w:noProof/>
                <w:sz w:val="20"/>
              </w:rPr>
            </w:pPr>
            <w:r>
              <w:rPr>
                <w:noProof/>
                <w:sz w:val="20"/>
              </w:rPr>
              <w:t>46</w:t>
            </w:r>
          </w:p>
        </w:tc>
      </w:tr>
      <w:tr w:rsidR="00083C3F">
        <w:tc>
          <w:tcPr>
            <w:tcW w:w="2871" w:type="dxa"/>
          </w:tcPr>
          <w:p w:rsidR="00083C3F" w:rsidRDefault="00E1215B">
            <w:pPr>
              <w:pStyle w:val="NormalWeb"/>
              <w:jc w:val="both"/>
              <w:rPr>
                <w:noProof/>
                <w:sz w:val="20"/>
              </w:rPr>
            </w:pPr>
            <w:r>
              <w:rPr>
                <w:noProof/>
                <w:sz w:val="20"/>
              </w:rPr>
              <w:t>Grants/subsidised loans</w:t>
            </w:r>
          </w:p>
        </w:tc>
        <w:tc>
          <w:tcPr>
            <w:tcW w:w="1602" w:type="dxa"/>
          </w:tcPr>
          <w:p w:rsidR="00083C3F" w:rsidRDefault="00E1215B">
            <w:pPr>
              <w:pStyle w:val="NormalWeb"/>
              <w:jc w:val="center"/>
              <w:rPr>
                <w:noProof/>
                <w:sz w:val="20"/>
              </w:rPr>
            </w:pPr>
            <w:r>
              <w:rPr>
                <w:noProof/>
                <w:sz w:val="20"/>
              </w:rPr>
              <w:t>12</w:t>
            </w:r>
          </w:p>
        </w:tc>
        <w:tc>
          <w:tcPr>
            <w:tcW w:w="1600" w:type="dxa"/>
          </w:tcPr>
          <w:p w:rsidR="00083C3F" w:rsidRDefault="00E1215B">
            <w:pPr>
              <w:pStyle w:val="NormalWeb"/>
              <w:jc w:val="center"/>
              <w:rPr>
                <w:noProof/>
                <w:sz w:val="20"/>
              </w:rPr>
            </w:pPr>
            <w:r>
              <w:rPr>
                <w:noProof/>
                <w:sz w:val="20"/>
              </w:rPr>
              <w:t>16</w:t>
            </w:r>
          </w:p>
        </w:tc>
        <w:tc>
          <w:tcPr>
            <w:tcW w:w="1614" w:type="dxa"/>
          </w:tcPr>
          <w:p w:rsidR="00083C3F" w:rsidRDefault="00E1215B">
            <w:pPr>
              <w:pStyle w:val="NormalWeb"/>
              <w:jc w:val="center"/>
              <w:rPr>
                <w:noProof/>
                <w:sz w:val="20"/>
              </w:rPr>
            </w:pPr>
            <w:r>
              <w:rPr>
                <w:noProof/>
                <w:sz w:val="20"/>
              </w:rPr>
              <w:t>20</w:t>
            </w:r>
          </w:p>
        </w:tc>
        <w:tc>
          <w:tcPr>
            <w:tcW w:w="1601" w:type="dxa"/>
          </w:tcPr>
          <w:p w:rsidR="00083C3F" w:rsidRDefault="00E1215B">
            <w:pPr>
              <w:pStyle w:val="NormalWeb"/>
              <w:jc w:val="center"/>
              <w:rPr>
                <w:noProof/>
                <w:sz w:val="20"/>
              </w:rPr>
            </w:pPr>
            <w:r>
              <w:rPr>
                <w:noProof/>
                <w:sz w:val="20"/>
              </w:rPr>
              <w:t>22</w:t>
            </w:r>
          </w:p>
        </w:tc>
      </w:tr>
      <w:tr w:rsidR="00083C3F">
        <w:tc>
          <w:tcPr>
            <w:tcW w:w="2871" w:type="dxa"/>
          </w:tcPr>
          <w:p w:rsidR="00083C3F" w:rsidRDefault="00E1215B">
            <w:pPr>
              <w:pStyle w:val="NormalWeb"/>
              <w:jc w:val="both"/>
              <w:rPr>
                <w:noProof/>
                <w:sz w:val="20"/>
              </w:rPr>
            </w:pPr>
            <w:r>
              <w:rPr>
                <w:noProof/>
                <w:sz w:val="20"/>
              </w:rPr>
              <w:t xml:space="preserve">Banks </w:t>
            </w:r>
            <w:r>
              <w:rPr>
                <w:noProof/>
                <w:sz w:val="20"/>
              </w:rPr>
              <w:t>overdrafts</w:t>
            </w:r>
          </w:p>
        </w:tc>
        <w:tc>
          <w:tcPr>
            <w:tcW w:w="1602" w:type="dxa"/>
          </w:tcPr>
          <w:p w:rsidR="00083C3F" w:rsidRDefault="00E1215B">
            <w:pPr>
              <w:pStyle w:val="NormalWeb"/>
              <w:jc w:val="center"/>
              <w:rPr>
                <w:noProof/>
                <w:sz w:val="20"/>
              </w:rPr>
            </w:pPr>
            <w:r>
              <w:rPr>
                <w:noProof/>
                <w:sz w:val="20"/>
              </w:rPr>
              <w:t>38</w:t>
            </w:r>
          </w:p>
        </w:tc>
        <w:tc>
          <w:tcPr>
            <w:tcW w:w="1600" w:type="dxa"/>
          </w:tcPr>
          <w:p w:rsidR="00083C3F" w:rsidRDefault="00E1215B">
            <w:pPr>
              <w:pStyle w:val="NormalWeb"/>
              <w:jc w:val="center"/>
              <w:rPr>
                <w:noProof/>
                <w:sz w:val="20"/>
              </w:rPr>
            </w:pPr>
            <w:r>
              <w:rPr>
                <w:noProof/>
                <w:sz w:val="20"/>
              </w:rPr>
              <w:t>43</w:t>
            </w:r>
          </w:p>
        </w:tc>
        <w:tc>
          <w:tcPr>
            <w:tcW w:w="1614" w:type="dxa"/>
          </w:tcPr>
          <w:p w:rsidR="00083C3F" w:rsidRDefault="00E1215B">
            <w:pPr>
              <w:pStyle w:val="NormalWeb"/>
              <w:jc w:val="center"/>
              <w:rPr>
                <w:noProof/>
                <w:sz w:val="20"/>
              </w:rPr>
            </w:pPr>
            <w:r>
              <w:rPr>
                <w:noProof/>
                <w:sz w:val="20"/>
              </w:rPr>
              <w:t>40</w:t>
            </w:r>
          </w:p>
        </w:tc>
        <w:tc>
          <w:tcPr>
            <w:tcW w:w="1601" w:type="dxa"/>
          </w:tcPr>
          <w:p w:rsidR="00083C3F" w:rsidRDefault="00E1215B">
            <w:pPr>
              <w:pStyle w:val="NormalWeb"/>
              <w:jc w:val="center"/>
              <w:rPr>
                <w:noProof/>
                <w:sz w:val="20"/>
              </w:rPr>
            </w:pPr>
            <w:r>
              <w:rPr>
                <w:noProof/>
                <w:sz w:val="20"/>
              </w:rPr>
              <w:t>42</w:t>
            </w:r>
          </w:p>
        </w:tc>
      </w:tr>
      <w:tr w:rsidR="00083C3F">
        <w:tc>
          <w:tcPr>
            <w:tcW w:w="2871" w:type="dxa"/>
          </w:tcPr>
          <w:p w:rsidR="00083C3F" w:rsidRDefault="00E1215B">
            <w:pPr>
              <w:pStyle w:val="NormalWeb"/>
              <w:jc w:val="both"/>
              <w:rPr>
                <w:noProof/>
                <w:sz w:val="20"/>
              </w:rPr>
            </w:pPr>
            <w:r>
              <w:rPr>
                <w:noProof/>
                <w:sz w:val="20"/>
              </w:rPr>
              <w:t>Bank loans</w:t>
            </w:r>
          </w:p>
        </w:tc>
        <w:tc>
          <w:tcPr>
            <w:tcW w:w="1602" w:type="dxa"/>
          </w:tcPr>
          <w:p w:rsidR="00083C3F" w:rsidRDefault="00E1215B">
            <w:pPr>
              <w:pStyle w:val="NormalWeb"/>
              <w:jc w:val="center"/>
              <w:rPr>
                <w:noProof/>
                <w:sz w:val="20"/>
              </w:rPr>
            </w:pPr>
            <w:r>
              <w:rPr>
                <w:noProof/>
                <w:sz w:val="20"/>
              </w:rPr>
              <w:t>28</w:t>
            </w:r>
          </w:p>
        </w:tc>
        <w:tc>
          <w:tcPr>
            <w:tcW w:w="1600" w:type="dxa"/>
          </w:tcPr>
          <w:p w:rsidR="00083C3F" w:rsidRDefault="00E1215B">
            <w:pPr>
              <w:pStyle w:val="NormalWeb"/>
              <w:jc w:val="center"/>
              <w:rPr>
                <w:noProof/>
                <w:sz w:val="20"/>
              </w:rPr>
            </w:pPr>
            <w:r>
              <w:rPr>
                <w:noProof/>
                <w:sz w:val="20"/>
              </w:rPr>
              <w:t>39</w:t>
            </w:r>
          </w:p>
        </w:tc>
        <w:tc>
          <w:tcPr>
            <w:tcW w:w="1614" w:type="dxa"/>
          </w:tcPr>
          <w:p w:rsidR="00083C3F" w:rsidRDefault="00E1215B">
            <w:pPr>
              <w:pStyle w:val="NormalWeb"/>
              <w:jc w:val="center"/>
              <w:rPr>
                <w:noProof/>
                <w:sz w:val="20"/>
              </w:rPr>
            </w:pPr>
            <w:r>
              <w:rPr>
                <w:noProof/>
                <w:sz w:val="20"/>
              </w:rPr>
              <w:t>43</w:t>
            </w:r>
          </w:p>
        </w:tc>
        <w:tc>
          <w:tcPr>
            <w:tcW w:w="1601" w:type="dxa"/>
          </w:tcPr>
          <w:p w:rsidR="00083C3F" w:rsidRDefault="00E1215B">
            <w:pPr>
              <w:pStyle w:val="NormalWeb"/>
              <w:jc w:val="center"/>
              <w:rPr>
                <w:noProof/>
                <w:sz w:val="20"/>
              </w:rPr>
            </w:pPr>
            <w:r>
              <w:rPr>
                <w:noProof/>
                <w:sz w:val="20"/>
              </w:rPr>
              <w:t>48</w:t>
            </w:r>
          </w:p>
        </w:tc>
      </w:tr>
      <w:tr w:rsidR="00083C3F">
        <w:tc>
          <w:tcPr>
            <w:tcW w:w="2871" w:type="dxa"/>
          </w:tcPr>
          <w:p w:rsidR="00083C3F" w:rsidRDefault="00E1215B">
            <w:pPr>
              <w:pStyle w:val="NormalWeb"/>
              <w:jc w:val="both"/>
              <w:rPr>
                <w:noProof/>
                <w:sz w:val="20"/>
              </w:rPr>
            </w:pPr>
            <w:r>
              <w:rPr>
                <w:noProof/>
                <w:sz w:val="20"/>
              </w:rPr>
              <w:t>Trade credit</w:t>
            </w:r>
          </w:p>
        </w:tc>
        <w:tc>
          <w:tcPr>
            <w:tcW w:w="1602" w:type="dxa"/>
          </w:tcPr>
          <w:p w:rsidR="00083C3F" w:rsidRDefault="00E1215B">
            <w:pPr>
              <w:pStyle w:val="NormalWeb"/>
              <w:jc w:val="center"/>
              <w:rPr>
                <w:noProof/>
                <w:sz w:val="20"/>
              </w:rPr>
            </w:pPr>
            <w:r>
              <w:rPr>
                <w:noProof/>
                <w:sz w:val="20"/>
              </w:rPr>
              <w:t>26</w:t>
            </w:r>
          </w:p>
        </w:tc>
        <w:tc>
          <w:tcPr>
            <w:tcW w:w="1600" w:type="dxa"/>
          </w:tcPr>
          <w:p w:rsidR="00083C3F" w:rsidRDefault="00E1215B">
            <w:pPr>
              <w:pStyle w:val="NormalWeb"/>
              <w:jc w:val="center"/>
              <w:rPr>
                <w:noProof/>
                <w:sz w:val="20"/>
              </w:rPr>
            </w:pPr>
            <w:r>
              <w:rPr>
                <w:noProof/>
                <w:sz w:val="20"/>
              </w:rPr>
              <w:t>30</w:t>
            </w:r>
          </w:p>
        </w:tc>
        <w:tc>
          <w:tcPr>
            <w:tcW w:w="1614" w:type="dxa"/>
          </w:tcPr>
          <w:p w:rsidR="00083C3F" w:rsidRDefault="00E1215B">
            <w:pPr>
              <w:pStyle w:val="NormalWeb"/>
              <w:jc w:val="center"/>
              <w:rPr>
                <w:noProof/>
                <w:sz w:val="20"/>
              </w:rPr>
            </w:pPr>
            <w:r>
              <w:rPr>
                <w:noProof/>
                <w:sz w:val="20"/>
              </w:rPr>
              <w:t>35</w:t>
            </w:r>
          </w:p>
        </w:tc>
        <w:tc>
          <w:tcPr>
            <w:tcW w:w="1601" w:type="dxa"/>
          </w:tcPr>
          <w:p w:rsidR="00083C3F" w:rsidRDefault="00E1215B">
            <w:pPr>
              <w:pStyle w:val="NormalWeb"/>
              <w:jc w:val="center"/>
              <w:rPr>
                <w:noProof/>
                <w:sz w:val="20"/>
              </w:rPr>
            </w:pPr>
            <w:r>
              <w:rPr>
                <w:noProof/>
                <w:sz w:val="20"/>
              </w:rPr>
              <w:t>38</w:t>
            </w:r>
          </w:p>
        </w:tc>
      </w:tr>
      <w:tr w:rsidR="00083C3F">
        <w:tc>
          <w:tcPr>
            <w:tcW w:w="2871" w:type="dxa"/>
          </w:tcPr>
          <w:p w:rsidR="00083C3F" w:rsidRDefault="00E1215B">
            <w:pPr>
              <w:pStyle w:val="NormalWeb"/>
              <w:jc w:val="both"/>
              <w:rPr>
                <w:noProof/>
                <w:sz w:val="20"/>
              </w:rPr>
            </w:pPr>
            <w:r>
              <w:rPr>
                <w:noProof/>
                <w:sz w:val="20"/>
              </w:rPr>
              <w:t>Other loans</w:t>
            </w:r>
          </w:p>
        </w:tc>
        <w:tc>
          <w:tcPr>
            <w:tcW w:w="1602" w:type="dxa"/>
          </w:tcPr>
          <w:p w:rsidR="00083C3F" w:rsidRDefault="00E1215B">
            <w:pPr>
              <w:pStyle w:val="NormalWeb"/>
              <w:jc w:val="center"/>
              <w:rPr>
                <w:noProof/>
                <w:sz w:val="20"/>
              </w:rPr>
            </w:pPr>
            <w:r>
              <w:rPr>
                <w:noProof/>
                <w:sz w:val="20"/>
              </w:rPr>
              <w:t>9</w:t>
            </w:r>
          </w:p>
        </w:tc>
        <w:tc>
          <w:tcPr>
            <w:tcW w:w="1600" w:type="dxa"/>
          </w:tcPr>
          <w:p w:rsidR="00083C3F" w:rsidRDefault="00E1215B">
            <w:pPr>
              <w:pStyle w:val="NormalWeb"/>
              <w:jc w:val="center"/>
              <w:rPr>
                <w:noProof/>
                <w:sz w:val="20"/>
              </w:rPr>
            </w:pPr>
            <w:r>
              <w:rPr>
                <w:noProof/>
                <w:sz w:val="20"/>
              </w:rPr>
              <w:t>12</w:t>
            </w:r>
          </w:p>
        </w:tc>
        <w:tc>
          <w:tcPr>
            <w:tcW w:w="1614" w:type="dxa"/>
          </w:tcPr>
          <w:p w:rsidR="00083C3F" w:rsidRDefault="00E1215B">
            <w:pPr>
              <w:pStyle w:val="NormalWeb"/>
              <w:jc w:val="center"/>
              <w:rPr>
                <w:noProof/>
                <w:sz w:val="20"/>
              </w:rPr>
            </w:pPr>
            <w:r>
              <w:rPr>
                <w:noProof/>
                <w:sz w:val="20"/>
              </w:rPr>
              <w:t>19</w:t>
            </w:r>
          </w:p>
        </w:tc>
        <w:tc>
          <w:tcPr>
            <w:tcW w:w="1601" w:type="dxa"/>
          </w:tcPr>
          <w:p w:rsidR="00083C3F" w:rsidRDefault="00E1215B">
            <w:pPr>
              <w:pStyle w:val="NormalWeb"/>
              <w:jc w:val="center"/>
              <w:rPr>
                <w:noProof/>
                <w:sz w:val="20"/>
              </w:rPr>
            </w:pPr>
            <w:r>
              <w:rPr>
                <w:noProof/>
                <w:sz w:val="20"/>
              </w:rPr>
              <w:t>28</w:t>
            </w:r>
          </w:p>
        </w:tc>
      </w:tr>
      <w:tr w:rsidR="00083C3F">
        <w:tc>
          <w:tcPr>
            <w:tcW w:w="2871" w:type="dxa"/>
          </w:tcPr>
          <w:p w:rsidR="00083C3F" w:rsidRDefault="00E1215B">
            <w:pPr>
              <w:pStyle w:val="NormalWeb"/>
              <w:jc w:val="both"/>
              <w:rPr>
                <w:noProof/>
                <w:sz w:val="20"/>
              </w:rPr>
            </w:pPr>
            <w:r>
              <w:rPr>
                <w:noProof/>
                <w:sz w:val="20"/>
              </w:rPr>
              <w:t>Leasing</w:t>
            </w:r>
          </w:p>
        </w:tc>
        <w:tc>
          <w:tcPr>
            <w:tcW w:w="1602" w:type="dxa"/>
          </w:tcPr>
          <w:p w:rsidR="00083C3F" w:rsidRDefault="00E1215B">
            <w:pPr>
              <w:pStyle w:val="NormalWeb"/>
              <w:jc w:val="center"/>
              <w:rPr>
                <w:noProof/>
                <w:sz w:val="20"/>
              </w:rPr>
            </w:pPr>
            <w:r>
              <w:rPr>
                <w:noProof/>
                <w:sz w:val="20"/>
              </w:rPr>
              <w:t>19</w:t>
            </w:r>
          </w:p>
        </w:tc>
        <w:tc>
          <w:tcPr>
            <w:tcW w:w="1600" w:type="dxa"/>
          </w:tcPr>
          <w:p w:rsidR="00083C3F" w:rsidRDefault="00E1215B">
            <w:pPr>
              <w:pStyle w:val="NormalWeb"/>
              <w:jc w:val="center"/>
              <w:rPr>
                <w:noProof/>
                <w:sz w:val="20"/>
              </w:rPr>
            </w:pPr>
            <w:r>
              <w:rPr>
                <w:noProof/>
                <w:sz w:val="20"/>
              </w:rPr>
              <w:t>40</w:t>
            </w:r>
          </w:p>
        </w:tc>
        <w:tc>
          <w:tcPr>
            <w:tcW w:w="1614" w:type="dxa"/>
          </w:tcPr>
          <w:p w:rsidR="00083C3F" w:rsidRDefault="00E1215B">
            <w:pPr>
              <w:pStyle w:val="NormalWeb"/>
              <w:jc w:val="center"/>
              <w:rPr>
                <w:noProof/>
                <w:sz w:val="20"/>
              </w:rPr>
            </w:pPr>
            <w:r>
              <w:rPr>
                <w:noProof/>
                <w:sz w:val="20"/>
              </w:rPr>
              <w:t>50</w:t>
            </w:r>
          </w:p>
        </w:tc>
        <w:tc>
          <w:tcPr>
            <w:tcW w:w="1601" w:type="dxa"/>
          </w:tcPr>
          <w:p w:rsidR="00083C3F" w:rsidRDefault="00E1215B">
            <w:pPr>
              <w:pStyle w:val="NormalWeb"/>
              <w:jc w:val="center"/>
              <w:rPr>
                <w:noProof/>
                <w:sz w:val="20"/>
              </w:rPr>
            </w:pPr>
            <w:r>
              <w:rPr>
                <w:noProof/>
                <w:sz w:val="20"/>
              </w:rPr>
              <w:t>56</w:t>
            </w:r>
          </w:p>
        </w:tc>
      </w:tr>
      <w:tr w:rsidR="00083C3F">
        <w:tc>
          <w:tcPr>
            <w:tcW w:w="2871" w:type="dxa"/>
          </w:tcPr>
          <w:p w:rsidR="00083C3F" w:rsidRDefault="00E1215B">
            <w:pPr>
              <w:pStyle w:val="NormalWeb"/>
              <w:jc w:val="both"/>
              <w:rPr>
                <w:noProof/>
                <w:sz w:val="20"/>
              </w:rPr>
            </w:pPr>
            <w:r>
              <w:rPr>
                <w:noProof/>
                <w:sz w:val="20"/>
              </w:rPr>
              <w:t>Debt securities</w:t>
            </w:r>
          </w:p>
        </w:tc>
        <w:tc>
          <w:tcPr>
            <w:tcW w:w="1602" w:type="dxa"/>
          </w:tcPr>
          <w:p w:rsidR="00083C3F" w:rsidRDefault="00E1215B">
            <w:pPr>
              <w:pStyle w:val="NormalWeb"/>
              <w:jc w:val="center"/>
              <w:rPr>
                <w:noProof/>
                <w:sz w:val="20"/>
              </w:rPr>
            </w:pPr>
            <w:r>
              <w:rPr>
                <w:noProof/>
                <w:sz w:val="20"/>
              </w:rPr>
              <w:t>1</w:t>
            </w:r>
          </w:p>
        </w:tc>
        <w:tc>
          <w:tcPr>
            <w:tcW w:w="1600" w:type="dxa"/>
          </w:tcPr>
          <w:p w:rsidR="00083C3F" w:rsidRDefault="00E1215B">
            <w:pPr>
              <w:pStyle w:val="NormalWeb"/>
              <w:jc w:val="center"/>
              <w:rPr>
                <w:noProof/>
                <w:sz w:val="20"/>
              </w:rPr>
            </w:pPr>
            <w:r>
              <w:rPr>
                <w:noProof/>
                <w:sz w:val="20"/>
              </w:rPr>
              <w:t>1</w:t>
            </w:r>
          </w:p>
        </w:tc>
        <w:tc>
          <w:tcPr>
            <w:tcW w:w="1614" w:type="dxa"/>
          </w:tcPr>
          <w:p w:rsidR="00083C3F" w:rsidRDefault="00E1215B">
            <w:pPr>
              <w:pStyle w:val="NormalWeb"/>
              <w:jc w:val="center"/>
              <w:rPr>
                <w:noProof/>
                <w:sz w:val="20"/>
              </w:rPr>
            </w:pPr>
            <w:r>
              <w:rPr>
                <w:noProof/>
                <w:sz w:val="20"/>
              </w:rPr>
              <w:t>1</w:t>
            </w:r>
          </w:p>
        </w:tc>
        <w:tc>
          <w:tcPr>
            <w:tcW w:w="1601" w:type="dxa"/>
          </w:tcPr>
          <w:p w:rsidR="00083C3F" w:rsidRDefault="00E1215B">
            <w:pPr>
              <w:pStyle w:val="NormalWeb"/>
              <w:jc w:val="center"/>
              <w:rPr>
                <w:noProof/>
                <w:sz w:val="20"/>
              </w:rPr>
            </w:pPr>
            <w:r>
              <w:rPr>
                <w:noProof/>
                <w:sz w:val="20"/>
              </w:rPr>
              <w:t>4</w:t>
            </w:r>
          </w:p>
        </w:tc>
      </w:tr>
      <w:tr w:rsidR="00083C3F">
        <w:tc>
          <w:tcPr>
            <w:tcW w:w="2871" w:type="dxa"/>
          </w:tcPr>
          <w:p w:rsidR="00083C3F" w:rsidRDefault="00E1215B">
            <w:pPr>
              <w:pStyle w:val="NormalWeb"/>
              <w:jc w:val="both"/>
              <w:rPr>
                <w:noProof/>
                <w:sz w:val="20"/>
              </w:rPr>
            </w:pPr>
            <w:r>
              <w:rPr>
                <w:noProof/>
                <w:sz w:val="20"/>
              </w:rPr>
              <w:t>Mezzanine</w:t>
            </w:r>
          </w:p>
        </w:tc>
        <w:tc>
          <w:tcPr>
            <w:tcW w:w="1602" w:type="dxa"/>
          </w:tcPr>
          <w:p w:rsidR="00083C3F" w:rsidRDefault="00E1215B">
            <w:pPr>
              <w:pStyle w:val="NormalWeb"/>
              <w:jc w:val="center"/>
              <w:rPr>
                <w:noProof/>
                <w:sz w:val="20"/>
              </w:rPr>
            </w:pPr>
            <w:r>
              <w:rPr>
                <w:noProof/>
                <w:sz w:val="20"/>
              </w:rPr>
              <w:t>1</w:t>
            </w:r>
          </w:p>
        </w:tc>
        <w:tc>
          <w:tcPr>
            <w:tcW w:w="1600" w:type="dxa"/>
          </w:tcPr>
          <w:p w:rsidR="00083C3F" w:rsidRDefault="00E1215B">
            <w:pPr>
              <w:pStyle w:val="NormalWeb"/>
              <w:jc w:val="center"/>
              <w:rPr>
                <w:noProof/>
                <w:sz w:val="20"/>
              </w:rPr>
            </w:pPr>
            <w:r>
              <w:rPr>
                <w:noProof/>
                <w:sz w:val="20"/>
              </w:rPr>
              <w:t>2</w:t>
            </w:r>
          </w:p>
        </w:tc>
        <w:tc>
          <w:tcPr>
            <w:tcW w:w="1614" w:type="dxa"/>
          </w:tcPr>
          <w:p w:rsidR="00083C3F" w:rsidRDefault="00E1215B">
            <w:pPr>
              <w:pStyle w:val="NormalWeb"/>
              <w:jc w:val="center"/>
              <w:rPr>
                <w:noProof/>
                <w:sz w:val="20"/>
              </w:rPr>
            </w:pPr>
            <w:r>
              <w:rPr>
                <w:noProof/>
                <w:sz w:val="20"/>
              </w:rPr>
              <w:t>4</w:t>
            </w:r>
          </w:p>
        </w:tc>
        <w:tc>
          <w:tcPr>
            <w:tcW w:w="1601" w:type="dxa"/>
          </w:tcPr>
          <w:p w:rsidR="00083C3F" w:rsidRDefault="00E1215B">
            <w:pPr>
              <w:pStyle w:val="NormalWeb"/>
              <w:jc w:val="center"/>
              <w:rPr>
                <w:noProof/>
                <w:sz w:val="20"/>
              </w:rPr>
            </w:pPr>
            <w:r>
              <w:rPr>
                <w:noProof/>
                <w:sz w:val="20"/>
              </w:rPr>
              <w:t>6</w:t>
            </w:r>
          </w:p>
        </w:tc>
      </w:tr>
      <w:tr w:rsidR="00083C3F">
        <w:tc>
          <w:tcPr>
            <w:tcW w:w="2871" w:type="dxa"/>
          </w:tcPr>
          <w:p w:rsidR="00083C3F" w:rsidRDefault="00E1215B">
            <w:pPr>
              <w:pStyle w:val="NormalWeb"/>
              <w:jc w:val="both"/>
              <w:rPr>
                <w:noProof/>
                <w:sz w:val="20"/>
              </w:rPr>
            </w:pPr>
            <w:r>
              <w:rPr>
                <w:noProof/>
                <w:sz w:val="20"/>
              </w:rPr>
              <w:t>Equity</w:t>
            </w:r>
          </w:p>
        </w:tc>
        <w:tc>
          <w:tcPr>
            <w:tcW w:w="1602" w:type="dxa"/>
          </w:tcPr>
          <w:p w:rsidR="00083C3F" w:rsidRDefault="00E1215B">
            <w:pPr>
              <w:pStyle w:val="NormalWeb"/>
              <w:jc w:val="center"/>
              <w:rPr>
                <w:noProof/>
                <w:sz w:val="20"/>
              </w:rPr>
            </w:pPr>
            <w:r>
              <w:rPr>
                <w:noProof/>
                <w:sz w:val="20"/>
              </w:rPr>
              <w:t>4</w:t>
            </w:r>
          </w:p>
        </w:tc>
        <w:tc>
          <w:tcPr>
            <w:tcW w:w="1600" w:type="dxa"/>
          </w:tcPr>
          <w:p w:rsidR="00083C3F" w:rsidRDefault="00E1215B">
            <w:pPr>
              <w:pStyle w:val="NormalWeb"/>
              <w:jc w:val="center"/>
              <w:rPr>
                <w:noProof/>
                <w:sz w:val="20"/>
              </w:rPr>
            </w:pPr>
            <w:r>
              <w:rPr>
                <w:noProof/>
                <w:sz w:val="20"/>
              </w:rPr>
              <w:t>6</w:t>
            </w:r>
          </w:p>
        </w:tc>
        <w:tc>
          <w:tcPr>
            <w:tcW w:w="1614" w:type="dxa"/>
          </w:tcPr>
          <w:p w:rsidR="00083C3F" w:rsidRDefault="00E1215B">
            <w:pPr>
              <w:pStyle w:val="NormalWeb"/>
              <w:jc w:val="center"/>
              <w:rPr>
                <w:noProof/>
                <w:sz w:val="20"/>
              </w:rPr>
            </w:pPr>
            <w:r>
              <w:rPr>
                <w:noProof/>
                <w:sz w:val="20"/>
              </w:rPr>
              <w:t>8</w:t>
            </w:r>
          </w:p>
        </w:tc>
        <w:tc>
          <w:tcPr>
            <w:tcW w:w="1601" w:type="dxa"/>
          </w:tcPr>
          <w:p w:rsidR="00083C3F" w:rsidRDefault="00E1215B">
            <w:pPr>
              <w:pStyle w:val="NormalWeb"/>
              <w:jc w:val="center"/>
              <w:rPr>
                <w:noProof/>
                <w:sz w:val="20"/>
              </w:rPr>
            </w:pPr>
            <w:r>
              <w:rPr>
                <w:noProof/>
                <w:sz w:val="20"/>
              </w:rPr>
              <w:t>9</w:t>
            </w:r>
          </w:p>
        </w:tc>
      </w:tr>
    </w:tbl>
    <w:p w:rsidR="00083C3F" w:rsidRDefault="00E1215B">
      <w:pPr>
        <w:pStyle w:val="Source"/>
        <w:jc w:val="left"/>
        <w:rPr>
          <w:rStyle w:val="Strong"/>
          <w:rFonts w:cs="Times New Roman"/>
          <w:b w:val="0"/>
          <w:bCs w:val="0"/>
          <w:i w:val="0"/>
          <w:noProof/>
          <w:sz w:val="22"/>
        </w:rPr>
      </w:pPr>
      <w:r>
        <w:rPr>
          <w:rFonts w:cs="Times New Roman"/>
          <w:noProof/>
        </w:rPr>
        <w:t xml:space="preserve">Sources: ECB and European Commission Survey on the access to finance of </w:t>
      </w:r>
      <w:r>
        <w:rPr>
          <w:rFonts w:cs="Times New Roman"/>
          <w:noProof/>
        </w:rPr>
        <w:t>enterprises.</w:t>
      </w:r>
      <w:r>
        <w:rPr>
          <w:rFonts w:cs="Times New Roman"/>
          <w:noProof/>
        </w:rPr>
        <w:br/>
        <w:t>Note: More than one funding source possible.</w:t>
      </w:r>
    </w:p>
    <w:p w:rsidR="00083C3F" w:rsidRDefault="00E1215B">
      <w:pPr>
        <w:rPr>
          <w:noProof/>
        </w:rPr>
      </w:pPr>
      <w:r>
        <w:rPr>
          <w:noProof/>
        </w:rPr>
        <w:t>Insufficient </w:t>
      </w:r>
      <w:r>
        <w:rPr>
          <w:rStyle w:val="Strong"/>
          <w:b w:val="0"/>
          <w:noProof/>
        </w:rPr>
        <w:t xml:space="preserve">financial knowledge </w:t>
      </w:r>
      <w:r>
        <w:rPr>
          <w:noProof/>
        </w:rPr>
        <w:t>is an obstacle restricting SMEs' access to external funding. SMEs tend to lack general familiarity on how to finance their business and how to tap alternative source</w:t>
      </w:r>
      <w:r>
        <w:rPr>
          <w:noProof/>
        </w:rPr>
        <w:t>s of finance, including the relevant information to submit to potential investors or lenders. A 2016 British Business Bank survey shows an increase in awareness of peer-to-peer lending platforms amongst smaller businesses. For equity crowdfunding, the incr</w:t>
      </w:r>
      <w:r>
        <w:rPr>
          <w:noProof/>
        </w:rPr>
        <w:t>ease in awareness appears to have plateaued after several years of rapid growth. Awareness was higher amongst scale-ups compared to the start-up and stay-ahead groups. However, the gap between awareness of the existence of finance types and awareness of sp</w:t>
      </w:r>
      <w:r>
        <w:rPr>
          <w:noProof/>
        </w:rPr>
        <w:t xml:space="preserve">ecific providers (i.e. who to contact) is increasing. Although awareness of venture capital has increased to 64% in 2016, the results of the survey suggest that less than one in five smaller businesses can name a specific provider. Only a minority of SMEs </w:t>
      </w:r>
      <w:r>
        <w:rPr>
          <w:noProof/>
        </w:rPr>
        <w:t>(13%) reported using external advice when applying for finance in 2016 and this figure has fallen from previous years (around 19% in 2015). A Call for proposals on improving access by innovative SMEs to alternative forms of finance under Horizon 2020 has b</w:t>
      </w:r>
      <w:r>
        <w:rPr>
          <w:noProof/>
        </w:rPr>
        <w:t>een published on the Research Participant Portal of Directorate-General for Research and Innovation's Europa site</w:t>
      </w:r>
      <w:r>
        <w:rPr>
          <w:rStyle w:val="FootnoteReference"/>
          <w:noProof/>
        </w:rPr>
        <w:footnoteReference w:id="17"/>
      </w:r>
      <w:r>
        <w:rPr>
          <w:noProof/>
        </w:rPr>
        <w:t>.</w:t>
      </w:r>
    </w:p>
    <w:p w:rsidR="00083C3F" w:rsidRDefault="00E1215B">
      <w:pPr>
        <w:rPr>
          <w:noProof/>
        </w:rPr>
      </w:pPr>
      <w:r>
        <w:rPr>
          <w:noProof/>
        </w:rPr>
        <w:t>A lack of awareness about credit reports and credit history and their importance for funding purposes also restricts the external finance op</w:t>
      </w:r>
      <w:r>
        <w:rPr>
          <w:noProof/>
        </w:rPr>
        <w:t>tions. Many SMEs are not able to get their own credit history to justify funding. The lack of transparency on banks’ feedback to SMEs about their creditworthiness makes it even harder for SMEs to build their financial knowledge and, most importantly, for i</w:t>
      </w:r>
      <w:r>
        <w:rPr>
          <w:noProof/>
        </w:rPr>
        <w:t>nvestors to gather information on the risk profile of the company. Banks' feedback to borrowers varies in quality in Europe. The lack of verifiable information about SMEs restricts access to multiple market-based funding sources. Investors and lenders need</w:t>
      </w:r>
      <w:r>
        <w:rPr>
          <w:noProof/>
        </w:rPr>
        <w:t xml:space="preserve"> some level of verifiable information about a company and financial statements, as well as a firm's credit history and payment behaviour, are essential to assess the repayment capacity of an SME. Credit information services are also useful to assess the cr</w:t>
      </w:r>
      <w:r>
        <w:rPr>
          <w:noProof/>
        </w:rPr>
        <w:t>editworthiness of clients or suppliers. Credit institutions also share only partial data with other market participants (such as business registries, credit bureaus and business information and scoring firms) varying significantly across Member States. The</w:t>
      </w:r>
      <w:r>
        <w:rPr>
          <w:noProof/>
        </w:rPr>
        <w:t xml:space="preserve"> lack of standardised, verifiable and accessible credit information about SMEs represents a significant barrier for alternative finance providers to invest into European SMEs.  </w:t>
      </w:r>
    </w:p>
    <w:p w:rsidR="00083C3F" w:rsidRDefault="00E1215B">
      <w:pPr>
        <w:rPr>
          <w:noProof/>
          <w:sz w:val="20"/>
        </w:rPr>
      </w:pPr>
      <w:r>
        <w:rPr>
          <w:noProof/>
        </w:rPr>
        <w:t>This funding gap is further widened by the general constraints on access to fi</w:t>
      </w:r>
      <w:r>
        <w:rPr>
          <w:noProof/>
        </w:rPr>
        <w:t>nance for SMEs in Europe. The 2016 ECB SAFE survey states that SMEs continued to signal improvements in the availability of external sources of finance and that banks show increased willingness to provide credit at lower interest rates facilitating further</w:t>
      </w:r>
      <w:r>
        <w:rPr>
          <w:noProof/>
        </w:rPr>
        <w:t xml:space="preserve"> access to bank financing for SMEs. However, there is still significant divergence across countries regarding the difficulties in accessing external sources of finance. Some 24% of SMEs in Greece, 12% in Ireland and 11% in Italy, Portugal and the Netherlan</w:t>
      </w:r>
      <w:r>
        <w:rPr>
          <w:noProof/>
        </w:rPr>
        <w:t>ds, respectively, mentioned that access to finance was the most significant problem, compared with 7% of SMEs in Austria, 7% in Slovakia and 6% in Germany. While different productivity levels can justify some of these divergences, the results of the 2016 E</w:t>
      </w:r>
      <w:r>
        <w:rPr>
          <w:noProof/>
        </w:rPr>
        <w:t>uropean Commission's Innobarometer survey also confirm that access to funding is a key obstacle for spurring R&amp;D and the commercialisation of innovative products or services. It is also harder to access finance for firms operating in countries whose regula</w:t>
      </w:r>
      <w:r>
        <w:rPr>
          <w:noProof/>
        </w:rPr>
        <w:t>tory environment is considered risky, burdensome or overly expensive due to extensive bureaucracy. Access may be easier, instead, for firms that are able to resort to foreign capital markets, such as firms that are part of a multinational group. However, u</w:t>
      </w:r>
      <w:r>
        <w:rPr>
          <w:noProof/>
        </w:rPr>
        <w:t xml:space="preserve">nlike large corporations, small companies have very limited access to foreign capital markets. </w:t>
      </w:r>
    </w:p>
    <w:p w:rsidR="00083C3F" w:rsidRDefault="00E1215B">
      <w:pPr>
        <w:pStyle w:val="Heading2"/>
        <w:rPr>
          <w:noProof/>
        </w:rPr>
      </w:pPr>
      <w:bookmarkStart w:id="82" w:name="_Toc481140369"/>
      <w:bookmarkStart w:id="83" w:name="_Toc482710943"/>
      <w:bookmarkStart w:id="84" w:name="_Toc482715265"/>
      <w:r>
        <w:rPr>
          <w:noProof/>
        </w:rPr>
        <w:t>Characteristics of Europe's funding escalator</w:t>
      </w:r>
      <w:bookmarkEnd w:id="82"/>
      <w:bookmarkEnd w:id="83"/>
      <w:bookmarkEnd w:id="84"/>
    </w:p>
    <w:p w:rsidR="00083C3F" w:rsidRDefault="00E1215B">
      <w:pPr>
        <w:rPr>
          <w:noProof/>
        </w:rPr>
      </w:pPr>
      <w:r>
        <w:rPr>
          <w:noProof/>
        </w:rPr>
        <w:t>In the pre-IPO space, the level of information that is required for the fund provider changes with the degree of r</w:t>
      </w:r>
      <w:r>
        <w:rPr>
          <w:noProof/>
        </w:rPr>
        <w:t>isk concentration in funding. Business angels, venture capitalists and private equity funds, which rely on risk concentration, often operate with information mainly on the business idea and its development, exercising active control on the governance of th</w:t>
      </w:r>
      <w:r>
        <w:rPr>
          <w:noProof/>
        </w:rPr>
        <w:t>e firm. Private placement for mid-caps and crowdfunding, instead, relies much more on the information provided by the entrepreneur and there is limited expertise and possibility for the fund provider to have a strong influence on the governance of the firm</w:t>
      </w:r>
      <w:r>
        <w:rPr>
          <w:noProof/>
        </w:rPr>
        <w:t xml:space="preserve">. </w:t>
      </w:r>
    </w:p>
    <w:p w:rsidR="00083C3F" w:rsidRDefault="00E1215B">
      <w:pPr>
        <w:pStyle w:val="Heading3"/>
        <w:ind w:left="1004"/>
        <w:rPr>
          <w:noProof/>
        </w:rPr>
      </w:pPr>
      <w:bookmarkStart w:id="85" w:name="_Toc481140370"/>
      <w:bookmarkStart w:id="86" w:name="_Toc482710944"/>
      <w:bookmarkStart w:id="87" w:name="_Toc482715266"/>
      <w:r>
        <w:rPr>
          <w:noProof/>
        </w:rPr>
        <w:t>Funding with risk concentration</w:t>
      </w:r>
      <w:bookmarkEnd w:id="85"/>
      <w:bookmarkEnd w:id="86"/>
      <w:bookmarkEnd w:id="87"/>
    </w:p>
    <w:p w:rsidR="00083C3F" w:rsidRDefault="00E1215B">
      <w:pPr>
        <w:rPr>
          <w:noProof/>
        </w:rPr>
      </w:pPr>
      <w:r>
        <w:rPr>
          <w:noProof/>
        </w:rPr>
        <w:t>Venture investments are long-term investments in private, unlisted companies with the potential for growth. Investment is concentrated in one or few investors. In return for investment into the company, business angels, v</w:t>
      </w:r>
      <w:r>
        <w:rPr>
          <w:noProof/>
        </w:rPr>
        <w:t>enture capital and private equity funds receive equity stakes in the business and partner with management teams to support growth plans and make improvements to the business with the aim of increasing its value. The returns on investment are realised eithe</w:t>
      </w:r>
      <w:r>
        <w:rPr>
          <w:noProof/>
        </w:rPr>
        <w:t>r through a sale (or exit) of the business or through the distribution of the firm's profits. This kind of equity investments are typically made in less mature companies, like seed or start-up companies (especially for business angels and venture capitalis</w:t>
      </w:r>
      <w:r>
        <w:rPr>
          <w:noProof/>
        </w:rPr>
        <w:t>ts) and scale-up firms (mainly for venture capitalists and private equity funds). These market-based investments are often characterised by a high degree of proximity between the investor and the entrepreneur, as the investors often adopt a very hands-on r</w:t>
      </w:r>
      <w:r>
        <w:rPr>
          <w:noProof/>
        </w:rPr>
        <w:t xml:space="preserve">ole in the deals in which they invest, providing entrepreneurs with advice and contacts. </w:t>
      </w:r>
    </w:p>
    <w:p w:rsidR="00083C3F" w:rsidRDefault="00E1215B">
      <w:pPr>
        <w:pStyle w:val="Heading4"/>
        <w:rPr>
          <w:rFonts w:eastAsia="Times New Roman"/>
          <w:noProof/>
        </w:rPr>
      </w:pPr>
      <w:r>
        <w:rPr>
          <w:rFonts w:eastAsia="Times New Roman"/>
          <w:noProof/>
        </w:rPr>
        <w:t>Business angel investment</w:t>
      </w:r>
    </w:p>
    <w:p w:rsidR="00083C3F" w:rsidRDefault="00E1215B">
      <w:pPr>
        <w:rPr>
          <w:noProof/>
        </w:rPr>
      </w:pPr>
      <w:r>
        <w:rPr>
          <w:rStyle w:val="Strong"/>
          <w:b w:val="0"/>
          <w:noProof/>
        </w:rPr>
        <w:t>'Business angels'</w:t>
      </w:r>
      <w:r>
        <w:rPr>
          <w:noProof/>
        </w:rPr>
        <w:t xml:space="preserve"> are private individuals that provide financial support and often operational counsel mainly to start-ups, without relying </w:t>
      </w:r>
      <w:r>
        <w:rPr>
          <w:noProof/>
        </w:rPr>
        <w:t>on financial intermediaries. With their know-how, capital and contacts, business angels provide support throughout the growing phase of the company they invest in. Kerr et al (2011)</w:t>
      </w:r>
      <w:r>
        <w:rPr>
          <w:rStyle w:val="Strong"/>
          <w:noProof/>
        </w:rPr>
        <w:t> </w:t>
      </w:r>
      <w:r>
        <w:rPr>
          <w:noProof/>
        </w:rPr>
        <w:t>suggest that ventures funded by successful angel groups experience superio</w:t>
      </w:r>
      <w:r>
        <w:rPr>
          <w:noProof/>
        </w:rPr>
        <w:t xml:space="preserve">r outcomes to rejected ventures, by improving survival rates, exits, employment, patenting, Web traffic, and financing. They confirm the positive effects for venture operations, combined with a higher likelihood of successful exits. The main exit strategy </w:t>
      </w:r>
      <w:r>
        <w:rPr>
          <w:noProof/>
        </w:rPr>
        <w:t>for business angels is acquisitions by larger companies.</w:t>
      </w:r>
    </w:p>
    <w:p w:rsidR="00083C3F" w:rsidRDefault="00E1215B">
      <w:pPr>
        <w:rPr>
          <w:noProof/>
        </w:rPr>
      </w:pPr>
      <w:r>
        <w:rPr>
          <w:noProof/>
        </w:rPr>
        <w:t>The visible part of the angel investment market is those investments made through an angel network or syndicate (OECD (2016)). Due to the informal nature of the investment and the absence of any offi</w:t>
      </w:r>
      <w:r>
        <w:rPr>
          <w:noProof/>
        </w:rPr>
        <w:t>cial definition of angel investment, the overall size of the market of business angel investments is a difficult estimation. Available figures suggest that the amounts invested by business angels in the EU are small and highly concentrated. The 2015 statis</w:t>
      </w:r>
      <w:r>
        <w:rPr>
          <w:noProof/>
        </w:rPr>
        <w:t>tics compendium by the European Trade Association for Business Angels, Seed Funds and Early Stage Market Players (EBAN) show that the visible part of business angels' outstanding investment in the EU amounted to EUR 607 million in 2015 (a growth of  5.0% f</w:t>
      </w:r>
      <w:r>
        <w:rPr>
          <w:noProof/>
        </w:rPr>
        <w:t xml:space="preserve">rom 2014). The investors’ community grew to 303 650 investors closing 32 940 deals (EBAN 2016). </w:t>
      </w:r>
    </w:p>
    <w:p w:rsidR="00083C3F" w:rsidRDefault="00E1215B">
      <w:pPr>
        <w:rPr>
          <w:noProof/>
        </w:rPr>
      </w:pPr>
      <w:r>
        <w:rPr>
          <w:noProof/>
        </w:rPr>
        <w:t>The United Kingdom is the largest European business angel market with EUR 96 million of investment in 2015. Spain, Germany and France are the following biggest</w:t>
      </w:r>
      <w:r>
        <w:rPr>
          <w:noProof/>
        </w:rPr>
        <w:t xml:space="preserve"> players, while Finland, Denmark and Sweden are continuing to grow at steady rates (</w:t>
      </w:r>
      <w:r>
        <w:rPr>
          <w:rStyle w:val="Strong"/>
          <w:b w:val="0"/>
          <w:noProof/>
        </w:rPr>
        <w:fldChar w:fldCharType="begin"/>
      </w:r>
      <w:r>
        <w:rPr>
          <w:rStyle w:val="Strong"/>
          <w:b w:val="0"/>
          <w:noProof/>
        </w:rPr>
        <w:instrText xml:space="preserve"> REF _Ref481134899 </w:instrText>
      </w:r>
      <w:r>
        <w:rPr>
          <w:rStyle w:val="Strong"/>
          <w:b w:val="0"/>
          <w:noProof/>
        </w:rPr>
        <w:fldChar w:fldCharType="separate"/>
      </w:r>
      <w:r>
        <w:rPr>
          <w:noProof/>
        </w:rPr>
        <w:t>Figure 2.2</w:t>
      </w:r>
      <w:r>
        <w:rPr>
          <w:rStyle w:val="Strong"/>
          <w:b w:val="0"/>
          <w:noProof/>
        </w:rPr>
        <w:fldChar w:fldCharType="end"/>
      </w:r>
      <w:r>
        <w:rPr>
          <w:noProof/>
        </w:rPr>
        <w:t>). Business angel activity is increasing in the CESEE (including Baltic) regions, but the markets remains very small.</w:t>
      </w:r>
    </w:p>
    <w:p w:rsidR="00083C3F" w:rsidRDefault="00E1215B">
      <w:pPr>
        <w:rPr>
          <w:noProof/>
        </w:rPr>
      </w:pPr>
      <w:r>
        <w:rPr>
          <w:noProof/>
        </w:rPr>
        <w:t>EU Member States use p</w:t>
      </w:r>
      <w:r>
        <w:rPr>
          <w:noProof/>
        </w:rPr>
        <w:t>ersonal income tax incentives for business angel investments in different ways, partly explaining significant cross-country differences. Most incentives are not applicable to cross-border investments in the EU amplifying fragmentation of local business ang</w:t>
      </w:r>
      <w:r>
        <w:rPr>
          <w:noProof/>
        </w:rPr>
        <w:t xml:space="preserve">el ecosystems and national or European networks. </w:t>
      </w:r>
    </w:p>
    <w:p w:rsidR="00083C3F" w:rsidRDefault="00E1215B">
      <w:pPr>
        <w:pStyle w:val="Caption"/>
      </w:pPr>
      <w:bookmarkStart w:id="88" w:name="_Ref481134899"/>
      <w:bookmarkStart w:id="89" w:name="_Ref481134881"/>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2</w:t>
      </w:r>
      <w:r>
        <w:fldChar w:fldCharType="end"/>
      </w:r>
      <w:bookmarkEnd w:id="88"/>
      <w:r>
        <w:t>. Evolution of angel investment by country (2013-2015, EUR million)</w:t>
      </w:r>
      <w:bookmarkEnd w:id="89"/>
    </w:p>
    <w:p w:rsidR="00083C3F" w:rsidRDefault="00E1215B">
      <w:pPr>
        <w:pStyle w:val="Source"/>
        <w:rPr>
          <w:noProof/>
        </w:rPr>
      </w:pPr>
      <w:r>
        <w:rPr>
          <w:i w:val="0"/>
          <w:noProof/>
          <w:lang w:eastAsia="en-GB"/>
        </w:rPr>
        <w:drawing>
          <wp:inline distT="0" distB="0" distL="0" distR="0" wp14:anchorId="14C60B79" wp14:editId="0CB2CA9F">
            <wp:extent cx="5759355" cy="2934269"/>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t>Source:  EBAN European Early Stage Market Statistics 2015</w:t>
      </w:r>
    </w:p>
    <w:p w:rsidR="00083C3F" w:rsidRDefault="00E1215B">
      <w:pPr>
        <w:pStyle w:val="Heading4"/>
        <w:rPr>
          <w:rFonts w:eastAsia="Times New Roman"/>
          <w:noProof/>
        </w:rPr>
      </w:pPr>
      <w:r>
        <w:rPr>
          <w:rFonts w:eastAsia="Times New Roman"/>
          <w:noProof/>
        </w:rPr>
        <w:t>Venture capital</w:t>
      </w:r>
    </w:p>
    <w:p w:rsidR="00083C3F" w:rsidRDefault="00E1215B">
      <w:pPr>
        <w:rPr>
          <w:noProof/>
        </w:rPr>
      </w:pPr>
      <w:r>
        <w:rPr>
          <w:noProof/>
        </w:rPr>
        <w:t>An im</w:t>
      </w:r>
      <w:r>
        <w:rPr>
          <w:noProof/>
        </w:rPr>
        <w:t>portant source of finance for start-ups is also venture capital. This category of investors manages the high risk of failure by diversifying their investments across a portfolio of companies, and through careful selection of the firms in which they invest,</w:t>
      </w:r>
      <w:r>
        <w:rPr>
          <w:noProof/>
        </w:rPr>
        <w:t xml:space="preserve"> using specialist expertise to assess the quality of the entrepreneurial team and their proposed product (Gompers and Lerner (1999)). They take – often substantial – control rights and use them to enhance the quality of decision-making and mitigate the pot</w:t>
      </w:r>
      <w:r>
        <w:rPr>
          <w:noProof/>
        </w:rPr>
        <w:t>ential for opportunism by the entrepreneur (Kaplan and Strömberg (2003)). Venture capital is usually invested through funds, often provided by institutional investors. Venture capital requires geographic proximity for the investor to be able to participate</w:t>
      </w:r>
      <w:r>
        <w:rPr>
          <w:noProof/>
        </w:rPr>
        <w:t xml:space="preserve"> actively in decision-making (Lerner 1995). Consequently, venture capitalists tend to be based in areas where there are large ‘clusters’ of new firms, typically near a source of technological innovation such as a university (Martin et al 2002).</w:t>
      </w:r>
    </w:p>
    <w:p w:rsidR="00083C3F" w:rsidRDefault="00E1215B">
      <w:pPr>
        <w:rPr>
          <w:noProof/>
        </w:rPr>
      </w:pPr>
      <w:r>
        <w:rPr>
          <w:noProof/>
        </w:rPr>
        <w:t>Despite pos</w:t>
      </w:r>
      <w:r>
        <w:rPr>
          <w:noProof/>
        </w:rPr>
        <w:t>itive effects on economic growth, venture capital constitutes a small part of total SME external financing. Venture capital represents a very small percentage of GDP in EU Member States (less than </w:t>
      </w:r>
      <w:r>
        <w:rPr>
          <w:rStyle w:val="Emphasis"/>
          <w:i w:val="0"/>
          <w:noProof/>
        </w:rPr>
        <w:t>0.05% of GDP)</w:t>
      </w:r>
      <w:r>
        <w:rPr>
          <w:noProof/>
        </w:rPr>
        <w:t>. The amount of venture capital invested was E</w:t>
      </w:r>
      <w:r>
        <w:rPr>
          <w:noProof/>
        </w:rPr>
        <w:t>UR 4.4 billion across 3 134 deals in 2016 (Invest Europe 2017). Companies active in growing business sectors such as life sciences, communications and electronics attract the majority of the available funds (KPMG 2016). The venture capital industry in Isra</w:t>
      </w:r>
      <w:r>
        <w:rPr>
          <w:noProof/>
        </w:rPr>
        <w:t>el and the US is more mature, representing in </w:t>
      </w:r>
      <w:r>
        <w:rPr>
          <w:rStyle w:val="Emphasis"/>
          <w:i w:val="0"/>
          <w:noProof/>
        </w:rPr>
        <w:t>2015</w:t>
      </w:r>
      <w:r>
        <w:rPr>
          <w:noProof/>
        </w:rPr>
        <w:t> around </w:t>
      </w:r>
      <w:r>
        <w:rPr>
          <w:rStyle w:val="Emphasis"/>
          <w:i w:val="0"/>
          <w:noProof/>
        </w:rPr>
        <w:t>0.38</w:t>
      </w:r>
      <w:r>
        <w:rPr>
          <w:i/>
          <w:noProof/>
        </w:rPr>
        <w:t>%</w:t>
      </w:r>
      <w:r>
        <w:rPr>
          <w:noProof/>
        </w:rPr>
        <w:t xml:space="preserve"> and </w:t>
      </w:r>
      <w:r>
        <w:rPr>
          <w:rStyle w:val="Emphasis"/>
          <w:i w:val="0"/>
          <w:noProof/>
        </w:rPr>
        <w:t>0.33</w:t>
      </w:r>
      <w:r>
        <w:rPr>
          <w:i/>
          <w:noProof/>
        </w:rPr>
        <w:t>%</w:t>
      </w:r>
      <w:r>
        <w:rPr>
          <w:noProof/>
        </w:rPr>
        <w:t xml:space="preserve"> of GDP respectively. Europe also lacks "unicorns" in the EU, i.e. young private companies with limited performance record that are valued at over EUR 1 billion). The EU has only 17 u</w:t>
      </w:r>
      <w:r>
        <w:rPr>
          <w:noProof/>
        </w:rPr>
        <w:t>nicorns in just a handful of Member States (as of July 2016), compared to 90 in the US and 40 in Asia.</w:t>
      </w:r>
    </w:p>
    <w:p w:rsidR="00083C3F" w:rsidRDefault="00E1215B">
      <w:pPr>
        <w:rPr>
          <w:noProof/>
        </w:rPr>
      </w:pPr>
      <w:r>
        <w:rPr>
          <w:noProof/>
        </w:rPr>
        <w:t>EU venture capital funds remain fragmented and lack scale (the average size of EU venture capital funds is half the average size of US funds) and geograp</w:t>
      </w:r>
      <w:r>
        <w:rPr>
          <w:noProof/>
        </w:rPr>
        <w:t>hical reach (around 90% of venture capital investment is concentrated in eight Member States</w:t>
      </w:r>
      <w:r>
        <w:rPr>
          <w:rStyle w:val="FootnoteReference"/>
          <w:noProof/>
        </w:rPr>
        <w:footnoteReference w:id="18"/>
      </w:r>
      <w:r>
        <w:rPr>
          <w:noProof/>
        </w:rPr>
        <w:t> and venture capital investment is virtually non-existent in some Member States). Similar to trends experienced elsewhere in the world, European venture capital in</w:t>
      </w:r>
      <w:r>
        <w:rPr>
          <w:noProof/>
        </w:rPr>
        <w:t>vestors have become more selective. The evaluation of investment decisions takes longer and due diligence is more extensive. The EU venture capital market needs to stimulate private VC funding as government agencies have been the most important contributor</w:t>
      </w:r>
      <w:r>
        <w:rPr>
          <w:noProof/>
        </w:rPr>
        <w:t xml:space="preserve"> to the EUR 40 billion that the EU venture capital market has raised since 2007 (Invest Europe 2017). </w:t>
      </w:r>
    </w:p>
    <w:p w:rsidR="00083C3F" w:rsidRDefault="00E1215B">
      <w:pPr>
        <w:rPr>
          <w:noProof/>
        </w:rPr>
      </w:pPr>
      <w:r>
        <w:rPr>
          <w:noProof/>
        </w:rPr>
        <w:t xml:space="preserve">Established or growing technology hubs exist across Europe (London, Berlin, Madrid, Paris, Dublin and Stockholm). Europe’s varied technology hubs may be </w:t>
      </w:r>
      <w:r>
        <w:rPr>
          <w:noProof/>
        </w:rPr>
        <w:t>an important advantage when it comes to stability. At the same time, the complexity of this diversity creates challenges for start-ups when they reach a scale that surpasses the initial domestic scale. Different regulatory environments, cultures and langua</w:t>
      </w:r>
      <w:r>
        <w:rPr>
          <w:noProof/>
        </w:rPr>
        <w:t>ges all add to the complexity. This leads some of the start-ups to abandon the option to grow internationally within Europe and target the US or China first.</w:t>
      </w:r>
    </w:p>
    <w:p w:rsidR="00083C3F" w:rsidRDefault="00E1215B">
      <w:pPr>
        <w:pStyle w:val="Caption"/>
      </w:pPr>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3</w:t>
      </w:r>
      <w:r>
        <w:fldChar w:fldCharType="end"/>
      </w:r>
      <w:r>
        <w:t>. Venture capital investments (% of GDP,</w:t>
      </w:r>
      <w:r>
        <w:t xml:space="preserve"> 2015)</w:t>
      </w:r>
    </w:p>
    <w:p w:rsidR="00083C3F" w:rsidRDefault="00E1215B">
      <w:pPr>
        <w:pStyle w:val="Figure"/>
        <w:rPr>
          <w:noProof/>
        </w:rPr>
      </w:pPr>
      <w:r>
        <w:rPr>
          <w:noProof/>
          <w:lang w:eastAsia="en-GB"/>
        </w:rPr>
        <w:drawing>
          <wp:inline distT="0" distB="0" distL="0" distR="0" wp14:anchorId="4213E8F0" wp14:editId="10DC1B5A">
            <wp:extent cx="5760720" cy="2714998"/>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83C3F" w:rsidRDefault="00E1215B">
      <w:pPr>
        <w:pStyle w:val="Source"/>
        <w:rPr>
          <w:noProof/>
          <w:u w:val="double"/>
        </w:rPr>
      </w:pPr>
      <w:r>
        <w:rPr>
          <w:noProof/>
        </w:rPr>
        <w:t>Source: OECD. Note: 'Total' for those countries that have no breakdown.</w:t>
      </w:r>
    </w:p>
    <w:p w:rsidR="00083C3F" w:rsidRDefault="00E1215B">
      <w:pPr>
        <w:rPr>
          <w:noProof/>
        </w:rPr>
      </w:pPr>
      <w:r>
        <w:rPr>
          <w:noProof/>
        </w:rPr>
        <w:t>During the fourth quarter of 2016, the governments of Germany and France took a major step toward growing their innovation ecosystems. The two governments announced the creation of a joint EUR 1 billion fund to assist start-ups in their countries to evolve</w:t>
      </w:r>
      <w:r>
        <w:rPr>
          <w:noProof/>
        </w:rPr>
        <w:t xml:space="preserve"> beyond the seed-stage, which is the most difficult challenge. </w:t>
      </w:r>
    </w:p>
    <w:p w:rsidR="00083C3F" w:rsidRDefault="00E1215B">
      <w:pPr>
        <w:pStyle w:val="Caption"/>
        <w:rPr>
          <w:lang w:eastAsia="en-GB"/>
        </w:rPr>
      </w:pPr>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4</w:t>
      </w:r>
      <w:r>
        <w:fldChar w:fldCharType="end"/>
      </w:r>
      <w:r>
        <w:t>. Investments by stagein the EU – 1Q2011 – 4Q2015 (EUR billion)</w:t>
      </w:r>
      <w:r>
        <w:rPr>
          <w:lang w:eastAsia="en-GB"/>
        </w:rPr>
        <w:t xml:space="preserve"> </w:t>
      </w:r>
    </w:p>
    <w:p w:rsidR="00083C3F" w:rsidRDefault="00E1215B">
      <w:pPr>
        <w:pStyle w:val="Figure"/>
        <w:rPr>
          <w:noProof/>
        </w:rPr>
      </w:pPr>
      <w:r>
        <w:rPr>
          <w:noProof/>
          <w:lang w:eastAsia="en-GB"/>
        </w:rPr>
        <w:drawing>
          <wp:inline distT="0" distB="0" distL="0" distR="0" wp14:anchorId="67120F34" wp14:editId="3ADE30FB">
            <wp:extent cx="5757062" cy="200436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83C3F" w:rsidRDefault="00E1215B">
      <w:pPr>
        <w:pStyle w:val="Source"/>
        <w:rPr>
          <w:noProof/>
        </w:rPr>
      </w:pPr>
      <w:r>
        <w:rPr>
          <w:noProof/>
        </w:rPr>
        <w:t>Source: Invest Europe</w:t>
      </w:r>
    </w:p>
    <w:p w:rsidR="00083C3F" w:rsidRDefault="00E1215B">
      <w:pPr>
        <w:rPr>
          <w:noProof/>
        </w:rPr>
      </w:pPr>
      <w:r>
        <w:rPr>
          <w:noProof/>
        </w:rPr>
        <w:t xml:space="preserve">The maturity level of various tech hubs </w:t>
      </w:r>
      <w:r>
        <w:rPr>
          <w:noProof/>
        </w:rPr>
        <w:t>throughout Europe is rising, with new centres like Scandinavia and France emerging, while established hubs in Germany, the United Kingdom and Ireland continue to evolve. Creating the conditions for these ecosystems to develop and integrate across Europe is</w:t>
      </w:r>
      <w:r>
        <w:rPr>
          <w:noProof/>
        </w:rPr>
        <w:t xml:space="preserve"> an essential pre-condition for capital markets to support innovative firms. Moreover, consolidation among start-ups in Europe is expected, particularly with acquisitions led by corporate investors looking for strategic investments. There are a number of w</w:t>
      </w:r>
      <w:r>
        <w:rPr>
          <w:noProof/>
        </w:rPr>
        <w:t>ell – capitalized companies in the region, which are actively looking for M&amp;A. FinTech and health-tech are expected to continue to be major investment areas for VC investors in Europe, while emerging areas, such as Artificial Intelligence, machine learning</w:t>
      </w:r>
      <w:r>
        <w:rPr>
          <w:noProof/>
        </w:rPr>
        <w:t xml:space="preserve"> and deep tech, are expected to take on a higher investment priority.</w:t>
      </w:r>
    </w:p>
    <w:p w:rsidR="00083C3F" w:rsidRDefault="00E1215B">
      <w:pPr>
        <w:rPr>
          <w:noProof/>
        </w:rPr>
      </w:pPr>
      <w:r>
        <w:rPr>
          <w:noProof/>
        </w:rPr>
        <w:t>Main obstacles to the development of venture capital investments are market fragmentation and constraints on the supply side of the market. European venture capital investors have diffic</w:t>
      </w:r>
      <w:r>
        <w:rPr>
          <w:noProof/>
        </w:rPr>
        <w:t>ulties with reaching critical size and sufficient diversification in their portfolios. Three quarters of venture capital funds were in 2014 smaller than EUR 82 million and only 20% of funds had raised more than EUR 100 million over the last six years. More</w:t>
      </w:r>
      <w:r>
        <w:rPr>
          <w:noProof/>
        </w:rPr>
        <w:t>over, the activity is concentrated in a few Member States, such as the United Kingdom and France. Larger venture capital funds would be able to realise scale economies, specialize and thus possibly attract additional capital commitments for individual comp</w:t>
      </w:r>
      <w:r>
        <w:rPr>
          <w:noProof/>
        </w:rPr>
        <w:t>anies. However, the high degree of fragmentation along national lines limits the growth of the market and prevents economies of scale from materializing, which implies relatively high transaction costs.</w:t>
      </w:r>
    </w:p>
    <w:p w:rsidR="00083C3F" w:rsidRDefault="00E1215B">
      <w:pPr>
        <w:pStyle w:val="Heading4"/>
        <w:rPr>
          <w:rFonts w:eastAsia="Times New Roman"/>
          <w:noProof/>
        </w:rPr>
      </w:pPr>
      <w:r>
        <w:rPr>
          <w:rFonts w:eastAsia="Times New Roman"/>
          <w:noProof/>
        </w:rPr>
        <w:t>Private equity</w:t>
      </w:r>
    </w:p>
    <w:p w:rsidR="00083C3F" w:rsidRDefault="00E1215B">
      <w:pPr>
        <w:rPr>
          <w:noProof/>
        </w:rPr>
      </w:pPr>
      <w:r>
        <w:rPr>
          <w:noProof/>
        </w:rPr>
        <w:t>Private equity refers to investments i</w:t>
      </w:r>
      <w:r>
        <w:rPr>
          <w:noProof/>
        </w:rPr>
        <w:t>n the equity of a company provided on a private basis, typically by funds that collect funds from multiple entities, including banks, NFCs, institutional investors (e.g. pension funds or asset managers), high net worth individuals (HNWI) and governments. B</w:t>
      </w:r>
      <w:r>
        <w:rPr>
          <w:noProof/>
        </w:rPr>
        <w:t>y investing in private equity funds, banks and NFCs typically aim at acquiring an indirect strategic interest in entities that could generate synergies for their businesses. Public authorities, on the other hand, invest in private equity funds as a mean of</w:t>
      </w:r>
      <w:r>
        <w:rPr>
          <w:noProof/>
        </w:rPr>
        <w:t xml:space="preserve"> achieving public policy goals, such as supporting specific sectors of the economy, activities that are ultimately expected to boost productivity, growth and employment. </w:t>
      </w:r>
    </w:p>
    <w:p w:rsidR="00083C3F" w:rsidRDefault="00E1215B">
      <w:pPr>
        <w:rPr>
          <w:noProof/>
        </w:rPr>
      </w:pPr>
      <w:r>
        <w:rPr>
          <w:noProof/>
        </w:rPr>
        <w:t>Common investment strategies in private equity investments include: leveraged buyouts</w:t>
      </w:r>
      <w:r>
        <w:rPr>
          <w:noProof/>
        </w:rPr>
        <w:t>, venture capital, growth capital, distressed investments and mezzanine capital.</w:t>
      </w:r>
    </w:p>
    <w:p w:rsidR="00083C3F" w:rsidRDefault="00E1215B">
      <w:pPr>
        <w:autoSpaceDE w:val="0"/>
        <w:autoSpaceDN w:val="0"/>
        <w:adjustRightInd w:val="0"/>
        <w:spacing w:after="0"/>
        <w:rPr>
          <w:rFonts w:ascii="Trebuchet MS" w:hAnsi="Trebuchet MS" w:cs="Trebuchet MS"/>
          <w:noProof/>
          <w:color w:val="000000"/>
          <w:sz w:val="16"/>
          <w:szCs w:val="16"/>
        </w:rPr>
      </w:pPr>
      <w:r>
        <w:rPr>
          <w:rFonts w:cs="Times New Roman"/>
          <w:noProof/>
          <w:color w:val="000000"/>
          <w:szCs w:val="24"/>
        </w:rPr>
        <w:t xml:space="preserve">In 2016, the total amount of equity invested in European companies remained stable at EUR 53.7 billion compared to 2015, representing the second highest level since 2008. The </w:t>
      </w:r>
      <w:r>
        <w:rPr>
          <w:rFonts w:cs="Times New Roman"/>
          <w:noProof/>
          <w:color w:val="000000"/>
          <w:szCs w:val="24"/>
        </w:rPr>
        <w:t>number of companies decreased by 7%, but remained over 5 900, of which 83% are SMEs. Over a third of the total amount invested in European companies came from cross-border investments.</w:t>
      </w:r>
      <w:r>
        <w:rPr>
          <w:rFonts w:ascii="Trebuchet MS" w:hAnsi="Trebuchet MS" w:cs="Trebuchet MS"/>
          <w:noProof/>
          <w:color w:val="000000"/>
          <w:sz w:val="14"/>
          <w:szCs w:val="16"/>
        </w:rPr>
        <w:t xml:space="preserve"> </w:t>
      </w:r>
      <w:r>
        <w:rPr>
          <w:rFonts w:cs="Times New Roman"/>
          <w:noProof/>
          <w:color w:val="000000"/>
        </w:rPr>
        <w:t>Almost 400 funds raised new capital. This decrease by 9% compared to 20</w:t>
      </w:r>
      <w:r>
        <w:rPr>
          <w:rFonts w:cs="Times New Roman"/>
          <w:noProof/>
          <w:color w:val="000000"/>
        </w:rPr>
        <w:t xml:space="preserve">15 indicates a trend towards larger funds in 2016. </w:t>
      </w:r>
      <w:r>
        <w:rPr>
          <w:noProof/>
          <w:lang w:eastAsia="en-GB"/>
        </w:rPr>
        <w:t>In the last four years, European private-equity funds have raised over EUR 240 billion to invest into companies in Europe, more than twice the amount raised in the four years following the financial crisis</w:t>
      </w:r>
      <w:r>
        <w:rPr>
          <w:rFonts w:cs="Times New Roman"/>
          <w:noProof/>
          <w:color w:val="000000"/>
        </w:rPr>
        <w:t xml:space="preserve"> (Invest Europe 2017).</w:t>
      </w:r>
      <w:r>
        <w:rPr>
          <w:noProof/>
        </w:rPr>
        <w:t xml:space="preserve"> Half of the total private equity investments in Europe are managed out of the United Kingdom. Most of that cash comes from overseas firms and investors that access the bloc via the United Kingdom. Moreover, the sector is heavily reli</w:t>
      </w:r>
      <w:r>
        <w:rPr>
          <w:noProof/>
        </w:rPr>
        <w:t>ant on access to talent from across the EU and to the single market. France and Sweden follow in importance. As regards the type of private equity investors, over one third of private equity funds raised in 2016 came from institutional investors, in partic</w:t>
      </w:r>
      <w:r>
        <w:rPr>
          <w:noProof/>
        </w:rPr>
        <w:t>ular pension funds (34%), investment funds (18%) and insurance companies (12%). Private equity investment is considered particularly attractive by some insurance corporations and pension funds as the long-term nature of their liabilities allows them to inv</w:t>
      </w:r>
      <w:r>
        <w:rPr>
          <w:noProof/>
        </w:rPr>
        <w:t>est in long-term and less liquid assets, with the objective of generating a higher return. Private equity investment by public authorities reached 10% of the total. Regulatory or self-imposed constraints on asset allocation of investors into private equity</w:t>
      </w:r>
      <w:r>
        <w:rPr>
          <w:noProof/>
        </w:rPr>
        <w:t xml:space="preserve"> funds, such as banks, insurance or pension funds may create barriers to investments in this type of funding, which is a key element for the scaling-up of innovative firms.</w:t>
      </w:r>
    </w:p>
    <w:p w:rsidR="00083C3F" w:rsidRDefault="00E1215B">
      <w:pPr>
        <w:pStyle w:val="Heading3"/>
        <w:ind w:left="1004"/>
        <w:rPr>
          <w:noProof/>
        </w:rPr>
      </w:pPr>
      <w:bookmarkStart w:id="90" w:name="_Toc481140371"/>
      <w:bookmarkStart w:id="91" w:name="_Toc482710945"/>
      <w:bookmarkStart w:id="92" w:name="_Toc482715267"/>
      <w:r>
        <w:rPr>
          <w:noProof/>
        </w:rPr>
        <w:t>Funding with risk dispersion</w:t>
      </w:r>
      <w:bookmarkEnd w:id="90"/>
      <w:bookmarkEnd w:id="91"/>
      <w:bookmarkEnd w:id="92"/>
    </w:p>
    <w:p w:rsidR="00083C3F" w:rsidRDefault="00E1215B">
      <w:pPr>
        <w:rPr>
          <w:noProof/>
        </w:rPr>
      </w:pPr>
      <w:r>
        <w:rPr>
          <w:noProof/>
        </w:rPr>
        <w:t>Funding in the pre-IPO space can also take the form of</w:t>
      </w:r>
      <w:r>
        <w:rPr>
          <w:noProof/>
        </w:rPr>
        <w:t xml:space="preserve"> a dispersed funding tool, with different barriers hampering its cross-border developments. These barriers are mainly informational ones for proper price discovery or transactional costs, in the form of compliance or other listing-type costs.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83C3F">
        <w:tc>
          <w:tcPr>
            <w:tcW w:w="9288" w:type="dxa"/>
            <w:shd w:val="clear" w:color="auto" w:fill="548DD4" w:themeFill="text2" w:themeFillTint="99"/>
          </w:tcPr>
          <w:p w:rsidR="00083C3F" w:rsidRDefault="00E1215B">
            <w:pPr>
              <w:pStyle w:val="Box"/>
              <w:rPr>
                <w:noProof/>
              </w:rPr>
            </w:pPr>
            <w:r>
              <w:rPr>
                <w:noProof/>
              </w:rPr>
              <w:t xml:space="preserve">Supply Chain </w:t>
            </w:r>
            <w:r>
              <w:rPr>
                <w:noProof/>
              </w:rPr>
              <w:t>Finance (SCF): the role of market-based solutions</w:t>
            </w:r>
          </w:p>
        </w:tc>
      </w:tr>
      <w:tr w:rsidR="00083C3F">
        <w:tc>
          <w:tcPr>
            <w:tcW w:w="9288" w:type="dxa"/>
            <w:shd w:val="clear" w:color="auto" w:fill="B8CCE4" w:themeFill="accent1" w:themeFillTint="66"/>
          </w:tcPr>
          <w:p w:rsidR="00083C3F" w:rsidRDefault="00E1215B">
            <w:pPr>
              <w:rPr>
                <w:noProof/>
              </w:rPr>
            </w:pPr>
            <w:r>
              <w:rPr>
                <w:noProof/>
              </w:rPr>
              <w:t>On-time payment is essentially what corporations would like, even if prompt payment cannot always be managed. Supply Chain Finance management solutions allow companies to optimize their working capital eff</w:t>
            </w:r>
            <w:r>
              <w:rPr>
                <w:noProof/>
              </w:rPr>
              <w:t xml:space="preserve">ectively. SCF is not a static concept but is an evolving set of practices using or combining a variety of techniques. </w:t>
            </w:r>
          </w:p>
          <w:p w:rsidR="00083C3F" w:rsidRDefault="00E1215B">
            <w:pPr>
              <w:rPr>
                <w:noProof/>
              </w:rPr>
            </w:pPr>
            <w:r>
              <w:rPr>
                <w:noProof/>
              </w:rPr>
              <w:t>In 2015, the Receivables Finance industry in the EU provided over EUR 168 billion of working capital financing to over 171,000 businesses</w:t>
            </w:r>
            <w:r>
              <w:rPr>
                <w:noProof/>
              </w:rPr>
              <w:t>, about 85% of which are SMEs. Revenues generated by reverse factoring solutions are expected to grow at an annual rate of 20%, approximately. Payables finance or reverse factoring could offer access to an untapped market worth USD 800 billion in unrealize</w:t>
            </w:r>
            <w:r>
              <w:rPr>
                <w:noProof/>
              </w:rPr>
              <w:t>d profits as of today. This figure only takes into account the solutions offered to purchasing companies rated as investment grade (McKinsey 2015).</w:t>
            </w:r>
          </w:p>
          <w:p w:rsidR="00083C3F" w:rsidRDefault="00E1215B">
            <w:pPr>
              <w:rPr>
                <w:noProof/>
              </w:rPr>
            </w:pPr>
            <w:r>
              <w:rPr>
                <w:noProof/>
              </w:rPr>
              <w:t>Efficient supply chain is an important part of any business establishment that can have a significant impact</w:t>
            </w:r>
            <w:r>
              <w:rPr>
                <w:noProof/>
              </w:rPr>
              <w:t xml:space="preserve"> on operations and the very survival of the venture. Faced with increasing pressure to meet short-term liquidity needs, companies are looking for easy and convenient ways to manage their working capital and supply chain. As a result, the need for innovativ</w:t>
            </w:r>
            <w:r>
              <w:rPr>
                <w:noProof/>
              </w:rPr>
              <w:t xml:space="preserve">e financial supply chain management solutions has been increasing. And that is where financial technology companies have recently been triggering a transformation towards greater efficiency and seamless solutions. A growing number of Fintech start-ups are </w:t>
            </w:r>
            <w:r>
              <w:rPr>
                <w:noProof/>
              </w:rPr>
              <w:t>enabling SMEs to access payment services that were previously the domain of large corporates.</w:t>
            </w:r>
          </w:p>
          <w:p w:rsidR="00083C3F" w:rsidRDefault="00E1215B">
            <w:pPr>
              <w:rPr>
                <w:noProof/>
              </w:rPr>
            </w:pPr>
            <w:r>
              <w:rPr>
                <w:noProof/>
              </w:rPr>
              <w:t>Supply chain finance enables buyers to ease payment terms while also ensuring the cash flow of their suppliers is improved, thereby reducing instability within th</w:t>
            </w:r>
            <w:r>
              <w:rPr>
                <w:noProof/>
              </w:rPr>
              <w:t>e supply chain. The enabling of transparency across the supply chain means that suppliers always know precisely when they will be paid and can plan their finances accordingly. Predictability is often more important than speed when it comes to payments.</w:t>
            </w:r>
          </w:p>
        </w:tc>
      </w:tr>
    </w:tbl>
    <w:p w:rsidR="00083C3F" w:rsidRDefault="00E1215B">
      <w:pPr>
        <w:pStyle w:val="Heading4"/>
        <w:rPr>
          <w:rFonts w:eastAsia="Times New Roman"/>
          <w:noProof/>
        </w:rPr>
      </w:pPr>
      <w:r>
        <w:rPr>
          <w:rFonts w:eastAsia="Times New Roman"/>
          <w:noProof/>
        </w:rPr>
        <w:t xml:space="preserve">Crowdfunding </w:t>
      </w:r>
    </w:p>
    <w:p w:rsidR="00083C3F" w:rsidRDefault="00E1215B">
      <w:pPr>
        <w:rPr>
          <w:noProof/>
        </w:rPr>
      </w:pPr>
      <w:r>
        <w:rPr>
          <w:noProof/>
        </w:rPr>
        <w:t>Crowdfunding refers to raising capital through large numbers of small contributions for a specific project. Crowdfunding platforms are websites that enable interaction between fundraisers and the crowd. The crowdfunding sector in Europe has c</w:t>
      </w:r>
      <w:r>
        <w:rPr>
          <w:noProof/>
        </w:rPr>
        <w:t>ontinued to grow over the last years. Based on one of the largest datasets currently available, with figures from 367 European platforms which are stated to represent 90% of the visible market, the European alternative finance market grew by 92% to reach t</w:t>
      </w:r>
      <w:r>
        <w:rPr>
          <w:noProof/>
        </w:rPr>
        <w:t>he value of EUR 5.43 billion in the year 2015 (University of Cambridge Centre for Alternative Finance 2016). In 2015 the United Kingdom remained market leader in terms of size with a total market volume of EUR 4.41 billion, followed by France (EUR 319 mill</w:t>
      </w:r>
      <w:r>
        <w:rPr>
          <w:noProof/>
        </w:rPr>
        <w:t>ion), Germany (EUR 249 million), the Netherlands (EUR 111 million), Finland (EUR 64 million), Spain (EUR 50 million), Belgium (EUR 37 million) and Italy (EUR 32 million). When looking at market volume per capita, the United Kingdom was first with EUR 65.88</w:t>
      </w:r>
      <w:r>
        <w:rPr>
          <w:noProof/>
        </w:rPr>
        <w:t>, followed by Estonia (EUR 24.02) and Finland (EUR 11.65).</w:t>
      </w:r>
    </w:p>
    <w:p w:rsidR="00083C3F" w:rsidRDefault="00E1215B">
      <w:pPr>
        <w:rPr>
          <w:noProof/>
        </w:rPr>
      </w:pPr>
      <w:r>
        <w:rPr>
          <w:noProof/>
        </w:rPr>
        <w:t xml:space="preserve">In terms of crowdfunding type, peer-to-peer consumer lending and peer-to-peer business lending accounted for the largest activity in 2015, with approximately one third (EUR 366 million) and one </w:t>
      </w:r>
      <w:r>
        <w:rPr>
          <w:noProof/>
        </w:rPr>
        <w:t>fifth (EUR 212 million) of total market activity respectively. Equity-based models, such as equity-based crowdfunding and real estate crowdfunding across Europe account for around a fifth, while non-financial return based models accounted for another 16% i</w:t>
      </w:r>
      <w:r>
        <w:rPr>
          <w:noProof/>
        </w:rPr>
        <w:t>n 2015.</w:t>
      </w:r>
    </w:p>
    <w:p w:rsidR="00083C3F" w:rsidRDefault="00E1215B">
      <w:pPr>
        <w:pStyle w:val="Caption"/>
      </w:pPr>
      <w:r>
        <w:t>Figure2 5</w:t>
      </w:r>
      <w:r>
        <w:fldChar w:fldCharType="begin"/>
      </w:r>
      <w:r>
        <w:fldChar w:fldCharType="separate"/>
      </w:r>
      <w:r>
        <w:rPr>
          <w:b/>
          <w:bCs/>
        </w:rPr>
        <w:t>Error! No sequence specified.</w:t>
      </w:r>
      <w:r>
        <w:fldChar w:fldCharType="end"/>
      </w:r>
      <w:r>
        <w:t>. Alternative Finance Volume by Model in Europe (excl. UK) 2013–2015 (EUR million)</w:t>
      </w:r>
    </w:p>
    <w:p w:rsidR="00083C3F" w:rsidRDefault="00E1215B">
      <w:pPr>
        <w:pStyle w:val="Source"/>
        <w:rPr>
          <w:noProof/>
        </w:rPr>
      </w:pPr>
      <w:r>
        <w:rPr>
          <w:noProof/>
          <w:lang w:eastAsia="en-GB"/>
        </w:rPr>
        <w:drawing>
          <wp:inline distT="0" distB="0" distL="0" distR="0" wp14:anchorId="7909E705" wp14:editId="0BF0A2DB">
            <wp:extent cx="5759355" cy="19789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rPr>
        <w:t>Source:  European alternative finance report 2016</w:t>
      </w:r>
    </w:p>
    <w:p w:rsidR="00083C3F" w:rsidRDefault="00E1215B">
      <w:pPr>
        <w:rPr>
          <w:noProof/>
        </w:rPr>
      </w:pPr>
      <w:r>
        <w:rPr>
          <w:noProof/>
        </w:rPr>
        <w:t>Equity-based crowdfunding is particularly significant for funding busines</w:t>
      </w:r>
      <w:r>
        <w:rPr>
          <w:noProof/>
        </w:rPr>
        <w:t>s start-ups. The average deal size in equity-based crowdfunding is now approximately EUR 459 000, in contrast to just over EUR 190 000 for debt-based securities, just under EUR 100 000 for peer-to-peer business loans and just under EUR 10 000 for peer-to-p</w:t>
      </w:r>
      <w:r>
        <w:rPr>
          <w:noProof/>
        </w:rPr>
        <w:t xml:space="preserve">eer consumer loans. </w:t>
      </w:r>
    </w:p>
    <w:p w:rsidR="00083C3F" w:rsidRDefault="00E1215B">
      <w:pPr>
        <w:rPr>
          <w:noProof/>
        </w:rPr>
      </w:pPr>
      <w:r>
        <w:rPr>
          <w:noProof/>
        </w:rPr>
        <w:t>A third form of crowdfunding used for business is ‘loan’ crowdfunding (also known as ‘crowdlending’ or ‘marketplace lending’). As the name suggests, this involves (retail) funders advancing credit to businesses, usually with the aid of</w:t>
      </w:r>
      <w:r>
        <w:rPr>
          <w:noProof/>
        </w:rPr>
        <w:t xml:space="preserve"> credit scores produced by the platform. It too has grown very rapidly as a form of small business finance. As mentioned above, debt financing is unsuitable for firms without fixed assets, which is borne out by the fact that loan crowdfunding tends to be s</w:t>
      </w:r>
      <w:r>
        <w:rPr>
          <w:noProof/>
        </w:rPr>
        <w:t>ought by established small businesses, as opposed to start-ups (Mach et al 2014).</w:t>
      </w:r>
    </w:p>
    <w:p w:rsidR="00083C3F" w:rsidRDefault="00E1215B">
      <w:pPr>
        <w:rPr>
          <w:noProof/>
        </w:rPr>
      </w:pPr>
      <w:r>
        <w:rPr>
          <w:noProof/>
        </w:rPr>
        <w:t>Asset class shares within P2P have remained very consistent.  For the last 2 years SME lending has represented around 45% of the volume while consumer and invoice lending hav</w:t>
      </w:r>
      <w:r>
        <w:rPr>
          <w:noProof/>
        </w:rPr>
        <w:t>e 38% and 12% respectively.</w:t>
      </w:r>
    </w:p>
    <w:p w:rsidR="00083C3F" w:rsidRDefault="00E1215B">
      <w:pPr>
        <w:rPr>
          <w:noProof/>
        </w:rPr>
      </w:pPr>
      <w:r>
        <w:rPr>
          <w:noProof/>
        </w:rPr>
        <w:t>Furthermore, there is a rising institutionalisation of crowdfunding – 26% of peer-to-peer consumer lending, 24% of peer-to-peer business lending and 8% of equity investment. This is combined with a high degree of automation in l</w:t>
      </w:r>
      <w:r>
        <w:rPr>
          <w:noProof/>
        </w:rPr>
        <w:t>ending (selection or bidding processes) – 82% of consumer loans, 78% of traded invoices and 38% of business loans. Invoice trading is gaining momentum – growing from EUR 7 million in 2014 to EUR 81 million in 2015. Finally, the formation of new platforms h</w:t>
      </w:r>
      <w:r>
        <w:rPr>
          <w:noProof/>
        </w:rPr>
        <w:t>as peaked and a phase of </w:t>
      </w:r>
      <w:r>
        <w:rPr>
          <w:rStyle w:val="Emphasis"/>
          <w:i w:val="0"/>
          <w:noProof/>
        </w:rPr>
        <w:t>consolidation has started</w:t>
      </w:r>
      <w:r>
        <w:rPr>
          <w:noProof/>
        </w:rPr>
        <w:t xml:space="preserve">. </w:t>
      </w:r>
    </w:p>
    <w:p w:rsidR="00083C3F" w:rsidRDefault="00E1215B">
      <w:pPr>
        <w:pStyle w:val="Caption"/>
      </w:pPr>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5</w:t>
      </w:r>
      <w:r>
        <w:fldChar w:fldCharType="end"/>
      </w:r>
      <w:r>
        <w:t xml:space="preserve"> Top Three Countries by Model - Alternative Finance Volume (excl. UK) 2015 (EUR million) </w:t>
      </w:r>
    </w:p>
    <w:p w:rsidR="00083C3F" w:rsidRDefault="00E1215B">
      <w:pPr>
        <w:pStyle w:val="Figure"/>
        <w:rPr>
          <w:noProof/>
        </w:rPr>
      </w:pPr>
      <w:r>
        <w:rPr>
          <w:noProof/>
          <w:lang w:eastAsia="en-GB"/>
        </w:rPr>
        <w:drawing>
          <wp:inline distT="0" distB="0" distL="0" distR="0" wp14:anchorId="29A45E96" wp14:editId="21CD6EB8">
            <wp:extent cx="5718412" cy="2777319"/>
            <wp:effectExtent l="0" t="0" r="0" b="44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3C3F" w:rsidRDefault="00E1215B">
      <w:pPr>
        <w:pStyle w:val="Source"/>
        <w:rPr>
          <w:noProof/>
        </w:rPr>
      </w:pPr>
      <w:r>
        <w:rPr>
          <w:noProof/>
        </w:rPr>
        <w:t>Source:  European alternative finance report 2016</w:t>
      </w:r>
    </w:p>
    <w:p w:rsidR="00083C3F" w:rsidRDefault="00E1215B">
      <w:pPr>
        <w:rPr>
          <w:rFonts w:eastAsia="Times New Roman"/>
          <w:noProof/>
        </w:rPr>
      </w:pPr>
      <w:r>
        <w:rPr>
          <w:noProof/>
        </w:rPr>
        <w:t>Due</w:t>
      </w:r>
      <w:r>
        <w:rPr>
          <w:noProof/>
        </w:rPr>
        <w:t xml:space="preserve"> to the lack of a precise definition of crowdfunding and the absence of applicable EU legislation, localised platforms that want to operate cross-border have to comply with several – and often divergent - national rules. Market activity in the crowdfunding</w:t>
      </w:r>
      <w:r>
        <w:rPr>
          <w:noProof/>
        </w:rPr>
        <w:t xml:space="preserve"> sector remains mostly domestic. Almost half of platforms indicated that not even a part of the funds they helped raise were supplied by foreign investors. A third of platforms indicated that they had raised less than 10% from foreign investors. Different </w:t>
      </w:r>
      <w:r>
        <w:rPr>
          <w:noProof/>
        </w:rPr>
        <w:t>consumer or investor protection rules, among other factors, seem to lead many platforms to refuse to provide their services to non-residents and make extension to new markets possible only through new establishments. With regards to foreign outflows, 76% o</w:t>
      </w:r>
      <w:r>
        <w:rPr>
          <w:noProof/>
        </w:rPr>
        <w:t>f platforms reported that 0% of the funds raised went to projects outside the national border.</w:t>
      </w:r>
    </w:p>
    <w:p w:rsidR="00083C3F" w:rsidRDefault="00E1215B">
      <w:pPr>
        <w:pStyle w:val="Heading4"/>
        <w:ind w:left="0" w:firstLine="510"/>
        <w:rPr>
          <w:rFonts w:eastAsia="Times New Roman"/>
          <w:noProof/>
        </w:rPr>
      </w:pPr>
      <w:r>
        <w:rPr>
          <w:rFonts w:eastAsia="Times New Roman"/>
          <w:noProof/>
        </w:rPr>
        <w:t>Private placement</w:t>
      </w:r>
    </w:p>
    <w:p w:rsidR="00083C3F" w:rsidRDefault="00E1215B">
      <w:pPr>
        <w:rPr>
          <w:noProof/>
        </w:rPr>
      </w:pPr>
      <w:r>
        <w:rPr>
          <w:noProof/>
        </w:rPr>
        <w:t>A private placement is generally understood as a medium or a long-term financing transaction of debt securities (in a loan or a bond format) be</w:t>
      </w:r>
      <w:r>
        <w:rPr>
          <w:noProof/>
        </w:rPr>
        <w:t xml:space="preserve">tween a listed or unlisted company and a small number of institutional investors, without a public offer. Investors involved in private placements are usually banks, mutual funds, insurance companies and pension funds. </w:t>
      </w:r>
    </w:p>
    <w:p w:rsidR="00083C3F" w:rsidRDefault="00E1215B">
      <w:pPr>
        <w:autoSpaceDE w:val="0"/>
        <w:autoSpaceDN w:val="0"/>
        <w:adjustRightInd w:val="0"/>
        <w:spacing w:after="0"/>
        <w:rPr>
          <w:noProof/>
        </w:rPr>
      </w:pPr>
      <w:r>
        <w:rPr>
          <w:noProof/>
        </w:rPr>
        <w:t>Private placement markets broaden th</w:t>
      </w:r>
      <w:r>
        <w:rPr>
          <w:noProof/>
        </w:rPr>
        <w:t xml:space="preserve">e availability of finance for unlisted medium-sized companies. A key benefit of taking the private placement route for mid-sized companies is the diversification of their funding away from bank lending. In the current low rate environment, the development </w:t>
      </w:r>
      <w:r>
        <w:rPr>
          <w:noProof/>
        </w:rPr>
        <w:t>of private placements is also beneficial for institutional investors as it allows for higher yields, asset risk diversification and long-term asset matching.</w:t>
      </w:r>
    </w:p>
    <w:p w:rsidR="00083C3F" w:rsidRDefault="00083C3F">
      <w:pPr>
        <w:autoSpaceDE w:val="0"/>
        <w:autoSpaceDN w:val="0"/>
        <w:adjustRightInd w:val="0"/>
        <w:spacing w:after="0"/>
        <w:rPr>
          <w:noProof/>
        </w:rPr>
      </w:pPr>
    </w:p>
    <w:p w:rsidR="00083C3F" w:rsidRDefault="00E1215B">
      <w:pPr>
        <w:rPr>
          <w:noProof/>
        </w:rPr>
      </w:pPr>
      <w:r>
        <w:rPr>
          <w:noProof/>
        </w:rPr>
        <w:t>With more than EUR 26 billion at the end of 2016, the German </w:t>
      </w:r>
      <w:r>
        <w:rPr>
          <w:rStyle w:val="Emphasis"/>
          <w:noProof/>
        </w:rPr>
        <w:t>Schuldschein</w:t>
      </w:r>
      <w:r>
        <w:rPr>
          <w:noProof/>
        </w:rPr>
        <w:t> is by far the largest p</w:t>
      </w:r>
      <w:r>
        <w:rPr>
          <w:noProof/>
        </w:rPr>
        <w:t>rivate placement market in Europe (Scope Ratings 2017). More than 80% of </w:t>
      </w:r>
      <w:r>
        <w:rPr>
          <w:rStyle w:val="Emphasis"/>
          <w:noProof/>
        </w:rPr>
        <w:t>Schuldschein</w:t>
      </w:r>
      <w:r>
        <w:rPr>
          <w:noProof/>
        </w:rPr>
        <w:t xml:space="preserve"> loans are bought by banks, particularly German savings and cooperative banks. </w:t>
      </w:r>
      <w:r>
        <w:rPr>
          <w:rStyle w:val="Emphasis"/>
          <w:noProof/>
        </w:rPr>
        <w:t>Schuldschein</w:t>
      </w:r>
      <w:r>
        <w:rPr>
          <w:noProof/>
        </w:rPr>
        <w:t> have also created a growing interest among international investors since they r</w:t>
      </w:r>
      <w:r>
        <w:rPr>
          <w:noProof/>
        </w:rPr>
        <w:t>epresent a third of the total number of investors. The demand for issuing by foreign firms reached 45% in 2015 in the German </w:t>
      </w:r>
      <w:r>
        <w:rPr>
          <w:rStyle w:val="Emphasis"/>
          <w:noProof/>
        </w:rPr>
        <w:t>Schuldschein</w:t>
      </w:r>
      <w:r>
        <w:rPr>
          <w:noProof/>
        </w:rPr>
        <w:t> market (Scope Ratings 2017).</w:t>
      </w:r>
    </w:p>
    <w:p w:rsidR="00083C3F" w:rsidRDefault="00E1215B">
      <w:pPr>
        <w:pStyle w:val="Caption"/>
      </w:pPr>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6</w:t>
      </w:r>
      <w:r>
        <w:fldChar w:fldCharType="end"/>
      </w:r>
      <w:r>
        <w:t xml:space="preserve">. Shuldscheindarlehen volume of German and non-German issuers (EUR billion) </w:t>
      </w:r>
    </w:p>
    <w:p w:rsidR="00083C3F" w:rsidRDefault="00E1215B">
      <w:pPr>
        <w:pStyle w:val="Figure"/>
        <w:rPr>
          <w:noProof/>
        </w:rPr>
      </w:pPr>
      <w:r>
        <w:rPr>
          <w:noProof/>
          <w:lang w:eastAsia="en-GB"/>
        </w:rPr>
        <w:drawing>
          <wp:inline distT="0" distB="0" distL="0" distR="0" wp14:anchorId="611D5498" wp14:editId="3D433D8F">
            <wp:extent cx="5760720" cy="1903730"/>
            <wp:effectExtent l="0" t="0" r="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83C3F" w:rsidRDefault="00E1215B">
      <w:pPr>
        <w:pStyle w:val="Caption"/>
      </w:pPr>
      <w:r>
        <w:t>Source: Scope Ratings</w:t>
      </w:r>
    </w:p>
    <w:p w:rsidR="00083C3F" w:rsidRDefault="00083C3F">
      <w:pPr>
        <w:rPr>
          <w:noProof/>
        </w:rPr>
      </w:pPr>
    </w:p>
    <w:p w:rsidR="00083C3F" w:rsidRDefault="00E1215B">
      <w:pPr>
        <w:rPr>
          <w:noProof/>
        </w:rPr>
      </w:pPr>
      <w:r>
        <w:rPr>
          <w:noProof/>
        </w:rPr>
        <w:t>The European private placement markets beyond Germany are smaller, but growing, with EUR 8.4 billion raised and 103 deals in 2015, compared to 4.7 billion</w:t>
      </w:r>
      <w:r>
        <w:rPr>
          <w:noProof/>
        </w:rPr>
        <w:t xml:space="preserve"> and 85 deals in 2014 (Dealogic 2016). Outside Germany, the French Euro-PP market remains the private placement largest market with EUR 4.8 billion in 2015. Insurance companies are the largest investors in French Euro-PPs. </w:t>
      </w:r>
    </w:p>
    <w:p w:rsidR="00083C3F" w:rsidRDefault="00E1215B">
      <w:pPr>
        <w:pStyle w:val="Caption"/>
      </w:pPr>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w:instrText>
      </w:r>
      <w:r>
        <w:instrText xml:space="preserve">Figure \* ARABIC \s 1 </w:instrText>
      </w:r>
      <w:r>
        <w:fldChar w:fldCharType="separate"/>
      </w:r>
      <w:r>
        <w:t>7</w:t>
      </w:r>
      <w:r>
        <w:fldChar w:fldCharType="end"/>
      </w:r>
      <w:r>
        <w:t>. 2015 European Private Placement Volume (EUR 8.4 bilion) By Country</w:t>
      </w:r>
    </w:p>
    <w:p w:rsidR="00083C3F" w:rsidRDefault="00E1215B">
      <w:pPr>
        <w:pStyle w:val="Figure"/>
        <w:rPr>
          <w:noProof/>
        </w:rPr>
      </w:pPr>
      <w:r>
        <w:rPr>
          <w:noProof/>
          <w:lang w:eastAsia="en-GB"/>
        </w:rPr>
        <w:drawing>
          <wp:inline distT="0" distB="0" distL="0" distR="0" wp14:anchorId="579D77D5" wp14:editId="4F0AFAE6">
            <wp:extent cx="4572000" cy="1880006"/>
            <wp:effectExtent l="0" t="0" r="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83C3F" w:rsidRDefault="00E1215B">
      <w:pPr>
        <w:pStyle w:val="Source"/>
        <w:rPr>
          <w:noProof/>
        </w:rPr>
      </w:pPr>
      <w:r>
        <w:rPr>
          <w:noProof/>
        </w:rPr>
        <w:t>Source: Dealogic</w:t>
      </w:r>
    </w:p>
    <w:p w:rsidR="00083C3F" w:rsidRDefault="00E1215B">
      <w:pPr>
        <w:rPr>
          <w:noProof/>
        </w:rPr>
      </w:pPr>
      <w:r>
        <w:rPr>
          <w:noProof/>
        </w:rPr>
        <w:t>The credit quality of issuers accessing the French Euro-PP market is wider than in the German market as it is open to non-investment grade cre</w:t>
      </w:r>
      <w:r>
        <w:rPr>
          <w:noProof/>
        </w:rPr>
        <w:t>dit quality as well. HSBC estimate that around 40% of the issuers have an implied BBB- (investment grade) rating, 15% of them have a better rating, and around 28% are an implied BB+/BB grade.</w:t>
      </w:r>
    </w:p>
    <w:p w:rsidR="00083C3F" w:rsidRDefault="00E1215B">
      <w:pPr>
        <w:rPr>
          <w:noProof/>
        </w:rPr>
      </w:pPr>
      <w:r>
        <w:rPr>
          <w:noProof/>
        </w:rPr>
        <w:t>Despite its recent success, the development of private placement</w:t>
      </w:r>
      <w:r>
        <w:rPr>
          <w:noProof/>
        </w:rPr>
        <w:t xml:space="preserve"> markets is very uneven and the PP market was sluggish in 2016. Although private placement activity is now well-established in France (Euro-PP) and Germany (</w:t>
      </w:r>
      <w:r>
        <w:rPr>
          <w:i/>
          <w:noProof/>
        </w:rPr>
        <w:t>Schuldschein</w:t>
      </w:r>
      <w:r>
        <w:rPr>
          <w:noProof/>
        </w:rPr>
        <w:t xml:space="preserve">) and is taking off in few other Member States; it remains largely underdeveloped in </w:t>
      </w:r>
      <w:r>
        <w:rPr>
          <w:noProof/>
        </w:rPr>
        <w:t>many EU jurisdictions.</w:t>
      </w:r>
    </w:p>
    <w:p w:rsidR="00083C3F" w:rsidRDefault="00E1215B">
      <w:pPr>
        <w:rPr>
          <w:noProof/>
        </w:rPr>
      </w:pPr>
      <w:bookmarkStart w:id="93" w:name="_Toc481140372"/>
      <w:r>
        <w:rPr>
          <w:noProof/>
        </w:rPr>
        <w:t xml:space="preserve">Due to a lack of a mature private placement market in the EU, companies in the EU have historically been actively tapping the US private placement. </w:t>
      </w:r>
      <w:r>
        <w:rPr>
          <w:rStyle w:val="Strong"/>
          <w:noProof/>
        </w:rPr>
        <w:t> </w:t>
      </w:r>
      <w:r>
        <w:rPr>
          <w:noProof/>
        </w:rPr>
        <w:t xml:space="preserve">In 2015, Europe-based groups raised EUR 8.1 billion of private placement funding in </w:t>
      </w:r>
      <w:r>
        <w:rPr>
          <w:noProof/>
        </w:rPr>
        <w:t>the US, representing 20% of the EUR 40 billion total paper issued in the US in 2014.</w:t>
      </w:r>
    </w:p>
    <w:p w:rsidR="00083C3F" w:rsidRDefault="00E1215B">
      <w:pPr>
        <w:pStyle w:val="Heading2"/>
        <w:rPr>
          <w:noProof/>
        </w:rPr>
      </w:pPr>
      <w:bookmarkStart w:id="94" w:name="_Toc482710946"/>
      <w:bookmarkStart w:id="95" w:name="_Toc482715268"/>
      <w:r>
        <w:rPr>
          <w:noProof/>
        </w:rPr>
        <w:t>General policy implications</w:t>
      </w:r>
      <w:bookmarkEnd w:id="93"/>
      <w:bookmarkEnd w:id="94"/>
      <w:bookmarkEnd w:id="95"/>
    </w:p>
    <w:p w:rsidR="00083C3F" w:rsidRDefault="00E1215B">
      <w:pPr>
        <w:rPr>
          <w:noProof/>
        </w:rPr>
      </w:pPr>
      <w:r>
        <w:rPr>
          <w:noProof/>
        </w:rPr>
        <w:t>Successful entrepreneurs, start-ups, scale-ups and other small and medium-sized firms need access to different types of financing to fund innov</w:t>
      </w:r>
      <w:r>
        <w:rPr>
          <w:noProof/>
        </w:rPr>
        <w:t>ation and their expansion. The work focuses in particular on strengthening market-based finance in a number of key areas, notably the following:</w:t>
      </w:r>
    </w:p>
    <w:p w:rsidR="00083C3F" w:rsidRDefault="00E1215B">
      <w:pPr>
        <w:ind w:left="567" w:hanging="567"/>
        <w:rPr>
          <w:noProof/>
        </w:rPr>
      </w:pPr>
      <w:r>
        <w:rPr>
          <w:noProof/>
        </w:rPr>
        <w:t>1.</w:t>
      </w:r>
      <w:r>
        <w:rPr>
          <w:noProof/>
        </w:rPr>
        <w:tab/>
      </w:r>
      <w:r>
        <w:rPr>
          <w:b/>
          <w:noProof/>
        </w:rPr>
        <w:t>Venture capital</w:t>
      </w:r>
      <w:r>
        <w:rPr>
          <w:noProof/>
        </w:rPr>
        <w:t>: EU venture capital markets remain fragmented, lacking scale and geographical reach. Good pr</w:t>
      </w:r>
      <w:r>
        <w:rPr>
          <w:noProof/>
        </w:rPr>
        <w:t>ogress has been made on the implementation of the venture capital package that the Commission brought forward in the CMU Action Plan. It is expected that the European VC Funds-of-Funds will be able to commence capital raising and investing in Q3 2017. It w</w:t>
      </w:r>
      <w:r>
        <w:rPr>
          <w:noProof/>
        </w:rPr>
        <w:t>ill have firepower of around EUR 1.6 billion, with cornerstone investments of up to EUR 400 million from public finances. Agreement on the European Venture Capital Funds (EuVECA) proposal could pave the way to extend the range of managers eligible to marke</w:t>
      </w:r>
      <w:r>
        <w:rPr>
          <w:noProof/>
        </w:rPr>
        <w:t>t and manage these funds, increase the range of companies that can be invested in by EuVECA funds, and make the registration and cross-border marketing of these funds easier and cheaper. The comprehensive study is being published on tax incentives for vent</w:t>
      </w:r>
      <w:r>
        <w:rPr>
          <w:noProof/>
        </w:rPr>
        <w:t>ure capital and business angel investments offered by the Member States. It identifies good practices for the design and implementation of key features (e.g. targeting) of such tax incentives which could help improve their effectiveness and foster the deve</w:t>
      </w:r>
      <w:r>
        <w:rPr>
          <w:noProof/>
        </w:rPr>
        <w:t>lopment of local capital markets</w:t>
      </w:r>
    </w:p>
    <w:p w:rsidR="00083C3F" w:rsidRDefault="00E1215B">
      <w:pPr>
        <w:ind w:left="567" w:hanging="567"/>
        <w:rPr>
          <w:noProof/>
        </w:rPr>
      </w:pPr>
      <w:r>
        <w:rPr>
          <w:noProof/>
        </w:rPr>
        <w:t>2</w:t>
      </w:r>
      <w:r>
        <w:rPr>
          <w:b/>
          <w:noProof/>
        </w:rPr>
        <w:t>.</w:t>
      </w:r>
      <w:r>
        <w:rPr>
          <w:b/>
          <w:noProof/>
        </w:rPr>
        <w:tab/>
        <w:t xml:space="preserve">Markets for the private placement of corporate debt </w:t>
      </w:r>
      <w:r>
        <w:rPr>
          <w:noProof/>
        </w:rPr>
        <w:t>have made big strides in recent years, but their development is very uneven in Europe. Building on the experience of well-functioning national regimes (such as Schuldsc</w:t>
      </w:r>
      <w:r>
        <w:rPr>
          <w:noProof/>
        </w:rPr>
        <w:t>heine in Germany and the Euro-PP market in France), the dissemination of best practices could enhance the take-up of private placement across a wider selection of EU Member States which are big enough to host a local private debt market. Moreover, insuranc</w:t>
      </w:r>
      <w:r>
        <w:rPr>
          <w:noProof/>
        </w:rPr>
        <w:t>e undertakings could be incentivised to invest to a greater extent into markets for privately placed corporate debt and for private equity through a reduction of the prudential treatment of these instruments in Solvency II.</w:t>
      </w:r>
    </w:p>
    <w:p w:rsidR="00083C3F" w:rsidRDefault="00E1215B">
      <w:pPr>
        <w:ind w:left="567" w:hanging="567"/>
        <w:rPr>
          <w:noProof/>
        </w:rPr>
      </w:pPr>
      <w:r>
        <w:rPr>
          <w:noProof/>
        </w:rPr>
        <w:t>3</w:t>
      </w:r>
      <w:r>
        <w:rPr>
          <w:b/>
          <w:noProof/>
        </w:rPr>
        <w:t>.</w:t>
      </w:r>
      <w:r>
        <w:rPr>
          <w:b/>
          <w:noProof/>
        </w:rPr>
        <w:tab/>
        <w:t>Supply chain finance</w:t>
      </w:r>
      <w:r>
        <w:rPr>
          <w:noProof/>
        </w:rPr>
        <w:t>: Many en</w:t>
      </w:r>
      <w:r>
        <w:rPr>
          <w:noProof/>
        </w:rPr>
        <w:t>trepreneurs, start-ups and small businesses fail due to cash flow problems although having a viable business model. Market practices on supply chain finance to help companies overcome temporary cash flow problems, such as factoring and invoice trading, are</w:t>
      </w:r>
      <w:r>
        <w:rPr>
          <w:noProof/>
        </w:rPr>
        <w:t xml:space="preserve"> already well established and should be further boosted by the increasing up-take of electronic invoicing (notably in light of the implementation of Directive 2014/55/EU on electronic invoicing in public procurement). FinTech firms are opening up new suppl</w:t>
      </w:r>
      <w:r>
        <w:rPr>
          <w:noProof/>
        </w:rPr>
        <w:t>y-chain financing opportunities for SMEs that were previously unavailable. Banks are also partnering up with FinTech firms to improve the existing models. The identification of best practices would provide support for the development of supply chain financ</w:t>
      </w:r>
      <w:r>
        <w:rPr>
          <w:noProof/>
        </w:rPr>
        <w:t>e.</w:t>
      </w:r>
    </w:p>
    <w:p w:rsidR="00083C3F" w:rsidRDefault="00E1215B">
      <w:pPr>
        <w:ind w:left="567" w:hanging="567"/>
        <w:rPr>
          <w:noProof/>
        </w:rPr>
      </w:pPr>
      <w:r>
        <w:rPr>
          <w:b/>
          <w:noProof/>
        </w:rPr>
        <w:t xml:space="preserve">4. </w:t>
      </w:r>
      <w:r>
        <w:rPr>
          <w:b/>
          <w:noProof/>
        </w:rPr>
        <w:tab/>
        <w:t>Better connecting SMEs with alternative finance possibilities</w:t>
      </w:r>
      <w:r>
        <w:rPr>
          <w:noProof/>
        </w:rPr>
        <w:t>: Member States have taken local initiatives or support initiatives to better connect SMEs with alternative finance providers and disseminate SME information to support creditworthiness as</w:t>
      </w:r>
      <w:r>
        <w:rPr>
          <w:noProof/>
        </w:rPr>
        <w:t>sessment, in particular by harnessing the potential of FinTech solutions. In April 2017, the Commission services also published a Call for Proposal under the Horizon 2020 programme to improve access to alternative forms of finance by innovative SMEs. The a</w:t>
      </w:r>
      <w:r>
        <w:rPr>
          <w:noProof/>
        </w:rPr>
        <w:t>im would be to allow funding capacity building projects to address information barriers for SME funding and increase the range of financing opportunities by drawing on these successful local initiatives.</w:t>
      </w:r>
    </w:p>
    <w:p w:rsidR="00083C3F" w:rsidRDefault="00E1215B">
      <w:pPr>
        <w:pStyle w:val="Heading2"/>
        <w:rPr>
          <w:noProof/>
        </w:rPr>
      </w:pPr>
      <w:bookmarkStart w:id="96" w:name="_Toc481140373"/>
      <w:bookmarkStart w:id="97" w:name="_Toc482710947"/>
      <w:bookmarkStart w:id="98" w:name="_Toc482715269"/>
      <w:r>
        <w:rPr>
          <w:noProof/>
        </w:rPr>
        <w:t>Key indicators</w:t>
      </w:r>
      <w:bookmarkEnd w:id="96"/>
      <w:bookmarkEnd w:id="97"/>
      <w:bookmarkEnd w:id="98"/>
      <w:r>
        <w:rPr>
          <w:noProof/>
        </w:rPr>
        <w:t xml:space="preserve"> </w:t>
      </w:r>
      <w:r>
        <w:rPr>
          <w:rStyle w:val="FootnoteReference"/>
          <w:noProof/>
        </w:rPr>
        <w:footnoteReference w:id="19"/>
      </w:r>
    </w:p>
    <w:p w:rsidR="00083C3F" w:rsidRDefault="00E1215B">
      <w:pPr>
        <w:pStyle w:val="Heading4"/>
        <w:rPr>
          <w:noProof/>
        </w:rPr>
      </w:pPr>
      <w:r>
        <w:rPr>
          <w:noProof/>
        </w:rPr>
        <w:t>EU SMEs' funding structure</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c>
          <w:tcPr>
            <w:tcW w:w="4735" w:type="dxa"/>
          </w:tcPr>
          <w:p w:rsidR="00083C3F" w:rsidRDefault="00083C3F">
            <w:pPr>
              <w:spacing w:after="0"/>
              <w:jc w:val="center"/>
              <w:rPr>
                <w:rFonts w:cs="Times New Roman"/>
                <w:noProof/>
              </w:rPr>
            </w:pPr>
          </w:p>
          <w:p w:rsidR="00083C3F" w:rsidRDefault="00E1215B">
            <w:pPr>
              <w:spacing w:after="0"/>
              <w:jc w:val="center"/>
              <w:rPr>
                <w:rFonts w:cs="Times New Roman"/>
                <w:noProof/>
              </w:rPr>
            </w:pPr>
            <w:r>
              <w:rPr>
                <w:rFonts w:cs="Times New Roman"/>
                <w:b/>
                <w:noProof/>
              </w:rPr>
              <w:t>Indicat</w:t>
            </w:r>
            <w:r>
              <w:rPr>
                <w:rFonts w:cs="Times New Roman"/>
                <w:b/>
                <w:noProof/>
              </w:rPr>
              <w:t>or</w:t>
            </w:r>
          </w:p>
        </w:tc>
        <w:tc>
          <w:tcPr>
            <w:tcW w:w="1559" w:type="dxa"/>
            <w:vAlign w:val="center"/>
          </w:tcPr>
          <w:p w:rsidR="00083C3F" w:rsidRDefault="00E1215B">
            <w:pPr>
              <w:spacing w:after="0"/>
              <w:jc w:val="center"/>
              <w:rPr>
                <w:rFonts w:cs="Times New Roman"/>
                <w:noProof/>
              </w:rPr>
            </w:pPr>
            <w:r>
              <w:rPr>
                <w:rFonts w:cs="Times New Roman"/>
                <w:b/>
                <w:noProof/>
              </w:rPr>
              <w:t>Last 5-year average</w:t>
            </w:r>
          </w:p>
        </w:tc>
        <w:tc>
          <w:tcPr>
            <w:tcW w:w="1559" w:type="dxa"/>
            <w:vAlign w:val="center"/>
          </w:tcPr>
          <w:p w:rsidR="00083C3F" w:rsidRDefault="00E1215B">
            <w:pPr>
              <w:spacing w:after="0"/>
              <w:jc w:val="center"/>
              <w:rPr>
                <w:rFonts w:cs="Times New Roman"/>
                <w:noProof/>
              </w:rPr>
            </w:pPr>
            <w:r>
              <w:rPr>
                <w:rFonts w:cs="Times New Roman"/>
                <w:b/>
                <w:noProof/>
              </w:rPr>
              <w:t xml:space="preserve">Latest observation </w:t>
            </w:r>
          </w:p>
        </w:tc>
        <w:tc>
          <w:tcPr>
            <w:tcW w:w="1559" w:type="dxa"/>
            <w:vAlign w:val="center"/>
          </w:tcPr>
          <w:p w:rsidR="00083C3F" w:rsidRDefault="00E1215B">
            <w:pPr>
              <w:spacing w:after="0"/>
              <w:jc w:val="center"/>
              <w:rPr>
                <w:rFonts w:cs="Times New Roman"/>
                <w:noProof/>
              </w:rPr>
            </w:pPr>
            <w:r>
              <w:rPr>
                <w:rFonts w:cs="Times New Roman"/>
                <w:b/>
                <w:noProof/>
              </w:rPr>
              <w:t>Value</w:t>
            </w:r>
          </w:p>
        </w:tc>
      </w:tr>
      <w:tr w:rsidR="00083C3F">
        <w:tc>
          <w:tcPr>
            <w:tcW w:w="4735" w:type="dxa"/>
          </w:tcPr>
          <w:p w:rsidR="00083C3F" w:rsidRDefault="00E1215B">
            <w:pPr>
              <w:spacing w:after="0"/>
              <w:jc w:val="left"/>
              <w:rPr>
                <w:noProof/>
              </w:rPr>
            </w:pPr>
            <w:r>
              <w:rPr>
                <w:rFonts w:cs="Times New Roman"/>
                <w:noProof/>
              </w:rPr>
              <w:t>Issuance of equity by euro-area SMEs over the last six months, % of total SMEs surveyed (SAFE survey)</w:t>
            </w:r>
          </w:p>
        </w:tc>
        <w:tc>
          <w:tcPr>
            <w:tcW w:w="1559" w:type="dxa"/>
            <w:vAlign w:val="center"/>
          </w:tcPr>
          <w:p w:rsidR="00083C3F" w:rsidRDefault="00E1215B">
            <w:pPr>
              <w:spacing w:after="0"/>
              <w:jc w:val="center"/>
              <w:rPr>
                <w:rFonts w:cs="Times New Roman"/>
                <w:noProof/>
              </w:rPr>
            </w:pPr>
            <w:r>
              <w:rPr>
                <w:rFonts w:cs="Times New Roman"/>
                <w:noProof/>
              </w:rPr>
              <w:t>4.3%</w:t>
            </w:r>
          </w:p>
        </w:tc>
        <w:tc>
          <w:tcPr>
            <w:tcW w:w="1559" w:type="dxa"/>
            <w:vAlign w:val="center"/>
          </w:tcPr>
          <w:p w:rsidR="00083C3F" w:rsidRDefault="00E1215B">
            <w:pPr>
              <w:spacing w:after="0"/>
              <w:jc w:val="center"/>
              <w:rPr>
                <w:rFonts w:cs="Times New Roman"/>
                <w:noProof/>
              </w:rPr>
            </w:pPr>
            <w:r>
              <w:rPr>
                <w:rFonts w:cs="Times New Roman"/>
                <w:noProof/>
              </w:rPr>
              <w:t>Jun 2015</w:t>
            </w:r>
          </w:p>
        </w:tc>
        <w:tc>
          <w:tcPr>
            <w:tcW w:w="1559" w:type="dxa"/>
            <w:vAlign w:val="center"/>
          </w:tcPr>
          <w:p w:rsidR="00083C3F" w:rsidRDefault="00E1215B">
            <w:pPr>
              <w:spacing w:after="0"/>
              <w:jc w:val="center"/>
              <w:rPr>
                <w:rFonts w:cs="Times New Roman"/>
                <w:noProof/>
              </w:rPr>
            </w:pPr>
            <w:r>
              <w:rPr>
                <w:rFonts w:cs="Times New Roman"/>
                <w:noProof/>
              </w:rPr>
              <w:t>1.4%</w:t>
            </w:r>
          </w:p>
        </w:tc>
      </w:tr>
    </w:tbl>
    <w:p w:rsidR="00083C3F" w:rsidRDefault="00E1215B">
      <w:pPr>
        <w:pStyle w:val="Heading4"/>
        <w:rPr>
          <w:noProof/>
        </w:rPr>
      </w:pPr>
      <w:r>
        <w:rPr>
          <w:noProof/>
        </w:rPr>
        <w:t>Funding with risk concentration</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rPr>
          <w:trHeight w:val="602"/>
        </w:trPr>
        <w:tc>
          <w:tcPr>
            <w:tcW w:w="4735" w:type="dxa"/>
          </w:tcPr>
          <w:p w:rsidR="00083C3F" w:rsidRDefault="00083C3F">
            <w:pPr>
              <w:spacing w:after="0"/>
              <w:jc w:val="center"/>
              <w:rPr>
                <w:rFonts w:cs="Times New Roman"/>
                <w:noProof/>
              </w:rPr>
            </w:pPr>
          </w:p>
          <w:p w:rsidR="00083C3F" w:rsidRDefault="00E1215B">
            <w:pPr>
              <w:spacing w:after="0"/>
              <w:jc w:val="center"/>
              <w:rPr>
                <w:rFonts w:cs="Times New Roman"/>
                <w:noProof/>
              </w:rPr>
            </w:pPr>
            <w:r>
              <w:rPr>
                <w:rFonts w:cs="Times New Roman"/>
                <w:b/>
                <w:noProof/>
              </w:rPr>
              <w:t>Indicator</w:t>
            </w:r>
          </w:p>
        </w:tc>
        <w:tc>
          <w:tcPr>
            <w:tcW w:w="1559" w:type="dxa"/>
            <w:vAlign w:val="center"/>
          </w:tcPr>
          <w:p w:rsidR="00083C3F" w:rsidRDefault="00E1215B">
            <w:pPr>
              <w:spacing w:after="0"/>
              <w:jc w:val="center"/>
              <w:rPr>
                <w:rFonts w:cs="Times New Roman"/>
                <w:noProof/>
              </w:rPr>
            </w:pPr>
            <w:r>
              <w:rPr>
                <w:rFonts w:cs="Times New Roman"/>
                <w:b/>
                <w:noProof/>
              </w:rPr>
              <w:t>Last 5-year average</w:t>
            </w:r>
          </w:p>
        </w:tc>
        <w:tc>
          <w:tcPr>
            <w:tcW w:w="1559" w:type="dxa"/>
            <w:vAlign w:val="center"/>
          </w:tcPr>
          <w:p w:rsidR="00083C3F" w:rsidRDefault="00E1215B">
            <w:pPr>
              <w:spacing w:after="0"/>
              <w:jc w:val="center"/>
              <w:rPr>
                <w:rFonts w:cs="Times New Roman"/>
                <w:noProof/>
              </w:rPr>
            </w:pPr>
            <w:r>
              <w:rPr>
                <w:rFonts w:cs="Times New Roman"/>
                <w:b/>
                <w:noProof/>
              </w:rPr>
              <w:t xml:space="preserve">Latest observation </w:t>
            </w:r>
          </w:p>
        </w:tc>
        <w:tc>
          <w:tcPr>
            <w:tcW w:w="1559" w:type="dxa"/>
            <w:vAlign w:val="center"/>
          </w:tcPr>
          <w:p w:rsidR="00083C3F" w:rsidRDefault="00E1215B">
            <w:pPr>
              <w:spacing w:after="0"/>
              <w:jc w:val="center"/>
              <w:rPr>
                <w:rFonts w:cs="Times New Roman"/>
                <w:noProof/>
              </w:rPr>
            </w:pPr>
            <w:r>
              <w:rPr>
                <w:rFonts w:cs="Times New Roman"/>
                <w:b/>
                <w:noProof/>
              </w:rPr>
              <w:t>Value</w:t>
            </w:r>
          </w:p>
        </w:tc>
      </w:tr>
      <w:tr w:rsidR="00083C3F">
        <w:tc>
          <w:tcPr>
            <w:tcW w:w="4735" w:type="dxa"/>
          </w:tcPr>
          <w:p w:rsidR="00083C3F" w:rsidRDefault="00E1215B">
            <w:pPr>
              <w:spacing w:after="0"/>
              <w:jc w:val="left"/>
              <w:rPr>
                <w:rFonts w:cs="Times New Roman"/>
                <w:noProof/>
              </w:rPr>
            </w:pPr>
            <w:r>
              <w:rPr>
                <w:noProof/>
              </w:rPr>
              <w:t>Angel investments outstanding investment (visible part), EUR million</w:t>
            </w:r>
          </w:p>
        </w:tc>
        <w:tc>
          <w:tcPr>
            <w:tcW w:w="1559" w:type="dxa"/>
            <w:vAlign w:val="center"/>
          </w:tcPr>
          <w:p w:rsidR="00083C3F" w:rsidRDefault="00E1215B">
            <w:pPr>
              <w:spacing w:after="0"/>
              <w:jc w:val="center"/>
              <w:rPr>
                <w:rFonts w:cs="Times New Roman"/>
                <w:noProof/>
              </w:rPr>
            </w:pPr>
            <w:r>
              <w:rPr>
                <w:rFonts w:cs="Times New Roman"/>
                <w:noProof/>
              </w:rPr>
              <w:t>EUR 580</w:t>
            </w:r>
            <w:r>
              <w:rPr>
                <w:rStyle w:val="FootnoteReference"/>
                <w:rFonts w:cs="Times New Roman"/>
                <w:noProof/>
              </w:rPr>
              <w:footnoteReference w:id="20"/>
            </w:r>
            <w:r>
              <w:rPr>
                <w:rFonts w:cs="Times New Roman"/>
                <w:noProof/>
              </w:rPr>
              <w:t xml:space="preserve"> million</w:t>
            </w:r>
          </w:p>
        </w:tc>
        <w:tc>
          <w:tcPr>
            <w:tcW w:w="1559" w:type="dxa"/>
            <w:vAlign w:val="center"/>
          </w:tcPr>
          <w:p w:rsidR="00083C3F" w:rsidRDefault="00E1215B">
            <w:pPr>
              <w:spacing w:after="0"/>
              <w:jc w:val="center"/>
              <w:rPr>
                <w:rFonts w:cs="Times New Roman"/>
                <w:noProof/>
              </w:rPr>
            </w:pPr>
            <w:r>
              <w:rPr>
                <w:rFonts w:cs="Times New Roman"/>
                <w:noProof/>
              </w:rPr>
              <w:t>2015</w:t>
            </w:r>
          </w:p>
        </w:tc>
        <w:tc>
          <w:tcPr>
            <w:tcW w:w="1559" w:type="dxa"/>
            <w:vAlign w:val="center"/>
          </w:tcPr>
          <w:p w:rsidR="00083C3F" w:rsidRDefault="00E1215B">
            <w:pPr>
              <w:spacing w:after="0"/>
              <w:jc w:val="center"/>
              <w:rPr>
                <w:rFonts w:cs="Times New Roman"/>
                <w:noProof/>
              </w:rPr>
            </w:pPr>
            <w:r>
              <w:rPr>
                <w:rFonts w:cs="Times New Roman"/>
                <w:noProof/>
              </w:rPr>
              <w:t>EUR 607 million</w:t>
            </w:r>
          </w:p>
        </w:tc>
      </w:tr>
      <w:tr w:rsidR="00083C3F">
        <w:tc>
          <w:tcPr>
            <w:tcW w:w="4735" w:type="dxa"/>
          </w:tcPr>
          <w:p w:rsidR="00083C3F" w:rsidRDefault="00E1215B">
            <w:pPr>
              <w:spacing w:after="0"/>
              <w:jc w:val="left"/>
              <w:rPr>
                <w:noProof/>
              </w:rPr>
            </w:pPr>
            <w:r>
              <w:rPr>
                <w:noProof/>
              </w:rPr>
              <w:t>Venture capital, investment, EUR billion</w:t>
            </w:r>
          </w:p>
        </w:tc>
        <w:tc>
          <w:tcPr>
            <w:tcW w:w="1559" w:type="dxa"/>
          </w:tcPr>
          <w:p w:rsidR="00083C3F" w:rsidRDefault="00E1215B">
            <w:pPr>
              <w:spacing w:after="0"/>
              <w:jc w:val="center"/>
              <w:rPr>
                <w:rFonts w:cs="Times New Roman"/>
                <w:noProof/>
              </w:rPr>
            </w:pPr>
            <w:r>
              <w:rPr>
                <w:rFonts w:cs="Times New Roman"/>
                <w:noProof/>
              </w:rPr>
              <w:t>EUR 3.8 billion</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EUR 4.4 billion</w:t>
            </w:r>
          </w:p>
        </w:tc>
      </w:tr>
      <w:tr w:rsidR="00083C3F">
        <w:tc>
          <w:tcPr>
            <w:tcW w:w="4735" w:type="dxa"/>
          </w:tcPr>
          <w:p w:rsidR="00083C3F" w:rsidRDefault="00E1215B">
            <w:pPr>
              <w:spacing w:after="0"/>
              <w:jc w:val="left"/>
              <w:rPr>
                <w:noProof/>
              </w:rPr>
            </w:pPr>
            <w:r>
              <w:rPr>
                <w:noProof/>
              </w:rPr>
              <w:t xml:space="preserve">Private equity, investment, EUR billion </w:t>
            </w:r>
          </w:p>
        </w:tc>
        <w:tc>
          <w:tcPr>
            <w:tcW w:w="1559" w:type="dxa"/>
            <w:vAlign w:val="center"/>
          </w:tcPr>
          <w:p w:rsidR="00083C3F" w:rsidRDefault="00E1215B">
            <w:pPr>
              <w:spacing w:after="0"/>
              <w:jc w:val="center"/>
              <w:rPr>
                <w:rFonts w:cs="Times New Roman"/>
                <w:noProof/>
              </w:rPr>
            </w:pPr>
            <w:r>
              <w:rPr>
                <w:rFonts w:cs="Times New Roman"/>
                <w:noProof/>
              </w:rPr>
              <w:t>EUR 46.9 billion</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EUR 53.7 billion</w:t>
            </w:r>
          </w:p>
        </w:tc>
      </w:tr>
    </w:tbl>
    <w:p w:rsidR="00083C3F" w:rsidRDefault="00E1215B">
      <w:pPr>
        <w:pStyle w:val="Heading4"/>
        <w:rPr>
          <w:noProof/>
        </w:rPr>
      </w:pPr>
      <w:r>
        <w:rPr>
          <w:noProof/>
        </w:rPr>
        <w:t>Funding with risk dispersion</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rPr>
          <w:trHeight w:val="655"/>
        </w:trPr>
        <w:tc>
          <w:tcPr>
            <w:tcW w:w="4735" w:type="dxa"/>
          </w:tcPr>
          <w:p w:rsidR="00083C3F" w:rsidRDefault="00083C3F">
            <w:pPr>
              <w:keepNext/>
              <w:keepLines/>
              <w:spacing w:after="0"/>
              <w:jc w:val="center"/>
              <w:rPr>
                <w:rFonts w:cs="Times New Roman"/>
                <w:noProof/>
              </w:rPr>
            </w:pPr>
          </w:p>
          <w:p w:rsidR="00083C3F" w:rsidRDefault="00E1215B">
            <w:pPr>
              <w:keepNext/>
              <w:keepLines/>
              <w:spacing w:after="0"/>
              <w:jc w:val="center"/>
              <w:rPr>
                <w:rFonts w:cs="Times New Roman"/>
                <w:noProof/>
              </w:rPr>
            </w:pPr>
            <w:r>
              <w:rPr>
                <w:rFonts w:cs="Times New Roman"/>
                <w:b/>
                <w:noProof/>
              </w:rPr>
              <w:t>Indicator</w:t>
            </w:r>
          </w:p>
        </w:tc>
        <w:tc>
          <w:tcPr>
            <w:tcW w:w="1559" w:type="dxa"/>
            <w:vAlign w:val="center"/>
          </w:tcPr>
          <w:p w:rsidR="00083C3F" w:rsidRDefault="00E1215B">
            <w:pPr>
              <w:keepNext/>
              <w:keepLines/>
              <w:spacing w:after="0"/>
              <w:jc w:val="center"/>
              <w:rPr>
                <w:rFonts w:cs="Times New Roman"/>
                <w:noProof/>
              </w:rPr>
            </w:pPr>
            <w:r>
              <w:rPr>
                <w:rFonts w:cs="Times New Roman"/>
                <w:b/>
                <w:noProof/>
              </w:rPr>
              <w:t>Last 5-year average</w:t>
            </w:r>
          </w:p>
        </w:tc>
        <w:tc>
          <w:tcPr>
            <w:tcW w:w="1559" w:type="dxa"/>
            <w:vAlign w:val="center"/>
          </w:tcPr>
          <w:p w:rsidR="00083C3F" w:rsidRDefault="00E1215B">
            <w:pPr>
              <w:keepNext/>
              <w:keepLines/>
              <w:spacing w:after="0"/>
              <w:jc w:val="center"/>
              <w:rPr>
                <w:rFonts w:cs="Times New Roman"/>
                <w:noProof/>
              </w:rPr>
            </w:pPr>
            <w:r>
              <w:rPr>
                <w:rFonts w:cs="Times New Roman"/>
                <w:b/>
                <w:noProof/>
              </w:rPr>
              <w:t>Latest observation</w:t>
            </w:r>
          </w:p>
        </w:tc>
        <w:tc>
          <w:tcPr>
            <w:tcW w:w="1559" w:type="dxa"/>
            <w:vAlign w:val="center"/>
          </w:tcPr>
          <w:p w:rsidR="00083C3F" w:rsidRDefault="00E1215B">
            <w:pPr>
              <w:keepNext/>
              <w:keepLines/>
              <w:spacing w:after="0"/>
              <w:jc w:val="center"/>
              <w:rPr>
                <w:rFonts w:cs="Times New Roman"/>
                <w:noProof/>
              </w:rPr>
            </w:pPr>
            <w:r>
              <w:rPr>
                <w:rFonts w:cs="Times New Roman"/>
                <w:b/>
                <w:noProof/>
              </w:rPr>
              <w:t>Value</w:t>
            </w:r>
          </w:p>
        </w:tc>
      </w:tr>
      <w:tr w:rsidR="00083C3F">
        <w:tc>
          <w:tcPr>
            <w:tcW w:w="4735" w:type="dxa"/>
          </w:tcPr>
          <w:p w:rsidR="00083C3F" w:rsidRDefault="00E1215B">
            <w:pPr>
              <w:keepNext/>
              <w:keepLines/>
              <w:spacing w:after="0"/>
              <w:jc w:val="left"/>
              <w:rPr>
                <w:rFonts w:cs="Times New Roman"/>
                <w:noProof/>
              </w:rPr>
            </w:pPr>
            <w:r>
              <w:rPr>
                <w:rFonts w:cs="Times New Roman"/>
                <w:noProof/>
              </w:rPr>
              <w:t>Alternative Finance (Crowdfunding) Volume by Model in Europe, EUR billion</w:t>
            </w:r>
          </w:p>
        </w:tc>
        <w:tc>
          <w:tcPr>
            <w:tcW w:w="1559" w:type="dxa"/>
            <w:vAlign w:val="center"/>
          </w:tcPr>
          <w:p w:rsidR="00083C3F" w:rsidRDefault="00E1215B">
            <w:pPr>
              <w:keepNext/>
              <w:keepLines/>
              <w:spacing w:after="0"/>
              <w:jc w:val="center"/>
              <w:rPr>
                <w:rFonts w:cs="Times New Roman"/>
                <w:noProof/>
              </w:rPr>
            </w:pPr>
            <w:r>
              <w:rPr>
                <w:rFonts w:cs="Times New Roman"/>
                <w:noProof/>
              </w:rPr>
              <w:t>NA</w:t>
            </w:r>
          </w:p>
        </w:tc>
        <w:tc>
          <w:tcPr>
            <w:tcW w:w="1559" w:type="dxa"/>
            <w:vAlign w:val="center"/>
          </w:tcPr>
          <w:p w:rsidR="00083C3F" w:rsidRDefault="00E1215B">
            <w:pPr>
              <w:keepNext/>
              <w:keepLines/>
              <w:spacing w:after="0"/>
              <w:jc w:val="center"/>
              <w:rPr>
                <w:rFonts w:cs="Times New Roman"/>
                <w:noProof/>
              </w:rPr>
            </w:pPr>
            <w:r>
              <w:rPr>
                <w:rFonts w:cs="Times New Roman"/>
                <w:noProof/>
              </w:rPr>
              <w:t>2014</w:t>
            </w:r>
          </w:p>
        </w:tc>
        <w:tc>
          <w:tcPr>
            <w:tcW w:w="1559" w:type="dxa"/>
            <w:vAlign w:val="center"/>
          </w:tcPr>
          <w:p w:rsidR="00083C3F" w:rsidRDefault="00E1215B">
            <w:pPr>
              <w:keepNext/>
              <w:keepLines/>
              <w:spacing w:after="0"/>
              <w:jc w:val="center"/>
              <w:rPr>
                <w:rFonts w:cs="Times New Roman"/>
                <w:noProof/>
              </w:rPr>
            </w:pPr>
            <w:r>
              <w:rPr>
                <w:rFonts w:cs="Times New Roman"/>
                <w:noProof/>
              </w:rPr>
              <w:t>EUR 1.2 billion</w:t>
            </w:r>
          </w:p>
        </w:tc>
      </w:tr>
      <w:tr w:rsidR="00083C3F">
        <w:tc>
          <w:tcPr>
            <w:tcW w:w="4735" w:type="dxa"/>
          </w:tcPr>
          <w:p w:rsidR="00083C3F" w:rsidRDefault="00E1215B">
            <w:pPr>
              <w:keepNext/>
              <w:keepLines/>
              <w:spacing w:after="0"/>
              <w:jc w:val="left"/>
              <w:rPr>
                <w:noProof/>
              </w:rPr>
            </w:pPr>
            <w:r>
              <w:rPr>
                <w:noProof/>
              </w:rPr>
              <w:t xml:space="preserve">European Private Placement Volume (EURO PP plus </w:t>
            </w:r>
            <w:r>
              <w:rPr>
                <w:i/>
                <w:noProof/>
              </w:rPr>
              <w:t>Schuldschein</w:t>
            </w:r>
            <w:r>
              <w:rPr>
                <w:noProof/>
              </w:rPr>
              <w:t>), EUR billion</w:t>
            </w:r>
          </w:p>
        </w:tc>
        <w:tc>
          <w:tcPr>
            <w:tcW w:w="1559" w:type="dxa"/>
            <w:vAlign w:val="center"/>
          </w:tcPr>
          <w:p w:rsidR="00083C3F" w:rsidRDefault="00E1215B">
            <w:pPr>
              <w:keepNext/>
              <w:keepLines/>
              <w:spacing w:after="0"/>
              <w:jc w:val="center"/>
              <w:rPr>
                <w:rFonts w:cs="Times New Roman"/>
                <w:noProof/>
              </w:rPr>
            </w:pPr>
            <w:r>
              <w:rPr>
                <w:rFonts w:cs="Times New Roman"/>
                <w:noProof/>
              </w:rPr>
              <w:t>EUR 19.7 billion</w:t>
            </w:r>
          </w:p>
        </w:tc>
        <w:tc>
          <w:tcPr>
            <w:tcW w:w="1559" w:type="dxa"/>
            <w:vAlign w:val="center"/>
          </w:tcPr>
          <w:p w:rsidR="00083C3F" w:rsidRDefault="00E1215B">
            <w:pPr>
              <w:keepNext/>
              <w:keepLines/>
              <w:spacing w:after="0"/>
              <w:jc w:val="center"/>
              <w:rPr>
                <w:rFonts w:cs="Times New Roman"/>
                <w:noProof/>
              </w:rPr>
            </w:pPr>
            <w:r>
              <w:rPr>
                <w:rFonts w:cs="Times New Roman"/>
                <w:noProof/>
              </w:rPr>
              <w:t>2015</w:t>
            </w:r>
          </w:p>
        </w:tc>
        <w:tc>
          <w:tcPr>
            <w:tcW w:w="1559" w:type="dxa"/>
            <w:vAlign w:val="center"/>
          </w:tcPr>
          <w:p w:rsidR="00083C3F" w:rsidRDefault="00E1215B">
            <w:pPr>
              <w:keepNext/>
              <w:keepLines/>
              <w:spacing w:after="0"/>
              <w:jc w:val="center"/>
              <w:rPr>
                <w:rFonts w:cs="Times New Roman"/>
                <w:noProof/>
              </w:rPr>
            </w:pPr>
            <w:r>
              <w:rPr>
                <w:rFonts w:cs="Times New Roman"/>
                <w:noProof/>
              </w:rPr>
              <w:t>EUR 27.8 billion</w:t>
            </w:r>
          </w:p>
        </w:tc>
      </w:tr>
    </w:tbl>
    <w:p w:rsidR="00083C3F" w:rsidRDefault="00083C3F">
      <w:pPr>
        <w:rPr>
          <w:noProof/>
        </w:rPr>
      </w:pPr>
    </w:p>
    <w:p w:rsidR="00083C3F" w:rsidRDefault="00E1215B">
      <w:pPr>
        <w:pStyle w:val="Heading1"/>
        <w:rPr>
          <w:noProof/>
        </w:rPr>
      </w:pPr>
      <w:bookmarkStart w:id="99" w:name="_Toc482710948"/>
      <w:bookmarkStart w:id="100" w:name="_Toc482715270"/>
      <w:bookmarkStart w:id="101" w:name="_Toc481140374"/>
      <w:r>
        <w:rPr>
          <w:noProof/>
        </w:rPr>
        <w:t>Making it Easier for Companies to Enter and Raise Capital on Public Markets</w:t>
      </w:r>
      <w:bookmarkEnd w:id="99"/>
      <w:bookmarkEnd w:id="100"/>
      <w:r>
        <w:rPr>
          <w:noProof/>
        </w:rPr>
        <w:t xml:space="preserve"> </w:t>
      </w:r>
      <w:bookmarkEnd w:id="101"/>
    </w:p>
    <w:p w:rsidR="00083C3F" w:rsidRDefault="00E1215B">
      <w:pPr>
        <w:rPr>
          <w:noProof/>
        </w:rPr>
      </w:pPr>
      <w:r>
        <w:rPr>
          <w:noProof/>
        </w:rPr>
        <w:t>Raising capital on public markets broadens the financing alternatives available to firms.</w:t>
      </w:r>
      <w:r>
        <w:rPr>
          <w:rStyle w:val="FootnoteReference"/>
          <w:rFonts w:cs="Times New Roman"/>
          <w:noProof/>
          <w:sz w:val="24"/>
          <w:szCs w:val="24"/>
        </w:rPr>
        <w:footnoteReference w:id="21"/>
      </w:r>
      <w:r>
        <w:rPr>
          <w:noProof/>
        </w:rPr>
        <w:t xml:space="preserve"> Access to public mar</w:t>
      </w:r>
      <w:r>
        <w:rPr>
          <w:noProof/>
        </w:rPr>
        <w:t>kets benefits firms by diversifying their investment base and by facilitating subsequent access to financing and M&amp;A activities. For SMEs, ready access to equity markets also offers an 'exit strategy' for investors who invested in the earlier stages of the</w:t>
      </w:r>
      <w:r>
        <w:rPr>
          <w:noProof/>
        </w:rPr>
        <w:t xml:space="preserve"> firm's life cycle. Given that SMEs might face additional structural barriers compared to large firms,</w:t>
      </w:r>
      <w:r>
        <w:rPr>
          <w:rStyle w:val="FootnoteReference"/>
          <w:noProof/>
        </w:rPr>
        <w:footnoteReference w:id="22"/>
      </w:r>
      <w:r>
        <w:rPr>
          <w:noProof/>
        </w:rPr>
        <w:t xml:space="preserve"> they are discussed separately. </w:t>
      </w:r>
    </w:p>
    <w:p w:rsidR="00083C3F" w:rsidRDefault="00E1215B">
      <w:pPr>
        <w:rPr>
          <w:noProof/>
        </w:rPr>
      </w:pPr>
      <w:r>
        <w:rPr>
          <w:noProof/>
        </w:rPr>
        <w:t>Investors benefit from public markets also thanks to additional diversification opportunities and increased transparency</w:t>
      </w:r>
      <w:r>
        <w:rPr>
          <w:noProof/>
        </w:rPr>
        <w:t>. In effect, mandatory disclosure of listed firms mitigate information asymmetries, reducing investors' search costs and allowing them to take better informed investment decisions.</w:t>
      </w:r>
      <w:r>
        <w:rPr>
          <w:rStyle w:val="FootnoteReference"/>
          <w:rFonts w:cs="Times New Roman"/>
          <w:noProof/>
          <w:sz w:val="24"/>
          <w:szCs w:val="24"/>
        </w:rPr>
        <w:footnoteReference w:id="23"/>
      </w:r>
      <w:r>
        <w:rPr>
          <w:noProof/>
        </w:rPr>
        <w:t xml:space="preserve"> In a broader perspective, it stimulates the use of market-based financing </w:t>
      </w:r>
      <w:r>
        <w:rPr>
          <w:noProof/>
        </w:rPr>
        <w:t>which, in turn, supports economic growth (Cornède et al. 2015).</w:t>
      </w:r>
    </w:p>
    <w:p w:rsidR="00083C3F" w:rsidRDefault="00E1215B">
      <w:pPr>
        <w:pStyle w:val="Heading2"/>
        <w:rPr>
          <w:noProof/>
        </w:rPr>
      </w:pPr>
      <w:bookmarkStart w:id="102" w:name="_Toc482710949"/>
      <w:bookmarkStart w:id="103" w:name="_Toc482715271"/>
      <w:r>
        <w:rPr>
          <w:noProof/>
        </w:rPr>
        <w:t>Access to public markets</w:t>
      </w:r>
      <w:bookmarkStart w:id="104" w:name="_Toc448937492"/>
      <w:r>
        <w:rPr>
          <w:noProof/>
        </w:rPr>
        <w:t>: long-term trends</w:t>
      </w:r>
      <w:bookmarkEnd w:id="102"/>
      <w:bookmarkEnd w:id="103"/>
    </w:p>
    <w:p w:rsidR="00083C3F" w:rsidRDefault="00E1215B">
      <w:pPr>
        <w:rPr>
          <w:noProof/>
        </w:rPr>
      </w:pPr>
      <w:r>
        <w:rPr>
          <w:noProof/>
        </w:rPr>
        <w:t>EU capital markets, relative to the size of the economy, remain underdeveloped and fragmented compared to other developed countries like the US or Ja</w:t>
      </w:r>
      <w:r>
        <w:rPr>
          <w:noProof/>
        </w:rPr>
        <w:t>pan. For instance, stock market capitalisation to GDP in Europe was about one third of the ratio for the US in 2015. Significant differences in the depth of equity and bond markets also exists within Europe, with Member States that joined more recently oft</w:t>
      </w:r>
      <w:r>
        <w:rPr>
          <w:noProof/>
        </w:rPr>
        <w:t>en having less developed markets.</w:t>
      </w:r>
    </w:p>
    <w:p w:rsidR="00083C3F" w:rsidRDefault="00E1215B">
      <w:pPr>
        <w:pStyle w:val="Heading3"/>
        <w:rPr>
          <w:noProof/>
        </w:rPr>
      </w:pPr>
      <w:bookmarkStart w:id="105" w:name="_Toc480296748"/>
      <w:bookmarkStart w:id="106" w:name="_Toc482710950"/>
      <w:bookmarkStart w:id="107" w:name="_Toc482715272"/>
      <w:r>
        <w:rPr>
          <w:noProof/>
        </w:rPr>
        <w:t>Financial structure of EU firms</w:t>
      </w:r>
      <w:bookmarkEnd w:id="105"/>
      <w:bookmarkEnd w:id="106"/>
      <w:bookmarkEnd w:id="107"/>
      <w:r>
        <w:rPr>
          <w:noProof/>
        </w:rPr>
        <w:t xml:space="preserve"> </w:t>
      </w:r>
    </w:p>
    <w:p w:rsidR="00083C3F" w:rsidRDefault="00E1215B">
      <w:pPr>
        <w:rPr>
          <w:noProof/>
        </w:rPr>
      </w:pPr>
      <w:r>
        <w:rPr>
          <w:noProof/>
        </w:rPr>
        <w:t>EU firms are typically known for their overreliance on bank lending, especially for SMEs. In the period from 2002-2008, banking lending accounted for 70% of total financing in the euro area</w:t>
      </w:r>
      <w:r>
        <w:rPr>
          <w:noProof/>
        </w:rPr>
        <w:t xml:space="preserve">, compared to only 40% in the US (See </w:t>
      </w:r>
      <w:r>
        <w:rPr>
          <w:noProof/>
        </w:rPr>
        <w:fldChar w:fldCharType="begin"/>
      </w:r>
      <w:r>
        <w:rPr>
          <w:noProof/>
        </w:rPr>
        <w:instrText xml:space="preserve"> REF _Ref481056598 \h </w:instrText>
      </w:r>
      <w:r>
        <w:rPr>
          <w:noProof/>
        </w:rPr>
      </w:r>
      <w:r>
        <w:rPr>
          <w:noProof/>
        </w:rPr>
        <w:fldChar w:fldCharType="separate"/>
      </w:r>
      <w:r>
        <w:rPr>
          <w:noProof/>
        </w:rPr>
        <w:t>Figure 3.1</w:t>
      </w:r>
      <w:r>
        <w:rPr>
          <w:noProof/>
        </w:rPr>
        <w:fldChar w:fldCharType="end"/>
      </w:r>
      <w:r>
        <w:rPr>
          <w:noProof/>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83C3F">
        <w:tc>
          <w:tcPr>
            <w:tcW w:w="5000" w:type="pct"/>
          </w:tcPr>
          <w:p w:rsidR="00083C3F" w:rsidRDefault="00E1215B">
            <w:pPr>
              <w:pStyle w:val="Caption"/>
            </w:pPr>
            <w:bookmarkStart w:id="108" w:name="_Ref481056598"/>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1</w:t>
            </w:r>
            <w:r>
              <w:fldChar w:fldCharType="end"/>
            </w:r>
            <w:bookmarkEnd w:id="108"/>
            <w:r>
              <w:t xml:space="preserve"> Share of bank to non-bank financing of NFCs in the euro area and the US (cumulated transactions)</w:t>
            </w:r>
          </w:p>
          <w:p w:rsidR="00083C3F" w:rsidRDefault="00E1215B">
            <w:pPr>
              <w:pStyle w:val="Figure"/>
              <w:rPr>
                <w:noProof/>
              </w:rPr>
            </w:pPr>
            <w:r>
              <w:rPr>
                <w:noProof/>
                <w:lang w:eastAsia="en-GB"/>
              </w:rPr>
              <w:drawing>
                <wp:inline distT="0" distB="0" distL="0" distR="0" wp14:anchorId="73481F32" wp14:editId="30E1B29B">
                  <wp:extent cx="3972153" cy="2128723"/>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083C3F">
        <w:tc>
          <w:tcPr>
            <w:tcW w:w="5000" w:type="pct"/>
          </w:tcPr>
          <w:p w:rsidR="00083C3F" w:rsidRDefault="00E1215B">
            <w:pPr>
              <w:pStyle w:val="Source"/>
              <w:rPr>
                <w:noProof/>
              </w:rPr>
            </w:pPr>
            <w:r>
              <w:rPr>
                <w:noProof/>
              </w:rPr>
              <w:t>Source:</w:t>
            </w:r>
            <w:r>
              <w:rPr>
                <w:noProof/>
                <w:lang w:eastAsia="en-GB"/>
              </w:rPr>
              <w:t xml:space="preserve"> ECB, Federal Reserve System.</w:t>
            </w:r>
          </w:p>
        </w:tc>
      </w:tr>
    </w:tbl>
    <w:p w:rsidR="00083C3F" w:rsidRDefault="00E1215B">
      <w:pPr>
        <w:rPr>
          <w:noProof/>
        </w:rPr>
      </w:pPr>
      <w:bookmarkStart w:id="109" w:name="_Ref480981301"/>
      <w:bookmarkStart w:id="110" w:name="_Ref479671684"/>
      <w:r>
        <w:rPr>
          <w:noProof/>
        </w:rPr>
        <w:t xml:space="preserve">Furthermore, loans grew in the run up to the crisis at the expense of market-based financing. The financial crisis </w:t>
      </w:r>
      <w:r>
        <w:rPr>
          <w:noProof/>
        </w:rPr>
        <w:t>revealed the rigidity of this undiversified funding model, as the capacity of banks to lend, especially to high-risk sectors and SMEs, became seriously impaired due to deteriorations in the quality of banks’ balance sheet assets and capital constraints. Co</w:t>
      </w:r>
      <w:r>
        <w:rPr>
          <w:noProof/>
        </w:rPr>
        <w:t>rroborating this finding, Campolongo et al (2016) show that the role of cash is more important during the banking and sovereign debt crises. Following the financial crisis, the dependence on bank financing in the euro area has decreased, accounting for 50%</w:t>
      </w:r>
      <w:r>
        <w:rPr>
          <w:noProof/>
        </w:rPr>
        <w:t xml:space="preserve"> of total financing in the period from 2002-2016. This statistics is mainly driven by big corporates' access to non-banking funding, such as corporate bonds.</w:t>
      </w:r>
    </w:p>
    <w:p w:rsidR="00083C3F" w:rsidRDefault="00E1215B">
      <w:pPr>
        <w:pStyle w:val="Caption"/>
      </w:pPr>
      <w:bookmarkStart w:id="111" w:name="_Ref481067532"/>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2</w:t>
      </w:r>
      <w:r>
        <w:fldChar w:fldCharType="end"/>
      </w:r>
      <w:bookmarkEnd w:id="109"/>
      <w:bookmarkEnd w:id="110"/>
      <w:bookmarkEnd w:id="111"/>
      <w:r>
        <w:t xml:space="preserve"> Sources of funding of NFCs in the EU (%</w:t>
      </w:r>
      <w:r>
        <w:t xml:space="preserve"> of total liabilities) </w:t>
      </w:r>
    </w:p>
    <w:p w:rsidR="00083C3F" w:rsidRDefault="00E1215B">
      <w:pPr>
        <w:pStyle w:val="Figure"/>
        <w:rPr>
          <w:noProof/>
        </w:rPr>
      </w:pPr>
      <w:r>
        <w:rPr>
          <w:noProof/>
          <w:lang w:eastAsia="en-GB"/>
        </w:rPr>
        <w:drawing>
          <wp:inline distT="0" distB="0" distL="0" distR="0" wp14:anchorId="5D8DBE4C" wp14:editId="21CA4938">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83C3F" w:rsidRDefault="00E1215B">
      <w:pPr>
        <w:pStyle w:val="Source"/>
        <w:spacing w:after="0"/>
        <w:rPr>
          <w:noProof/>
          <w:lang w:eastAsia="en-GB"/>
        </w:rPr>
      </w:pPr>
      <w:r>
        <w:rPr>
          <w:noProof/>
        </w:rPr>
        <w:t>Source</w:t>
      </w:r>
      <w:r>
        <w:rPr>
          <w:noProof/>
          <w:lang w:eastAsia="en-GB"/>
        </w:rPr>
        <w:t xml:space="preserve">: </w:t>
      </w:r>
      <w:r>
        <w:rPr>
          <w:noProof/>
        </w:rPr>
        <w:t xml:space="preserve">ECB and Eurostat. Note: </w:t>
      </w:r>
      <w:r>
        <w:rPr>
          <w:noProof/>
          <w:lang w:eastAsia="en-GB"/>
        </w:rPr>
        <w:t>Consolidated data.</w:t>
      </w:r>
      <w:bookmarkStart w:id="112" w:name="_Ref483306070"/>
      <w:r>
        <w:rPr>
          <w:rStyle w:val="FootnoteReference"/>
          <w:noProof/>
          <w:lang w:eastAsia="en-GB"/>
        </w:rPr>
        <w:footnoteReference w:id="24"/>
      </w:r>
      <w:bookmarkEnd w:id="112"/>
      <w:r>
        <w:rPr>
          <w:noProof/>
          <w:lang w:eastAsia="en-GB"/>
        </w:rPr>
        <w:t xml:space="preserve"> </w:t>
      </w:r>
    </w:p>
    <w:p w:rsidR="00083C3F" w:rsidRDefault="00083C3F">
      <w:pPr>
        <w:pStyle w:val="Source"/>
        <w:spacing w:after="0"/>
        <w:rPr>
          <w:noProof/>
          <w:lang w:eastAsia="en-GB"/>
        </w:rPr>
      </w:pPr>
    </w:p>
    <w:p w:rsidR="00083C3F" w:rsidRDefault="00E1215B">
      <w:pPr>
        <w:rPr>
          <w:noProof/>
          <w:sz w:val="24"/>
        </w:rPr>
      </w:pPr>
      <w:r>
        <w:rPr>
          <w:noProof/>
        </w:rPr>
        <w:t xml:space="preserve">Dependency on traditional credit (bank loans and other loans) has remained stable over the past 10 years at around 30% (see </w:t>
      </w:r>
      <w:r>
        <w:rPr>
          <w:noProof/>
        </w:rPr>
        <w:fldChar w:fldCharType="begin"/>
      </w:r>
      <w:r>
        <w:rPr>
          <w:noProof/>
        </w:rPr>
        <w:instrText xml:space="preserve"> REF _Ref481067532 \h </w:instrText>
      </w:r>
      <w:r>
        <w:rPr>
          <w:noProof/>
        </w:rPr>
      </w:r>
      <w:r>
        <w:rPr>
          <w:noProof/>
        </w:rPr>
        <w:fldChar w:fldCharType="separate"/>
      </w:r>
      <w:r>
        <w:rPr>
          <w:noProof/>
        </w:rPr>
        <w:t>Figure 3.2</w:t>
      </w:r>
      <w:r>
        <w:rPr>
          <w:noProof/>
        </w:rPr>
        <w:fldChar w:fldCharType="end"/>
      </w:r>
      <w:r>
        <w:rPr>
          <w:noProof/>
        </w:rPr>
        <w:t xml:space="preserve"> and </w:t>
      </w:r>
      <w:r>
        <w:rPr>
          <w:noProof/>
        </w:rPr>
        <w:fldChar w:fldCharType="begin"/>
      </w:r>
      <w:r>
        <w:rPr>
          <w:noProof/>
        </w:rPr>
        <w:instrText xml:space="preserve"> REF _Ref479671697 \h </w:instrText>
      </w:r>
      <w:r>
        <w:rPr>
          <w:noProof/>
        </w:rPr>
      </w:r>
      <w:r>
        <w:rPr>
          <w:noProof/>
        </w:rPr>
        <w:fldChar w:fldCharType="separate"/>
      </w:r>
      <w:r>
        <w:rPr>
          <w:noProof/>
        </w:rPr>
        <w:t>Figure 3.3</w:t>
      </w:r>
      <w:r>
        <w:rPr>
          <w:noProof/>
        </w:rPr>
        <w:fldChar w:fldCharType="end"/>
      </w:r>
      <w:r>
        <w:rPr>
          <w:noProof/>
        </w:rPr>
        <w:t>). Bank loans are particularly important in countries like Greece and Cyprus, while they have a low impo</w:t>
      </w:r>
      <w:r>
        <w:rPr>
          <w:noProof/>
        </w:rPr>
        <w:t>rtance for firms in Belgium, Luxembourg and Ireland. Although evidence on equity is mixed across euro-area Member States, there are only a handful of countries where companies rely on listed shares on a solid basis. Other equity &amp; unlisted shares, which is</w:t>
      </w:r>
      <w:r>
        <w:rPr>
          <w:noProof/>
        </w:rPr>
        <w:t xml:space="preserve"> not public market-based funding appears to be the dominant source of equity and overall funding. Listed shares represent 20.9% of overall funding of NFC in the EU in 2015. NFCs' outstanding debt securities in the EU </w:t>
      </w:r>
      <w:r>
        <w:rPr>
          <w:rFonts w:cs="Times New Roman"/>
          <w:noProof/>
          <w:szCs w:val="24"/>
        </w:rPr>
        <w:t>have also increased in recent years</w:t>
      </w:r>
      <w:r>
        <w:rPr>
          <w:noProof/>
        </w:rPr>
        <w:t>, bu</w:t>
      </w:r>
      <w:r>
        <w:rPr>
          <w:noProof/>
        </w:rPr>
        <w:t xml:space="preserve">t </w:t>
      </w:r>
      <w:r>
        <w:rPr>
          <w:rFonts w:cs="Times New Roman"/>
          <w:noProof/>
          <w:szCs w:val="24"/>
        </w:rPr>
        <w:t xml:space="preserve">are rather small compared to total NFC funding. </w:t>
      </w:r>
      <w:r>
        <w:rPr>
          <w:rFonts w:cs="Times New Roman"/>
          <w:noProof/>
          <w:sz w:val="24"/>
          <w:szCs w:val="24"/>
        </w:rPr>
        <w:t xml:space="preserve">  </w:t>
      </w:r>
    </w:p>
    <w:p w:rsidR="00083C3F" w:rsidRDefault="00083C3F">
      <w:pPr>
        <w:rPr>
          <w:noProof/>
        </w:rPr>
      </w:pPr>
    </w:p>
    <w:p w:rsidR="00083C3F" w:rsidRDefault="00E1215B">
      <w:pPr>
        <w:pStyle w:val="Caption"/>
      </w:pPr>
      <w:bookmarkStart w:id="113" w:name="_Ref479671697"/>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3</w:t>
      </w:r>
      <w:r>
        <w:fldChar w:fldCharType="end"/>
      </w:r>
      <w:bookmarkEnd w:id="113"/>
      <w:r>
        <w:t xml:space="preserve"> Sources of funding of NFCs in the EU (2010-2015, % of total)</w:t>
      </w:r>
      <w:r>
        <w:tab/>
      </w:r>
      <w:r>
        <w:rPr>
          <w:lang w:eastAsia="en-GB"/>
        </w:rPr>
        <w:t xml:space="preserve"> </w:t>
      </w:r>
      <w:r>
        <w:rPr>
          <w:lang w:eastAsia="en-GB"/>
        </w:rPr>
        <w:drawing>
          <wp:inline distT="0" distB="0" distL="0" distR="0" wp14:anchorId="6867BA7D" wp14:editId="6E6A42BF">
            <wp:extent cx="5760720" cy="2952000"/>
            <wp:effectExtent l="0" t="0" r="0" b="12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83C3F" w:rsidRDefault="00E1215B">
      <w:pPr>
        <w:pStyle w:val="Source"/>
        <w:rPr>
          <w:noProof/>
          <w:lang w:eastAsia="en-GB"/>
        </w:rPr>
      </w:pPr>
      <w:r>
        <w:rPr>
          <w:noProof/>
          <w:lang w:eastAsia="en-GB"/>
        </w:rPr>
        <w:t xml:space="preserve">Source: ECB and Eurostat. Note: Consolidated data. </w:t>
      </w:r>
    </w:p>
    <w:bookmarkEnd w:id="104"/>
    <w:p w:rsidR="00083C3F" w:rsidRDefault="00E1215B">
      <w:pPr>
        <w:pStyle w:val="Heading4"/>
        <w:rPr>
          <w:noProof/>
        </w:rPr>
      </w:pPr>
      <w:r>
        <w:rPr>
          <w:noProof/>
        </w:rPr>
        <w:t>Focus on SMEs</w:t>
      </w:r>
    </w:p>
    <w:p w:rsidR="00083C3F" w:rsidRDefault="00E1215B">
      <w:pPr>
        <w:rPr>
          <w:noProof/>
        </w:rPr>
      </w:pPr>
      <w:r>
        <w:rPr>
          <w:noProof/>
        </w:rPr>
        <w:t xml:space="preserve">A firm's </w:t>
      </w:r>
      <w:r>
        <w:rPr>
          <w:noProof/>
        </w:rPr>
        <w:t>financial structure and its financing mix are dependent on a firm's size.</w:t>
      </w:r>
      <w:r>
        <w:rPr>
          <w:rStyle w:val="FootnoteReference"/>
          <w:noProof/>
        </w:rPr>
        <w:footnoteReference w:id="25"/>
      </w:r>
      <w:r>
        <w:rPr>
          <w:noProof/>
        </w:rPr>
        <w:t xml:space="preserve"> For SMEs, bank-related products are perceived to be the most relevant financing source for SMEs, while the use of market-based financing is marginal at best (see </w:t>
      </w:r>
      <w:r>
        <w:rPr>
          <w:noProof/>
        </w:rPr>
        <w:fldChar w:fldCharType="begin"/>
      </w:r>
      <w:r>
        <w:rPr>
          <w:noProof/>
        </w:rPr>
        <w:instrText xml:space="preserve"> REF _Ref481075186 </w:instrText>
      </w:r>
      <w:r>
        <w:rPr>
          <w:noProof/>
        </w:rPr>
        <w:instrText xml:space="preserve">\h </w:instrText>
      </w:r>
      <w:r>
        <w:rPr>
          <w:noProof/>
        </w:rPr>
      </w:r>
      <w:r>
        <w:rPr>
          <w:noProof/>
        </w:rPr>
        <w:fldChar w:fldCharType="separate"/>
      </w:r>
      <w:r>
        <w:rPr>
          <w:rFonts w:cs="Times New Roman"/>
          <w:noProof/>
        </w:rPr>
        <w:t>Table 2.1</w:t>
      </w:r>
      <w:r>
        <w:rPr>
          <w:noProof/>
        </w:rPr>
        <w:fldChar w:fldCharType="end"/>
      </w:r>
      <w:r>
        <w:rPr>
          <w:noProof/>
        </w:rPr>
        <w:t>). Based on the 2016 ECB SAFE survey, market-based sources of finance such as equity (12%) and debt securities (3%) are relatively less important for SMEs. In most countries in</w:t>
      </w:r>
      <w:r>
        <w:rPr>
          <w:noProof/>
        </w:rPr>
        <w:t>cluded in the 2016 survey (except Greece and France), SMEs indicate that they have sufficient access to external funds compared to their needs for external financing (external funding gap), marking a significant improvement compared to 2013-levels were the</w:t>
      </w:r>
      <w:r>
        <w:rPr>
          <w:noProof/>
        </w:rPr>
        <w:t xml:space="preserve"> financial gap for countries was still predominantly negative. Nevertheless, SMEs are very heterogeneous: some low-growth, very young or SMEs with strong family ties might not have the need to attract external funding, while other SMEs might have a strong </w:t>
      </w:r>
      <w:r>
        <w:rPr>
          <w:noProof/>
        </w:rPr>
        <w:t>need for external funding but might still be faced with a negative funding gap. SMEs in Europe are indeed very diverse in their financing mix and the extent to which they experience access to finance problems (Masiak et al. 2017).</w:t>
      </w:r>
      <w:r>
        <w:rPr>
          <w:rStyle w:val="FootnoteReference"/>
          <w:noProof/>
        </w:rPr>
        <w:footnoteReference w:id="26"/>
      </w:r>
      <w:r>
        <w:rPr>
          <w:noProof/>
        </w:rPr>
        <w:t xml:space="preserve"> Debt-financed and intern</w:t>
      </w:r>
      <w:r>
        <w:rPr>
          <w:noProof/>
        </w:rPr>
        <w:t xml:space="preserve">ally-financed SMEs report comparatively the most problems with access-to-finance with respectively 23.4% and 27.6% of all SMEs that report high occurrence of access-to-finance problems belonging to these two groups. At the same time, about 50% of the SMEs </w:t>
      </w:r>
      <w:r>
        <w:rPr>
          <w:noProof/>
        </w:rPr>
        <w:t xml:space="preserve">that report low access-to-finance problems are internally-financed SMEs, illustrating that there is also a large group of internally-financed SMEs that do not experience supply-side restrictions and consciously choose not to finance externally. </w:t>
      </w:r>
    </w:p>
    <w:p w:rsidR="00083C3F" w:rsidRDefault="00E1215B">
      <w:pPr>
        <w:pStyle w:val="Heading3"/>
        <w:rPr>
          <w:noProof/>
        </w:rPr>
      </w:pPr>
      <w:bookmarkStart w:id="114" w:name="_Toc480296749"/>
      <w:bookmarkStart w:id="115" w:name="_Toc482710951"/>
      <w:bookmarkStart w:id="116" w:name="_Toc482715273"/>
      <w:r>
        <w:rPr>
          <w:noProof/>
        </w:rPr>
        <w:t>Developmen</w:t>
      </w:r>
      <w:r>
        <w:rPr>
          <w:noProof/>
        </w:rPr>
        <w:t>ts in public equity and debt markets</w:t>
      </w:r>
      <w:bookmarkEnd w:id="114"/>
      <w:bookmarkEnd w:id="115"/>
      <w:bookmarkEnd w:id="116"/>
    </w:p>
    <w:p w:rsidR="00083C3F" w:rsidRDefault="00E1215B">
      <w:pPr>
        <w:rPr>
          <w:b/>
          <w:bCs/>
          <w:noProof/>
          <w:color w:val="4F81BD" w:themeColor="accent1"/>
          <w:sz w:val="18"/>
          <w:szCs w:val="18"/>
        </w:rPr>
      </w:pPr>
      <w:r>
        <w:rPr>
          <w:noProof/>
        </w:rPr>
        <w:t>The relative size of European public equity and debt markets is low and shows significant dispersion across Member States. The value of corporate bond and stock markets as % of GDP equals 12% and 56% for the EU (10% and</w:t>
      </w:r>
      <w:r>
        <w:rPr>
          <w:noProof/>
        </w:rPr>
        <w:t xml:space="preserve"> 51% for EU27, respectively), compared to 31% and 112% for the US. United Kingdom figures hold the middle between US and EU27 figures with corporate bond and equity markets equal to 18% and 78% of GDP (</w:t>
      </w:r>
      <w:r>
        <w:rPr>
          <w:noProof/>
          <w:lang w:eastAsia="en-GB"/>
        </w:rPr>
        <w:t>Wright &amp; Bax 2016)</w:t>
      </w:r>
      <w:r>
        <w:rPr>
          <w:noProof/>
        </w:rPr>
        <w:t>. Capital market development also va</w:t>
      </w:r>
      <w:r>
        <w:rPr>
          <w:noProof/>
        </w:rPr>
        <w:t>ries considerably across European countries. Countries that joined the EU more recently often have lower ratios than the EU27 average. As a general indicator of access to public markets, 3,796 prospectuses were approved in the EEA in 2015, coming from 3 93</w:t>
      </w:r>
      <w:r>
        <w:rPr>
          <w:noProof/>
        </w:rPr>
        <w:t>1 in 2014.</w:t>
      </w:r>
    </w:p>
    <w:p w:rsidR="00083C3F" w:rsidRDefault="00E1215B">
      <w:pPr>
        <w:pStyle w:val="Heading4"/>
        <w:rPr>
          <w:noProof/>
        </w:rPr>
      </w:pPr>
      <w:r>
        <w:rPr>
          <w:noProof/>
        </w:rPr>
        <w:t>Equity Issuance</w:t>
      </w:r>
    </w:p>
    <w:p w:rsidR="00083C3F" w:rsidRDefault="00E1215B">
      <w:pPr>
        <w:rPr>
          <w:noProof/>
        </w:rPr>
      </w:pPr>
      <w:r>
        <w:rPr>
          <w:noProof/>
        </w:rPr>
        <w:t xml:space="preserve">IPO activity in Europe has been moderate and rather volatile over time (see </w:t>
      </w:r>
      <w:r>
        <w:rPr>
          <w:noProof/>
        </w:rPr>
        <w:fldChar w:fldCharType="begin"/>
      </w:r>
      <w:r>
        <w:rPr>
          <w:noProof/>
        </w:rPr>
        <w:instrText xml:space="preserve"> REF _Ref479672792 \h </w:instrText>
      </w:r>
      <w:r>
        <w:rPr>
          <w:noProof/>
        </w:rPr>
      </w:r>
      <w:r>
        <w:rPr>
          <w:noProof/>
        </w:rPr>
        <w:fldChar w:fldCharType="separate"/>
      </w:r>
      <w:r>
        <w:rPr>
          <w:noProof/>
        </w:rPr>
        <w:t>Figure 3.4</w:t>
      </w:r>
      <w:r>
        <w:rPr>
          <w:noProof/>
        </w:rPr>
        <w:fldChar w:fldCharType="end"/>
      </w:r>
      <w:r>
        <w:rPr>
          <w:noProof/>
        </w:rPr>
        <w:t>). The number of IPOs decreased dramatically during th</w:t>
      </w:r>
      <w:r>
        <w:rPr>
          <w:noProof/>
        </w:rPr>
        <w:t>e financial crisis. The activity, measured by volume, rebounded strongly after the crisis but has lost momentum since. In 2016, European IPO activity declined significantly with a drop of 27% in the number of IPOs compared to 2015. This represents a 51% de</w:t>
      </w:r>
      <w:r>
        <w:rPr>
          <w:noProof/>
        </w:rPr>
        <w:t>crease in value to EUR 27.9 billion (</w:t>
      </w:r>
      <w:r>
        <w:rPr>
          <w:noProof/>
        </w:rPr>
        <w:fldChar w:fldCharType="begin"/>
      </w:r>
      <w:r>
        <w:rPr>
          <w:noProof/>
        </w:rPr>
        <w:instrText xml:space="preserve"> REF _Ref479672792 \h  \* MERGEFORMAT </w:instrText>
      </w:r>
      <w:r>
        <w:rPr>
          <w:noProof/>
        </w:rPr>
      </w:r>
      <w:r>
        <w:rPr>
          <w:noProof/>
        </w:rPr>
        <w:fldChar w:fldCharType="separate"/>
      </w:r>
      <w:r>
        <w:rPr>
          <w:noProof/>
        </w:rPr>
        <w:t>Figure 3.4</w:t>
      </w:r>
      <w:r>
        <w:rPr>
          <w:noProof/>
        </w:rPr>
        <w:fldChar w:fldCharType="end"/>
      </w:r>
      <w:r>
        <w:rPr>
          <w:noProof/>
        </w:rPr>
        <w:t>). The number of IPOs is also much lower than before the crisis. Taken together, the figures suggest tha</w:t>
      </w:r>
      <w:r>
        <w:rPr>
          <w:noProof/>
        </w:rPr>
        <w:t xml:space="preserve">t the deal size per IPO has increased. The breakdown of IPO activity based on the market capitalisation of the issuing firms clearly illustrates that large firms account for the majority of the total deal value (see </w:t>
      </w:r>
      <w:r>
        <w:rPr>
          <w:noProof/>
        </w:rPr>
        <w:fldChar w:fldCharType="begin"/>
      </w:r>
      <w:r>
        <w:rPr>
          <w:noProof/>
        </w:rPr>
        <w:instrText xml:space="preserve"> REF _Ref481604931 \h  \* MERGEFORMAT </w:instrText>
      </w:r>
      <w:r>
        <w:rPr>
          <w:noProof/>
        </w:rPr>
      </w:r>
      <w:r>
        <w:rPr>
          <w:noProof/>
        </w:rPr>
        <w:fldChar w:fldCharType="separate"/>
      </w:r>
      <w:r>
        <w:rPr>
          <w:noProof/>
        </w:rPr>
        <w:t>Fi</w:t>
      </w:r>
      <w:r>
        <w:rPr>
          <w:noProof/>
        </w:rPr>
        <w:t>gure 3.5</w:t>
      </w:r>
      <w:r>
        <w:rPr>
          <w:noProof/>
        </w:rPr>
        <w:fldChar w:fldCharType="end"/>
      </w:r>
      <w:r>
        <w:rPr>
          <w:noProof/>
        </w:rPr>
        <w:t>; see note for definition of cap segments). In 2016, they account for 66% of total deal value compared to 24% and 6% for mid- cap and small-cap firms. In addition, the number of IP</w:t>
      </w:r>
      <w:r>
        <w:rPr>
          <w:noProof/>
        </w:rPr>
        <w:t xml:space="preserve">Os is also much more volatile for smaller firms compared to large firms, illustrating that the IPO market for smaller firms is less stable and more vulnerable to shocks. </w:t>
      </w:r>
    </w:p>
    <w:p w:rsidR="00083C3F" w:rsidRDefault="00E1215B">
      <w:pPr>
        <w:pStyle w:val="Caption"/>
      </w:pPr>
      <w:bookmarkStart w:id="117" w:name="_Ref479672792"/>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4</w:t>
      </w:r>
      <w:r>
        <w:fldChar w:fldCharType="end"/>
      </w:r>
      <w:bookmarkEnd w:id="117"/>
      <w:r>
        <w:t xml:space="preserve"> European IPO activity </w:t>
      </w:r>
    </w:p>
    <w:p w:rsidR="00083C3F" w:rsidRDefault="00E1215B">
      <w:pPr>
        <w:pStyle w:val="Figure"/>
        <w:rPr>
          <w:noProof/>
          <w:color w:val="4F81BD" w:themeColor="accent1"/>
          <w:sz w:val="18"/>
          <w:szCs w:val="18"/>
        </w:rPr>
      </w:pPr>
      <w:r>
        <w:rPr>
          <w:noProof/>
          <w:lang w:eastAsia="en-GB"/>
        </w:rPr>
        <w:drawing>
          <wp:inline distT="0" distB="0" distL="0" distR="0" wp14:anchorId="7D8F8475" wp14:editId="05D96C13">
            <wp:extent cx="5629110" cy="2632203"/>
            <wp:effectExtent l="0" t="0" r="0" b="0"/>
            <wp:docPr id="61" name="Char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83C3F" w:rsidRDefault="00E1215B">
      <w:pPr>
        <w:pStyle w:val="Source"/>
        <w:rPr>
          <w:noProof/>
        </w:rPr>
      </w:pPr>
      <w:r>
        <w:rPr>
          <w:noProof/>
        </w:rPr>
        <w:t xml:space="preserve">Source: Dealogic </w:t>
      </w:r>
    </w:p>
    <w:p w:rsidR="00083C3F" w:rsidRDefault="00E1215B">
      <w:pPr>
        <w:rPr>
          <w:noProof/>
        </w:rPr>
      </w:pPr>
      <w:r>
        <w:rPr>
          <w:noProof/>
        </w:rPr>
        <w:t>The average value per IPO has increased from EUR 113 million in 2006 and even EUR 75 million in 2009 to EUR 144 million in 2016. IPO activity in Europe is also strongly concentrated: the United Kingdom plays a prominent role with 28% of t</w:t>
      </w:r>
      <w:r>
        <w:rPr>
          <w:noProof/>
        </w:rPr>
        <w:t xml:space="preserve">he total EU28 market measured by IPO value in 2014-2016, representing approximately one fifth of all IPO deals (See </w:t>
      </w:r>
      <w:r>
        <w:rPr>
          <w:noProof/>
        </w:rPr>
        <w:fldChar w:fldCharType="begin"/>
      </w:r>
      <w:r>
        <w:rPr>
          <w:noProof/>
        </w:rPr>
        <w:instrText xml:space="preserve"> REF _Ref481103687 \h  \* MERGEFORMAT </w:instrText>
      </w:r>
      <w:r>
        <w:rPr>
          <w:noProof/>
        </w:rPr>
      </w:r>
      <w:r>
        <w:rPr>
          <w:noProof/>
        </w:rPr>
        <w:fldChar w:fldCharType="separate"/>
      </w:r>
      <w:r>
        <w:rPr>
          <w:noProof/>
        </w:rPr>
        <w:t>Figure 3.6</w:t>
      </w:r>
      <w:r>
        <w:rPr>
          <w:noProof/>
        </w:rPr>
        <w:fldChar w:fldCharType="end"/>
      </w:r>
      <w:r>
        <w:rPr>
          <w:noProof/>
        </w:rPr>
        <w:t>, box).</w:t>
      </w:r>
      <w:r>
        <w:rPr>
          <w:i/>
          <w:noProof/>
        </w:rPr>
        <w:t xml:space="preserve"> </w:t>
      </w:r>
      <w:r>
        <w:rPr>
          <w:noProof/>
        </w:rPr>
        <w:t>The EU market is</w:t>
      </w:r>
      <w:r>
        <w:rPr>
          <w:noProof/>
        </w:rPr>
        <w:t xml:space="preserve"> also concentrated measured by IPO to GDP (see </w:t>
      </w:r>
      <w:r>
        <w:rPr>
          <w:noProof/>
        </w:rPr>
        <w:fldChar w:fldCharType="begin"/>
      </w:r>
      <w:r>
        <w:rPr>
          <w:noProof/>
        </w:rPr>
        <w:instrText xml:space="preserve"> REF _Ref481103687 \h  \* MERGEFORMAT </w:instrText>
      </w:r>
      <w:r>
        <w:rPr>
          <w:noProof/>
        </w:rPr>
      </w:r>
      <w:r>
        <w:rPr>
          <w:noProof/>
        </w:rPr>
        <w:fldChar w:fldCharType="separate"/>
      </w:r>
      <w:r>
        <w:rPr>
          <w:noProof/>
        </w:rPr>
        <w:t>Figure 3.6</w:t>
      </w:r>
      <w:r>
        <w:rPr>
          <w:noProof/>
        </w:rPr>
        <w:fldChar w:fldCharType="end"/>
      </w:r>
      <w:r>
        <w:rPr>
          <w:noProof/>
        </w:rPr>
        <w:t>) or measured by IPO concentration per stock exchange. The London Stock Exchange account for 2</w:t>
      </w:r>
      <w:r>
        <w:rPr>
          <w:noProof/>
        </w:rPr>
        <w:t>4% of IPOs measured by value, while CR-3 (London, Frankfurt, Madrid and CR-5 (CR-3 plus Amsterdam and Milan) account for 44% and 57%,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222"/>
      </w:tblGrid>
      <w:tr w:rsidR="00083C3F">
        <w:tc>
          <w:tcPr>
            <w:tcW w:w="9066" w:type="dxa"/>
          </w:tcPr>
          <w:p w:rsidR="00083C3F" w:rsidRDefault="00E1215B">
            <w:pPr>
              <w:pStyle w:val="Charttitle0"/>
              <w:rPr>
                <w:noProof/>
              </w:rPr>
            </w:pPr>
            <w:bookmarkStart w:id="118" w:name="_Ref481604931"/>
            <w:r>
              <w:rPr>
                <w:b w:val="0"/>
                <w:i/>
                <w:noProof/>
              </w:rPr>
              <w:t xml:space="preserve">Figure </w:t>
            </w:r>
            <w:r>
              <w:rPr>
                <w:b w:val="0"/>
                <w:i/>
                <w:noProof/>
              </w:rPr>
              <w:fldChar w:fldCharType="begin"/>
            </w:r>
            <w:r>
              <w:rPr>
                <w:b w:val="0"/>
                <w:i/>
                <w:noProof/>
              </w:rPr>
              <w:instrText xml:space="preserve"> STYLEREF 1 \s </w:instrText>
            </w:r>
            <w:r>
              <w:rPr>
                <w:b w:val="0"/>
                <w:i/>
                <w:noProof/>
              </w:rPr>
              <w:fldChar w:fldCharType="separate"/>
            </w:r>
            <w:r>
              <w:rPr>
                <w:b w:val="0"/>
                <w:i/>
                <w:noProof/>
              </w:rPr>
              <w:t>3</w:t>
            </w:r>
            <w:r>
              <w:rPr>
                <w:b w:val="0"/>
                <w:i/>
                <w:noProof/>
              </w:rPr>
              <w:fldChar w:fldCharType="end"/>
            </w:r>
            <w:r>
              <w:rPr>
                <w:b w:val="0"/>
                <w:i/>
                <w:noProof/>
              </w:rPr>
              <w:t>.</w:t>
            </w:r>
            <w:r>
              <w:rPr>
                <w:b w:val="0"/>
                <w:i/>
                <w:noProof/>
              </w:rPr>
              <w:fldChar w:fldCharType="begin"/>
            </w:r>
            <w:r>
              <w:rPr>
                <w:b w:val="0"/>
                <w:i/>
                <w:noProof/>
              </w:rPr>
              <w:instrText xml:space="preserve"> SEQ Figure \* ARABIC \s 1 </w:instrText>
            </w:r>
            <w:r>
              <w:rPr>
                <w:b w:val="0"/>
                <w:i/>
                <w:noProof/>
              </w:rPr>
              <w:fldChar w:fldCharType="separate"/>
            </w:r>
            <w:r>
              <w:rPr>
                <w:b w:val="0"/>
                <w:i/>
                <w:noProof/>
              </w:rPr>
              <w:t>5</w:t>
            </w:r>
            <w:r>
              <w:rPr>
                <w:b w:val="0"/>
                <w:i/>
                <w:noProof/>
              </w:rPr>
              <w:fldChar w:fldCharType="end"/>
            </w:r>
            <w:bookmarkEnd w:id="118"/>
            <w:r>
              <w:rPr>
                <w:rFonts w:eastAsiaTheme="minorHAnsi" w:cstheme="minorBidi"/>
                <w:b w:val="0"/>
                <w:i/>
                <w:iCs/>
                <w:noProof/>
                <w:color w:val="000000" w:themeColor="text1"/>
                <w:szCs w:val="18"/>
                <w:lang w:eastAsia="en-US"/>
              </w:rPr>
              <w:t xml:space="preserve">  Breakdown of IPO activity according to firm mark</w:t>
            </w:r>
            <w:r>
              <w:rPr>
                <w:rFonts w:eastAsiaTheme="minorHAnsi" w:cstheme="minorBidi"/>
                <w:b w:val="0"/>
                <w:i/>
                <w:iCs/>
                <w:noProof/>
                <w:color w:val="000000" w:themeColor="text1"/>
                <w:szCs w:val="18"/>
                <w:lang w:eastAsia="en-US"/>
              </w:rPr>
              <w:t>et capitalisation, % of total value</w:t>
            </w:r>
          </w:p>
        </w:tc>
        <w:tc>
          <w:tcPr>
            <w:tcW w:w="222" w:type="dxa"/>
          </w:tcPr>
          <w:p w:rsidR="00083C3F" w:rsidRDefault="00083C3F">
            <w:pPr>
              <w:pStyle w:val="Charttitle0"/>
              <w:rPr>
                <w:noProof/>
              </w:rPr>
            </w:pPr>
          </w:p>
        </w:tc>
      </w:tr>
      <w:tr w:rsidR="00083C3F">
        <w:tc>
          <w:tcPr>
            <w:tcW w:w="9066" w:type="dxa"/>
          </w:tcPr>
          <w:p w:rsidR="00083C3F" w:rsidRDefault="00E1215B">
            <w:pPr>
              <w:spacing w:line="259" w:lineRule="auto"/>
              <w:rPr>
                <w:noProof/>
                <w:color w:val="000000" w:themeColor="text1"/>
                <w:sz w:val="24"/>
                <w:szCs w:val="24"/>
              </w:rPr>
            </w:pPr>
            <w:r>
              <w:rPr>
                <w:noProof/>
                <w:lang w:eastAsia="en-GB"/>
              </w:rPr>
              <w:drawing>
                <wp:anchor distT="0" distB="0" distL="114300" distR="114300" simplePos="0" relativeHeight="251656192" behindDoc="1" locked="0" layoutInCell="1" allowOverlap="1" wp14:anchorId="0113DA37" wp14:editId="71A72421">
                  <wp:simplePos x="0" y="0"/>
                  <wp:positionH relativeFrom="column">
                    <wp:posOffset>46355</wp:posOffset>
                  </wp:positionH>
                  <wp:positionV relativeFrom="paragraph">
                    <wp:posOffset>4445</wp:posOffset>
                  </wp:positionV>
                  <wp:extent cx="5756400" cy="2551430"/>
                  <wp:effectExtent l="0" t="0" r="0" b="1270"/>
                  <wp:wrapThrough wrapText="bothSides">
                    <wp:wrapPolygon edited="0">
                      <wp:start x="143" y="484"/>
                      <wp:lineTo x="143" y="2903"/>
                      <wp:lineTo x="715" y="3871"/>
                      <wp:lineTo x="357" y="3871"/>
                      <wp:lineTo x="357" y="13708"/>
                      <wp:lineTo x="500" y="16289"/>
                      <wp:lineTo x="572" y="16773"/>
                      <wp:lineTo x="2573" y="18869"/>
                      <wp:lineTo x="3002" y="18869"/>
                      <wp:lineTo x="3002" y="21449"/>
                      <wp:lineTo x="21517" y="21449"/>
                      <wp:lineTo x="21517" y="8870"/>
                      <wp:lineTo x="1287" y="8548"/>
                      <wp:lineTo x="1358" y="5967"/>
                      <wp:lineTo x="10723" y="3387"/>
                      <wp:lineTo x="1287" y="484"/>
                      <wp:lineTo x="143" y="484"/>
                    </wp:wrapPolygon>
                  </wp:wrapThrough>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tc>
        <w:tc>
          <w:tcPr>
            <w:tcW w:w="222" w:type="dxa"/>
          </w:tcPr>
          <w:p w:rsidR="00083C3F" w:rsidRDefault="00083C3F">
            <w:pPr>
              <w:spacing w:line="259" w:lineRule="auto"/>
              <w:rPr>
                <w:noProof/>
                <w:color w:val="000000" w:themeColor="text1"/>
                <w:sz w:val="24"/>
                <w:szCs w:val="24"/>
              </w:rPr>
            </w:pPr>
          </w:p>
        </w:tc>
      </w:tr>
      <w:tr w:rsidR="00083C3F">
        <w:tc>
          <w:tcPr>
            <w:tcW w:w="9066" w:type="dxa"/>
          </w:tcPr>
          <w:p w:rsidR="00083C3F" w:rsidRDefault="00E1215B">
            <w:pPr>
              <w:pStyle w:val="Chartnotes"/>
              <w:spacing w:after="0"/>
              <w:jc w:val="both"/>
              <w:rPr>
                <w:i/>
                <w:noProof/>
              </w:rPr>
            </w:pPr>
            <w:r>
              <w:rPr>
                <w:i/>
                <w:noProof/>
              </w:rPr>
              <w:t>Source: Dealogic.</w:t>
            </w:r>
          </w:p>
          <w:p w:rsidR="00083C3F" w:rsidRDefault="00E1215B">
            <w:pPr>
              <w:pStyle w:val="Chartnotes"/>
              <w:jc w:val="both"/>
              <w:rPr>
                <w:rFonts w:ascii="Cambria" w:hAnsi="Cambria"/>
                <w:i/>
                <w:iCs/>
                <w:noProof/>
                <w:sz w:val="20"/>
                <w:szCs w:val="20"/>
              </w:rPr>
            </w:pPr>
            <w:r>
              <w:rPr>
                <w:i/>
                <w:noProof/>
              </w:rPr>
              <w:t>Note: Break-down is based on market capitalisation. Following the World Federation of Exchanges, large market cap segment comprises companies with a market cap &gt; USD 1.3 billion; mid-market cap se</w:t>
            </w:r>
            <w:r>
              <w:rPr>
                <w:i/>
                <w:noProof/>
              </w:rPr>
              <w:t>gment comprises companies between USD 1.3 billion &gt; market cap &gt; USD 200 million; the small market cap segment comprises companies of between USD 200 million &gt; market cap &gt; USD 65 million; the micro market cap segment consists of companies with a market ca</w:t>
            </w:r>
            <w:r>
              <w:rPr>
                <w:i/>
                <w:noProof/>
              </w:rPr>
              <w:t>p &lt; USD 65 million</w:t>
            </w:r>
            <w:r>
              <w:rPr>
                <w:noProof/>
              </w:rPr>
              <w:t>.</w:t>
            </w:r>
          </w:p>
        </w:tc>
        <w:tc>
          <w:tcPr>
            <w:tcW w:w="222" w:type="dxa"/>
          </w:tcPr>
          <w:p w:rsidR="00083C3F" w:rsidRDefault="00083C3F">
            <w:pPr>
              <w:pStyle w:val="Chartnotes"/>
              <w:rPr>
                <w:noProof/>
              </w:rPr>
            </w:pPr>
          </w:p>
        </w:tc>
      </w:tr>
    </w:tbl>
    <w:p w:rsidR="00083C3F" w:rsidRDefault="00E1215B">
      <w:pPr>
        <w:rPr>
          <w:noProof/>
        </w:rPr>
      </w:pPr>
      <w:r>
        <w:rPr>
          <w:noProof/>
        </w:rPr>
        <w:t>Looking at long-term trends worldwide, IPO activity (for firms in general and growth firms) has decreased in advanced economies. Over the period 1995-2014, IPO activity in advanced economies decreased significantly with the number of IPOs and amount raised</w:t>
      </w:r>
      <w:r>
        <w:rPr>
          <w:noProof/>
        </w:rPr>
        <w:t xml:space="preserve"> in 2014 shrinking by 63% and 57%, respectively compared to the average in the period 1995-2000 (OECD 2015a). The opposite trend is noticeable for emerging markets spurred by IPO activities of Chinese companies, accounting for 62% of all capital raised on </w:t>
      </w:r>
      <w:r>
        <w:rPr>
          <w:noProof/>
        </w:rPr>
        <w:t xml:space="preserve">emerging markets since 2008. </w:t>
      </w:r>
    </w:p>
    <w:p w:rsidR="00083C3F" w:rsidRDefault="00E1215B">
      <w:pPr>
        <w:pStyle w:val="Caption"/>
      </w:pPr>
      <w:bookmarkStart w:id="119" w:name="_Ref481103687"/>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6</w:t>
      </w:r>
      <w:r>
        <w:fldChar w:fldCharType="end"/>
      </w:r>
      <w:bookmarkEnd w:id="119"/>
      <w:r>
        <w:t xml:space="preserve"> IPO activity in the EU (value as %GDP; EU = 100; average 2014-2016)</w:t>
      </w:r>
    </w:p>
    <w:p w:rsidR="00083C3F" w:rsidRDefault="00E1215B">
      <w:pPr>
        <w:pStyle w:val="Figure"/>
        <w:rPr>
          <w:noProof/>
          <w:lang w:eastAsia="en-GB"/>
        </w:rPr>
      </w:pPr>
      <w:r>
        <w:rPr>
          <w:noProof/>
          <w:lang w:eastAsia="en-GB"/>
        </w:rPr>
        <w:drawing>
          <wp:inline distT="0" distB="0" distL="0" distR="0" wp14:anchorId="3421F004" wp14:editId="15018938">
            <wp:extent cx="5425810" cy="308186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64338" t="21466" r="17242" b="41327"/>
                    <a:stretch/>
                  </pic:blipFill>
                  <pic:spPr bwMode="auto">
                    <a:xfrm>
                      <a:off x="0" y="0"/>
                      <a:ext cx="5455253" cy="30985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8240" behindDoc="0" locked="0" layoutInCell="1" allowOverlap="1" wp14:anchorId="76F9F2EC" wp14:editId="6DE92FCF">
            <wp:simplePos x="0" y="0"/>
            <wp:positionH relativeFrom="insideMargin">
              <wp:posOffset>-4058285</wp:posOffset>
            </wp:positionH>
            <wp:positionV relativeFrom="paragraph">
              <wp:posOffset>129002</wp:posOffset>
            </wp:positionV>
            <wp:extent cx="3944620" cy="1818005"/>
            <wp:effectExtent l="0" t="0" r="17780" b="10795"/>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083C3F" w:rsidRDefault="00E1215B">
      <w:pPr>
        <w:rPr>
          <w:i/>
          <w:noProof/>
          <w:sz w:val="18"/>
        </w:rPr>
      </w:pPr>
      <w:r>
        <w:rPr>
          <w:i/>
          <w:noProof/>
          <w:sz w:val="18"/>
        </w:rPr>
        <w:t>Sources: Dealogic, AMECO</w:t>
      </w:r>
    </w:p>
    <w:p w:rsidR="00083C3F" w:rsidRDefault="00E1215B">
      <w:pPr>
        <w:pStyle w:val="Heading4"/>
        <w:rPr>
          <w:noProof/>
          <w:vertAlign w:val="subscript"/>
        </w:rPr>
      </w:pPr>
      <w:r>
        <w:rPr>
          <w:noProof/>
        </w:rPr>
        <w:t>Corporate Bond Issuance</w:t>
      </w:r>
    </w:p>
    <w:p w:rsidR="00083C3F" w:rsidRDefault="00E1215B">
      <w:pPr>
        <w:rPr>
          <w:noProof/>
        </w:rPr>
      </w:pPr>
      <w:r>
        <w:rPr>
          <w:noProof/>
        </w:rPr>
        <w:t xml:space="preserve">Corporate bond issues increased and have </w:t>
      </w:r>
      <w:r>
        <w:rPr>
          <w:noProof/>
        </w:rPr>
        <w:t>mitigated the effect of bank lending constraints at least for large firms. Compared to 2006, the number of corporate bond issuances in Europe has nearly doubled in 2016 to 788, representing a volume of EUR 240 billion in 2016 (</w:t>
      </w:r>
      <w:r>
        <w:rPr>
          <w:noProof/>
        </w:rPr>
        <w:fldChar w:fldCharType="begin"/>
      </w:r>
      <w:r>
        <w:rPr>
          <w:noProof/>
        </w:rPr>
        <w:instrText xml:space="preserve"> REF _Ref481107715 \h </w:instrText>
      </w:r>
      <w:r>
        <w:rPr>
          <w:noProof/>
        </w:rPr>
      </w:r>
      <w:r>
        <w:rPr>
          <w:noProof/>
        </w:rPr>
        <w:fldChar w:fldCharType="separate"/>
      </w:r>
      <w:r>
        <w:rPr>
          <w:noProof/>
        </w:rPr>
        <w:t xml:space="preserve">Figure </w:t>
      </w:r>
      <w:r>
        <w:rPr>
          <w:noProof/>
        </w:rPr>
        <w:t>3.8</w:t>
      </w:r>
      <w:r>
        <w:rPr>
          <w:noProof/>
        </w:rPr>
        <w:fldChar w:fldCharType="end"/>
      </w:r>
      <w:r>
        <w:rPr>
          <w:noProof/>
        </w:rPr>
        <w:t xml:space="preserve">). This trend mirrors the evolution witnessed in advanced economies were non-financial corporate bond amounts nearly doubled from 2000 to 2014. </w:t>
      </w:r>
    </w:p>
    <w:p w:rsidR="00083C3F" w:rsidRDefault="00E1215B">
      <w:pPr>
        <w:rPr>
          <w:noProof/>
        </w:rPr>
      </w:pPr>
      <w:r>
        <w:rPr>
          <w:noProof/>
        </w:rPr>
        <w:t>The strong increase in issuing activity f</w:t>
      </w:r>
      <w:r>
        <w:rPr>
          <w:noProof/>
        </w:rPr>
        <w:t xml:space="preserve">ollowing the 2008 financial crisis suggests that in this period debt securities had some degree of substitution effect for shrinking bank lending (see </w:t>
      </w:r>
      <w:r>
        <w:rPr>
          <w:noProof/>
        </w:rPr>
        <w:fldChar w:fldCharType="begin"/>
      </w:r>
      <w:r>
        <w:rPr>
          <w:noProof/>
        </w:rPr>
        <w:instrText xml:space="preserve"> REF _Ref481107715 \h </w:instrText>
      </w:r>
      <w:r>
        <w:rPr>
          <w:noProof/>
        </w:rPr>
      </w:r>
      <w:r>
        <w:rPr>
          <w:noProof/>
        </w:rPr>
        <w:fldChar w:fldCharType="separate"/>
      </w:r>
      <w:r>
        <w:rPr>
          <w:noProof/>
        </w:rPr>
        <w:t>Figure 3.8</w:t>
      </w:r>
      <w:r>
        <w:rPr>
          <w:noProof/>
        </w:rPr>
        <w:fldChar w:fldCharType="end"/>
      </w:r>
      <w:r>
        <w:rPr>
          <w:noProof/>
        </w:rPr>
        <w:t>). Thi</w:t>
      </w:r>
      <w:r>
        <w:rPr>
          <w:noProof/>
        </w:rPr>
        <w:t>s finding is confirmed by world-wide data that demonstrate that the number of first time bond issuers increased significantly in the 2008-2010 period (OECD 2015a). In addition, the risk profile of bonds changed, with riskier bonds being issued after the 20</w:t>
      </w:r>
      <w:r>
        <w:rPr>
          <w:noProof/>
        </w:rPr>
        <w:t>08 financial crisis.</w:t>
      </w:r>
    </w:p>
    <w:p w:rsidR="00083C3F" w:rsidRDefault="00E1215B">
      <w:pPr>
        <w:rPr>
          <w:noProof/>
        </w:rPr>
      </w:pPr>
      <w:r>
        <w:rPr>
          <w:noProof/>
        </w:rPr>
        <w:t>The relative importance of the high-yield bond issuance fell dramatically during the crisis, representing only 3% of the total issuances (21% in 2006). High-yield bond issuances grew very rapidly in the post-crisis period, peaking at E</w:t>
      </w:r>
      <w:r>
        <w:rPr>
          <w:noProof/>
        </w:rPr>
        <w:t>UR 57 billion in 2014 (representing 26% of total issuances), to decrease to EUR 41 billion in 2016.</w:t>
      </w:r>
    </w:p>
    <w:p w:rsidR="00083C3F" w:rsidRDefault="00E1215B">
      <w:pPr>
        <w:pStyle w:val="Caption"/>
      </w:pPr>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7</w:t>
      </w:r>
      <w:r>
        <w:fldChar w:fldCharType="end"/>
      </w:r>
      <w:r>
        <w:t>. High-yield bond markets 2006-2016 (gross issuance value, % total)</w:t>
      </w:r>
    </w:p>
    <w:p w:rsidR="00083C3F" w:rsidRDefault="00E1215B">
      <w:pPr>
        <w:pStyle w:val="Figure"/>
        <w:rPr>
          <w:noProof/>
        </w:rPr>
      </w:pPr>
      <w:r>
        <w:rPr>
          <w:noProof/>
          <w:lang w:eastAsia="en-GB"/>
        </w:rPr>
        <w:drawing>
          <wp:inline distT="0" distB="0" distL="0" distR="0" wp14:anchorId="25DBFD94" wp14:editId="039BE778">
            <wp:extent cx="3634740" cy="1981200"/>
            <wp:effectExtent l="0" t="0" r="38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83C3F" w:rsidRDefault="00E1215B">
      <w:pPr>
        <w:pStyle w:val="Source"/>
        <w:rPr>
          <w:noProof/>
        </w:rPr>
      </w:pPr>
      <w:r>
        <w:rPr>
          <w:noProof/>
        </w:rPr>
        <w:t>Source: Dealogic</w:t>
      </w:r>
    </w:p>
    <w:p w:rsidR="00083C3F" w:rsidRDefault="00E1215B">
      <w:pPr>
        <w:rPr>
          <w:noProof/>
        </w:rPr>
      </w:pPr>
      <w:r>
        <w:rPr>
          <w:noProof/>
        </w:rPr>
        <w:t>Contrary to</w:t>
      </w:r>
      <w:r>
        <w:rPr>
          <w:noProof/>
        </w:rPr>
        <w:t xml:space="preserve"> large firms, SMEs reacted to the shrinking availability of bank financing by relying increasingly on internally generated funds and alternative financing like trade credit (Masiak et al. 2017, Casey &amp; O’Toole 2014, Ferrando &amp; Mulier 2015). </w:t>
      </w:r>
    </w:p>
    <w:p w:rsidR="00083C3F" w:rsidRDefault="00E1215B">
      <w:pPr>
        <w:pStyle w:val="Caption"/>
      </w:pPr>
      <w:bookmarkStart w:id="120" w:name="_Ref481107715"/>
      <w:r>
        <w:t xml:space="preserve">Figure </w:t>
      </w:r>
      <w:r>
        <w:fldChar w:fldCharType="begin"/>
      </w:r>
      <w:r>
        <w:instrText xml:space="preserve"> STYLER</w:instrText>
      </w:r>
      <w:r>
        <w:instrText xml:space="preserve">EF 1 \s </w:instrText>
      </w:r>
      <w:r>
        <w:fldChar w:fldCharType="separate"/>
      </w:r>
      <w:r>
        <w:t>3</w:t>
      </w:r>
      <w:r>
        <w:fldChar w:fldCharType="end"/>
      </w:r>
      <w:r>
        <w:t>.</w:t>
      </w:r>
      <w:r>
        <w:fldChar w:fldCharType="begin"/>
      </w:r>
      <w:r>
        <w:instrText xml:space="preserve"> SEQ Figure \* ARABIC \s 1 </w:instrText>
      </w:r>
      <w:r>
        <w:fldChar w:fldCharType="separate"/>
      </w:r>
      <w:r>
        <w:t>8</w:t>
      </w:r>
      <w:r>
        <w:fldChar w:fldCharType="end"/>
      </w:r>
      <w:bookmarkEnd w:id="120"/>
      <w:r>
        <w:t xml:space="preserve"> Corporate bond issuance by NFCs in Europe</w:t>
      </w:r>
    </w:p>
    <w:p w:rsidR="00083C3F" w:rsidRDefault="00E1215B">
      <w:pPr>
        <w:pStyle w:val="Figure"/>
        <w:rPr>
          <w:noProof/>
        </w:rPr>
      </w:pPr>
      <w:r>
        <w:rPr>
          <w:noProof/>
          <w:lang w:eastAsia="en-GB"/>
        </w:rPr>
        <w:drawing>
          <wp:inline distT="0" distB="0" distL="0" distR="0" wp14:anchorId="0F0B8BC3" wp14:editId="48FD6EE9">
            <wp:extent cx="5015345" cy="2944091"/>
            <wp:effectExtent l="0" t="0" r="0" b="889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Style w:val="CommentReference"/>
          <w:noProof/>
        </w:rPr>
        <w:t xml:space="preserve"> </w:t>
      </w:r>
    </w:p>
    <w:p w:rsidR="00083C3F" w:rsidRDefault="00E1215B">
      <w:pPr>
        <w:rPr>
          <w:i/>
          <w:noProof/>
          <w:sz w:val="18"/>
        </w:rPr>
      </w:pPr>
      <w:r>
        <w:rPr>
          <w:i/>
          <w:noProof/>
          <w:sz w:val="18"/>
        </w:rPr>
        <w:t>Source: Dealogic</w:t>
      </w:r>
    </w:p>
    <w:p w:rsidR="00083C3F" w:rsidRDefault="00083C3F">
      <w:pPr>
        <w:rPr>
          <w:i/>
          <w:noProof/>
          <w:sz w:val="18"/>
        </w:rPr>
      </w:pPr>
    </w:p>
    <w:p w:rsidR="00083C3F" w:rsidRDefault="00E1215B">
      <w:pPr>
        <w:pStyle w:val="Heading2"/>
        <w:rPr>
          <w:noProof/>
        </w:rPr>
      </w:pPr>
      <w:bookmarkStart w:id="121" w:name="_Toc480296751"/>
      <w:bookmarkStart w:id="122" w:name="_Toc482710952"/>
      <w:bookmarkStart w:id="123" w:name="_Toc482715274"/>
      <w:r>
        <w:rPr>
          <w:noProof/>
        </w:rPr>
        <w:t>Drivers of going public</w:t>
      </w:r>
      <w:bookmarkEnd w:id="121"/>
      <w:bookmarkEnd w:id="122"/>
      <w:bookmarkEnd w:id="123"/>
      <w:r>
        <w:rPr>
          <w:noProof/>
        </w:rPr>
        <w:t xml:space="preserve"> </w:t>
      </w:r>
    </w:p>
    <w:p w:rsidR="00083C3F" w:rsidRDefault="00E1215B">
      <w:pPr>
        <w:pStyle w:val="Heading3"/>
        <w:rPr>
          <w:noProof/>
        </w:rPr>
      </w:pPr>
      <w:bookmarkStart w:id="124" w:name="_Toc480296752"/>
      <w:bookmarkStart w:id="125" w:name="_Toc482710953"/>
      <w:bookmarkStart w:id="126" w:name="_Toc482715275"/>
      <w:r>
        <w:rPr>
          <w:noProof/>
        </w:rPr>
        <w:t>Equity</w:t>
      </w:r>
      <w:bookmarkEnd w:id="124"/>
      <w:bookmarkEnd w:id="125"/>
      <w:bookmarkEnd w:id="126"/>
    </w:p>
    <w:p w:rsidR="00083C3F" w:rsidRDefault="00E1215B">
      <w:pPr>
        <w:rPr>
          <w:noProof/>
        </w:rPr>
      </w:pPr>
      <w:r>
        <w:rPr>
          <w:noProof/>
        </w:rPr>
        <w:t>The decision to issue equity to the public is determined by general economic conditions, the institutional framework</w:t>
      </w:r>
      <w:r>
        <w:rPr>
          <w:noProof/>
        </w:rPr>
        <w:t xml:space="preserve"> and firm-specific factors. In considering an IPO, a firm has to evaluate the advantages of an IPO with costs associated with the IPO process and the costs of being listed.</w:t>
      </w:r>
    </w:p>
    <w:p w:rsidR="00083C3F" w:rsidRDefault="00E1215B">
      <w:pPr>
        <w:rPr>
          <w:noProof/>
        </w:rPr>
      </w:pPr>
      <w:r>
        <w:rPr>
          <w:noProof/>
        </w:rPr>
        <w:t>IPOs occur in waves. This might occur (i) if managers try to time the IPO to profit</w:t>
      </w:r>
      <w:r>
        <w:rPr>
          <w:noProof/>
        </w:rPr>
        <w:t xml:space="preserve"> from relative overvaluation, (ii) because they are tempted by previous successful IPOs, or (iii) because they may want to go public when they face low adverse selection costs which would lead to clustering of IPOs over the business cycle. Although many st</w:t>
      </w:r>
      <w:r>
        <w:rPr>
          <w:noProof/>
        </w:rPr>
        <w:t>udies conclude that firms appear to time their IPO to profit from (relative) overvaluation, Ditmar and Ditmar (2008) challenge this conclusion: they conclude that IPOs waves are related to the fact that equity issues occur more frequently in the early stag</w:t>
      </w:r>
      <w:r>
        <w:rPr>
          <w:noProof/>
        </w:rPr>
        <w:t>es of the business cycle when cash flow is likely to be too low compared to the many interesting investment opportunities.</w:t>
      </w:r>
      <w:r>
        <w:rPr>
          <w:rStyle w:val="FootnoteReference"/>
          <w:rFonts w:cs="Times New Roman"/>
          <w:noProof/>
          <w:sz w:val="24"/>
          <w:szCs w:val="24"/>
        </w:rPr>
        <w:footnoteReference w:id="27"/>
      </w:r>
      <w:r>
        <w:rPr>
          <w:noProof/>
        </w:rPr>
        <w:t xml:space="preserve"> As a result, broad regulatory initiatives that are put in place to support economic growth will positively affect the probability th</w:t>
      </w:r>
      <w:r>
        <w:rPr>
          <w:noProof/>
        </w:rPr>
        <w:t>at firms will go public.</w:t>
      </w:r>
    </w:p>
    <w:p w:rsidR="00083C3F" w:rsidRDefault="00E1215B">
      <w:pPr>
        <w:pStyle w:val="FootnoteText"/>
        <w:rPr>
          <w:noProof/>
          <w:sz w:val="22"/>
          <w:szCs w:val="22"/>
        </w:rPr>
      </w:pPr>
      <w:r>
        <w:rPr>
          <w:noProof/>
          <w:sz w:val="22"/>
          <w:szCs w:val="22"/>
        </w:rPr>
        <w:t xml:space="preserve">The IPO market is also influenced by the institutional framework, both directly and indirectly. A country's lending infrastructure or its financial development for instance impact a firm's capital structure decision, which in turn </w:t>
      </w:r>
      <w:r>
        <w:rPr>
          <w:noProof/>
          <w:sz w:val="22"/>
          <w:szCs w:val="22"/>
        </w:rPr>
        <w:t>will impact its need to raise capital on public markets. Financial regulation may also affect the IPO market. It is often introduced to reduce information asymmetries between investors and issuers. Firms that are characterized by high information asymmetri</w:t>
      </w:r>
      <w:r>
        <w:rPr>
          <w:noProof/>
          <w:sz w:val="22"/>
          <w:szCs w:val="22"/>
        </w:rPr>
        <w:t>es will be reluctant to raise equity because they may face large costs (Myers 1984, Myers &amp; Majluf 1984). From an investor's perspective, financial regulation in general, and regulation on disclosure requirements in particular, can reduce information asymm</w:t>
      </w:r>
      <w:r>
        <w:rPr>
          <w:noProof/>
          <w:sz w:val="22"/>
          <w:szCs w:val="22"/>
        </w:rPr>
        <w:t xml:space="preserve">etries and boost investors' confidence in the functioning of public markets. Increased compliance costs introduced by tighter regulations for publicly traded firms could however reduce the attractiveness of going public, especially for small firms in case </w:t>
      </w:r>
      <w:r>
        <w:rPr>
          <w:noProof/>
          <w:sz w:val="22"/>
          <w:szCs w:val="22"/>
        </w:rPr>
        <w:t>of one-size-fits-all regulation. Financial regulators should thus strike a balance between stimulating access to finance and consumer protection. Proportionate financial regulation could help in achieving this balance, while at the same time avoid regulato</w:t>
      </w:r>
      <w:r>
        <w:rPr>
          <w:noProof/>
          <w:sz w:val="22"/>
          <w:szCs w:val="22"/>
        </w:rPr>
        <w:t>ry overreach.</w:t>
      </w:r>
    </w:p>
    <w:p w:rsidR="00083C3F" w:rsidRDefault="00083C3F">
      <w:pPr>
        <w:pStyle w:val="FootnoteText"/>
        <w:rPr>
          <w:noProof/>
        </w:rPr>
      </w:pPr>
    </w:p>
    <w:p w:rsidR="00083C3F" w:rsidRDefault="00E1215B">
      <w:pPr>
        <w:rPr>
          <w:noProof/>
        </w:rPr>
      </w:pPr>
      <w:r>
        <w:rPr>
          <w:noProof/>
        </w:rPr>
        <w:t>Various firm-specific motives could support a firm's intention to conduct an IPO. Firm could offer public equity to reduce their cost of capital and optimize their financing mix. Going public also allows a firm to diversify its financing str</w:t>
      </w:r>
      <w:r>
        <w:rPr>
          <w:noProof/>
        </w:rPr>
        <w:t>ucture and ownership which results in more external monitoring and enhances corporate governance due to increased market scrutiny, although - as suggested by the pecking order theory (Myers &amp; Majluf 1984, Myers 1984) - firms that face high asymmetric infor</w:t>
      </w:r>
      <w:r>
        <w:rPr>
          <w:noProof/>
        </w:rPr>
        <w:t>mation costs might prefer to exhaust internal financing first. Firms might also attempt to obtain an optimal debt ratio, which according to the static trade-off theory is reached when the corporate tax advantage of debt is balanced against the (discounted)</w:t>
      </w:r>
      <w:r>
        <w:rPr>
          <w:noProof/>
        </w:rPr>
        <w:t xml:space="preserve"> value of the costs of financial distress (see also Modigliani &amp; Miller 1958, 1963). This theory indicates that equity financing suffer from a tax disadvantage – given the widely applied interest deductibility of debt financing – and that policy actions to</w:t>
      </w:r>
      <w:r>
        <w:rPr>
          <w:noProof/>
        </w:rPr>
        <w:t xml:space="preserve"> reduce this unequal tax treatment between debt and equity finance could influence a firm's reliance on equity. Additionally, a firm's capital structure will also be affected by IPOs if it increases a firm's financial flexibility and bargaining power with </w:t>
      </w:r>
      <w:r>
        <w:rPr>
          <w:noProof/>
        </w:rPr>
        <w:t xml:space="preserve">banks. This will reduce the cost of credit, lower the overall cost of capital and allow firms to diversify its funding. Going public also allows insiders to cash out, which might be particular relevant for venture capitalists for which the IPO provides an </w:t>
      </w:r>
      <w:r>
        <w:rPr>
          <w:noProof/>
        </w:rPr>
        <w:t>elegant opportunity to exit. Going public might also be initiated with a view to future M&amp;A activities. Companies could become a takeover target or shareholders may want to establish a market price when they intend to cash out or sell the company. Alternat</w:t>
      </w:r>
      <w:r>
        <w:rPr>
          <w:noProof/>
        </w:rPr>
        <w:t xml:space="preserve">ively, the firm may want to acquire other companies in the post-IPO period. Finally, an IPO may be undertaken to increase reputation, credibility, and investors' recognition. </w:t>
      </w:r>
    </w:p>
    <w:p w:rsidR="00083C3F" w:rsidRDefault="00E1215B">
      <w:pPr>
        <w:rPr>
          <w:noProof/>
        </w:rPr>
      </w:pPr>
      <w:r>
        <w:rPr>
          <w:rFonts w:cs="Times New Roman"/>
          <w:noProof/>
        </w:rPr>
        <w:t>Empirical evidence suggests that the motives depend on firm characteristics such</w:t>
      </w:r>
      <w:r>
        <w:rPr>
          <w:rFonts w:cs="Times New Roman"/>
          <w:noProof/>
        </w:rPr>
        <w:t xml:space="preserve"> as age, size, etc. In a survey of Chief Financial Officers (CFOs) from 12 European countries, CFOs view enhanced visibility, financial flexibility and funding for growth are important universal factors (Bancel &amp; Mittoo 2009). Other studies conclude that g</w:t>
      </w:r>
      <w:r>
        <w:rPr>
          <w:rFonts w:cs="Times New Roman"/>
          <w:noProof/>
        </w:rPr>
        <w:t xml:space="preserve">oing public to facilitate subsequent acquisitions is a key driver </w:t>
      </w:r>
      <w:r>
        <w:rPr>
          <w:noProof/>
        </w:rPr>
        <w:t>(Celikyurt et al. 2010, Brau &amp; Fawcett 2006).</w:t>
      </w:r>
      <w:r>
        <w:rPr>
          <w:rFonts w:cs="Times New Roman"/>
          <w:noProof/>
        </w:rPr>
        <w:t xml:space="preserve"> Newly listed firms are very active acquirers. Although this partly reflects the fact that they are often active in industries with intense M&amp;A-a</w:t>
      </w:r>
      <w:r>
        <w:rPr>
          <w:rFonts w:cs="Times New Roman"/>
          <w:noProof/>
        </w:rPr>
        <w:t xml:space="preserve">ctivities, they are more active than firms already listed in these industries. Moreover, newly listed firms are predominantly acquiring firms (instead of being take-over targets). </w:t>
      </w:r>
      <w:r>
        <w:rPr>
          <w:noProof/>
        </w:rPr>
        <w:t>IPO activity also affects subsequent market activities and funding practices</w:t>
      </w:r>
      <w:r>
        <w:rPr>
          <w:noProof/>
        </w:rPr>
        <w:t>. A firm's M&amp;A appetite is supported not only by the initial capital injection but also by subsequent access to capital markets</w:t>
      </w:r>
      <w:r>
        <w:rPr>
          <w:b/>
          <w:noProof/>
        </w:rPr>
        <w:t xml:space="preserve">. </w:t>
      </w:r>
      <w:r>
        <w:rPr>
          <w:noProof/>
        </w:rPr>
        <w:t>Hence, well-functioning and liquid capital markets are important in order to ensure the further development and growth of firms</w:t>
      </w:r>
      <w:r>
        <w:rPr>
          <w:noProof/>
        </w:rPr>
        <w:t xml:space="preserve"> (Helwege, Pirinsky, &amp; Stulz 2007).</w:t>
      </w:r>
      <w:r>
        <w:rPr>
          <w:b/>
          <w:noProof/>
        </w:rPr>
        <w:t xml:space="preserve"> </w:t>
      </w:r>
      <w:r>
        <w:rPr>
          <w:noProof/>
        </w:rPr>
        <w:t xml:space="preserve">M&amp;A activities by IPO firms are supported by the fact that the IPO largely resolves the uncertainty regarding the value of the firm (Zingales 1995). This uncertainty resolution, together with improved public information </w:t>
      </w:r>
      <w:r>
        <w:rPr>
          <w:noProof/>
        </w:rPr>
        <w:t>after the listing, also positively affects the firms bargaining power when securing additional financial means. Empirical evidence shows that in the post-IPO period firms reduce the cost of bank credit</w:t>
      </w:r>
      <w:r>
        <w:rPr>
          <w:rStyle w:val="FootnoteReference"/>
          <w:rFonts w:cs="Times New Roman"/>
          <w:noProof/>
          <w:sz w:val="24"/>
          <w:szCs w:val="24"/>
        </w:rPr>
        <w:footnoteReference w:id="28"/>
      </w:r>
      <w:r>
        <w:rPr>
          <w:noProof/>
        </w:rPr>
        <w:t xml:space="preserve"> and increase their debt capacity (Pagano et al. 1998,</w:t>
      </w:r>
      <w:r>
        <w:rPr>
          <w:noProof/>
        </w:rPr>
        <w:t xml:space="preserve"> Celikyurt et al. 2010). This evidence suggests that mandatory information and disclosure requirements of firms positively affect a firm's visibility and access to finance. It helps the firm to diversifying its funding needs by increasing its bargaining po</w:t>
      </w:r>
      <w:r>
        <w:rPr>
          <w:noProof/>
        </w:rPr>
        <w:t xml:space="preserve">wer vis-à-vis its lenders. </w:t>
      </w:r>
    </w:p>
    <w:p w:rsidR="00083C3F" w:rsidRDefault="00E1215B">
      <w:pPr>
        <w:rPr>
          <w:noProof/>
        </w:rPr>
      </w:pPr>
      <w:r>
        <w:rPr>
          <w:rFonts w:cs="Times New Roman"/>
          <w:noProof/>
        </w:rPr>
        <w:t>In considering an IPO, a firm needs to balance the economic advantages of an IPO with the costs associated with the IPO process and the costs of being listed</w:t>
      </w:r>
      <w:r>
        <w:rPr>
          <w:rFonts w:cs="Times New Roman"/>
          <w:i/>
          <w:noProof/>
        </w:rPr>
        <w:t xml:space="preserve">. </w:t>
      </w:r>
      <w:r>
        <w:rPr>
          <w:noProof/>
        </w:rPr>
        <w:t>The costs of going public depend on the market choice and the size of</w:t>
      </w:r>
      <w:r>
        <w:rPr>
          <w:noProof/>
        </w:rPr>
        <w:t xml:space="preserve"> the issue. Direct costs related to the IPO include underwriting fees, professional fees (legal advisers, audit and accounting fees, etc.), compliance costs and initial listing fees. In addition, IPOs tend to be offered at a discount which is an indirect c</w:t>
      </w:r>
      <w:r>
        <w:rPr>
          <w:noProof/>
        </w:rPr>
        <w:t>ost to firms. After the IPO, the firm also has to deal with recurrent regulatory costs related to disclosure and corporate governance obligations and has to pay additional professional and annual listing fees.</w:t>
      </w:r>
      <w:r>
        <w:rPr>
          <w:rStyle w:val="FootnoteReference"/>
          <w:rFonts w:cs="Times New Roman"/>
          <w:noProof/>
          <w:sz w:val="24"/>
          <w:szCs w:val="24"/>
        </w:rPr>
        <w:footnoteReference w:id="29"/>
      </w:r>
    </w:p>
    <w:p w:rsidR="00083C3F" w:rsidRDefault="00E1215B">
      <w:pPr>
        <w:rPr>
          <w:rFonts w:cs="TimesNewRoman"/>
          <w:noProof/>
        </w:rPr>
      </w:pPr>
      <w:r>
        <w:rPr>
          <w:noProof/>
        </w:rPr>
        <w:t>Costs of listing vary depending on the market</w:t>
      </w:r>
      <w:r>
        <w:rPr>
          <w:noProof/>
        </w:rPr>
        <w:t xml:space="preserve"> choice and the size of the issue. The Federation of European Securities Exchanges estimates the cost of an IPO to be between 3 and 15% of the amount raised (FESE 2015). This is in line with estimates of other market players in Europe: </w:t>
      </w:r>
      <w:r>
        <w:rPr>
          <w:rFonts w:cs="TimesNewRoman"/>
          <w:noProof/>
        </w:rPr>
        <w:t>Deutsche Börse and E</w:t>
      </w:r>
      <w:r>
        <w:rPr>
          <w:rFonts w:cs="TimesNewRoman"/>
          <w:noProof/>
        </w:rPr>
        <w:t xml:space="preserve">uronext estimate the average cost at 8.7% and 7.5%, respectively. </w:t>
      </w:r>
    </w:p>
    <w:p w:rsidR="00083C3F" w:rsidRDefault="00E1215B">
      <w:pPr>
        <w:rPr>
          <w:noProof/>
        </w:rPr>
      </w:pPr>
      <w:r>
        <w:rPr>
          <w:noProof/>
        </w:rPr>
        <w:t>The choice of the actual listing market, is an important element in the IPO decision. Going public will not only alter a firm's funding structure, it will also affect a firms ownership stru</w:t>
      </w:r>
      <w:r>
        <w:rPr>
          <w:noProof/>
        </w:rPr>
        <w:t>cture, corporate governance structure and information stream. Disclosure requirements and corporate governance obligations will increase the accountability of a firm compared to an unlisted firm. These elements are determined by the prevailing legal system</w:t>
      </w:r>
      <w:r>
        <w:rPr>
          <w:noProof/>
        </w:rPr>
        <w:t xml:space="preserve"> and are therefore factors to be considered when a firm chooses its issuing market.</w:t>
      </w:r>
      <w:r>
        <w:rPr>
          <w:rStyle w:val="FootnoteReference"/>
          <w:rFonts w:cs="Times New Roman"/>
          <w:noProof/>
          <w:sz w:val="24"/>
          <w:szCs w:val="24"/>
        </w:rPr>
        <w:footnoteReference w:id="30"/>
      </w:r>
      <w:r>
        <w:rPr>
          <w:noProof/>
        </w:rPr>
        <w:t xml:space="preserve"> The market choice is considered to be important in terms of managing visibility and investors' expectations, as well as the ability to raise capital in the future. Institu</w:t>
      </w:r>
      <w:r>
        <w:rPr>
          <w:noProof/>
        </w:rPr>
        <w:t>tional settings and market functioning are also key factors for institutional investors when considering an IPO investment. In a survey of 321 institutional investors, 53% of respondents indicated that the exchange is an important determinant of their inve</w:t>
      </w:r>
      <w:r>
        <w:rPr>
          <w:noProof/>
        </w:rPr>
        <w:t>stment decision. Liquidity, regulatory environment and high corporate governance standards are reported as key decision criteria.</w:t>
      </w:r>
    </w:p>
    <w:p w:rsidR="00083C3F" w:rsidRDefault="00E1215B">
      <w:pPr>
        <w:rPr>
          <w:noProof/>
        </w:rPr>
      </w:pPr>
      <w:r>
        <w:rPr>
          <w:noProof/>
        </w:rPr>
        <w:t>Besides firm-specific factors such as size and internal governance systems, the choice of the IPO market is also influenced by</w:t>
      </w:r>
      <w:r>
        <w:rPr>
          <w:noProof/>
        </w:rPr>
        <w:t xml:space="preserve"> the prevailing ecosystem (e.g. analytics and research, underwriting and brokerage functions). A firm's broker has an important influence on its market choice decision. In addition, the presence of prestigious underwriters and degree of venture capitalist </w:t>
      </w:r>
      <w:r>
        <w:rPr>
          <w:noProof/>
        </w:rPr>
        <w:t xml:space="preserve">syndication may impact the market choice. </w:t>
      </w:r>
    </w:p>
    <w:p w:rsidR="00083C3F" w:rsidRDefault="00E1215B">
      <w:pPr>
        <w:rPr>
          <w:noProof/>
        </w:rPr>
      </w:pPr>
      <w:r>
        <w:rPr>
          <w:noProof/>
        </w:rPr>
        <w:t>Finally, market choice is influenced by firm size, with smaller firms considering growth markets as an alternative for listings on traditional markets. Compared to large firms, the market choice of smaller firms is also more influenced by the costs of list</w:t>
      </w:r>
      <w:r>
        <w:rPr>
          <w:noProof/>
        </w:rPr>
        <w:t xml:space="preserve">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83C3F">
        <w:tc>
          <w:tcPr>
            <w:tcW w:w="9288" w:type="dxa"/>
            <w:shd w:val="clear" w:color="auto" w:fill="548DD4" w:themeFill="text2" w:themeFillTint="99"/>
          </w:tcPr>
          <w:p w:rsidR="00083C3F" w:rsidRDefault="00E1215B">
            <w:pPr>
              <w:pStyle w:val="Box"/>
              <w:rPr>
                <w:noProof/>
              </w:rPr>
            </w:pPr>
            <w:r>
              <w:rPr>
                <w:noProof/>
              </w:rPr>
              <w:t>M&amp;A activity in Europe</w:t>
            </w:r>
          </w:p>
        </w:tc>
      </w:tr>
      <w:tr w:rsidR="00083C3F">
        <w:tc>
          <w:tcPr>
            <w:tcW w:w="9288" w:type="dxa"/>
            <w:shd w:val="clear" w:color="auto" w:fill="B8CCE4" w:themeFill="accent1" w:themeFillTint="66"/>
          </w:tcPr>
          <w:p w:rsidR="00083C3F" w:rsidRDefault="00E1215B">
            <w:pPr>
              <w:rPr>
                <w:rFonts w:cs="Times New Roman"/>
                <w:noProof/>
              </w:rPr>
            </w:pPr>
            <w:r>
              <w:rPr>
                <w:rFonts w:cs="Times New Roman"/>
                <w:noProof/>
              </w:rPr>
              <w:t>M&amp;A activities are volatile, with pronounced boom and bust phases, spurred by the availability of credit, changes in government policy (e.g. deregulation), innovation, and high stock valuations facilitating stock financed take</w:t>
            </w:r>
            <w:r>
              <w:rPr>
                <w:rFonts w:cs="Times New Roman"/>
                <w:noProof/>
              </w:rPr>
              <w:t xml:space="preserve">-overs. Economic conditions are the key factor influencing the M&amp;A market. </w:t>
            </w:r>
          </w:p>
          <w:p w:rsidR="00083C3F" w:rsidRDefault="00E1215B">
            <w:pPr>
              <w:pStyle w:val="Caption"/>
            </w:pPr>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9</w:t>
            </w:r>
            <w:r>
              <w:fldChar w:fldCharType="end"/>
            </w:r>
            <w:r>
              <w:t xml:space="preserve"> European M&amp;A activity (EUR billion)</w:t>
            </w:r>
          </w:p>
          <w:p w:rsidR="00083C3F" w:rsidRDefault="00E1215B">
            <w:pPr>
              <w:pStyle w:val="Figure"/>
              <w:rPr>
                <w:noProof/>
              </w:rPr>
            </w:pPr>
            <w:r>
              <w:rPr>
                <w:noProof/>
                <w:lang w:eastAsia="en-GB"/>
              </w:rPr>
              <w:drawing>
                <wp:inline distT="0" distB="0" distL="0" distR="0" wp14:anchorId="3D94CDE4" wp14:editId="10AB773A">
                  <wp:extent cx="4448175" cy="2807970"/>
                  <wp:effectExtent l="0" t="0" r="0" b="0"/>
                  <wp:docPr id="39"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83C3F" w:rsidRDefault="00E1215B">
            <w:pPr>
              <w:pStyle w:val="Source"/>
              <w:rPr>
                <w:noProof/>
              </w:rPr>
            </w:pPr>
            <w:r>
              <w:rPr>
                <w:noProof/>
              </w:rPr>
              <w:t xml:space="preserve">Source: Dealogic </w:t>
            </w:r>
          </w:p>
          <w:p w:rsidR="00083C3F" w:rsidRDefault="00E1215B">
            <w:pPr>
              <w:rPr>
                <w:rFonts w:cs="Times New Roman"/>
                <w:noProof/>
              </w:rPr>
            </w:pPr>
            <w:r>
              <w:rPr>
                <w:rFonts w:cs="Times New Roman"/>
                <w:noProof/>
              </w:rPr>
              <w:t>The 2008 financial crisis marked the end of the last M&amp;A wave and</w:t>
            </w:r>
            <w:r>
              <w:rPr>
                <w:rFonts w:cs="Times New Roman"/>
                <w:noProof/>
              </w:rPr>
              <w:t xml:space="preserve"> stalled the M&amp;A market for an extended period. Although confidence has gradually returned to capital markets supported by accommodating monetary policy, firms initially held back from M&amp;A actions, and preferred to pay out dividends or start-up stock repur</w:t>
            </w:r>
            <w:r>
              <w:rPr>
                <w:rFonts w:cs="Times New Roman"/>
                <w:noProof/>
              </w:rPr>
              <w:t xml:space="preserve">chasing programs. The M&amp;A market reached a tipping point in 2013 and has started to pick up significantly since 2014 supported with an increase in very large transactions. Interestingly, cross-border M&amp;A activity has become relatively more important since </w:t>
            </w:r>
            <w:r>
              <w:rPr>
                <w:rFonts w:cs="Times New Roman"/>
                <w:noProof/>
              </w:rPr>
              <w:t>2009.</w:t>
            </w:r>
          </w:p>
        </w:tc>
      </w:tr>
    </w:tbl>
    <w:p w:rsidR="00083C3F" w:rsidRDefault="00E1215B">
      <w:pPr>
        <w:pStyle w:val="Heading4"/>
        <w:rPr>
          <w:noProof/>
        </w:rPr>
      </w:pPr>
      <w:r>
        <w:rPr>
          <w:noProof/>
        </w:rPr>
        <w:t xml:space="preserve">Focus on SMEs </w:t>
      </w:r>
    </w:p>
    <w:p w:rsidR="00083C3F" w:rsidRDefault="00E1215B">
      <w:pPr>
        <w:rPr>
          <w:noProof/>
        </w:rPr>
      </w:pPr>
      <w:r>
        <w:rPr>
          <w:noProof/>
        </w:rPr>
        <w:t>In general, access to equity markets by smaller companies is limited and mostly young, fast growing SMEs use public equity markets to raise capital (OECD 2015). Based on evidence from the US market and (to a lesser extent) the European market, Ritter et al</w:t>
      </w:r>
      <w:r>
        <w:rPr>
          <w:noProof/>
        </w:rPr>
        <w:t>. (2013) argue that SMEs might follow a strategy to get big fast by becoming part of a larger organisation that has a relative advantage in terms of realising economies of scope and scale, which could explain why some SMEs are not considering to access pub</w:t>
      </w:r>
      <w:r>
        <w:rPr>
          <w:noProof/>
        </w:rPr>
        <w:t xml:space="preserve">lic markets.  </w:t>
      </w:r>
    </w:p>
    <w:p w:rsidR="00083C3F" w:rsidRDefault="00E1215B">
      <w:pPr>
        <w:rPr>
          <w:noProof/>
        </w:rPr>
      </w:pPr>
      <w:r>
        <w:rPr>
          <w:noProof/>
        </w:rPr>
        <w:t>There is a clear IPO gap for SMEs. It is estimated that the IPO market in Europe is only half the size of the one in the US, and for smaller deals it is only about one third (Wright 2014, Didier et al. 2015). Masiak et al. (2017) also demons</w:t>
      </w:r>
      <w:r>
        <w:rPr>
          <w:noProof/>
        </w:rPr>
        <w:t xml:space="preserve">trate that a significant number of internally financed SMEs appear to deliberately opt to shy away from external financing. </w:t>
      </w:r>
    </w:p>
    <w:p w:rsidR="00083C3F" w:rsidRDefault="00E1215B">
      <w:pPr>
        <w:rPr>
          <w:noProof/>
        </w:rPr>
      </w:pPr>
      <w:r>
        <w:rPr>
          <w:noProof/>
        </w:rPr>
        <w:t>SME dynamics are also distinct in the post-IPO phase. Rose &amp; Solomon (2016) found that the probability of staying listed within the</w:t>
      </w:r>
      <w:r>
        <w:rPr>
          <w:noProof/>
        </w:rPr>
        <w:t xml:space="preserve"> first five years following an IPO is lower for small firms compared to mid-cap and large-cap firms, suggesting that small firms may experience structural disadvantages that accentuated their unsuitability to raise capital in the public equity market.</w:t>
      </w:r>
      <w:r>
        <w:rPr>
          <w:rStyle w:val="FootnoteReference"/>
          <w:rFonts w:cs="Times New Roman"/>
          <w:noProof/>
          <w:sz w:val="24"/>
          <w:szCs w:val="24"/>
        </w:rPr>
        <w:footnoteReference w:id="31"/>
      </w:r>
    </w:p>
    <w:p w:rsidR="00083C3F" w:rsidRDefault="00E1215B">
      <w:pPr>
        <w:rPr>
          <w:noProof/>
        </w:rPr>
      </w:pPr>
      <w:r>
        <w:rPr>
          <w:noProof/>
        </w:rPr>
        <w:t>Tak</w:t>
      </w:r>
      <w:r>
        <w:rPr>
          <w:noProof/>
        </w:rPr>
        <w:t xml:space="preserve">en together, these results suggest that equity markets have significant potential for SMEs to attract funding, but are likely not to be relevant for all SMEs. Hence, it is important to clearly identify those SMEs that could benefit from a better access to </w:t>
      </w:r>
      <w:r>
        <w:rPr>
          <w:noProof/>
        </w:rPr>
        <w:t xml:space="preserve">equity markets, identify the barriers they face and to ensure that financial regulation is sufficiently targeted to these firms. </w:t>
      </w:r>
    </w:p>
    <w:p w:rsidR="00083C3F" w:rsidRDefault="00E1215B">
      <w:pPr>
        <w:rPr>
          <w:noProof/>
        </w:rPr>
      </w:pPr>
      <w:r>
        <w:rPr>
          <w:noProof/>
        </w:rPr>
        <w:t xml:space="preserve">Compared to large firms, smaller firms face a number of structural disadvantages owing to their size and the heterogeneity of </w:t>
      </w:r>
      <w:r>
        <w:rPr>
          <w:noProof/>
        </w:rPr>
        <w:t>SMEs. Firstly, information asymmetries are more pronounced for small firms compared to larger ones. SMEs lack track record and are less visible. Adverse selection costs should therefore be more serious for the listing of young and small companies (Pagano e</w:t>
      </w:r>
      <w:r>
        <w:rPr>
          <w:noProof/>
        </w:rPr>
        <w:t>t al. 1998). In addition, the lack of standardization and harmonization of performance and other financial data adds to the information gap between insiders and investors. According to the pecking order theory, firms that are characterized by high informat</w:t>
      </w:r>
      <w:r>
        <w:rPr>
          <w:noProof/>
        </w:rPr>
        <w:t xml:space="preserve">ion asymmetries will rely more heavily on internally-generated means. Secondly, SMEs are confronted with high fixed costs of becoming listed compared to the deal size. The Federation of European Securities Exchanges (FESE) estimated that in 2015 the costs </w:t>
      </w:r>
      <w:r>
        <w:rPr>
          <w:noProof/>
        </w:rPr>
        <w:t>varies  from 10 to 15% of the amount raised from an initial offering of less than EUR 6 million to 3 to 7.5% from more than EUR 100 million (FESE 2015). On top, recurrent compliance costs after listing (e.g. information disclosure) have to be taken into co</w:t>
      </w:r>
      <w:r>
        <w:rPr>
          <w:noProof/>
        </w:rPr>
        <w:t xml:space="preserve">nsideration as well. </w:t>
      </w:r>
    </w:p>
    <w:p w:rsidR="00083C3F" w:rsidRDefault="00E1215B">
      <w:pPr>
        <w:pStyle w:val="Caption"/>
      </w:pPr>
      <w:r>
        <w:t xml:space="preserve">Table </w:t>
      </w:r>
      <w:r>
        <w:fldChar w:fldCharType="begin"/>
      </w:r>
      <w:r>
        <w:instrText xml:space="preserve"> STYLEREF 1 \s </w:instrText>
      </w:r>
      <w:r>
        <w:fldChar w:fldCharType="separate"/>
      </w:r>
      <w:r>
        <w:t>3</w:t>
      </w:r>
      <w:r>
        <w:fldChar w:fldCharType="end"/>
      </w:r>
      <w:r>
        <w:t>.</w:t>
      </w:r>
      <w:r>
        <w:fldChar w:fldCharType="begin"/>
      </w:r>
      <w:r>
        <w:instrText xml:space="preserve"> SEQ Table \* ARABIC \s 1 </w:instrText>
      </w:r>
      <w:r>
        <w:fldChar w:fldCharType="separate"/>
      </w:r>
      <w:r>
        <w:t>1</w:t>
      </w:r>
      <w:r>
        <w:fldChar w:fldCharType="end"/>
      </w:r>
      <w:r>
        <w:t xml:space="preserve"> Listing costs (as a % of the amount raised)</w:t>
      </w:r>
    </w:p>
    <w:tbl>
      <w:tblPr>
        <w:tblStyle w:val="LightShading"/>
        <w:tblW w:w="9288" w:type="dxa"/>
        <w:tblLook w:val="06A0" w:firstRow="1" w:lastRow="0" w:firstColumn="1" w:lastColumn="0" w:noHBand="1" w:noVBand="1"/>
      </w:tblPr>
      <w:tblGrid>
        <w:gridCol w:w="4928"/>
        <w:gridCol w:w="4360"/>
      </w:tblGrid>
      <w:tr w:rsidR="00083C3F" w:rsidTr="00083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hideMark/>
          </w:tcPr>
          <w:p w:rsidR="00083C3F" w:rsidRDefault="00E1215B">
            <w:pPr>
              <w:keepNext/>
              <w:rPr>
                <w:rFonts w:ascii="Calibri" w:hAnsi="Calibri"/>
                <w:i/>
                <w:iCs/>
                <w:noProof/>
                <w:sz w:val="24"/>
                <w:szCs w:val="24"/>
              </w:rPr>
            </w:pPr>
            <w:r>
              <w:rPr>
                <w:bCs w:val="0"/>
                <w:i/>
                <w:iCs/>
                <w:noProof/>
              </w:rPr>
              <w:t>Amount raised from the IPO</w:t>
            </w:r>
          </w:p>
        </w:tc>
        <w:tc>
          <w:tcPr>
            <w:tcW w:w="4360" w:type="dxa"/>
            <w:hideMark/>
          </w:tcPr>
          <w:p w:rsidR="00083C3F" w:rsidRDefault="00E1215B">
            <w:pPr>
              <w:keepNext/>
              <w:jc w:val="center"/>
              <w:cnfStyle w:val="100000000000" w:firstRow="1" w:lastRow="0" w:firstColumn="0" w:lastColumn="0" w:oddVBand="0" w:evenVBand="0" w:oddHBand="0" w:evenHBand="0" w:firstRowFirstColumn="0" w:firstRowLastColumn="0" w:lastRowFirstColumn="0" w:lastRowLastColumn="0"/>
              <w:rPr>
                <w:rFonts w:ascii="Calibri" w:hAnsi="Calibri"/>
                <w:i/>
                <w:iCs/>
                <w:noProof/>
                <w:sz w:val="24"/>
                <w:szCs w:val="24"/>
              </w:rPr>
            </w:pPr>
            <w:r>
              <w:rPr>
                <w:bCs w:val="0"/>
                <w:i/>
                <w:iCs/>
                <w:noProof/>
              </w:rPr>
              <w:t xml:space="preserve">Cost of raising capital </w:t>
            </w:r>
            <w:r>
              <w:rPr>
                <w:bCs w:val="0"/>
                <w:i/>
                <w:iCs/>
                <w:noProof/>
              </w:rPr>
              <w:br/>
            </w:r>
            <w:r>
              <w:rPr>
                <w:i/>
                <w:iCs/>
                <w:noProof/>
              </w:rPr>
              <w:t>(as a % of the amount raised)</w:t>
            </w:r>
          </w:p>
        </w:tc>
      </w:tr>
      <w:tr w:rsidR="00083C3F" w:rsidTr="00083C3F">
        <w:tc>
          <w:tcPr>
            <w:cnfStyle w:val="001000000000" w:firstRow="0" w:lastRow="0" w:firstColumn="1" w:lastColumn="0" w:oddVBand="0" w:evenVBand="0" w:oddHBand="0" w:evenHBand="0" w:firstRowFirstColumn="0" w:firstRowLastColumn="0" w:lastRowFirstColumn="0" w:lastRowLastColumn="0"/>
            <w:tcW w:w="4928" w:type="dxa"/>
            <w:hideMark/>
          </w:tcPr>
          <w:p w:rsidR="00083C3F" w:rsidRDefault="00E1215B">
            <w:pPr>
              <w:keepNext/>
              <w:rPr>
                <w:rFonts w:ascii="Calibri" w:hAnsi="Calibri"/>
                <w:b w:val="0"/>
                <w:iCs/>
                <w:noProof/>
                <w:sz w:val="24"/>
                <w:szCs w:val="24"/>
              </w:rPr>
            </w:pPr>
            <w:r>
              <w:rPr>
                <w:b w:val="0"/>
                <w:iCs/>
                <w:noProof/>
              </w:rPr>
              <w:t>less than EUR 6 million</w:t>
            </w:r>
          </w:p>
        </w:tc>
        <w:tc>
          <w:tcPr>
            <w:tcW w:w="4360" w:type="dxa"/>
            <w:hideMark/>
          </w:tcPr>
          <w:p w:rsidR="00083C3F" w:rsidRDefault="00E1215B">
            <w:pPr>
              <w:keepNext/>
              <w:jc w:val="center"/>
              <w:cnfStyle w:val="000000000000" w:firstRow="0" w:lastRow="0" w:firstColumn="0" w:lastColumn="0" w:oddVBand="0" w:evenVBand="0" w:oddHBand="0" w:evenHBand="0" w:firstRowFirstColumn="0" w:firstRowLastColumn="0" w:lastRowFirstColumn="0" w:lastRowLastColumn="0"/>
              <w:rPr>
                <w:rFonts w:ascii="Calibri" w:hAnsi="Calibri"/>
                <w:iCs/>
                <w:noProof/>
                <w:sz w:val="24"/>
                <w:szCs w:val="24"/>
              </w:rPr>
            </w:pPr>
            <w:r>
              <w:rPr>
                <w:iCs/>
                <w:noProof/>
              </w:rPr>
              <w:t>10 to 15</w:t>
            </w:r>
          </w:p>
        </w:tc>
      </w:tr>
      <w:tr w:rsidR="00083C3F" w:rsidTr="00083C3F">
        <w:tc>
          <w:tcPr>
            <w:cnfStyle w:val="001000000000" w:firstRow="0" w:lastRow="0" w:firstColumn="1" w:lastColumn="0" w:oddVBand="0" w:evenVBand="0" w:oddHBand="0" w:evenHBand="0" w:firstRowFirstColumn="0" w:firstRowLastColumn="0" w:lastRowFirstColumn="0" w:lastRowLastColumn="0"/>
            <w:tcW w:w="4928" w:type="dxa"/>
            <w:hideMark/>
          </w:tcPr>
          <w:p w:rsidR="00083C3F" w:rsidRDefault="00E1215B">
            <w:pPr>
              <w:keepNext/>
              <w:rPr>
                <w:rFonts w:ascii="Calibri" w:hAnsi="Calibri"/>
                <w:b w:val="0"/>
                <w:iCs/>
                <w:noProof/>
                <w:sz w:val="24"/>
                <w:szCs w:val="24"/>
              </w:rPr>
            </w:pPr>
            <w:r>
              <w:rPr>
                <w:b w:val="0"/>
                <w:iCs/>
                <w:noProof/>
              </w:rPr>
              <w:t xml:space="preserve">between EUR 6 </w:t>
            </w:r>
            <w:r>
              <w:rPr>
                <w:b w:val="0"/>
                <w:iCs/>
                <w:noProof/>
              </w:rPr>
              <w:t>million and EUR 50 million</w:t>
            </w:r>
          </w:p>
        </w:tc>
        <w:tc>
          <w:tcPr>
            <w:tcW w:w="4360" w:type="dxa"/>
            <w:hideMark/>
          </w:tcPr>
          <w:p w:rsidR="00083C3F" w:rsidRDefault="00E1215B">
            <w:pPr>
              <w:keepNext/>
              <w:jc w:val="center"/>
              <w:cnfStyle w:val="000000000000" w:firstRow="0" w:lastRow="0" w:firstColumn="0" w:lastColumn="0" w:oddVBand="0" w:evenVBand="0" w:oddHBand="0" w:evenHBand="0" w:firstRowFirstColumn="0" w:firstRowLastColumn="0" w:lastRowFirstColumn="0" w:lastRowLastColumn="0"/>
              <w:rPr>
                <w:rFonts w:ascii="Calibri" w:hAnsi="Calibri"/>
                <w:iCs/>
                <w:noProof/>
                <w:sz w:val="24"/>
                <w:szCs w:val="24"/>
              </w:rPr>
            </w:pPr>
            <w:r>
              <w:rPr>
                <w:iCs/>
                <w:noProof/>
              </w:rPr>
              <w:t>6 to 10</w:t>
            </w:r>
          </w:p>
        </w:tc>
      </w:tr>
      <w:tr w:rsidR="00083C3F" w:rsidTr="00083C3F">
        <w:tc>
          <w:tcPr>
            <w:cnfStyle w:val="001000000000" w:firstRow="0" w:lastRow="0" w:firstColumn="1" w:lastColumn="0" w:oddVBand="0" w:evenVBand="0" w:oddHBand="0" w:evenHBand="0" w:firstRowFirstColumn="0" w:firstRowLastColumn="0" w:lastRowFirstColumn="0" w:lastRowLastColumn="0"/>
            <w:tcW w:w="4928" w:type="dxa"/>
            <w:hideMark/>
          </w:tcPr>
          <w:p w:rsidR="00083C3F" w:rsidRDefault="00E1215B">
            <w:pPr>
              <w:keepNext/>
              <w:rPr>
                <w:rFonts w:ascii="Calibri" w:hAnsi="Calibri"/>
                <w:b w:val="0"/>
                <w:iCs/>
                <w:noProof/>
                <w:sz w:val="24"/>
                <w:szCs w:val="24"/>
              </w:rPr>
            </w:pPr>
            <w:r>
              <w:rPr>
                <w:b w:val="0"/>
                <w:iCs/>
                <w:noProof/>
              </w:rPr>
              <w:t>between EUR 50 million and EUR 100 million</w:t>
            </w:r>
          </w:p>
        </w:tc>
        <w:tc>
          <w:tcPr>
            <w:tcW w:w="4360" w:type="dxa"/>
            <w:hideMark/>
          </w:tcPr>
          <w:p w:rsidR="00083C3F" w:rsidRDefault="00E1215B">
            <w:pPr>
              <w:keepNext/>
              <w:jc w:val="center"/>
              <w:cnfStyle w:val="000000000000" w:firstRow="0" w:lastRow="0" w:firstColumn="0" w:lastColumn="0" w:oddVBand="0" w:evenVBand="0" w:oddHBand="0" w:evenHBand="0" w:firstRowFirstColumn="0" w:firstRowLastColumn="0" w:lastRowFirstColumn="0" w:lastRowLastColumn="0"/>
              <w:rPr>
                <w:rFonts w:ascii="Calibri" w:hAnsi="Calibri"/>
                <w:iCs/>
                <w:noProof/>
                <w:sz w:val="24"/>
                <w:szCs w:val="24"/>
              </w:rPr>
            </w:pPr>
            <w:r>
              <w:rPr>
                <w:iCs/>
                <w:noProof/>
              </w:rPr>
              <w:t>5 to 8</w:t>
            </w:r>
          </w:p>
        </w:tc>
      </w:tr>
      <w:tr w:rsidR="00083C3F" w:rsidTr="00083C3F">
        <w:tc>
          <w:tcPr>
            <w:cnfStyle w:val="001000000000" w:firstRow="0" w:lastRow="0" w:firstColumn="1" w:lastColumn="0" w:oddVBand="0" w:evenVBand="0" w:oddHBand="0" w:evenHBand="0" w:firstRowFirstColumn="0" w:firstRowLastColumn="0" w:lastRowFirstColumn="0" w:lastRowLastColumn="0"/>
            <w:tcW w:w="4928" w:type="dxa"/>
            <w:hideMark/>
          </w:tcPr>
          <w:p w:rsidR="00083C3F" w:rsidRDefault="00E1215B">
            <w:pPr>
              <w:keepNext/>
              <w:rPr>
                <w:rFonts w:ascii="Calibri" w:hAnsi="Calibri"/>
                <w:b w:val="0"/>
                <w:iCs/>
                <w:noProof/>
                <w:sz w:val="24"/>
                <w:szCs w:val="24"/>
              </w:rPr>
            </w:pPr>
            <w:r>
              <w:rPr>
                <w:b w:val="0"/>
                <w:iCs/>
                <w:noProof/>
              </w:rPr>
              <w:t>more than EUR 100 million</w:t>
            </w:r>
          </w:p>
        </w:tc>
        <w:tc>
          <w:tcPr>
            <w:tcW w:w="4360" w:type="dxa"/>
            <w:hideMark/>
          </w:tcPr>
          <w:p w:rsidR="00083C3F" w:rsidRDefault="00E1215B">
            <w:pPr>
              <w:keepNext/>
              <w:jc w:val="center"/>
              <w:cnfStyle w:val="000000000000" w:firstRow="0" w:lastRow="0" w:firstColumn="0" w:lastColumn="0" w:oddVBand="0" w:evenVBand="0" w:oddHBand="0" w:evenHBand="0" w:firstRowFirstColumn="0" w:firstRowLastColumn="0" w:lastRowFirstColumn="0" w:lastRowLastColumn="0"/>
              <w:rPr>
                <w:rFonts w:ascii="Calibri" w:hAnsi="Calibri"/>
                <w:iCs/>
                <w:noProof/>
                <w:sz w:val="24"/>
                <w:szCs w:val="24"/>
              </w:rPr>
            </w:pPr>
            <w:r>
              <w:rPr>
                <w:iCs/>
                <w:noProof/>
              </w:rPr>
              <w:t>3 to 7.5</w:t>
            </w:r>
          </w:p>
        </w:tc>
      </w:tr>
    </w:tbl>
    <w:p w:rsidR="00083C3F" w:rsidRDefault="00E1215B">
      <w:pPr>
        <w:pStyle w:val="Chartnotes"/>
        <w:spacing w:after="0"/>
        <w:rPr>
          <w:noProof/>
        </w:rPr>
      </w:pPr>
      <w:r>
        <w:rPr>
          <w:noProof/>
        </w:rPr>
        <w:tab/>
      </w:r>
    </w:p>
    <w:p w:rsidR="00083C3F" w:rsidRDefault="00E1215B">
      <w:pPr>
        <w:pStyle w:val="Source"/>
        <w:rPr>
          <w:noProof/>
        </w:rPr>
      </w:pPr>
      <w:r>
        <w:rPr>
          <w:noProof/>
        </w:rPr>
        <w:t>Source: Federation of the European Securities Exchanges (FESE) (2015).</w:t>
      </w:r>
    </w:p>
    <w:p w:rsidR="00083C3F" w:rsidRDefault="00E1215B">
      <w:pPr>
        <w:rPr>
          <w:rStyle w:val="author"/>
          <w:rFonts w:cs="Times New Roman"/>
          <w:noProof/>
        </w:rPr>
      </w:pPr>
      <w:r>
        <w:rPr>
          <w:noProof/>
        </w:rPr>
        <w:t>Growth markets could alleviate some of the cost concerns giv</w:t>
      </w:r>
      <w:r>
        <w:rPr>
          <w:noProof/>
        </w:rPr>
        <w:t>en their lower admission costs, more flexible listing criteria and less stringent disclosure requirements.</w:t>
      </w:r>
      <w:r>
        <w:rPr>
          <w:rStyle w:val="FootnoteReference"/>
          <w:rFonts w:cs="Times New Roman"/>
          <w:noProof/>
          <w:sz w:val="24"/>
          <w:szCs w:val="24"/>
        </w:rPr>
        <w:footnoteReference w:id="32"/>
      </w:r>
      <w:r>
        <w:rPr>
          <w:noProof/>
        </w:rPr>
        <w:t xml:space="preserve"> A proportionate approach aimed at SMEs could therefore be helpful. Such an approach should be balanced and should not undermine consumer protection.</w:t>
      </w:r>
      <w:r>
        <w:rPr>
          <w:noProof/>
        </w:rPr>
        <w:t xml:space="preserve"> Thirdly, market funding for SMEs might be hindered by a lack of demand.</w:t>
      </w:r>
      <w:r>
        <w:rPr>
          <w:rStyle w:val="FootnoteReference"/>
          <w:rFonts w:cs="Times New Roman"/>
          <w:noProof/>
        </w:rPr>
        <w:footnoteReference w:id="33"/>
      </w:r>
      <w:r>
        <w:rPr>
          <w:noProof/>
        </w:rPr>
        <w:t xml:space="preserve"> The participation by institutional investors is hampered by a lack of market liquidity and available research coverage (OECD 2015b). Market infrastructure (market makers, etc.) and equity research coverage are important to increase liquidity and visibilit</w:t>
      </w:r>
      <w:r>
        <w:rPr>
          <w:noProof/>
        </w:rPr>
        <w:t>y of SMEs, but they are underdeveloped in Europe (ECSIP 2013). Aggregation of SMEs investments by pooling listed SME securities could increase the liquidity of SME investments and, in turn, could broaden the base of institutional investors. In this regard,</w:t>
      </w:r>
      <w:r>
        <w:rPr>
          <w:noProof/>
        </w:rPr>
        <w:t xml:space="preserve"> </w:t>
      </w:r>
      <w:r>
        <w:rPr>
          <w:rStyle w:val="author"/>
          <w:rFonts w:cs="Times New Roman"/>
          <w:noProof/>
        </w:rPr>
        <w:t>Bartlett &amp; Solomon (2016) show that the decline in small IPOs in the US market since 1998 can be partly attributed to a decrease in the demand by large equity mutual funds. The growth in asset under management for these funds leads to larger investment po</w:t>
      </w:r>
      <w:r>
        <w:rPr>
          <w:rStyle w:val="author"/>
          <w:rFonts w:cs="Times New Roman"/>
          <w:noProof/>
        </w:rPr>
        <w:t xml:space="preserve">sitions and an increased attention to liquidity exposure. </w:t>
      </w:r>
    </w:p>
    <w:p w:rsidR="00083C3F" w:rsidRDefault="00E1215B">
      <w:pPr>
        <w:rPr>
          <w:noProof/>
        </w:rPr>
      </w:pPr>
      <w:r>
        <w:rPr>
          <w:rStyle w:val="author"/>
          <w:rFonts w:cs="Times New Roman"/>
          <w:noProof/>
        </w:rPr>
        <w:t>Besides institutional investors, r</w:t>
      </w:r>
      <w:r>
        <w:rPr>
          <w:noProof/>
        </w:rPr>
        <w:t>etail investor participation is also underdeveloped. Appropriate investor education</w:t>
      </w:r>
      <w:r>
        <w:rPr>
          <w:rStyle w:val="FootnoteReference"/>
          <w:rFonts w:cs="Times New Roman"/>
          <w:noProof/>
        </w:rPr>
        <w:footnoteReference w:id="34"/>
      </w:r>
      <w:r>
        <w:rPr>
          <w:noProof/>
        </w:rPr>
        <w:t xml:space="preserve"> and investor protection appear to be key factors to promote retail investments</w:t>
      </w:r>
      <w:r>
        <w:rPr>
          <w:noProof/>
        </w:rPr>
        <w:t xml:space="preserve"> in listed SMEs. Retail investors should clearly understand the higher risks associated with investments in SMEs and the quality of IPOs by SMEs needs also to be monitored closely. Retail investors' participation in the market, for instance through the all</w:t>
      </w:r>
      <w:r>
        <w:rPr>
          <w:noProof/>
        </w:rPr>
        <w:t xml:space="preserve">ocation of part of their pension fund investments, would deepen the market and provide a strong impetus for its development. </w:t>
      </w:r>
    </w:p>
    <w:p w:rsidR="00083C3F" w:rsidRDefault="00E1215B">
      <w:pPr>
        <w:rPr>
          <w:noProof/>
        </w:rPr>
      </w:pPr>
      <w:r>
        <w:rPr>
          <w:noProof/>
        </w:rPr>
        <w:t>Fourthly, the existence of a well-functioning listing ecosystem is essential for SMEs. The ecosystem consists of investment banks,</w:t>
      </w:r>
      <w:r>
        <w:rPr>
          <w:noProof/>
        </w:rPr>
        <w:t xml:space="preserve"> SME-specialised banks, sales, brokers, research analysts, advisers, market makers, and other parties that support the SME IPO process and subsequent listing process (see </w:t>
      </w:r>
      <w:r>
        <w:rPr>
          <w:noProof/>
        </w:rPr>
        <w:fldChar w:fldCharType="begin"/>
      </w:r>
      <w:r>
        <w:rPr>
          <w:noProof/>
        </w:rPr>
        <w:instrText xml:space="preserve"> REF _Ref479674921 \h  \* MERGEFORMAT </w:instrText>
      </w:r>
      <w:r>
        <w:rPr>
          <w:noProof/>
        </w:rPr>
      </w:r>
      <w:r>
        <w:rPr>
          <w:noProof/>
        </w:rPr>
        <w:fldChar w:fldCharType="separate"/>
      </w:r>
      <w:r>
        <w:rPr>
          <w:noProof/>
        </w:rPr>
        <w:t>Figure 3.10</w:t>
      </w:r>
      <w:r>
        <w:rPr>
          <w:noProof/>
        </w:rPr>
        <w:fldChar w:fldCharType="end"/>
      </w:r>
      <w:r>
        <w:rPr>
          <w:noProof/>
        </w:rPr>
        <w:t>). The ecosystem is especially relevant for SMEs given that they are often locally oriented (thus relying on a well-developed local ecosystem) and often are less knowledgeable about the listing process. Nevertheless, the eco</w:t>
      </w:r>
      <w:r>
        <w:rPr>
          <w:noProof/>
        </w:rPr>
        <w:t xml:space="preserve">system for SMEs appears to be too narrow owing to a large extent to a lack of economic incentives for market players to provide such services. </w:t>
      </w:r>
    </w:p>
    <w:p w:rsidR="00083C3F" w:rsidRDefault="00E1215B">
      <w:pPr>
        <w:pStyle w:val="Caption"/>
      </w:pPr>
      <w:bookmarkStart w:id="127" w:name="_Ref479674921"/>
      <w:r>
        <w:t xml:space="preserve">Figure </w:t>
      </w:r>
      <w:r>
        <w:fldChar w:fldCharType="begin"/>
      </w:r>
      <w:r>
        <w:instrText xml:space="preserve"> STYLEREF 1 \s </w:instrText>
      </w:r>
      <w:r>
        <w:fldChar w:fldCharType="separate"/>
      </w:r>
      <w:r>
        <w:t>3</w:t>
      </w:r>
      <w:r>
        <w:fldChar w:fldCharType="end"/>
      </w:r>
      <w:r>
        <w:t>.</w:t>
      </w:r>
      <w:r>
        <w:fldChar w:fldCharType="begin"/>
      </w:r>
      <w:r>
        <w:instrText xml:space="preserve"> SEQ Figure \* ARABIC \s 1 </w:instrText>
      </w:r>
      <w:r>
        <w:fldChar w:fldCharType="separate"/>
      </w:r>
      <w:r>
        <w:t>10</w:t>
      </w:r>
      <w:r>
        <w:fldChar w:fldCharType="end"/>
      </w:r>
      <w:bookmarkEnd w:id="127"/>
      <w:r>
        <w:t xml:space="preserve"> Ecosystem for SME listings </w:t>
      </w:r>
    </w:p>
    <w:p w:rsidR="00083C3F" w:rsidRDefault="00E1215B">
      <w:pPr>
        <w:rPr>
          <w:rFonts w:cs="Times New Roman"/>
          <w:i/>
          <w:noProof/>
          <w:sz w:val="24"/>
          <w:szCs w:val="24"/>
        </w:rPr>
      </w:pPr>
      <w:r>
        <w:rPr>
          <w:noProof/>
          <w:lang w:eastAsia="en-GB"/>
        </w:rPr>
        <w:drawing>
          <wp:inline distT="0" distB="0" distL="0" distR="0" wp14:anchorId="1D09A5EB" wp14:editId="162EE48B">
            <wp:extent cx="5764695" cy="4580491"/>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4950"/>
                    <a:stretch/>
                  </pic:blipFill>
                  <pic:spPr bwMode="auto">
                    <a:xfrm>
                      <a:off x="0" y="0"/>
                      <a:ext cx="5760720" cy="4577333"/>
                    </a:xfrm>
                    <a:prstGeom prst="rect">
                      <a:avLst/>
                    </a:prstGeom>
                    <a:ln>
                      <a:noFill/>
                    </a:ln>
                    <a:extLst>
                      <a:ext uri="{53640926-AAD7-44D8-BBD7-CCE9431645EC}">
                        <a14:shadowObscured xmlns:a14="http://schemas.microsoft.com/office/drawing/2010/main"/>
                      </a:ext>
                    </a:extLst>
                  </pic:spPr>
                </pic:pic>
              </a:graphicData>
            </a:graphic>
          </wp:inline>
        </w:drawing>
      </w:r>
    </w:p>
    <w:p w:rsidR="00083C3F" w:rsidRDefault="00E1215B">
      <w:pPr>
        <w:pStyle w:val="Source"/>
        <w:rPr>
          <w:noProof/>
        </w:rPr>
      </w:pPr>
      <w:r>
        <w:rPr>
          <w:noProof/>
        </w:rPr>
        <w:t>Source: OECD (2015b)</w:t>
      </w:r>
    </w:p>
    <w:p w:rsidR="00083C3F" w:rsidRDefault="00E1215B">
      <w:pPr>
        <w:rPr>
          <w:noProof/>
        </w:rPr>
      </w:pPr>
      <w:r>
        <w:rPr>
          <w:noProof/>
        </w:rPr>
        <w:t>Equity research is of particular importance for SMEs given that they have lower visibility than large cap firms and information is more opaque and scarce. A market failure however exists provided that, despite the clear need for SME equity coverage, analys</w:t>
      </w:r>
      <w:r>
        <w:rPr>
          <w:noProof/>
        </w:rPr>
        <w:t>ts tend to orient their coverage to large caps (Weild &amp; Kim 2009), as research on large caps is more profitable. Providing good quality research on SMEs is relatively harder in view of the characteristics of SMEs (e.g. higher information asymmetries). It i</w:t>
      </w:r>
      <w:r>
        <w:rPr>
          <w:noProof/>
        </w:rPr>
        <w:t>s argued by market participants that SME coverage is hardly profitable in view of the low trading activity in SME stocks (ECSIP 2013). Hence, some exchanges opt to subsidize research by paying for research reports or analyst fees (Harwood &amp; Konidaris 2015,</w:t>
      </w:r>
      <w:r>
        <w:rPr>
          <w:noProof/>
        </w:rPr>
        <w:t xml:space="preserve"> World Federation of Exchanges 2016).</w:t>
      </w:r>
    </w:p>
    <w:p w:rsidR="00083C3F" w:rsidRDefault="00E1215B">
      <w:pPr>
        <w:rPr>
          <w:rFonts w:cs="Times New Roman"/>
          <w:noProof/>
          <w:color w:val="000000"/>
        </w:rPr>
      </w:pPr>
      <w:r>
        <w:rPr>
          <w:rFonts w:cs="Times New Roman"/>
          <w:noProof/>
          <w:color w:val="000000"/>
        </w:rPr>
        <w:t>Advisers can reduce the information asymmetries between investors and issuing SMEs. Advisers are typically corporate finance firms approved by the stock exchange that offer SMEs assistance in the IPO and listing proces</w:t>
      </w:r>
      <w:r>
        <w:rPr>
          <w:rFonts w:cs="Times New Roman"/>
          <w:noProof/>
          <w:color w:val="000000"/>
        </w:rPr>
        <w:t>s by assessing the appropriateness of a SME seeking admission and supporting the firm in fulfilling the ongoing listing obligations. NewConnect and AIM are two European stock exchanges that use the system of authorised or nominated advisers extensively (</w:t>
      </w:r>
      <w:r>
        <w:rPr>
          <w:noProof/>
        </w:rPr>
        <w:t>Ha</w:t>
      </w:r>
      <w:r>
        <w:rPr>
          <w:noProof/>
        </w:rPr>
        <w:t>rwood &amp; Konidaris 2015</w:t>
      </w:r>
      <w:r>
        <w:rPr>
          <w:rFonts w:cs="Times New Roman"/>
          <w:noProof/>
          <w:color w:val="000000"/>
        </w:rPr>
        <w:t xml:space="preserve">).  </w:t>
      </w:r>
    </w:p>
    <w:p w:rsidR="00083C3F" w:rsidRDefault="00E1215B">
      <w:pPr>
        <w:rPr>
          <w:noProof/>
        </w:rPr>
      </w:pPr>
      <w:r>
        <w:rPr>
          <w:noProof/>
        </w:rPr>
        <w:t>Liquidity of SME stocks should also be supported. Liquidity is a vital element in order to attract institutional investors. Changes in the market structure (due to, among other things, the rise of high-frequency trading and ETFs)</w:t>
      </w:r>
      <w:r>
        <w:rPr>
          <w:noProof/>
        </w:rPr>
        <w:t xml:space="preserve"> have however increased the focus on liquid large-cap stocks (OECD 2016). Market makers could reinforce the ecosystem by providing additional liquidity to the market and many stock exchanges encourage market making for SME listings.</w:t>
      </w:r>
      <w:r>
        <w:rPr>
          <w:rStyle w:val="FootnoteReference"/>
          <w:rFonts w:cs="Times New Roman"/>
          <w:noProof/>
          <w:color w:val="000000"/>
        </w:rPr>
        <w:footnoteReference w:id="35"/>
      </w:r>
      <w:r>
        <w:rPr>
          <w:noProof/>
        </w:rPr>
        <w:t xml:space="preserve"> Economic incentives co</w:t>
      </w:r>
      <w:r>
        <w:rPr>
          <w:noProof/>
        </w:rPr>
        <w:t>uld be put in place by policy makers and stock exchanges to develop more mature ecosystem that can support SME listings (OECD 2015b).</w:t>
      </w:r>
    </w:p>
    <w:p w:rsidR="00083C3F" w:rsidRDefault="00E1215B">
      <w:pPr>
        <w:rPr>
          <w:noProof/>
        </w:rPr>
      </w:pPr>
      <w:r>
        <w:rPr>
          <w:noProof/>
        </w:rPr>
        <w:t>Investments in equity markets are also subject to home bias, i.e. the tendency to overweight domestic stocks. Although thi</w:t>
      </w:r>
      <w:r>
        <w:rPr>
          <w:noProof/>
        </w:rPr>
        <w:t xml:space="preserve">s is a common feature of equity investments, the lack of cross-border investments may be more pronounced for SME IPO markets. Empirical research shows that foreign investors prefer large stocks.  Hence, market fragmentation further curtails SMEs access to </w:t>
      </w:r>
      <w:r>
        <w:rPr>
          <w:noProof/>
        </w:rPr>
        <w:t xml:space="preserve">equity markets. </w:t>
      </w:r>
    </w:p>
    <w:p w:rsidR="00083C3F" w:rsidRDefault="00E1215B">
      <w:pPr>
        <w:pStyle w:val="Box"/>
        <w:rPr>
          <w:noProof/>
        </w:rPr>
      </w:pPr>
      <w:r>
        <w:rPr>
          <w:noProof/>
        </w:rPr>
        <w:t>Post-trading market infrastructure</w:t>
      </w:r>
    </w:p>
    <w:p w:rsidR="00083C3F" w:rsidRDefault="00E1215B">
      <w:pPr>
        <w:shd w:val="clear" w:color="auto" w:fill="B8CCE4" w:themeFill="accent1" w:themeFillTint="66"/>
        <w:rPr>
          <w:noProof/>
        </w:rPr>
      </w:pPr>
      <w:r>
        <w:rPr>
          <w:noProof/>
        </w:rPr>
        <w:t>Well-developed and efficient and post-trading systems are vital to ensure a smooth, stable and resilient operation of trading markets. CCPs and CSDs are essential in this context as they ensure that secur</w:t>
      </w:r>
      <w:r>
        <w:rPr>
          <w:noProof/>
        </w:rPr>
        <w:t>ities can move safely from sellers to buyers.</w:t>
      </w:r>
    </w:p>
    <w:p w:rsidR="00083C3F" w:rsidRDefault="00E1215B">
      <w:pPr>
        <w:shd w:val="clear" w:color="auto" w:fill="B8CCE4" w:themeFill="accent1" w:themeFillTint="66"/>
        <w:rPr>
          <w:noProof/>
        </w:rPr>
      </w:pPr>
      <w:r>
        <w:rPr>
          <w:noProof/>
        </w:rPr>
        <w:t>Regulatory intervention has already made significant progress in this area by increasing transparency, accessibility and standardisation of systems and operations. A key aspect throughout all regulatory initiat</w:t>
      </w:r>
      <w:r>
        <w:rPr>
          <w:noProof/>
        </w:rPr>
        <w:t>ives enacted has been to promote competition and reduce or, where possible, eliminate barriers to cross-border transactions. Nonetheless, the systems and environment supporting European post-trade operations often remain fragmented and many of the barriers</w:t>
      </w:r>
      <w:r>
        <w:rPr>
          <w:noProof/>
        </w:rPr>
        <w:t xml:space="preserve"> to cross-border clearing and settlement identified in the Giovannini reports are still present. Moreover, the European Post-Trade Forum (EPTF), an expert group set up by the European Commission in 2016, found 13 structural, operational, legal and tax rela</w:t>
      </w:r>
      <w:r>
        <w:rPr>
          <w:noProof/>
        </w:rPr>
        <w:t xml:space="preserve">ted barriers to an efficient functioning of the single market in post-trade services. </w:t>
      </w:r>
    </w:p>
    <w:p w:rsidR="00083C3F" w:rsidRDefault="00E1215B">
      <w:pPr>
        <w:shd w:val="clear" w:color="auto" w:fill="B8CCE4" w:themeFill="accent1" w:themeFillTint="66"/>
        <w:rPr>
          <w:noProof/>
        </w:rPr>
      </w:pPr>
      <w:r>
        <w:rPr>
          <w:noProof/>
        </w:rPr>
        <w:t xml:space="preserve">There are however signs that the European market is progressively moving towards more centralised infrastructures and is developing solutions to cross-border post-trade </w:t>
      </w:r>
      <w:r>
        <w:rPr>
          <w:noProof/>
        </w:rPr>
        <w:t xml:space="preserve">workflows (cf. MiFIR, T2S). </w:t>
      </w:r>
    </w:p>
    <w:p w:rsidR="00083C3F" w:rsidRDefault="00E1215B">
      <w:pPr>
        <w:shd w:val="clear" w:color="auto" w:fill="B8CCE4" w:themeFill="accent1" w:themeFillTint="66"/>
        <w:rPr>
          <w:rFonts w:cs="Times New Roman"/>
          <w:noProof/>
          <w:sz w:val="23"/>
          <w:szCs w:val="23"/>
        </w:rPr>
      </w:pPr>
      <w:r>
        <w:rPr>
          <w:noProof/>
        </w:rPr>
        <w:t xml:space="preserve">At the same time, the financial industry is investing heavily in the automation of post-trade processes (e.g. FinTech solutions), thereby increasing efficiency, and stimulating competition. While the ongoing transformation and </w:t>
      </w:r>
      <w:r>
        <w:rPr>
          <w:noProof/>
        </w:rPr>
        <w:t xml:space="preserve">innovation are expected to reduce fragmentation, they may potentially also give rise to new harmonization needs. </w:t>
      </w:r>
    </w:p>
    <w:p w:rsidR="00083C3F" w:rsidRDefault="00E1215B">
      <w:pPr>
        <w:pStyle w:val="Heading3"/>
        <w:rPr>
          <w:noProof/>
        </w:rPr>
      </w:pPr>
      <w:bookmarkStart w:id="128" w:name="_Toc480296753"/>
      <w:bookmarkStart w:id="129" w:name="_Toc482710954"/>
      <w:bookmarkStart w:id="130" w:name="_Toc482715276"/>
      <w:r>
        <w:rPr>
          <w:noProof/>
        </w:rPr>
        <w:t>Corporate bonds</w:t>
      </w:r>
      <w:bookmarkEnd w:id="128"/>
      <w:bookmarkEnd w:id="129"/>
      <w:bookmarkEnd w:id="130"/>
    </w:p>
    <w:p w:rsidR="00083C3F" w:rsidRDefault="00E1215B">
      <w:pPr>
        <w:rPr>
          <w:noProof/>
        </w:rPr>
      </w:pPr>
      <w:r>
        <w:rPr>
          <w:noProof/>
        </w:rPr>
        <w:t>Corporate bond issuance is determined by firm-specific characteristics, general macro-economic factors, and by the bond market</w:t>
      </w:r>
      <w:r>
        <w:rPr>
          <w:noProof/>
        </w:rPr>
        <w:t xml:space="preserve"> structure.</w:t>
      </w:r>
    </w:p>
    <w:p w:rsidR="00083C3F" w:rsidRDefault="00E1215B">
      <w:pPr>
        <w:rPr>
          <w:noProof/>
        </w:rPr>
      </w:pPr>
      <w:r>
        <w:rPr>
          <w:noProof/>
        </w:rPr>
        <w:t>As regards firm characteristics, firms might first use internally generated means and network financing (family &amp; friends) in the early stages of their life cycle and subsequently borrow from banks. Only in later stages, firms might consider to</w:t>
      </w:r>
      <w:r>
        <w:rPr>
          <w:noProof/>
        </w:rPr>
        <w:t xml:space="preserve"> access public bond markets. Firm characteristics will affect a firm's choice between bank and market-based financing. Firms that are larger, more profitable, and more creditworthy, or have more investment opportunities will access public debt market quick</w:t>
      </w:r>
      <w:r>
        <w:rPr>
          <w:noProof/>
        </w:rPr>
        <w:t>er (see amongst others Denis &amp; Mihov (2003), Hale &amp; Santos (2008) and Mizen et al. (2009)). In addition, a firm's reputation,</w:t>
      </w:r>
      <w:r>
        <w:rPr>
          <w:rStyle w:val="FootnoteReference"/>
          <w:rFonts w:cs="Times New Roman"/>
          <w:noProof/>
        </w:rPr>
        <w:footnoteReference w:id="36"/>
      </w:r>
      <w:r>
        <w:rPr>
          <w:noProof/>
        </w:rPr>
        <w:t xml:space="preserve"> and the extent to which it has already received funding from private bond markets or syndicated loans affects its reliance on the</w:t>
      </w:r>
      <w:r>
        <w:rPr>
          <w:noProof/>
        </w:rPr>
        <w:t xml:space="preserve"> public bond market, indicating that a firm's track record provide a signal for subsequent public debt financing (Hale 2008). Moreover, the provision of collateral and the presence of tangible assets will facilitate public debt finance provided that these </w:t>
      </w:r>
      <w:r>
        <w:rPr>
          <w:noProof/>
        </w:rPr>
        <w:t>elements act as a buffer in case of default.</w:t>
      </w:r>
    </w:p>
    <w:p w:rsidR="00083C3F" w:rsidRDefault="00E1215B">
      <w:pPr>
        <w:rPr>
          <w:noProof/>
        </w:rPr>
      </w:pPr>
      <w:r>
        <w:rPr>
          <w:noProof/>
        </w:rPr>
        <w:t>Bond issuances are related to macro-economic conditions although, unlike for IPOs, market timing appears not to be a major influence in bond issuance activities. In times of recessions, there is an increased dem</w:t>
      </w:r>
      <w:r>
        <w:rPr>
          <w:noProof/>
        </w:rPr>
        <w:t>and for low-risk products. As a result bond issues are countercyclical, at least for investment-grade issuers.</w:t>
      </w:r>
      <w:r>
        <w:rPr>
          <w:rStyle w:val="FootnoteReference"/>
          <w:rFonts w:cs="Times New Roman"/>
          <w:noProof/>
        </w:rPr>
        <w:footnoteReference w:id="37"/>
      </w:r>
      <w:r>
        <w:rPr>
          <w:noProof/>
        </w:rPr>
        <w:t xml:space="preserve"> </w:t>
      </w:r>
    </w:p>
    <w:p w:rsidR="00083C3F" w:rsidRDefault="00E1215B">
      <w:pPr>
        <w:rPr>
          <w:noProof/>
        </w:rPr>
      </w:pPr>
      <w:r>
        <w:rPr>
          <w:noProof/>
        </w:rPr>
        <w:t xml:space="preserve">The cost of corporate bonds is also affected by the market structure. Bond market liquidity is an important feature for issuers as well as for </w:t>
      </w:r>
      <w:r>
        <w:rPr>
          <w:noProof/>
        </w:rPr>
        <w:t>potential (institutional) investors. Secondary markets for corporate bond have experienced significant (structural) changes, stemming from monetary policy, technological developments, the growth of the asset management industry and the changing role played</w:t>
      </w:r>
      <w:r>
        <w:rPr>
          <w:noProof/>
        </w:rPr>
        <w:t xml:space="preserve"> by banks as market-makers, changing risk appetites of investors in response to the crisis, and financial regulation and a rise in corporate issuance.</w:t>
      </w:r>
      <w:r>
        <w:rPr>
          <w:rStyle w:val="FootnoteReference"/>
          <w:noProof/>
        </w:rPr>
        <w:footnoteReference w:id="38"/>
      </w:r>
      <w:r>
        <w:rPr>
          <w:noProof/>
        </w:rPr>
        <w:t xml:space="preserve"> </w:t>
      </w:r>
    </w:p>
    <w:p w:rsidR="00083C3F" w:rsidRDefault="00E1215B">
      <w:pPr>
        <w:rPr>
          <w:noProof/>
        </w:rPr>
      </w:pPr>
      <w:r>
        <w:rPr>
          <w:noProof/>
        </w:rPr>
        <w:t>In addition, bond markets are not integrated. Debt issues in domestic and international bond markets ha</w:t>
      </w:r>
      <w:r>
        <w:rPr>
          <w:noProof/>
        </w:rPr>
        <w:t>ve different characteristics, even when issues are made by the same firm (Gozzi, et al. 2015). Issues in international markets tend to be larger, have lower yields, include more fixed rate contracts, have shorter maturities and denominated in foreign curre</w:t>
      </w:r>
      <w:r>
        <w:rPr>
          <w:noProof/>
        </w:rPr>
        <w:t>ncy. Hence, bond markets appear to be segmented. Frictions like tax, regulation and information asymmetries could hamper the integration of debt markets. International bond markets are also not accessible for all firms, with firms that issue debt abroad be</w:t>
      </w:r>
      <w:r>
        <w:rPr>
          <w:noProof/>
        </w:rPr>
        <w:t>ing much larger and also more leveraged than those that stick to domestic issues.</w:t>
      </w:r>
    </w:p>
    <w:p w:rsidR="00083C3F" w:rsidRDefault="00E1215B">
      <w:pPr>
        <w:pStyle w:val="Heading4"/>
        <w:rPr>
          <w:noProof/>
        </w:rPr>
      </w:pPr>
      <w:r>
        <w:rPr>
          <w:noProof/>
        </w:rPr>
        <w:t xml:space="preserve">Focus on SMEs </w:t>
      </w:r>
    </w:p>
    <w:p w:rsidR="00083C3F" w:rsidRDefault="00E1215B">
      <w:pPr>
        <w:rPr>
          <w:noProof/>
        </w:rPr>
      </w:pPr>
      <w:r>
        <w:rPr>
          <w:noProof/>
        </w:rPr>
        <w:t>SMEs make little use of public bond issues because they face a number of barriers. According to OECD (2015a), public bond issues by firms with an asset size of</w:t>
      </w:r>
      <w:r>
        <w:rPr>
          <w:noProof/>
        </w:rPr>
        <w:t xml:space="preserve"> USD 250 million or less decreased from 7% in 2000 to only 2% in 2014. In addition, the median value of bond issues has increased as well. </w:t>
      </w:r>
    </w:p>
    <w:p w:rsidR="00083C3F" w:rsidRDefault="00E1215B">
      <w:pPr>
        <w:rPr>
          <w:noProof/>
        </w:rPr>
      </w:pPr>
      <w:r>
        <w:rPr>
          <w:noProof/>
        </w:rPr>
        <w:t>SMEs have a number of structural disadvantages when considering a bond issuance, similar to those for equity issuanc</w:t>
      </w:r>
      <w:r>
        <w:rPr>
          <w:noProof/>
        </w:rPr>
        <w:t xml:space="preserve">es (higher information asymmetries; more uncertainty surrounding their creditworthiness; limited track record; lower visibility; high issue costs). From an investor's point of view, SME financing might require more frequent monitoring, diversification and </w:t>
      </w:r>
      <w:r>
        <w:rPr>
          <w:noProof/>
        </w:rPr>
        <w:t xml:space="preserve">economies of scope which are easier achieved by banks and bank lending. </w:t>
      </w:r>
    </w:p>
    <w:p w:rsidR="00083C3F" w:rsidRDefault="00E1215B">
      <w:pPr>
        <w:rPr>
          <w:noProof/>
        </w:rPr>
      </w:pPr>
      <w:r>
        <w:rPr>
          <w:noProof/>
        </w:rPr>
        <w:t xml:space="preserve">Overall, the analysis and literature review shows that European equity and bond markets remain underdeveloped compared to other developed economies, reflecting in part capital market </w:t>
      </w:r>
      <w:r>
        <w:rPr>
          <w:noProof/>
        </w:rPr>
        <w:t>fragmentation. Access to public markets occurs in waves due to its dependence on macro-economic activity and is further influence by firm-specific and institutional factors. It affects a firm's current financing mix, facilitates subsequent funding opportun</w:t>
      </w:r>
      <w:r>
        <w:rPr>
          <w:noProof/>
        </w:rPr>
        <w:t>ities (via better access to equity and bond markets and improved bank lending conditions) and impacts a firm's subsequent involvement in M&amp;A activities. Access to public markets is lower for SMEs because they face additional challenges due to higher inform</w:t>
      </w:r>
      <w:r>
        <w:rPr>
          <w:noProof/>
        </w:rPr>
        <w:t>ation asymmetries, high fixed costs, underdeveloped ecosystems and relatively low demand from investors.</w:t>
      </w:r>
    </w:p>
    <w:p w:rsidR="00083C3F" w:rsidRDefault="00E1215B">
      <w:pPr>
        <w:pStyle w:val="Heading2"/>
        <w:rPr>
          <w:noProof/>
        </w:rPr>
      </w:pPr>
      <w:bookmarkStart w:id="131" w:name="_Toc482710955"/>
      <w:bookmarkStart w:id="132" w:name="_Toc482715277"/>
      <w:r>
        <w:rPr>
          <w:noProof/>
        </w:rPr>
        <w:t>General policy implications</w:t>
      </w:r>
      <w:bookmarkEnd w:id="131"/>
      <w:bookmarkEnd w:id="132"/>
    </w:p>
    <w:p w:rsidR="00083C3F" w:rsidRDefault="00E1215B">
      <w:pPr>
        <w:rPr>
          <w:noProof/>
        </w:rPr>
      </w:pPr>
      <w:r>
        <w:rPr>
          <w:noProof/>
        </w:rPr>
        <w:t>European equity and bond markets remain underdeveloped compared to other developed economies, reflecting in part capital ma</w:t>
      </w:r>
      <w:r>
        <w:rPr>
          <w:noProof/>
        </w:rPr>
        <w:t xml:space="preserve">rket fragmentation. Access to public markets is lower for SMEs because they face additional challenges due to higher information asymmetries, high fixed costs, underdeveloped ecosystems and relatively low demand from investors. </w:t>
      </w:r>
    </w:p>
    <w:p w:rsidR="00083C3F" w:rsidRDefault="00E1215B">
      <w:pPr>
        <w:rPr>
          <w:noProof/>
        </w:rPr>
      </w:pPr>
      <w:r>
        <w:rPr>
          <w:noProof/>
        </w:rPr>
        <w:t>Further work is needed in t</w:t>
      </w:r>
      <w:r>
        <w:rPr>
          <w:noProof/>
        </w:rPr>
        <w:t>he following directions:</w:t>
      </w:r>
    </w:p>
    <w:p w:rsidR="00083C3F" w:rsidRDefault="00E1215B">
      <w:pPr>
        <w:ind w:left="567" w:hanging="567"/>
        <w:rPr>
          <w:noProof/>
        </w:rPr>
      </w:pPr>
      <w:r>
        <w:rPr>
          <w:noProof/>
        </w:rPr>
        <w:t>1.</w:t>
      </w:r>
      <w:r>
        <w:rPr>
          <w:noProof/>
        </w:rPr>
        <w:tab/>
      </w:r>
      <w:r>
        <w:rPr>
          <w:b/>
          <w:noProof/>
        </w:rPr>
        <w:t>Adapting the regulatory environment to support SMEs' access to public markets</w:t>
      </w:r>
      <w:r>
        <w:rPr>
          <w:noProof/>
        </w:rPr>
        <w:t>. The regulatory regime for SME Growth Markets introduced by MiFID II needs to strike the right balance between avoiding unnecessary administrative bur</w:t>
      </w:r>
      <w:r>
        <w:rPr>
          <w:noProof/>
        </w:rPr>
        <w:t>den and providing sufficient investor protection. A sustained focus on 'proportionality' is needed to take account of the specific challenges confronting smaller issuers (compliance costs including for financial reporting, governance and culture changes co</w:t>
      </w:r>
      <w:r>
        <w:rPr>
          <w:noProof/>
        </w:rPr>
        <w:t xml:space="preserve">ntingent on becoming a 'public company'), small exchange operators (limited listings and low trading volumes, illiquid stocks ) and the specific constraints of the surrounding ecosystem (brokers, underwriters and research analysts). </w:t>
      </w:r>
    </w:p>
    <w:p w:rsidR="00083C3F" w:rsidRDefault="00E1215B">
      <w:pPr>
        <w:ind w:left="567" w:hanging="567"/>
        <w:rPr>
          <w:noProof/>
        </w:rPr>
      </w:pPr>
      <w:r>
        <w:rPr>
          <w:noProof/>
        </w:rPr>
        <w:t>2.</w:t>
      </w:r>
      <w:r>
        <w:rPr>
          <w:noProof/>
        </w:rPr>
        <w:tab/>
        <w:t xml:space="preserve">A disappearance of </w:t>
      </w:r>
      <w:r>
        <w:rPr>
          <w:noProof/>
        </w:rPr>
        <w:t>local ecosystems surrounding stock exchanges, i.e. a network of brokers, equity analysts, credit rating agencies, lawyers, accountants focusing on local SMEs, reduces capacity to support companies at the IPO stage. The decline is particularly acute for equ</w:t>
      </w:r>
      <w:r>
        <w:rPr>
          <w:noProof/>
        </w:rPr>
        <w:t>ity brokers specialising in SMEs. Due to regulatory and technological changes, equity trading is focusing on large caps, thus leading to a decline in the liquidity of SME shares. This low liquidity can deter institutional investors from investing in SME sh</w:t>
      </w:r>
      <w:r>
        <w:rPr>
          <w:noProof/>
        </w:rPr>
        <w:t xml:space="preserve">ares. As liquidity is weak, brokers specialised in SMEs also experience a decline in their brokerage fees. Therefore, those brokers may not be incentivised anymore to provide </w:t>
      </w:r>
      <w:r>
        <w:rPr>
          <w:b/>
          <w:noProof/>
        </w:rPr>
        <w:t>equity research on SMEs</w:t>
      </w:r>
      <w:r>
        <w:rPr>
          <w:noProof/>
        </w:rPr>
        <w:t>, which in turn may have a downward impact on liquidity. I</w:t>
      </w:r>
      <w:r>
        <w:rPr>
          <w:noProof/>
        </w:rPr>
        <w:t>f there is a decline in local ecosystems, the costs of SME IPOs could potentially rise, as SMEs are compelled to rely on large banks' services when going public (according to OECD, 55% of the global IPO volume was conducted by the top 20 banks in 2016).</w:t>
      </w:r>
    </w:p>
    <w:p w:rsidR="00083C3F" w:rsidRDefault="00E1215B">
      <w:pPr>
        <w:ind w:left="567" w:hanging="567"/>
        <w:rPr>
          <w:noProof/>
        </w:rPr>
      </w:pPr>
      <w:r>
        <w:rPr>
          <w:noProof/>
        </w:rPr>
        <w:t>3.</w:t>
      </w:r>
      <w:r>
        <w:rPr>
          <w:noProof/>
        </w:rPr>
        <w:t xml:space="preserve"> </w:t>
      </w:r>
      <w:r>
        <w:rPr>
          <w:noProof/>
        </w:rPr>
        <w:tab/>
      </w:r>
      <w:r>
        <w:rPr>
          <w:b/>
          <w:noProof/>
        </w:rPr>
        <w:t>Tailoring disclosure requirements for SMEs</w:t>
      </w:r>
      <w:r>
        <w:rPr>
          <w:noProof/>
        </w:rPr>
        <w:t>. The above analysis highlights the deterrent effect of regulatory disclosures for small or initial issuances. The rapid agreement on revised EU Prospectus rules has been a significant achievement. It paves the w</w:t>
      </w:r>
      <w:r>
        <w:rPr>
          <w:noProof/>
        </w:rPr>
        <w:t>ays for calibrating prospectus requirements for listings on growth markets. This reflection should also extend to financial reporting where care must be taken to create a cliff-edge effect in financial reporting obligations for small issuers coming to publ</w:t>
      </w:r>
      <w:r>
        <w:rPr>
          <w:noProof/>
        </w:rPr>
        <w:t>ic markets in terms of their financial reporting obligations. This must be balanced against the desire to promote comparability and readability of financial reports to maximise engagement by a wider pool of international investors. A voluntary, tailor-made</w:t>
      </w:r>
      <w:r>
        <w:rPr>
          <w:noProof/>
        </w:rPr>
        <w:t xml:space="preserve"> accounting solution, which could be used by companies admitted to trading on SME Growth Markets, could be another way to reduce structural informational barriers. The International Accounting Standards Board (IASB) is currently working on its disclosure a</w:t>
      </w:r>
      <w:r>
        <w:rPr>
          <w:noProof/>
        </w:rPr>
        <w:t xml:space="preserve">nd materiality projects, including the usability and accessibility of International Financial Reporting Standards (IFRS). This can be an important reference point for this work. </w:t>
      </w:r>
    </w:p>
    <w:p w:rsidR="00083C3F" w:rsidRDefault="00E1215B">
      <w:pPr>
        <w:ind w:left="567" w:hanging="567"/>
        <w:rPr>
          <w:noProof/>
        </w:rPr>
      </w:pPr>
      <w:r>
        <w:rPr>
          <w:noProof/>
        </w:rPr>
        <w:t>4.</w:t>
      </w:r>
      <w:r>
        <w:rPr>
          <w:noProof/>
        </w:rPr>
        <w:tab/>
        <w:t xml:space="preserve">There is a </w:t>
      </w:r>
      <w:r>
        <w:rPr>
          <w:b/>
          <w:noProof/>
        </w:rPr>
        <w:t>weak pipeline of SMEs seeking a listing</w:t>
      </w:r>
      <w:r>
        <w:rPr>
          <w:noProof/>
        </w:rPr>
        <w:t xml:space="preserve">, as IPO costs (such as </w:t>
      </w:r>
      <w:r>
        <w:rPr>
          <w:noProof/>
        </w:rPr>
        <w:t>auditors', corporate advisors', lawyers' fees and listing fees) are high and can deter SMEs from seeking an admission of shares to trading. According to FESE (2015), the costs of an IPO can account for up to 12-15% of the capital raised by an SME, compared</w:t>
      </w:r>
      <w:r>
        <w:rPr>
          <w:noProof/>
        </w:rPr>
        <w:t xml:space="preserve"> to 2.5 - 3.5% for the costs of listing for large corporates and only 2% for corporate bond issuances. After the IPO, the listed SMEs also face high compliance costs from EUR 150 000 to 500 000 a year for companies with less than EUR 150 million of capital</w:t>
      </w:r>
      <w:r>
        <w:rPr>
          <w:noProof/>
        </w:rPr>
        <w:t>isation. Best practices could be developed on the use by Member States of EU funds to partially finance costs borne by SMEs when seeking admission of their shares on the future SME Growth Markets.</w:t>
      </w:r>
    </w:p>
    <w:p w:rsidR="00083C3F" w:rsidRDefault="00E1215B">
      <w:pPr>
        <w:ind w:left="567" w:hanging="567"/>
        <w:rPr>
          <w:noProof/>
        </w:rPr>
      </w:pPr>
      <w:r>
        <w:rPr>
          <w:noProof/>
        </w:rPr>
        <w:t>5.</w:t>
      </w:r>
      <w:r>
        <w:rPr>
          <w:noProof/>
        </w:rPr>
        <w:tab/>
        <w:t xml:space="preserve">The </w:t>
      </w:r>
      <w:r>
        <w:rPr>
          <w:b/>
          <w:noProof/>
        </w:rPr>
        <w:t xml:space="preserve">lack of institutional investor appetite for SME </w:t>
      </w:r>
      <w:r>
        <w:rPr>
          <w:b/>
          <w:noProof/>
        </w:rPr>
        <w:t>shares</w:t>
      </w:r>
      <w:r>
        <w:rPr>
          <w:noProof/>
        </w:rPr>
        <w:t xml:space="preserve"> creates a mismatch between capital demand and capital supply for SME shares. European households and institutional investors have a lot of savings that could be invested, but a very low flow of investment is effectively channelled into SME shares. A</w:t>
      </w:r>
      <w:r>
        <w:rPr>
          <w:noProof/>
        </w:rPr>
        <w:t>s a consequence, there is little incentive for small companies to list their stocks on a stock exchange. It should be assessed whether investment could be unlocked, for example, through support from a public-private investment fund, in close cooperation wi</w:t>
      </w:r>
      <w:r>
        <w:rPr>
          <w:noProof/>
        </w:rPr>
        <w:t>th the European Investment Bank that invests in SME listed shares.</w:t>
      </w:r>
    </w:p>
    <w:p w:rsidR="00083C3F" w:rsidRDefault="00E1215B">
      <w:pPr>
        <w:ind w:left="567" w:hanging="567"/>
        <w:rPr>
          <w:noProof/>
        </w:rPr>
      </w:pPr>
      <w:r>
        <w:rPr>
          <w:noProof/>
        </w:rPr>
        <w:t xml:space="preserve">6. </w:t>
      </w:r>
      <w:r>
        <w:rPr>
          <w:noProof/>
        </w:rPr>
        <w:tab/>
      </w:r>
      <w:r>
        <w:rPr>
          <w:b/>
          <w:noProof/>
        </w:rPr>
        <w:t>Improving corporate bond market liquidity</w:t>
      </w:r>
      <w:r>
        <w:rPr>
          <w:noProof/>
        </w:rPr>
        <w:t>. Corporate bond markets are an increasingly important funding channel for larger companies, and the size of viable issuances has been declining</w:t>
      </w:r>
      <w:r>
        <w:rPr>
          <w:noProof/>
        </w:rPr>
        <w:t>, allowing more companies to tap this market. This has been facilitated by the development of private placement markets in some Member States. The Commission's Expert Group on Corporate Bond Market Liquidity due in September 2017 will work on how to sustai</w:t>
      </w:r>
      <w:r>
        <w:rPr>
          <w:noProof/>
        </w:rPr>
        <w:t>n these positive developments, and to improve liquidity in secondary markets for these instruments.</w:t>
      </w:r>
    </w:p>
    <w:p w:rsidR="00083C3F" w:rsidRDefault="00E1215B">
      <w:pPr>
        <w:pStyle w:val="Heading2"/>
        <w:rPr>
          <w:noProof/>
        </w:rPr>
      </w:pPr>
      <w:bookmarkStart w:id="133" w:name="_Toc482710956"/>
      <w:bookmarkStart w:id="134" w:name="_Toc482715278"/>
      <w:r>
        <w:rPr>
          <w:noProof/>
        </w:rPr>
        <w:t>Key indicators</w:t>
      </w:r>
      <w:bookmarkEnd w:id="133"/>
      <w:bookmarkEnd w:id="134"/>
      <w:r>
        <w:rPr>
          <w:noProof/>
        </w:rPr>
        <w:t xml:space="preserve"> </w:t>
      </w:r>
      <w:r>
        <w:rPr>
          <w:rStyle w:val="FootnoteReference"/>
          <w:noProof/>
        </w:rPr>
        <w:footnoteReference w:id="39"/>
      </w:r>
    </w:p>
    <w:p w:rsidR="00083C3F" w:rsidRDefault="00E1215B">
      <w:pPr>
        <w:pStyle w:val="Heading4"/>
        <w:rPr>
          <w:noProof/>
        </w:rPr>
      </w:pPr>
      <w:r>
        <w:rPr>
          <w:noProof/>
        </w:rPr>
        <w:t>NFCs financial structure</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c>
          <w:tcPr>
            <w:tcW w:w="4735" w:type="dxa"/>
            <w:vAlign w:val="center"/>
          </w:tcPr>
          <w:p w:rsidR="00083C3F" w:rsidRDefault="00E1215B">
            <w:pPr>
              <w:keepNext/>
              <w:keepLines/>
              <w:spacing w:after="0"/>
              <w:jc w:val="center"/>
              <w:rPr>
                <w:rFonts w:cs="Times New Roman"/>
                <w:noProof/>
              </w:rPr>
            </w:pPr>
            <w:r>
              <w:rPr>
                <w:rFonts w:cs="Times New Roman"/>
                <w:b/>
                <w:noProof/>
              </w:rPr>
              <w:t>Indicator</w:t>
            </w:r>
          </w:p>
        </w:tc>
        <w:tc>
          <w:tcPr>
            <w:tcW w:w="1559" w:type="dxa"/>
            <w:vAlign w:val="center"/>
          </w:tcPr>
          <w:p w:rsidR="00083C3F" w:rsidRDefault="00E1215B">
            <w:pPr>
              <w:keepNext/>
              <w:keepLines/>
              <w:spacing w:after="0"/>
              <w:jc w:val="center"/>
              <w:rPr>
                <w:rFonts w:cs="Times New Roman"/>
                <w:noProof/>
              </w:rPr>
            </w:pPr>
            <w:r>
              <w:rPr>
                <w:rFonts w:cs="Times New Roman"/>
                <w:b/>
                <w:noProof/>
              </w:rPr>
              <w:t>Last 5-year average</w:t>
            </w:r>
          </w:p>
        </w:tc>
        <w:tc>
          <w:tcPr>
            <w:tcW w:w="1559" w:type="dxa"/>
            <w:vAlign w:val="center"/>
          </w:tcPr>
          <w:p w:rsidR="00083C3F" w:rsidRDefault="00E1215B">
            <w:pPr>
              <w:keepNext/>
              <w:keepLines/>
              <w:spacing w:after="0"/>
              <w:jc w:val="center"/>
              <w:rPr>
                <w:rFonts w:cs="Times New Roman"/>
                <w:noProof/>
              </w:rPr>
            </w:pPr>
            <w:r>
              <w:rPr>
                <w:rFonts w:cs="Times New Roman"/>
                <w:b/>
                <w:noProof/>
              </w:rPr>
              <w:t xml:space="preserve">Latest observation </w:t>
            </w:r>
          </w:p>
        </w:tc>
        <w:tc>
          <w:tcPr>
            <w:tcW w:w="1559" w:type="dxa"/>
            <w:vAlign w:val="center"/>
          </w:tcPr>
          <w:p w:rsidR="00083C3F" w:rsidRDefault="00E1215B">
            <w:pPr>
              <w:keepNext/>
              <w:keepLines/>
              <w:spacing w:after="0"/>
              <w:jc w:val="center"/>
              <w:rPr>
                <w:rFonts w:cs="Times New Roman"/>
                <w:noProof/>
              </w:rPr>
            </w:pPr>
            <w:r>
              <w:rPr>
                <w:rFonts w:cs="Times New Roman"/>
                <w:b/>
                <w:noProof/>
              </w:rPr>
              <w:t>Value</w:t>
            </w:r>
          </w:p>
        </w:tc>
      </w:tr>
      <w:tr w:rsidR="00083C3F">
        <w:tc>
          <w:tcPr>
            <w:tcW w:w="4735" w:type="dxa"/>
            <w:vAlign w:val="center"/>
          </w:tcPr>
          <w:p w:rsidR="00083C3F" w:rsidRDefault="00E1215B">
            <w:pPr>
              <w:keepNext/>
              <w:keepLines/>
              <w:spacing w:after="0"/>
              <w:jc w:val="left"/>
              <w:rPr>
                <w:noProof/>
              </w:rPr>
            </w:pPr>
            <w:r>
              <w:rPr>
                <w:rFonts w:eastAsia="Times New Roman"/>
                <w:noProof/>
                <w:lang w:eastAsia="en-GB"/>
              </w:rPr>
              <w:t>Bank loans, % of total liabilities</w:t>
            </w:r>
            <w:r>
              <w:rPr>
                <w:rFonts w:ascii="Calibri" w:eastAsia="Times New Roman" w:hAnsi="Calibri" w:cs="Arial"/>
                <w:b/>
                <w:noProof/>
                <w:vertAlign w:val="superscript"/>
                <w:lang w:eastAsia="en-GB"/>
              </w:rPr>
              <w:t>(i)</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13.9</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Q2 2016</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11.8</w:t>
            </w:r>
          </w:p>
        </w:tc>
      </w:tr>
      <w:tr w:rsidR="00083C3F">
        <w:tc>
          <w:tcPr>
            <w:tcW w:w="4735" w:type="dxa"/>
            <w:vAlign w:val="center"/>
          </w:tcPr>
          <w:p w:rsidR="00083C3F" w:rsidRDefault="00E1215B">
            <w:pPr>
              <w:keepNext/>
              <w:keepLines/>
              <w:spacing w:after="0"/>
              <w:jc w:val="left"/>
              <w:rPr>
                <w:noProof/>
              </w:rPr>
            </w:pPr>
            <w:r>
              <w:rPr>
                <w:rFonts w:eastAsia="Times New Roman"/>
                <w:noProof/>
                <w:lang w:eastAsia="en-GB"/>
              </w:rPr>
              <w:t>Bonds, % of total liabilities</w:t>
            </w:r>
            <w:r>
              <w:rPr>
                <w:rFonts w:ascii="Calibri" w:eastAsia="Times New Roman" w:hAnsi="Calibri" w:cs="Arial"/>
                <w:b/>
                <w:noProof/>
                <w:vertAlign w:val="superscript"/>
                <w:lang w:eastAsia="en-GB"/>
              </w:rPr>
              <w:t>(i)</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4.3</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Q2 2016</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4.7</w:t>
            </w:r>
          </w:p>
        </w:tc>
      </w:tr>
      <w:tr w:rsidR="00083C3F">
        <w:tc>
          <w:tcPr>
            <w:tcW w:w="4735" w:type="dxa"/>
          </w:tcPr>
          <w:p w:rsidR="00083C3F" w:rsidRDefault="00E1215B">
            <w:pPr>
              <w:keepNext/>
              <w:keepLines/>
              <w:spacing w:after="0"/>
              <w:jc w:val="left"/>
              <w:rPr>
                <w:rFonts w:cs="Times New Roman"/>
                <w:noProof/>
              </w:rPr>
            </w:pPr>
            <w:r>
              <w:rPr>
                <w:rFonts w:cs="Times New Roman"/>
                <w:noProof/>
              </w:rPr>
              <w:t>Listed shares, % of total liabilities</w:t>
            </w:r>
            <w:r>
              <w:rPr>
                <w:rFonts w:ascii="Calibri" w:eastAsia="Times New Roman" w:hAnsi="Calibri" w:cs="Arial"/>
                <w:b/>
                <w:noProof/>
                <w:vertAlign w:val="superscript"/>
                <w:lang w:eastAsia="en-GB"/>
              </w:rPr>
              <w:t>(i)</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16.5</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Q2 2016</w:t>
            </w:r>
          </w:p>
        </w:tc>
        <w:tc>
          <w:tcPr>
            <w:tcW w:w="1559" w:type="dxa"/>
            <w:vAlign w:val="center"/>
          </w:tcPr>
          <w:p w:rsidR="00083C3F" w:rsidRDefault="00E1215B">
            <w:pPr>
              <w:keepNext/>
              <w:keepLines/>
              <w:spacing w:after="0"/>
              <w:jc w:val="center"/>
              <w:rPr>
                <w:rFonts w:cs="Times New Roman"/>
                <w:noProof/>
              </w:rPr>
            </w:pPr>
            <w:r>
              <w:rPr>
                <w:rFonts w:eastAsia="Times New Roman"/>
                <w:noProof/>
                <w:lang w:eastAsia="en-GB"/>
              </w:rPr>
              <w:t>17.9</w:t>
            </w:r>
          </w:p>
        </w:tc>
      </w:tr>
      <w:tr w:rsidR="00083C3F">
        <w:trPr>
          <w:trHeight w:val="366"/>
        </w:trPr>
        <w:tc>
          <w:tcPr>
            <w:tcW w:w="4735" w:type="dxa"/>
            <w:hideMark/>
          </w:tcPr>
          <w:p w:rsidR="00083C3F" w:rsidRDefault="00E1215B">
            <w:pPr>
              <w:keepNext/>
              <w:keepLines/>
              <w:spacing w:after="0"/>
              <w:ind w:left="-51"/>
              <w:jc w:val="left"/>
              <w:rPr>
                <w:rFonts w:eastAsia="Times New Roman"/>
                <w:noProof/>
                <w:lang w:eastAsia="en-GB"/>
              </w:rPr>
            </w:pPr>
            <w:r>
              <w:rPr>
                <w:rFonts w:eastAsia="Times New Roman"/>
                <w:noProof/>
                <w:lang w:eastAsia="en-GB"/>
              </w:rPr>
              <w:t>Bonds, EUR billion, outstanding volumes</w:t>
            </w:r>
          </w:p>
        </w:tc>
        <w:tc>
          <w:tcPr>
            <w:tcW w:w="1559" w:type="dxa"/>
            <w:hideMark/>
          </w:tcPr>
          <w:p w:rsidR="00083C3F" w:rsidRDefault="00E1215B">
            <w:pPr>
              <w:keepNext/>
              <w:keepLines/>
              <w:jc w:val="center"/>
              <w:rPr>
                <w:rFonts w:eastAsia="Times New Roman"/>
                <w:noProof/>
                <w:lang w:eastAsia="en-GB"/>
              </w:rPr>
            </w:pPr>
            <w:r>
              <w:rPr>
                <w:rFonts w:eastAsia="Times New Roman"/>
                <w:noProof/>
                <w:lang w:eastAsia="en-GB"/>
              </w:rPr>
              <w:t>1 640</w:t>
            </w:r>
          </w:p>
        </w:tc>
        <w:tc>
          <w:tcPr>
            <w:tcW w:w="1559" w:type="dxa"/>
            <w:hideMark/>
          </w:tcPr>
          <w:p w:rsidR="00083C3F" w:rsidRDefault="00E1215B">
            <w:pPr>
              <w:keepNext/>
              <w:keepLines/>
              <w:jc w:val="center"/>
              <w:rPr>
                <w:rFonts w:eastAsia="Times New Roman"/>
                <w:noProof/>
                <w:lang w:eastAsia="en-GB"/>
              </w:rPr>
            </w:pPr>
            <w:r>
              <w:rPr>
                <w:rFonts w:eastAsia="Times New Roman"/>
                <w:noProof/>
                <w:lang w:eastAsia="en-GB"/>
              </w:rPr>
              <w:t>Q2 2016</w:t>
            </w:r>
          </w:p>
        </w:tc>
        <w:tc>
          <w:tcPr>
            <w:tcW w:w="1559" w:type="dxa"/>
            <w:hideMark/>
          </w:tcPr>
          <w:p w:rsidR="00083C3F" w:rsidRDefault="00E1215B">
            <w:pPr>
              <w:keepNext/>
              <w:keepLines/>
              <w:jc w:val="center"/>
              <w:rPr>
                <w:rFonts w:eastAsia="Times New Roman"/>
                <w:noProof/>
                <w:lang w:eastAsia="en-GB"/>
              </w:rPr>
            </w:pPr>
            <w:r>
              <w:rPr>
                <w:rFonts w:eastAsia="Times New Roman"/>
                <w:noProof/>
                <w:lang w:eastAsia="en-GB"/>
              </w:rPr>
              <w:t>1 984</w:t>
            </w:r>
          </w:p>
        </w:tc>
      </w:tr>
      <w:tr w:rsidR="00083C3F">
        <w:trPr>
          <w:trHeight w:val="414"/>
        </w:trPr>
        <w:tc>
          <w:tcPr>
            <w:tcW w:w="4735" w:type="dxa"/>
            <w:hideMark/>
          </w:tcPr>
          <w:p w:rsidR="00083C3F" w:rsidRDefault="00E1215B">
            <w:pPr>
              <w:keepNext/>
              <w:keepLines/>
              <w:spacing w:after="0"/>
              <w:ind w:left="-51"/>
              <w:jc w:val="left"/>
              <w:rPr>
                <w:rFonts w:eastAsia="Times New Roman"/>
                <w:noProof/>
                <w:lang w:eastAsia="en-GB"/>
              </w:rPr>
            </w:pPr>
            <w:r>
              <w:rPr>
                <w:rFonts w:eastAsia="Times New Roman"/>
                <w:noProof/>
                <w:lang w:eastAsia="en-GB"/>
              </w:rPr>
              <w:t>Listed shares, EUR billion, outstanding value</w:t>
            </w:r>
          </w:p>
        </w:tc>
        <w:tc>
          <w:tcPr>
            <w:tcW w:w="1559" w:type="dxa"/>
            <w:hideMark/>
          </w:tcPr>
          <w:p w:rsidR="00083C3F" w:rsidRDefault="00E1215B">
            <w:pPr>
              <w:keepNext/>
              <w:keepLines/>
              <w:spacing w:after="0"/>
              <w:jc w:val="center"/>
              <w:rPr>
                <w:rFonts w:eastAsia="Times New Roman"/>
                <w:noProof/>
                <w:lang w:eastAsia="en-GB"/>
              </w:rPr>
            </w:pPr>
            <w:r>
              <w:rPr>
                <w:rFonts w:eastAsia="Times New Roman"/>
                <w:noProof/>
                <w:lang w:eastAsia="en-GB"/>
              </w:rPr>
              <w:t xml:space="preserve">6 242 </w:t>
            </w:r>
          </w:p>
        </w:tc>
        <w:tc>
          <w:tcPr>
            <w:tcW w:w="1559" w:type="dxa"/>
            <w:hideMark/>
          </w:tcPr>
          <w:p w:rsidR="00083C3F" w:rsidRDefault="00E1215B">
            <w:pPr>
              <w:keepNext/>
              <w:keepLines/>
              <w:spacing w:after="0"/>
              <w:jc w:val="center"/>
              <w:rPr>
                <w:rFonts w:eastAsia="Times New Roman"/>
                <w:noProof/>
                <w:lang w:eastAsia="en-GB"/>
              </w:rPr>
            </w:pPr>
            <w:r>
              <w:rPr>
                <w:rFonts w:eastAsia="Times New Roman"/>
                <w:noProof/>
                <w:lang w:eastAsia="en-GB"/>
              </w:rPr>
              <w:t>Q2 2016</w:t>
            </w:r>
          </w:p>
        </w:tc>
        <w:tc>
          <w:tcPr>
            <w:tcW w:w="1559" w:type="dxa"/>
            <w:hideMark/>
          </w:tcPr>
          <w:p w:rsidR="00083C3F" w:rsidRDefault="00E1215B">
            <w:pPr>
              <w:keepNext/>
              <w:keepLines/>
              <w:spacing w:after="0"/>
              <w:jc w:val="center"/>
              <w:rPr>
                <w:rFonts w:eastAsia="Times New Roman"/>
                <w:noProof/>
                <w:lang w:eastAsia="en-GB"/>
              </w:rPr>
            </w:pPr>
            <w:r>
              <w:rPr>
                <w:rFonts w:eastAsia="Times New Roman"/>
                <w:noProof/>
                <w:lang w:eastAsia="en-GB"/>
              </w:rPr>
              <w:t xml:space="preserve">7 561 </w:t>
            </w:r>
          </w:p>
        </w:tc>
      </w:tr>
    </w:tbl>
    <w:p w:rsidR="00083C3F" w:rsidRDefault="00E1215B">
      <w:pPr>
        <w:pStyle w:val="Source"/>
        <w:keepNext/>
        <w:rPr>
          <w:rFonts w:ascii="Calibri" w:eastAsia="Times New Roman" w:hAnsi="Calibri"/>
          <w:b/>
          <w:noProof/>
          <w:vertAlign w:val="superscript"/>
          <w:lang w:eastAsia="en-GB"/>
        </w:rPr>
      </w:pPr>
      <w:r>
        <w:rPr>
          <w:rFonts w:ascii="Calibri" w:eastAsia="Times New Roman" w:hAnsi="Calibri" w:cs="Arial"/>
          <w:noProof/>
          <w:vertAlign w:val="superscript"/>
          <w:lang w:eastAsia="en-GB"/>
        </w:rPr>
        <w:t>(i)</w:t>
      </w:r>
      <w:r>
        <w:rPr>
          <w:b/>
          <w:i w:val="0"/>
          <w:noProof/>
          <w:lang w:eastAsia="en-GB"/>
        </w:rPr>
        <w:t xml:space="preserve"> </w:t>
      </w:r>
      <w:r>
        <w:rPr>
          <w:i w:val="0"/>
          <w:noProof/>
          <w:lang w:eastAsia="en-GB"/>
        </w:rPr>
        <w:t>unconsolidated data.</w:t>
      </w:r>
    </w:p>
    <w:p w:rsidR="00083C3F" w:rsidRDefault="00E1215B">
      <w:pPr>
        <w:pStyle w:val="Heading4"/>
        <w:rPr>
          <w:noProof/>
        </w:rPr>
      </w:pPr>
      <w:r>
        <w:rPr>
          <w:noProof/>
        </w:rPr>
        <w:t>Developments in public equity and debt markets</w:t>
      </w:r>
    </w:p>
    <w:tbl>
      <w:tblPr>
        <w:tblStyle w:val="TableGrid27"/>
        <w:tblW w:w="9412" w:type="dxa"/>
        <w:tblCellMar>
          <w:top w:w="28" w:type="dxa"/>
          <w:left w:w="57" w:type="dxa"/>
          <w:bottom w:w="28" w:type="dxa"/>
          <w:right w:w="57" w:type="dxa"/>
        </w:tblCellMar>
        <w:tblLook w:val="04A0" w:firstRow="1" w:lastRow="0" w:firstColumn="1" w:lastColumn="0" w:noHBand="0" w:noVBand="1"/>
      </w:tblPr>
      <w:tblGrid>
        <w:gridCol w:w="4735"/>
        <w:gridCol w:w="1559"/>
        <w:gridCol w:w="1559"/>
        <w:gridCol w:w="1559"/>
      </w:tblGrid>
      <w:tr w:rsidR="00083C3F">
        <w:tc>
          <w:tcPr>
            <w:tcW w:w="4735" w:type="dxa"/>
            <w:vAlign w:val="center"/>
          </w:tcPr>
          <w:p w:rsidR="00083C3F" w:rsidRDefault="00E1215B">
            <w:pPr>
              <w:spacing w:after="0"/>
              <w:jc w:val="center"/>
              <w:rPr>
                <w:rFonts w:cs="Times New Roman"/>
                <w:noProof/>
              </w:rPr>
            </w:pPr>
            <w:r>
              <w:rPr>
                <w:rFonts w:cs="Times New Roman"/>
                <w:b/>
                <w:noProof/>
              </w:rPr>
              <w:t>Indicator</w:t>
            </w:r>
          </w:p>
        </w:tc>
        <w:tc>
          <w:tcPr>
            <w:tcW w:w="1559" w:type="dxa"/>
            <w:vAlign w:val="center"/>
          </w:tcPr>
          <w:p w:rsidR="00083C3F" w:rsidRDefault="00E1215B">
            <w:pPr>
              <w:spacing w:after="0"/>
              <w:jc w:val="center"/>
              <w:rPr>
                <w:rFonts w:cs="Times New Roman"/>
                <w:noProof/>
              </w:rPr>
            </w:pPr>
            <w:r>
              <w:rPr>
                <w:rFonts w:cs="Times New Roman"/>
                <w:b/>
                <w:noProof/>
              </w:rPr>
              <w:t>Last 5-year average</w:t>
            </w:r>
          </w:p>
        </w:tc>
        <w:tc>
          <w:tcPr>
            <w:tcW w:w="1559" w:type="dxa"/>
            <w:vAlign w:val="center"/>
          </w:tcPr>
          <w:p w:rsidR="00083C3F" w:rsidRDefault="00E1215B">
            <w:pPr>
              <w:spacing w:after="0"/>
              <w:jc w:val="center"/>
              <w:rPr>
                <w:rFonts w:cs="Times New Roman"/>
                <w:noProof/>
              </w:rPr>
            </w:pPr>
            <w:r>
              <w:rPr>
                <w:rFonts w:cs="Times New Roman"/>
                <w:b/>
                <w:noProof/>
              </w:rPr>
              <w:t>Latest observation</w:t>
            </w:r>
          </w:p>
        </w:tc>
        <w:tc>
          <w:tcPr>
            <w:tcW w:w="1559" w:type="dxa"/>
            <w:vAlign w:val="center"/>
          </w:tcPr>
          <w:p w:rsidR="00083C3F" w:rsidRDefault="00E1215B">
            <w:pPr>
              <w:spacing w:after="0"/>
              <w:jc w:val="center"/>
              <w:rPr>
                <w:rFonts w:cs="Times New Roman"/>
                <w:noProof/>
              </w:rPr>
            </w:pPr>
            <w:r>
              <w:rPr>
                <w:rFonts w:cs="Times New Roman"/>
                <w:b/>
                <w:noProof/>
              </w:rPr>
              <w:t>Value</w:t>
            </w:r>
          </w:p>
        </w:tc>
      </w:tr>
      <w:tr w:rsidR="00083C3F">
        <w:tc>
          <w:tcPr>
            <w:tcW w:w="4735" w:type="dxa"/>
          </w:tcPr>
          <w:p w:rsidR="00083C3F" w:rsidRDefault="00E1215B">
            <w:pPr>
              <w:rPr>
                <w:noProof/>
              </w:rPr>
            </w:pPr>
            <w:r>
              <w:rPr>
                <w:noProof/>
              </w:rPr>
              <w:t>European IPOs, EUR billion, total value of deals</w:t>
            </w:r>
          </w:p>
        </w:tc>
        <w:tc>
          <w:tcPr>
            <w:tcW w:w="1559" w:type="dxa"/>
            <w:vAlign w:val="center"/>
          </w:tcPr>
          <w:p w:rsidR="00083C3F" w:rsidRDefault="00E1215B">
            <w:pPr>
              <w:spacing w:after="0"/>
              <w:jc w:val="center"/>
              <w:rPr>
                <w:rFonts w:cs="Times New Roman"/>
                <w:noProof/>
              </w:rPr>
            </w:pPr>
            <w:r>
              <w:rPr>
                <w:rFonts w:cs="Times New Roman"/>
                <w:noProof/>
              </w:rPr>
              <w:t xml:space="preserve">32.2 </w:t>
            </w:r>
          </w:p>
        </w:tc>
        <w:tc>
          <w:tcPr>
            <w:tcW w:w="1559" w:type="dxa"/>
            <w:vAlign w:val="center"/>
          </w:tcPr>
          <w:p w:rsidR="00083C3F" w:rsidRDefault="00E1215B">
            <w:pPr>
              <w:spacing w:after="0"/>
              <w:jc w:val="center"/>
              <w:rPr>
                <w:rFonts w:cs="Times New Roman"/>
                <w:noProof/>
              </w:rPr>
            </w:pPr>
            <w:r>
              <w:rPr>
                <w:rFonts w:cs="Times New Roman"/>
                <w:noProof/>
              </w:rPr>
              <w:t>2016</w:t>
            </w:r>
          </w:p>
        </w:tc>
        <w:tc>
          <w:tcPr>
            <w:tcW w:w="1559" w:type="dxa"/>
            <w:vAlign w:val="center"/>
          </w:tcPr>
          <w:p w:rsidR="00083C3F" w:rsidRDefault="00E1215B">
            <w:pPr>
              <w:spacing w:after="0"/>
              <w:jc w:val="center"/>
              <w:rPr>
                <w:rFonts w:cs="Times New Roman"/>
                <w:noProof/>
              </w:rPr>
            </w:pPr>
            <w:r>
              <w:rPr>
                <w:rFonts w:cs="Times New Roman"/>
                <w:noProof/>
              </w:rPr>
              <w:t xml:space="preserve">27.9 </w:t>
            </w:r>
          </w:p>
        </w:tc>
      </w:tr>
      <w:tr w:rsidR="00083C3F">
        <w:tc>
          <w:tcPr>
            <w:tcW w:w="4735" w:type="dxa"/>
          </w:tcPr>
          <w:p w:rsidR="00083C3F" w:rsidRDefault="00E1215B">
            <w:pPr>
              <w:spacing w:after="0"/>
              <w:jc w:val="left"/>
              <w:rPr>
                <w:noProof/>
              </w:rPr>
            </w:pPr>
            <w:r>
              <w:rPr>
                <w:noProof/>
              </w:rPr>
              <w:t>Corporate bond issuance by NFCs, EUR billion, total value</w:t>
            </w:r>
          </w:p>
        </w:tc>
        <w:tc>
          <w:tcPr>
            <w:tcW w:w="1559" w:type="dxa"/>
            <w:vAlign w:val="center"/>
          </w:tcPr>
          <w:p w:rsidR="00083C3F" w:rsidRDefault="00E1215B">
            <w:pPr>
              <w:spacing w:after="0"/>
              <w:jc w:val="center"/>
              <w:rPr>
                <w:rFonts w:cs="Times New Roman"/>
                <w:noProof/>
              </w:rPr>
            </w:pPr>
            <w:r>
              <w:rPr>
                <w:rFonts w:cs="Times New Roman"/>
                <w:noProof/>
              </w:rPr>
              <w:t>223.7</w:t>
            </w:r>
          </w:p>
        </w:tc>
        <w:tc>
          <w:tcPr>
            <w:tcW w:w="1559" w:type="dxa"/>
            <w:vAlign w:val="center"/>
          </w:tcPr>
          <w:p w:rsidR="00083C3F" w:rsidRDefault="00E1215B">
            <w:pPr>
              <w:spacing w:after="0"/>
              <w:jc w:val="center"/>
              <w:rPr>
                <w:rFonts w:cs="Times New Roman"/>
                <w:noProof/>
              </w:rPr>
            </w:pPr>
            <w:r>
              <w:rPr>
                <w:noProof/>
              </w:rPr>
              <w:t>2016</w:t>
            </w:r>
          </w:p>
        </w:tc>
        <w:tc>
          <w:tcPr>
            <w:tcW w:w="1559" w:type="dxa"/>
            <w:vAlign w:val="center"/>
          </w:tcPr>
          <w:p w:rsidR="00083C3F" w:rsidRDefault="00E1215B">
            <w:pPr>
              <w:spacing w:after="0"/>
              <w:jc w:val="center"/>
              <w:rPr>
                <w:rFonts w:cs="Times New Roman"/>
                <w:noProof/>
              </w:rPr>
            </w:pPr>
            <w:r>
              <w:rPr>
                <w:noProof/>
              </w:rPr>
              <w:t xml:space="preserve">240.0 </w:t>
            </w:r>
          </w:p>
        </w:tc>
      </w:tr>
      <w:tr w:rsidR="00083C3F">
        <w:tc>
          <w:tcPr>
            <w:tcW w:w="4735" w:type="dxa"/>
          </w:tcPr>
          <w:p w:rsidR="00083C3F" w:rsidRDefault="00E1215B">
            <w:pPr>
              <w:spacing w:after="0"/>
              <w:jc w:val="left"/>
              <w:rPr>
                <w:noProof/>
              </w:rPr>
            </w:pPr>
            <w:r>
              <w:rPr>
                <w:rFonts w:cs="Times New Roman"/>
                <w:noProof/>
              </w:rPr>
              <w:t>Approved prospectus, total number, EAA</w:t>
            </w:r>
          </w:p>
        </w:tc>
        <w:tc>
          <w:tcPr>
            <w:tcW w:w="1559" w:type="dxa"/>
            <w:vAlign w:val="center"/>
          </w:tcPr>
          <w:p w:rsidR="00083C3F" w:rsidRDefault="00E1215B">
            <w:pPr>
              <w:spacing w:after="0"/>
              <w:jc w:val="center"/>
              <w:rPr>
                <w:rFonts w:cs="Times New Roman"/>
                <w:noProof/>
              </w:rPr>
            </w:pPr>
            <w:r>
              <w:rPr>
                <w:rFonts w:cs="Times New Roman"/>
                <w:noProof/>
              </w:rPr>
              <w:t>4 049</w:t>
            </w:r>
          </w:p>
        </w:tc>
        <w:tc>
          <w:tcPr>
            <w:tcW w:w="1559" w:type="dxa"/>
            <w:vAlign w:val="center"/>
          </w:tcPr>
          <w:p w:rsidR="00083C3F" w:rsidRDefault="00E1215B">
            <w:pPr>
              <w:spacing w:after="0"/>
              <w:jc w:val="center"/>
              <w:rPr>
                <w:rFonts w:cs="Times New Roman"/>
                <w:noProof/>
              </w:rPr>
            </w:pPr>
            <w:r>
              <w:rPr>
                <w:noProof/>
              </w:rPr>
              <w:t>2015</w:t>
            </w:r>
          </w:p>
        </w:tc>
        <w:tc>
          <w:tcPr>
            <w:tcW w:w="1559" w:type="dxa"/>
            <w:vAlign w:val="center"/>
          </w:tcPr>
          <w:p w:rsidR="00083C3F" w:rsidRDefault="00E1215B">
            <w:pPr>
              <w:spacing w:after="0"/>
              <w:jc w:val="center"/>
              <w:rPr>
                <w:rFonts w:cs="Times New Roman"/>
                <w:noProof/>
              </w:rPr>
            </w:pPr>
            <w:r>
              <w:rPr>
                <w:noProof/>
              </w:rPr>
              <w:t>3 796</w:t>
            </w:r>
          </w:p>
        </w:tc>
      </w:tr>
    </w:tbl>
    <w:p w:rsidR="00083C3F" w:rsidRDefault="00E1215B">
      <w:pPr>
        <w:spacing w:after="200"/>
        <w:jc w:val="left"/>
        <w:rPr>
          <w:noProof/>
        </w:rPr>
      </w:pPr>
      <w:r>
        <w:rPr>
          <w:noProof/>
        </w:rPr>
        <w:br w:type="page"/>
      </w:r>
    </w:p>
    <w:p w:rsidR="00083C3F" w:rsidRDefault="00E1215B">
      <w:pPr>
        <w:pStyle w:val="Heading1"/>
        <w:rPr>
          <w:noProof/>
        </w:rPr>
      </w:pPr>
      <w:bookmarkStart w:id="135" w:name="_Toc481140385"/>
      <w:bookmarkStart w:id="136" w:name="_Toc482710957"/>
      <w:bookmarkStart w:id="137" w:name="_Toc482715279"/>
      <w:r>
        <w:rPr>
          <w:noProof/>
        </w:rPr>
        <w:t>Strengthening banking capacity to support the wider economy</w:t>
      </w:r>
      <w:bookmarkEnd w:id="135"/>
      <w:bookmarkEnd w:id="136"/>
      <w:bookmarkEnd w:id="137"/>
      <w:r>
        <w:rPr>
          <w:noProof/>
        </w:rPr>
        <w:t xml:space="preserve"> </w:t>
      </w:r>
    </w:p>
    <w:p w:rsidR="00083C3F" w:rsidRDefault="00E1215B">
      <w:pPr>
        <w:rPr>
          <w:noProof/>
        </w:rPr>
      </w:pPr>
      <w:r>
        <w:rPr>
          <w:noProof/>
        </w:rPr>
        <w:t xml:space="preserve">Efficient capital markets solutions can help banks to strengthen their lending business through (i) risk transfer, balance </w:t>
      </w:r>
      <w:r>
        <w:rPr>
          <w:noProof/>
        </w:rPr>
        <w:t>sheet management and the pricing of illiquid assets (e.g. securitisation, secondary market for NPLs), and (ii) wholesale funding (e.g. covered bonds, ESNs). This chapter reviews developments in asset securitisation which helps banks to transfer risks. It r</w:t>
      </w:r>
      <w:r>
        <w:rPr>
          <w:noProof/>
        </w:rPr>
        <w:t>eviews funding techniques that banks can use, notably covered bonds to finance mortgage and public sector loans as well as a similar new instrument, European Securitized Notes, which banks could use to finance SMEs and infrastructure loans. The final secti</w:t>
      </w:r>
      <w:r>
        <w:rPr>
          <w:noProof/>
        </w:rPr>
        <w:t>on focuses on secondary markets for non-performing loans (NPLs).</w:t>
      </w:r>
    </w:p>
    <w:p w:rsidR="00083C3F" w:rsidRDefault="00E1215B">
      <w:pPr>
        <w:pStyle w:val="Heading2"/>
        <w:rPr>
          <w:noProof/>
        </w:rPr>
      </w:pPr>
      <w:bookmarkStart w:id="138" w:name="_Toc481140386"/>
      <w:bookmarkStart w:id="139" w:name="_Toc482710958"/>
      <w:bookmarkStart w:id="140" w:name="_Toc482715280"/>
      <w:r>
        <w:rPr>
          <w:noProof/>
        </w:rPr>
        <w:t>Asset securitisation</w:t>
      </w:r>
      <w:bookmarkEnd w:id="138"/>
      <w:bookmarkEnd w:id="139"/>
      <w:bookmarkEnd w:id="140"/>
    </w:p>
    <w:p w:rsidR="00083C3F" w:rsidRDefault="00E1215B">
      <w:pPr>
        <w:rPr>
          <w:noProof/>
        </w:rPr>
      </w:pPr>
      <w:r>
        <w:rPr>
          <w:noProof/>
        </w:rPr>
        <w:t>Securitisation is a financing mechanism in which credit institutions package loans which they have granted into securities and sell them to investors.</w:t>
      </w:r>
      <w:r>
        <w:rPr>
          <w:noProof/>
          <w:vertAlign w:val="superscript"/>
        </w:rPr>
        <w:footnoteReference w:id="40"/>
      </w:r>
      <w:r>
        <w:rPr>
          <w:noProof/>
        </w:rPr>
        <w:t xml:space="preserve"> Through this proce</w:t>
      </w:r>
      <w:r>
        <w:rPr>
          <w:noProof/>
        </w:rPr>
        <w:t xml:space="preserve">ss, illiquid financial assets (such as mortgages, loans, leases) are bundled together and converted into liquid securities, funded by and tradable in the capital markets. </w:t>
      </w:r>
      <w:r>
        <w:rPr>
          <w:bCs/>
          <w:noProof/>
        </w:rPr>
        <w:t xml:space="preserve">Securitisation </w:t>
      </w:r>
      <w:r>
        <w:rPr>
          <w:noProof/>
        </w:rPr>
        <w:t>is a useful tool f</w:t>
      </w:r>
      <w:r>
        <w:rPr>
          <w:bCs/>
          <w:noProof/>
        </w:rPr>
        <w:t xml:space="preserve">or banks </w:t>
      </w:r>
      <w:r>
        <w:rPr>
          <w:noProof/>
        </w:rPr>
        <w:t>to transfer risk to other institutions or/a</w:t>
      </w:r>
      <w:r>
        <w:rPr>
          <w:noProof/>
        </w:rPr>
        <w:t xml:space="preserve">nd investors and thus to reduce funding costs and increase their funding capacity. Securitisation benefits investors by giving them access to assets which they could not otherwise access. </w:t>
      </w:r>
    </w:p>
    <w:p w:rsidR="00083C3F" w:rsidRDefault="00E1215B">
      <w:pPr>
        <w:rPr>
          <w:noProof/>
        </w:rPr>
      </w:pPr>
      <w:r>
        <w:rPr>
          <w:noProof/>
        </w:rPr>
        <w:t>Securitisation entails risks when done in a complex, opaque or atyp</w:t>
      </w:r>
      <w:r>
        <w:rPr>
          <w:noProof/>
        </w:rPr>
        <w:t>ical way. Such risks materialised during the last financial crisis, when misaligned incentives (with overreliance on mathematical models and third party opaque risk assessment and guarantees) created a volume-based securitisation process that amplified the</w:t>
      </w:r>
      <w:r>
        <w:rPr>
          <w:noProof/>
        </w:rPr>
        <w:t xml:space="preserve"> crisis imposing huge losses on banks that were later bailed out. </w:t>
      </w:r>
    </w:p>
    <w:p w:rsidR="00083C3F" w:rsidRDefault="00E1215B">
      <w:pPr>
        <w:pStyle w:val="Heading3"/>
        <w:rPr>
          <w:noProof/>
        </w:rPr>
      </w:pPr>
      <w:bookmarkStart w:id="141" w:name="_Toc481140387"/>
      <w:bookmarkStart w:id="142" w:name="_Toc482710959"/>
      <w:bookmarkStart w:id="143" w:name="_Toc482715281"/>
      <w:r>
        <w:rPr>
          <w:noProof/>
        </w:rPr>
        <w:t>Trends in securitisation markets in Europe</w:t>
      </w:r>
      <w:bookmarkEnd w:id="141"/>
      <w:bookmarkEnd w:id="142"/>
      <w:bookmarkEnd w:id="143"/>
    </w:p>
    <w:p w:rsidR="00083C3F" w:rsidRDefault="00E1215B">
      <w:pPr>
        <w:rPr>
          <w:noProof/>
        </w:rPr>
      </w:pPr>
      <w:r>
        <w:rPr>
          <w:noProof/>
        </w:rPr>
        <w:t>Amid global distrust, securitisation activity remains subdued. In Europe, following constant growth for almost a decade prior to the financial cri</w:t>
      </w:r>
      <w:r>
        <w:rPr>
          <w:noProof/>
        </w:rPr>
        <w:t>sis, securitization activity plunged markedly and has not yet fully recovered. Since 2008, when EUR 105.5 billion of securitised products were issued, the European securitisation market has nearly halved. At the end of the fourth quarter of 2016, the secur</w:t>
      </w:r>
      <w:r>
        <w:rPr>
          <w:noProof/>
        </w:rPr>
        <w:t>itisation market amounted to EUR 1 274 billion of outstanding value.</w:t>
      </w:r>
      <w:r>
        <w:rPr>
          <w:rStyle w:val="FootnoteReference"/>
          <w:noProof/>
        </w:rPr>
        <w:t xml:space="preserve"> </w:t>
      </w:r>
    </w:p>
    <w:p w:rsidR="00083C3F" w:rsidRDefault="00E1215B">
      <w:pPr>
        <w:rPr>
          <w:rFonts w:cs="Times New Roman"/>
          <w:noProof/>
          <w:sz w:val="24"/>
          <w:szCs w:val="24"/>
        </w:rPr>
      </w:pPr>
      <w:r>
        <w:rPr>
          <w:noProof/>
        </w:rPr>
        <w:t>The weak demand for securitisation products in Europe reflects a global problem of distrust due to the role that securitisation played during the crisis. Underscoring the high credit qua</w:t>
      </w:r>
      <w:r>
        <w:rPr>
          <w:noProof/>
        </w:rPr>
        <w:t xml:space="preserve">lity of European securitisation issuance, credit rating upgrades keep outpacing downgrades among European securitised products over the last quarters. Also during the crisis, </w:t>
      </w:r>
      <w:r>
        <w:rPr>
          <w:noProof/>
          <w:color w:val="000000"/>
        </w:rPr>
        <w:t>EU securitisations performed far better than their US counterparts.</w:t>
      </w:r>
      <w:r>
        <w:rPr>
          <w:noProof/>
          <w:vertAlign w:val="superscript"/>
        </w:rPr>
        <w:footnoteReference w:id="41"/>
      </w:r>
    </w:p>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1</w:t>
      </w:r>
      <w:r>
        <w:fldChar w:fldCharType="end"/>
      </w:r>
      <w:r>
        <w:t xml:space="preserve"> Issuance/outstanding amounts of securitised products in Europe, in EUR billion</w:t>
      </w:r>
    </w:p>
    <w:p w:rsidR="00083C3F" w:rsidRDefault="00E1215B">
      <w:pPr>
        <w:pStyle w:val="Figure"/>
        <w:rPr>
          <w:noProof/>
        </w:rPr>
      </w:pPr>
      <w:r>
        <w:rPr>
          <w:noProof/>
          <w:lang w:eastAsia="en-GB"/>
        </w:rPr>
        <w:drawing>
          <wp:inline distT="0" distB="0" distL="0" distR="0" wp14:anchorId="20025681" wp14:editId="14BD5A93">
            <wp:extent cx="4589585" cy="24384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83C3F" w:rsidRDefault="00E1215B">
      <w:pPr>
        <w:pStyle w:val="Source"/>
        <w:rPr>
          <w:noProof/>
          <w:lang w:eastAsia="en-GB"/>
        </w:rPr>
      </w:pPr>
      <w:r>
        <w:rPr>
          <w:noProof/>
          <w:lang w:eastAsia="en-GB"/>
        </w:rPr>
        <w:t xml:space="preserve"> Source: AFME</w:t>
      </w:r>
    </w:p>
    <w:p w:rsidR="00083C3F" w:rsidRDefault="00E1215B">
      <w:pPr>
        <w:rPr>
          <w:noProof/>
        </w:rPr>
      </w:pPr>
      <w:r>
        <w:rPr>
          <w:noProof/>
        </w:rPr>
        <w:t>Securitisation market remains unqually developed in the EU. The United Kingdom and the Netherlands constitute the biggest markets, holding a combined 40% share in the total outstanding amount. Italy and Spain have, each, market shares exceeding 10%. In tot</w:t>
      </w:r>
      <w:r>
        <w:rPr>
          <w:noProof/>
        </w:rPr>
        <w:t>al, those four mentioned countries are over 60% of the European securitisation market. The share of France, Germany and Belgium in the EU securitisation market exceeds 5% each while shares of other EU countries are lower. The described breakdown stays rath</w:t>
      </w:r>
      <w:r>
        <w:rPr>
          <w:noProof/>
        </w:rPr>
        <w:t>er constant over time and is similar when based on securitisation issuance, a better proxy for market dynamics. The latest securitisation issuance data for the EU shows that combined slightly smaller market shares of the United Kingdom and of the Netherlan</w:t>
      </w:r>
      <w:r>
        <w:rPr>
          <w:noProof/>
        </w:rPr>
        <w:t xml:space="preserve">ds while slightly bigger market shares for both Italy and Spain, reflecting positive trends in the development of these two markets.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536"/>
      </w:tblGrid>
      <w:tr w:rsidR="00083C3F">
        <w:tc>
          <w:tcPr>
            <w:tcW w:w="9288" w:type="dxa"/>
            <w:gridSpan w:val="2"/>
          </w:tcPr>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2</w:t>
            </w:r>
            <w:r>
              <w:fldChar w:fldCharType="end"/>
            </w:r>
            <w:r>
              <w:t xml:space="preserve"> Outstanding/issuance amounts of EU securitised products in 2016</w:t>
            </w:r>
            <w:r>
              <w:t>, by country of collateral (% of total)</w:t>
            </w:r>
          </w:p>
        </w:tc>
      </w:tr>
      <w:tr w:rsidR="00083C3F">
        <w:tc>
          <w:tcPr>
            <w:tcW w:w="5171" w:type="dxa"/>
          </w:tcPr>
          <w:p w:rsidR="00083C3F" w:rsidRDefault="00E1215B">
            <w:pPr>
              <w:spacing w:after="0"/>
              <w:rPr>
                <w:i/>
                <w:noProof/>
                <w:sz w:val="20"/>
                <w:lang w:eastAsia="en-GB"/>
              </w:rPr>
            </w:pPr>
            <w:r>
              <w:rPr>
                <w:i/>
                <w:noProof/>
                <w:sz w:val="20"/>
                <w:lang w:eastAsia="en-GB"/>
              </w:rPr>
              <w:t>Outstanding</w:t>
            </w:r>
          </w:p>
        </w:tc>
        <w:tc>
          <w:tcPr>
            <w:tcW w:w="4117" w:type="dxa"/>
          </w:tcPr>
          <w:p w:rsidR="00083C3F" w:rsidRDefault="00E1215B">
            <w:pPr>
              <w:spacing w:after="0"/>
              <w:rPr>
                <w:i/>
                <w:noProof/>
                <w:sz w:val="20"/>
              </w:rPr>
            </w:pPr>
            <w:r>
              <w:rPr>
                <w:i/>
                <w:noProof/>
                <w:sz w:val="20"/>
              </w:rPr>
              <w:t>Issuance</w:t>
            </w:r>
          </w:p>
        </w:tc>
      </w:tr>
      <w:tr w:rsidR="00083C3F">
        <w:tc>
          <w:tcPr>
            <w:tcW w:w="5171" w:type="dxa"/>
          </w:tcPr>
          <w:p w:rsidR="00083C3F" w:rsidRDefault="00E1215B">
            <w:pPr>
              <w:spacing w:after="0"/>
              <w:rPr>
                <w:rFonts w:cs="Times New Roman"/>
                <w:noProof/>
                <w:sz w:val="24"/>
                <w:szCs w:val="24"/>
              </w:rPr>
            </w:pPr>
            <w:r>
              <w:rPr>
                <w:noProof/>
                <w:lang w:eastAsia="en-GB"/>
              </w:rPr>
              <w:t xml:space="preserve"> </w:t>
            </w:r>
            <w:r>
              <w:rPr>
                <w:noProof/>
                <w:lang w:eastAsia="en-GB"/>
              </w:rPr>
              <w:drawing>
                <wp:inline distT="0" distB="0" distL="0" distR="0" wp14:anchorId="3F48665C" wp14:editId="578BB0A9">
                  <wp:extent cx="2819400" cy="182187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2575" t="4236" r="2108" b="2897"/>
                          <a:stretch/>
                        </pic:blipFill>
                        <pic:spPr bwMode="auto">
                          <a:xfrm>
                            <a:off x="0" y="0"/>
                            <a:ext cx="2819424" cy="1821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7" w:type="dxa"/>
          </w:tcPr>
          <w:p w:rsidR="00083C3F" w:rsidRDefault="00E1215B">
            <w:pPr>
              <w:spacing w:after="0"/>
              <w:rPr>
                <w:rFonts w:cs="Times New Roman"/>
                <w:noProof/>
                <w:sz w:val="24"/>
                <w:szCs w:val="24"/>
              </w:rPr>
            </w:pPr>
            <w:r>
              <w:rPr>
                <w:rFonts w:cs="Times New Roman"/>
                <w:noProof/>
                <w:sz w:val="24"/>
                <w:szCs w:val="24"/>
                <w:lang w:eastAsia="en-GB"/>
              </w:rPr>
              <w:drawing>
                <wp:inline distT="0" distB="0" distL="0" distR="0" wp14:anchorId="25052A0C" wp14:editId="522AE25A">
                  <wp:extent cx="2736272" cy="1808018"/>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l="3256" t="4227" r="4884" b="3830"/>
                          <a:stretch/>
                        </pic:blipFill>
                        <pic:spPr bwMode="auto">
                          <a:xfrm>
                            <a:off x="0" y="0"/>
                            <a:ext cx="2732312" cy="1805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3C3F">
        <w:tc>
          <w:tcPr>
            <w:tcW w:w="5171" w:type="dxa"/>
          </w:tcPr>
          <w:p w:rsidR="00083C3F" w:rsidRDefault="00E1215B">
            <w:pPr>
              <w:pStyle w:val="Source"/>
              <w:rPr>
                <w:noProof/>
              </w:rPr>
            </w:pPr>
            <w:r>
              <w:rPr>
                <w:noProof/>
              </w:rPr>
              <w:t>Source: AFME</w:t>
            </w:r>
          </w:p>
        </w:tc>
        <w:tc>
          <w:tcPr>
            <w:tcW w:w="4117" w:type="dxa"/>
          </w:tcPr>
          <w:p w:rsidR="00083C3F" w:rsidRDefault="00083C3F">
            <w:pPr>
              <w:spacing w:after="0"/>
              <w:rPr>
                <w:rFonts w:cs="Times New Roman"/>
                <w:noProof/>
                <w:sz w:val="24"/>
                <w:szCs w:val="24"/>
              </w:rPr>
            </w:pPr>
          </w:p>
        </w:tc>
      </w:tr>
    </w:tbl>
    <w:p w:rsidR="00083C3F" w:rsidRDefault="00E1215B">
      <w:pPr>
        <w:rPr>
          <w:noProof/>
        </w:rPr>
      </w:pPr>
      <w:r>
        <w:rPr>
          <w:noProof/>
        </w:rPr>
        <w:t>Residential Mortgage Backed Securities (RMBS) systematically make up the majority of the EU securitisation market. The UK and Dutch RMBS led placed totals in Europe in 2016. Explaining the popularity of securitised transactions involving residential mortga</w:t>
      </w:r>
      <w:r>
        <w:rPr>
          <w:noProof/>
        </w:rPr>
        <w:t xml:space="preserve">ges is the fact that the latter are standardised, have long maturities, and generate regular payment streams. Another important segment is securitisation on a short term basis, usually through ABCP programmes. </w:t>
      </w:r>
    </w:p>
    <w:p w:rsidR="00083C3F" w:rsidRDefault="00E1215B">
      <w:pPr>
        <w:rPr>
          <w:noProof/>
        </w:rPr>
      </w:pPr>
      <w:r>
        <w:rPr>
          <w:noProof/>
        </w:rPr>
        <w:t xml:space="preserve">In contrast, SME loan securitisation remains </w:t>
      </w:r>
      <w:r>
        <w:rPr>
          <w:noProof/>
        </w:rPr>
        <w:t>weak in the EU, representing merely 7% of outstanding securitisation. SME securitisation has exhibited a changing trend over the last years. It peaked in 2007 at EUR 77.3 billion and it failed to revert to such levels ever since. Most of the transactions e</w:t>
      </w:r>
      <w:r>
        <w:rPr>
          <w:noProof/>
        </w:rPr>
        <w:t>xecuted prior to the crisis where placed with investors and a significant amount of transactions was synthetic. Germany and Spain constituted the most active markets. From 2008 onwards, the volume, type of placement and geography of SME securitisation chan</w:t>
      </w:r>
      <w:r>
        <w:rPr>
          <w:noProof/>
        </w:rPr>
        <w:t>ged significantly. Only a minority of transactions was placed with investors (with the majority of deals being retained, mainly for repo funding with the Central Bank). Synthetic securitisation dropped sharply and markets in Italy, Greece and Portugal beca</w:t>
      </w:r>
      <w:r>
        <w:rPr>
          <w:noProof/>
        </w:rPr>
        <w:t>me more active.</w:t>
      </w:r>
    </w:p>
    <w:p w:rsidR="00083C3F" w:rsidRDefault="00E1215B">
      <w:pPr>
        <w:rPr>
          <w:noProof/>
        </w:rPr>
      </w:pPr>
      <w:r>
        <w:rPr>
          <w:noProof/>
        </w:rPr>
        <w:t>The particularity of SME securitisation is that they usually have smaller portfolios than other securitisations. In addition, the small size of SME loans implies a higher number of pooled assets. Consequently, SME securitisation is generall</w:t>
      </w:r>
      <w:r>
        <w:rPr>
          <w:noProof/>
        </w:rPr>
        <w:t>y more expensive than securitising other, more standard types of loans such as mortgages. SME securitisation also usually requires substantial resources on the investor side to assess the credit quality of the underlying assets and of the resulting securit</w:t>
      </w:r>
      <w:r>
        <w:rPr>
          <w:noProof/>
        </w:rPr>
        <w:t>ies. The cost of SME securitisation is further exacerbated by limited standardisation or an outright lack of data on SME loans, which makes it hard for prospective investors to compare the risk-return characteristics between products. Data problems and gap</w:t>
      </w:r>
      <w:r>
        <w:rPr>
          <w:noProof/>
        </w:rPr>
        <w:t>s sometimes make credit rating agencies refrain from rating SME securitisations</w:t>
      </w:r>
      <w:r>
        <w:rPr>
          <w:rStyle w:val="FootnoteReference"/>
          <w:rFonts w:cs="Times New Roman"/>
          <w:noProof/>
          <w:sz w:val="24"/>
          <w:szCs w:val="24"/>
        </w:rPr>
        <w:footnoteReference w:id="42"/>
      </w:r>
      <w:r>
        <w:rPr>
          <w:noProof/>
        </w:rPr>
        <w:t xml:space="preserve">. Next to high set-up and operational costs, SME securitisations have generally lower returns on the underlying assets, which makes structuring a profitable SME securitisation </w:t>
      </w:r>
      <w:r>
        <w:rPr>
          <w:noProof/>
        </w:rPr>
        <w:t>difficult. In jurisdictions where the sovereign rating cap binds securitised product into lower credit ratings, the disadvantage in investing in SME securitisation becomes even larger. The described factors restrict the investor base for SME securitisation</w:t>
      </w:r>
      <w:r>
        <w:rPr>
          <w:noProof/>
        </w:rPr>
        <w:t>, making it a niche market.</w:t>
      </w:r>
    </w:p>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3</w:t>
      </w:r>
      <w:r>
        <w:fldChar w:fldCharType="end"/>
      </w:r>
      <w:r>
        <w:t xml:space="preserve"> Total securitisation issuance in the EU (in 2016) placed by type</w:t>
      </w:r>
      <w:r>
        <w:rPr>
          <w:rStyle w:val="FootnoteReference"/>
        </w:rPr>
        <w:footnoteReference w:id="43"/>
      </w:r>
    </w:p>
    <w:p w:rsidR="00083C3F" w:rsidRDefault="00E1215B">
      <w:pPr>
        <w:pStyle w:val="Figure"/>
        <w:rPr>
          <w:noProof/>
        </w:rPr>
      </w:pPr>
      <w:r>
        <w:rPr>
          <w:noProof/>
          <w:lang w:eastAsia="en-GB"/>
        </w:rPr>
        <w:drawing>
          <wp:inline distT="0" distB="0" distL="0" distR="0" wp14:anchorId="523A8849" wp14:editId="2A8B4072">
            <wp:extent cx="4273826" cy="2315817"/>
            <wp:effectExtent l="0" t="0" r="0" b="889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rPr>
        <w:t xml:space="preserve"> </w:t>
      </w:r>
    </w:p>
    <w:p w:rsidR="00083C3F" w:rsidRDefault="00E1215B">
      <w:pPr>
        <w:pStyle w:val="Source"/>
        <w:rPr>
          <w:noProof/>
        </w:rPr>
      </w:pPr>
      <w:r>
        <w:rPr>
          <w:noProof/>
        </w:rPr>
        <w:t>Source: AFME</w:t>
      </w:r>
    </w:p>
    <w:p w:rsidR="00083C3F" w:rsidRDefault="00E1215B">
      <w:pPr>
        <w:pStyle w:val="Heading3"/>
        <w:rPr>
          <w:noProof/>
        </w:rPr>
      </w:pPr>
      <w:bookmarkStart w:id="144" w:name="_Toc481140388"/>
      <w:bookmarkStart w:id="145" w:name="_Toc482710960"/>
      <w:bookmarkStart w:id="146" w:name="_Toc482715282"/>
      <w:r>
        <w:rPr>
          <w:noProof/>
        </w:rPr>
        <w:t>Levers to revive securitisation in the EU</w:t>
      </w:r>
      <w:bookmarkEnd w:id="144"/>
      <w:bookmarkEnd w:id="145"/>
      <w:bookmarkEnd w:id="146"/>
      <w:r>
        <w:rPr>
          <w:noProof/>
        </w:rPr>
        <w:t xml:space="preserve"> </w:t>
      </w:r>
    </w:p>
    <w:p w:rsidR="00083C3F" w:rsidRDefault="00E1215B">
      <w:pPr>
        <w:rPr>
          <w:noProof/>
          <w:color w:val="000000"/>
        </w:rPr>
      </w:pPr>
      <w:r>
        <w:rPr>
          <w:noProof/>
        </w:rPr>
        <w:t xml:space="preserve">In an effort to revive the securitisation market in the EU, the Commission presented the </w:t>
      </w:r>
      <w:r>
        <w:rPr>
          <w:noProof/>
          <w:color w:val="000000"/>
        </w:rPr>
        <w:t>Simple, Transparent and Standardised (</w:t>
      </w:r>
      <w:r>
        <w:rPr>
          <w:noProof/>
        </w:rPr>
        <w:t xml:space="preserve">STS) securitisation proposal in </w:t>
      </w:r>
      <w:r>
        <w:rPr>
          <w:noProof/>
          <w:color w:val="000000"/>
        </w:rPr>
        <w:t xml:space="preserve">September 2015. </w:t>
      </w:r>
      <w:r>
        <w:rPr>
          <w:noProof/>
        </w:rPr>
        <w:t>By differentiating ‘high-quality’ securitisation products from other securitisati</w:t>
      </w:r>
      <w:r>
        <w:rPr>
          <w:noProof/>
        </w:rPr>
        <w:t>on transactions, the intention is to identify securitisations that are standardised, that use consistent and well understood structures, where the issuer retains some of the assets that are being securitised, and where the obligations for all the parties i</w:t>
      </w:r>
      <w:r>
        <w:rPr>
          <w:noProof/>
        </w:rPr>
        <w:t xml:space="preserve">nvolved are clear. Considering the lower risk profile, the intention is that STS securitisation is supported by preferential treatment in </w:t>
      </w:r>
      <w:r>
        <w:rPr>
          <w:noProof/>
          <w:color w:val="000000"/>
        </w:rPr>
        <w:t>the capital requirements and in the Liquidity Coverage Ratio (LCR) for banks. In addition, insurance companies will fa</w:t>
      </w:r>
      <w:r>
        <w:rPr>
          <w:noProof/>
          <w:color w:val="000000"/>
        </w:rPr>
        <w:t>ce lower capital requirements for securitisation positions that meet the "high quality" requirements.</w:t>
      </w:r>
    </w:p>
    <w:p w:rsidR="00083C3F" w:rsidRDefault="00E1215B">
      <w:pPr>
        <w:rPr>
          <w:noProof/>
        </w:rPr>
      </w:pPr>
      <w:r>
        <w:rPr>
          <w:noProof/>
        </w:rPr>
        <w:t>European SMEs, which currently fund themselves mainly using bank credit, are expected to draw important benefits from a revived securitisation market. Dir</w:t>
      </w:r>
      <w:r>
        <w:rPr>
          <w:noProof/>
        </w:rPr>
        <w:t>ect benefits can be expected in several ways: (i) inclusion of ABCP in the STS framework will foster the growth of this important source of short-term SME financing; (ii) granting a prudential treatment equivalent to STS for certain simple types of synthet</w:t>
      </w:r>
      <w:r>
        <w:rPr>
          <w:noProof/>
        </w:rPr>
        <w:t>ic securitisations, i.e. those used by public development banks to fund SME loans, benefits for SMEs coming from the STS initiative will be ; (iii) introducing a single and consistent EU securitisation framework and encouraging market participants to devel</w:t>
      </w:r>
      <w:r>
        <w:rPr>
          <w:noProof/>
        </w:rPr>
        <w:t xml:space="preserve">op further standardisation, the STS initiative should reduce operational costs for securitisations, with important benefits for the cost of credit to SMEs, and (iv) thanks to promoting the securitisation market as a whole, investors and issuers will build </w:t>
      </w:r>
      <w:r>
        <w:rPr>
          <w:noProof/>
        </w:rPr>
        <w:t>expertise around assessing, pricing and trading securitisations. This in turn should reduce due diligence and credit analysis costs, helping SME loans to become a more viable asset for yield-seeking investors. Moreover, indirect benefits to SMEs can be exp</w:t>
      </w:r>
      <w:r>
        <w:rPr>
          <w:noProof/>
        </w:rPr>
        <w:t xml:space="preserve">ected increased bank credit reflecting that banks can obtain capital relief by securitising other loan portfolios. </w:t>
      </w:r>
    </w:p>
    <w:p w:rsidR="00083C3F" w:rsidRDefault="00E1215B">
      <w:pPr>
        <w:rPr>
          <w:noProof/>
        </w:rPr>
      </w:pPr>
      <w:r>
        <w:rPr>
          <w:noProof/>
        </w:rPr>
        <w:t>The revival of the securitisation market in the EU is expected to benefit all Member States and not only those with deep capital markets and</w:t>
      </w:r>
      <w:r>
        <w:rPr>
          <w:noProof/>
        </w:rPr>
        <w:t xml:space="preserve"> developed financial infrastructures. Countries where the funding of banks and the credit provision in general tends to be more problematic will benefit from a revived funding channel. Also, a single and harmonised framework for EU securitisation could lay</w:t>
      </w:r>
      <w:r>
        <w:rPr>
          <w:noProof/>
        </w:rPr>
        <w:t xml:space="preserve"> the foundations for developing securitisation markets where these are currently not developed, like for instance in Member States in CESEE.</w:t>
      </w:r>
    </w:p>
    <w:p w:rsidR="00083C3F" w:rsidRDefault="00E1215B">
      <w:pPr>
        <w:rPr>
          <w:noProof/>
        </w:rPr>
      </w:pPr>
      <w:r>
        <w:rPr>
          <w:noProof/>
        </w:rPr>
        <w:t>Still, the described action constitutes only a first step towards a full recovery of the securitisation market in E</w:t>
      </w:r>
      <w:r>
        <w:rPr>
          <w:noProof/>
        </w:rPr>
        <w:t>urope. Legislative efforts should be combined with adequate market practices, supporting the growth of the securitisation market, such as greater standardisation and transparency of deals. Moreover, information problems surrounding the SME sector and hinde</w:t>
      </w:r>
      <w:r>
        <w:rPr>
          <w:noProof/>
        </w:rPr>
        <w:t>ring the securitisation of SME loans need to be resolved. Finally, the success of the STS initiative will also depend on the general economic and monetary conditions, the demand for investment and credit, and developments in alternative funding channels.</w:t>
      </w:r>
    </w:p>
    <w:p w:rsidR="00083C3F" w:rsidRDefault="00E1215B">
      <w:pPr>
        <w:pStyle w:val="Heading2"/>
        <w:rPr>
          <w:noProof/>
        </w:rPr>
      </w:pPr>
      <w:bookmarkStart w:id="147" w:name="_Toc481140389"/>
      <w:bookmarkStart w:id="148" w:name="_Toc482710961"/>
      <w:bookmarkStart w:id="149" w:name="_Toc482715283"/>
      <w:r>
        <w:rPr>
          <w:noProof/>
        </w:rPr>
        <w:t>C</w:t>
      </w:r>
      <w:r>
        <w:rPr>
          <w:noProof/>
        </w:rPr>
        <w:t>overed bond markets</w:t>
      </w:r>
      <w:bookmarkEnd w:id="147"/>
      <w:bookmarkEnd w:id="148"/>
      <w:bookmarkEnd w:id="149"/>
      <w:r>
        <w:rPr>
          <w:noProof/>
        </w:rPr>
        <w:t xml:space="preserve"> </w:t>
      </w:r>
    </w:p>
    <w:p w:rsidR="00083C3F" w:rsidRDefault="00E1215B">
      <w:pPr>
        <w:rPr>
          <w:noProof/>
        </w:rPr>
      </w:pPr>
      <w:r>
        <w:rPr>
          <w:noProof/>
        </w:rPr>
        <w:t xml:space="preserve">Covered bonds are a very important source of bank funding in many Member States and are used to refinance mortgage loans and, to a lesser extent, other asset classes. </w:t>
      </w:r>
    </w:p>
    <w:p w:rsidR="00083C3F" w:rsidRDefault="00E1215B">
      <w:pPr>
        <w:pStyle w:val="Heading3"/>
        <w:rPr>
          <w:noProof/>
        </w:rPr>
      </w:pPr>
      <w:bookmarkStart w:id="150" w:name="_Toc481140390"/>
      <w:bookmarkStart w:id="151" w:name="_Toc482710962"/>
      <w:bookmarkStart w:id="152" w:name="_Toc482715284"/>
      <w:r>
        <w:rPr>
          <w:noProof/>
        </w:rPr>
        <w:t>Market trends</w:t>
      </w:r>
      <w:bookmarkEnd w:id="150"/>
      <w:bookmarkEnd w:id="151"/>
      <w:bookmarkEnd w:id="152"/>
      <w:r>
        <w:rPr>
          <w:noProof/>
        </w:rPr>
        <w:t xml:space="preserve"> </w:t>
      </w:r>
    </w:p>
    <w:p w:rsidR="00083C3F" w:rsidRDefault="00E1215B">
      <w:pPr>
        <w:rPr>
          <w:noProof/>
        </w:rPr>
      </w:pPr>
      <w:r>
        <w:rPr>
          <w:noProof/>
        </w:rPr>
        <w:t>The covered bonds market has a long and successful h</w:t>
      </w:r>
      <w:r>
        <w:rPr>
          <w:noProof/>
        </w:rPr>
        <w:t xml:space="preserve">istory in Europe, witness the increasing trend in issuance and buildup of outstanding amounts (see charts below). The outstanding volumes of covered bonds in the EU reached EUR 2.2 trillion at the end of 2015. About 80% of outstanding amounts stems from 6 </w:t>
      </w:r>
      <w:r>
        <w:rPr>
          <w:noProof/>
        </w:rPr>
        <w:t xml:space="preserve">EU Member States: Denmark is by far the country with the largest new issuance volumes (EUR 164 billion). Other major issuers are Sweden (EUR 61 billion), Germany (EUR 58 billion), France (EUR 45 billion), Spain (EUR 42 billion) and Italy (EUR 29 billion). </w:t>
      </w:r>
      <w:r>
        <w:rPr>
          <w:noProof/>
        </w:rPr>
        <w:t>Poland and Romania are developing their markets. There has also been an expansion of the covered bond market outside the EU, with the highest growth rates observed in non EU countries, primarily in Australia (+97%), and Canada (+75%), and with first issuan</w:t>
      </w:r>
      <w:r>
        <w:rPr>
          <w:noProof/>
        </w:rPr>
        <w:t>ces by Asian countries in 2015.</w:t>
      </w:r>
    </w:p>
    <w:p w:rsidR="00083C3F" w:rsidRDefault="00E1215B">
      <w:pPr>
        <w:rPr>
          <w:noProof/>
        </w:rPr>
      </w:pPr>
      <w:r>
        <w:rPr>
          <w:noProof/>
        </w:rPr>
        <w:t xml:space="preserve">Covered bonds have performed well in crisis periods, notably due to their low-risk structure (dual recourse). Covered bonds were also attractive because they could be used as collateral to access the several funding </w:t>
      </w:r>
      <w:r>
        <w:rPr>
          <w:noProof/>
        </w:rPr>
        <w:t>initiatives made available by the ECB and by other central banks.</w:t>
      </w:r>
    </w:p>
    <w:p w:rsidR="00083C3F" w:rsidRDefault="00083C3F">
      <w:pPr>
        <w:keepNext/>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69"/>
      </w:tblGrid>
      <w:tr w:rsidR="00083C3F">
        <w:tc>
          <w:tcPr>
            <w:tcW w:w="4219" w:type="dxa"/>
          </w:tcPr>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4</w:t>
            </w:r>
            <w:r>
              <w:fldChar w:fldCharType="end"/>
            </w:r>
            <w:r>
              <w:t xml:space="preserve"> Issuance of covered bonds (EUR billion)</w:t>
            </w:r>
          </w:p>
        </w:tc>
        <w:tc>
          <w:tcPr>
            <w:tcW w:w="5069" w:type="dxa"/>
          </w:tcPr>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5</w:t>
            </w:r>
            <w:r>
              <w:fldChar w:fldCharType="end"/>
            </w:r>
            <w:r>
              <w:t xml:space="preserve"> Volume of outstanding covered b</w:t>
            </w:r>
            <w:r>
              <w:t xml:space="preserve">onds (EUR billion) </w:t>
            </w:r>
          </w:p>
        </w:tc>
      </w:tr>
      <w:tr w:rsidR="00083C3F">
        <w:tc>
          <w:tcPr>
            <w:tcW w:w="4219" w:type="dxa"/>
          </w:tcPr>
          <w:p w:rsidR="00083C3F" w:rsidRDefault="00E1215B">
            <w:pPr>
              <w:pStyle w:val="Default0"/>
              <w:jc w:val="both"/>
              <w:rPr>
                <w:noProof/>
              </w:rPr>
            </w:pPr>
            <w:r>
              <w:rPr>
                <w:noProof/>
                <w:lang w:eastAsia="en-GB"/>
              </w:rPr>
              <w:drawing>
                <wp:inline distT="0" distB="0" distL="0" distR="0" wp14:anchorId="3B342CC8" wp14:editId="5BA6C68D">
                  <wp:extent cx="2645229" cy="2177143"/>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456" t="2560" r="2340" b="4196"/>
                          <a:stretch/>
                        </pic:blipFill>
                        <pic:spPr bwMode="auto">
                          <a:xfrm>
                            <a:off x="0" y="0"/>
                            <a:ext cx="2646602" cy="2178273"/>
                          </a:xfrm>
                          <a:prstGeom prst="rect">
                            <a:avLst/>
                          </a:prstGeom>
                          <a:ln>
                            <a:noFill/>
                          </a:ln>
                          <a:extLst>
                            <a:ext uri="{53640926-AAD7-44D8-BBD7-CCE9431645EC}">
                              <a14:shadowObscured xmlns:a14="http://schemas.microsoft.com/office/drawing/2010/main"/>
                            </a:ext>
                          </a:extLst>
                        </pic:spPr>
                      </pic:pic>
                    </a:graphicData>
                  </a:graphic>
                </wp:inline>
              </w:drawing>
            </w:r>
          </w:p>
        </w:tc>
        <w:tc>
          <w:tcPr>
            <w:tcW w:w="5069" w:type="dxa"/>
          </w:tcPr>
          <w:p w:rsidR="00083C3F" w:rsidRDefault="00E1215B">
            <w:pPr>
              <w:pStyle w:val="Default0"/>
              <w:jc w:val="center"/>
              <w:rPr>
                <w:noProof/>
              </w:rPr>
            </w:pPr>
            <w:r>
              <w:rPr>
                <w:noProof/>
                <w:lang w:eastAsia="en-GB"/>
              </w:rPr>
              <w:drawing>
                <wp:inline distT="0" distB="0" distL="0" distR="0" wp14:anchorId="281BFD85" wp14:editId="54D9992D">
                  <wp:extent cx="2744891" cy="21227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456" t="3154" r="2281" b="11250"/>
                          <a:stretch/>
                        </pic:blipFill>
                        <pic:spPr bwMode="auto">
                          <a:xfrm>
                            <a:off x="0" y="0"/>
                            <a:ext cx="2751627" cy="2127924"/>
                          </a:xfrm>
                          <a:prstGeom prst="rect">
                            <a:avLst/>
                          </a:prstGeom>
                          <a:ln>
                            <a:noFill/>
                          </a:ln>
                          <a:extLst>
                            <a:ext uri="{53640926-AAD7-44D8-BBD7-CCE9431645EC}">
                              <a14:shadowObscured xmlns:a14="http://schemas.microsoft.com/office/drawing/2010/main"/>
                            </a:ext>
                          </a:extLst>
                        </pic:spPr>
                      </pic:pic>
                    </a:graphicData>
                  </a:graphic>
                </wp:inline>
              </w:drawing>
            </w:r>
          </w:p>
        </w:tc>
      </w:tr>
      <w:tr w:rsidR="00083C3F">
        <w:trPr>
          <w:trHeight w:val="54"/>
        </w:trPr>
        <w:tc>
          <w:tcPr>
            <w:tcW w:w="9288" w:type="dxa"/>
            <w:gridSpan w:val="2"/>
          </w:tcPr>
          <w:p w:rsidR="00083C3F" w:rsidRDefault="00E1215B">
            <w:pPr>
              <w:pStyle w:val="Source"/>
              <w:spacing w:after="0"/>
              <w:rPr>
                <w:noProof/>
                <w:lang w:eastAsia="en-GB"/>
              </w:rPr>
            </w:pPr>
            <w:r>
              <w:rPr>
                <w:noProof/>
                <w:lang w:eastAsia="en-GB"/>
              </w:rPr>
              <w:t>Source: EBA, ECBC.</w:t>
            </w:r>
          </w:p>
        </w:tc>
      </w:tr>
    </w:tbl>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6</w:t>
      </w:r>
      <w:r>
        <w:fldChar w:fldCharType="end"/>
      </w:r>
      <w:r>
        <w:t xml:space="preserve"> Covered bonds outstanding versus growth rates in selected world countries</w:t>
      </w:r>
    </w:p>
    <w:p w:rsidR="00083C3F" w:rsidRDefault="00E1215B">
      <w:pPr>
        <w:pStyle w:val="Figure"/>
        <w:rPr>
          <w:noProof/>
        </w:rPr>
      </w:pPr>
      <w:r>
        <w:rPr>
          <w:noProof/>
          <w:lang w:eastAsia="en-GB"/>
        </w:rPr>
        <w:drawing>
          <wp:inline distT="0" distB="0" distL="0" distR="0" wp14:anchorId="3AD64697" wp14:editId="495ED045">
            <wp:extent cx="3957523" cy="268949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3449" r="9907" b="6705"/>
                    <a:stretch/>
                  </pic:blipFill>
                  <pic:spPr bwMode="auto">
                    <a:xfrm>
                      <a:off x="0" y="0"/>
                      <a:ext cx="3960471" cy="2691497"/>
                    </a:xfrm>
                    <a:prstGeom prst="rect">
                      <a:avLst/>
                    </a:prstGeom>
                    <a:ln>
                      <a:noFill/>
                    </a:ln>
                    <a:extLst>
                      <a:ext uri="{53640926-AAD7-44D8-BBD7-CCE9431645EC}">
                        <a14:shadowObscured xmlns:a14="http://schemas.microsoft.com/office/drawing/2010/main"/>
                      </a:ext>
                    </a:extLst>
                  </pic:spPr>
                </pic:pic>
              </a:graphicData>
            </a:graphic>
          </wp:inline>
        </w:drawing>
      </w:r>
    </w:p>
    <w:p w:rsidR="00083C3F" w:rsidRDefault="00E1215B">
      <w:pPr>
        <w:pStyle w:val="Source"/>
        <w:rPr>
          <w:noProof/>
        </w:rPr>
      </w:pPr>
      <w:r>
        <w:rPr>
          <w:noProof/>
        </w:rPr>
        <w:t>Source: Own calculations based on ECBC statistics.</w:t>
      </w:r>
    </w:p>
    <w:p w:rsidR="00083C3F" w:rsidRDefault="00E1215B">
      <w:pPr>
        <w:rPr>
          <w:noProof/>
        </w:rPr>
      </w:pPr>
      <w:r>
        <w:rPr>
          <w:noProof/>
        </w:rPr>
        <w:t xml:space="preserve">The trend of an </w:t>
      </w:r>
      <w:r>
        <w:rPr>
          <w:noProof/>
        </w:rPr>
        <w:t>increasing use of mortgages as cover pool collateral continues (residential and commercial real estate mortgages), and a parallel decline in the share in volume of public sector loans and other asset classes in the cover pools; shipping loans, SME loans, i</w:t>
      </w:r>
      <w:r>
        <w:rPr>
          <w:noProof/>
        </w:rPr>
        <w:t>nfrastructure loans and aircraft loans</w:t>
      </w:r>
      <w:r>
        <w:rPr>
          <w:rStyle w:val="FootnoteReference"/>
          <w:noProof/>
        </w:rPr>
        <w:footnoteReference w:id="44"/>
      </w:r>
      <w:r>
        <w:rPr>
          <w:noProof/>
        </w:rPr>
        <w:t xml:space="preserve">. One of the reasons is that most national laws do not allow for the use of SME and infrastructure loans as a cover pool asset class. Another reason is that SME loans are not eligible as covered bond collateral under </w:t>
      </w:r>
      <w:r>
        <w:rPr>
          <w:noProof/>
        </w:rPr>
        <w:t>the Capital Requirements Regulation (which, in turn means that they are not accompanied by preferential risk-weighting). The regulatory treatment in CRR reflects that the credit quality of a cover pool backed by SME and infrastructure loans and the related</w:t>
      </w:r>
      <w:r>
        <w:rPr>
          <w:noProof/>
        </w:rPr>
        <w:t xml:space="preserve"> refinancing risk are potentially higher than in the case of mortgages or public sector loans. Moreover, the credit assessment of such a cover pool is more difficult than for traditional asset classes due to diversity of SME loans, the long-term and comple</w:t>
      </w:r>
      <w:r>
        <w:rPr>
          <w:noProof/>
        </w:rPr>
        <w:t>x nature of infrastructure loans, and the lack of clear and standardised credit information on SMEs, and on the types and features of infrastructure loans.</w:t>
      </w:r>
    </w:p>
    <w:p w:rsidR="00083C3F" w:rsidRDefault="00E1215B">
      <w:pPr>
        <w:rPr>
          <w:noProof/>
        </w:rPr>
      </w:pPr>
      <w:r>
        <w:rPr>
          <w:noProof/>
        </w:rPr>
        <w:t>There has also been a tendency towards longer maturities</w:t>
      </w:r>
      <w:r>
        <w:rPr>
          <w:rStyle w:val="FootnoteReference"/>
          <w:noProof/>
        </w:rPr>
        <w:footnoteReference w:id="45"/>
      </w:r>
      <w:r>
        <w:rPr>
          <w:noProof/>
        </w:rPr>
        <w:t>, justified by the search for higher yields</w:t>
      </w:r>
      <w:r>
        <w:rPr>
          <w:noProof/>
        </w:rPr>
        <w:t>. Issuance of soft-bullet maturities, where redemption dates can be extended under certain circumstances, has seen growing popularity as it helps issuers to their over-collateralisation requirements. As extendable maturities give the pool manager more time</w:t>
      </w:r>
      <w:r>
        <w:rPr>
          <w:noProof/>
        </w:rPr>
        <w:t xml:space="preserve"> to sell assets after an issuer's insolvency, soft-bullet structures might assure a higher recovery value and greater ratings stability.</w:t>
      </w:r>
    </w:p>
    <w:p w:rsidR="00083C3F" w:rsidRDefault="00E1215B">
      <w:pPr>
        <w:rPr>
          <w:noProof/>
        </w:rPr>
      </w:pPr>
      <w:r>
        <w:rPr>
          <w:noProof/>
        </w:rPr>
        <w:t>In terms of the covered bond investor base, banks are still the largest covered bond investors (with 35% of investor ba</w:t>
      </w:r>
      <w:r>
        <w:rPr>
          <w:noProof/>
        </w:rPr>
        <w:t xml:space="preserve">se in 2015), amid favourable regulatory treatment in the EU: (i) in the Capital Requirement Regulation (CRR, art. 129) giving a preferential treatment to covered bonds; (ii) in the EU liquidity coverage ratio (LCR) framework, which allows the inclusion of </w:t>
      </w:r>
      <w:r>
        <w:rPr>
          <w:noProof/>
        </w:rPr>
        <w:t>covered bonds in the liquidity buffer and is a crucial driver for banks’ investments in covered bonds; and (iii) in the EU banking recovery and resolution framework, which exempts covered bonds from the scope of the bail-in instrument. Central banks have s</w:t>
      </w:r>
      <w:r>
        <w:rPr>
          <w:noProof/>
        </w:rPr>
        <w:t>ubstantially expanded their share. The ESCB, in the framework of its quantitative easing asset purchases has bought so far about EUR 200 billion. By contrast, asset managers, insurance and pension funds have shown a tendency to reduce their investments (th</w:t>
      </w:r>
      <w:r>
        <w:rPr>
          <w:noProof/>
        </w:rPr>
        <w:t>eir share decreased from 50% in 2009 to 32% in 2015). Favourable treatment under Solvency II, which grants low-spread risk factors to covered bond, might be expected to reverse this trend for investments by insurance undertakings.</w:t>
      </w:r>
    </w:p>
    <w:p w:rsidR="00083C3F" w:rsidRDefault="00E1215B">
      <w:pPr>
        <w:pStyle w:val="Caption"/>
      </w:pPr>
      <w:r>
        <w:t xml:space="preserve">Figure </w:t>
      </w:r>
      <w:r>
        <w:fldChar w:fldCharType="begin"/>
      </w:r>
      <w:r>
        <w:instrText xml:space="preserve"> STYLEREF 1 \s </w:instrText>
      </w:r>
      <w:r>
        <w:fldChar w:fldCharType="separate"/>
      </w:r>
      <w:r>
        <w:t>4</w:t>
      </w:r>
      <w:r>
        <w:fldChar w:fldCharType="end"/>
      </w:r>
      <w:r>
        <w:t>.</w:t>
      </w:r>
      <w:r>
        <w:fldChar w:fldCharType="begin"/>
      </w:r>
      <w:r>
        <w:instrText xml:space="preserve"> SEQ Figure \* ARABIC \s 1 </w:instrText>
      </w:r>
      <w:r>
        <w:fldChar w:fldCharType="separate"/>
      </w:r>
      <w:r>
        <w:t>7</w:t>
      </w:r>
      <w:r>
        <w:fldChar w:fldCharType="end"/>
      </w:r>
      <w:r>
        <w:t xml:space="preserve"> Allocation of euro area covered bond issuance by investor type (2009 and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5089"/>
      </w:tblGrid>
      <w:tr w:rsidR="00083C3F">
        <w:tc>
          <w:tcPr>
            <w:tcW w:w="4644" w:type="dxa"/>
          </w:tcPr>
          <w:p w:rsidR="00083C3F" w:rsidRDefault="00E1215B">
            <w:pPr>
              <w:pStyle w:val="Figure"/>
              <w:rPr>
                <w:i/>
                <w:noProof/>
              </w:rPr>
            </w:pPr>
            <w:r>
              <w:rPr>
                <w:i/>
                <w:noProof/>
              </w:rPr>
              <w:t>2009</w:t>
            </w:r>
          </w:p>
        </w:tc>
        <w:tc>
          <w:tcPr>
            <w:tcW w:w="4644" w:type="dxa"/>
          </w:tcPr>
          <w:p w:rsidR="00083C3F" w:rsidRDefault="00E1215B">
            <w:pPr>
              <w:pStyle w:val="Figure"/>
              <w:rPr>
                <w:i/>
                <w:noProof/>
              </w:rPr>
            </w:pPr>
            <w:r>
              <w:rPr>
                <w:i/>
                <w:noProof/>
              </w:rPr>
              <w:t>2015</w:t>
            </w:r>
          </w:p>
        </w:tc>
      </w:tr>
      <w:tr w:rsidR="00083C3F">
        <w:tc>
          <w:tcPr>
            <w:tcW w:w="4644" w:type="dxa"/>
          </w:tcPr>
          <w:p w:rsidR="00083C3F" w:rsidRDefault="00E1215B">
            <w:pPr>
              <w:pStyle w:val="Figure"/>
              <w:rPr>
                <w:noProof/>
              </w:rPr>
            </w:pPr>
            <w:r>
              <w:rPr>
                <w:noProof/>
                <w:sz w:val="20"/>
                <w:lang w:eastAsia="en-GB"/>
              </w:rPr>
              <w:drawing>
                <wp:inline distT="0" distB="0" distL="0" distR="0" wp14:anchorId="5568B07F" wp14:editId="2C47D247">
                  <wp:extent cx="1987061" cy="2028092"/>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644" w:type="dxa"/>
          </w:tcPr>
          <w:p w:rsidR="00083C3F" w:rsidRDefault="00E1215B">
            <w:pPr>
              <w:pStyle w:val="Figure"/>
              <w:rPr>
                <w:noProof/>
              </w:rPr>
            </w:pPr>
            <w:r>
              <w:rPr>
                <w:noProof/>
                <w:lang w:eastAsia="en-GB"/>
              </w:rPr>
              <w:drawing>
                <wp:inline distT="0" distB="0" distL="0" distR="0" wp14:anchorId="5A5AB4F9" wp14:editId="64DDA3B9">
                  <wp:extent cx="3094893" cy="1981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083C3F" w:rsidRDefault="00083C3F">
      <w:pPr>
        <w:pStyle w:val="Figure"/>
        <w:rPr>
          <w:noProof/>
        </w:rPr>
      </w:pPr>
    </w:p>
    <w:p w:rsidR="00083C3F" w:rsidRDefault="00E1215B">
      <w:pPr>
        <w:pStyle w:val="Source"/>
        <w:rPr>
          <w:noProof/>
        </w:rPr>
      </w:pPr>
      <w:r>
        <w:rPr>
          <w:noProof/>
        </w:rPr>
        <w:t>Source: EBA, BAML.</w:t>
      </w:r>
    </w:p>
    <w:p w:rsidR="00083C3F" w:rsidRDefault="00E1215B">
      <w:pPr>
        <w:pStyle w:val="Heading3"/>
        <w:rPr>
          <w:noProof/>
        </w:rPr>
      </w:pPr>
      <w:bookmarkStart w:id="153" w:name="_Toc481140391"/>
      <w:bookmarkStart w:id="154" w:name="_Toc482710963"/>
      <w:bookmarkStart w:id="155" w:name="_Toc482715285"/>
      <w:r>
        <w:rPr>
          <w:noProof/>
        </w:rPr>
        <w:t>Market barriers and challenges</w:t>
      </w:r>
      <w:bookmarkEnd w:id="153"/>
      <w:bookmarkEnd w:id="154"/>
      <w:bookmarkEnd w:id="155"/>
    </w:p>
    <w:p w:rsidR="00083C3F" w:rsidRDefault="00E1215B">
      <w:pPr>
        <w:rPr>
          <w:noProof/>
        </w:rPr>
      </w:pPr>
      <w:r>
        <w:rPr>
          <w:noProof/>
        </w:rPr>
        <w:t>The EU covered bond markets remain fragmented along jurisdictional lines and</w:t>
      </w:r>
      <w:r>
        <w:rPr>
          <w:noProof/>
        </w:rPr>
        <w:t xml:space="preserve"> between stronger and weaker Member States, reflected in covered bond pricing particularly in stressed economic conditions. In the period up to the financial crisis of 2008, yields and spreads contracted between the various European covered bond markets in</w:t>
      </w:r>
      <w:r>
        <w:rPr>
          <w:noProof/>
        </w:rPr>
        <w:t>dicating that investors viewed those as fundamentally homogeneous assets. The financial crisis changed this pattern abruptly, with yield dispersion between the financial instruments of various Member States rising strongly.</w:t>
      </w:r>
    </w:p>
    <w:p w:rsidR="00083C3F" w:rsidRDefault="00E1215B">
      <w:pPr>
        <w:rPr>
          <w:noProof/>
        </w:rPr>
      </w:pPr>
      <w:r>
        <w:rPr>
          <w:noProof/>
        </w:rPr>
        <w:t>Furthermore, the covered bond in</w:t>
      </w:r>
      <w:r>
        <w:rPr>
          <w:noProof/>
        </w:rPr>
        <w:t xml:space="preserve">vestor base remains relatively home-biased and concentrated in a few large Member States, partly due to insufficient homogeneity in legal, regulatory and supervisory frameworks amongst Member States, forcing investors to incur in higher costs to undertake </w:t>
      </w:r>
      <w:r>
        <w:rPr>
          <w:noProof/>
        </w:rPr>
        <w:t xml:space="preserve">separate analysis for the covered bonds of each MS. </w:t>
      </w:r>
    </w:p>
    <w:p w:rsidR="00083C3F" w:rsidRDefault="00E1215B">
      <w:pPr>
        <w:rPr>
          <w:noProof/>
        </w:rPr>
      </w:pPr>
      <w:r>
        <w:rPr>
          <w:noProof/>
        </w:rPr>
        <w:t>The lack of a truly integrated EU covered bond model also hampers investment from third countries, as investors there do not have a comprehensive basis for comparison with the covered bond framework of t</w:t>
      </w:r>
      <w:r>
        <w:rPr>
          <w:noProof/>
        </w:rPr>
        <w:t xml:space="preserve">heir home jurisdiction. </w:t>
      </w:r>
    </w:p>
    <w:p w:rsidR="00083C3F" w:rsidRDefault="00E1215B">
      <w:pPr>
        <w:pStyle w:val="Box"/>
        <w:rPr>
          <w:noProof/>
        </w:rPr>
      </w:pPr>
      <w:bookmarkStart w:id="156" w:name="_Ref482700343"/>
      <w:r>
        <w:rPr>
          <w:noProof/>
        </w:rPr>
        <w:t>Commerzbank SME structured covered bond programme</w:t>
      </w:r>
      <w:bookmarkEnd w:id="156"/>
    </w:p>
    <w:p w:rsidR="00083C3F" w:rsidRDefault="00E1215B">
      <w:pPr>
        <w:shd w:val="clear" w:color="auto" w:fill="8DB3E2" w:themeFill="text2" w:themeFillTint="66"/>
        <w:rPr>
          <w:noProof/>
        </w:rPr>
      </w:pPr>
      <w:r>
        <w:rPr>
          <w:noProof/>
        </w:rPr>
        <w:t>The structured covered bond programme of Commerzbank is backed by SME loan collateral which is not based on a specific legal framework for covered bonds. In Germany, unsecured SME l</w:t>
      </w:r>
      <w:r>
        <w:rPr>
          <w:noProof/>
        </w:rPr>
        <w:t>oans are not eligible as collateral for Pfandbriefe, the German covered bond product. Hence, the Commerzbank covered bonds are contractually based and issued directly by the bank; they are also ECB-eligible. Currently, the amount outstanding is EUR 500 mil</w:t>
      </w:r>
      <w:r>
        <w:rPr>
          <w:noProof/>
        </w:rPr>
        <w:t xml:space="preserve">lion. The collateral pool consists of 1,680 loans of which 1,344 were granted to German SME borrowers. </w:t>
      </w:r>
    </w:p>
    <w:p w:rsidR="00083C3F" w:rsidRDefault="00E1215B">
      <w:pPr>
        <w:shd w:val="clear" w:color="auto" w:fill="8DB3E2" w:themeFill="text2" w:themeFillTint="66"/>
        <w:rPr>
          <w:noProof/>
        </w:rPr>
      </w:pPr>
      <w:r>
        <w:rPr>
          <w:noProof/>
        </w:rPr>
        <w:t xml:space="preserve">The bonds benefit from an unconditional and irrevocable guarantee by SME Commerz, an SPV holding SME loans. The cash flows from a pool of SME loans are </w:t>
      </w:r>
      <w:r>
        <w:rPr>
          <w:noProof/>
        </w:rPr>
        <w:t>transferred to the SPV to back the guarantee given to covered bond investors. The SPV is consolidated on the balance sheet of Commerzbank and buys SME loans from covered bonds funded by a subordinated loan. In case Commerzbank issues new bonds, the SPV wil</w:t>
      </w:r>
      <w:r>
        <w:rPr>
          <w:noProof/>
        </w:rPr>
        <w:t xml:space="preserve">l buy further loans to fulfil over-collateralisation requirements stipulated by the covered bond documentation. The SME loans in the SPV are registered in a refinancing register. Once registered there, they are deemed insolvency remote. </w:t>
      </w:r>
    </w:p>
    <w:p w:rsidR="00083C3F" w:rsidRDefault="00E1215B">
      <w:pPr>
        <w:shd w:val="clear" w:color="auto" w:fill="8DB3E2" w:themeFill="text2" w:themeFillTint="66"/>
        <w:rPr>
          <w:noProof/>
        </w:rPr>
      </w:pPr>
      <w:r>
        <w:rPr>
          <w:noProof/>
        </w:rPr>
        <w:t>As long as Commerz</w:t>
      </w:r>
      <w:r>
        <w:rPr>
          <w:noProof/>
        </w:rPr>
        <w:t xml:space="preserve">bank pays all its dues on the SME covered bonds and fulfils its over-collateralisation requirements, cash flows generated by the SME loans are released to Commerzbank. In case the bank stops paying, the guarantee provided by the SPV gets triggered and the </w:t>
      </w:r>
      <w:r>
        <w:rPr>
          <w:noProof/>
        </w:rPr>
        <w:t xml:space="preserve">cash flows generated by the SME loans in the cover pool are used to pay the interest and principal of the bonds. </w:t>
      </w:r>
    </w:p>
    <w:p w:rsidR="00083C3F" w:rsidRDefault="00E1215B">
      <w:pPr>
        <w:pStyle w:val="Heading2"/>
        <w:rPr>
          <w:noProof/>
        </w:rPr>
      </w:pPr>
      <w:bookmarkStart w:id="157" w:name="_Toc481140392"/>
      <w:bookmarkStart w:id="158" w:name="_Toc482710964"/>
      <w:bookmarkStart w:id="159" w:name="_Toc482715286"/>
      <w:r>
        <w:rPr>
          <w:noProof/>
        </w:rPr>
        <w:t xml:space="preserve">European Secured Notes </w:t>
      </w:r>
      <w:bookmarkEnd w:id="157"/>
      <w:bookmarkEnd w:id="158"/>
      <w:bookmarkEnd w:id="159"/>
    </w:p>
    <w:p w:rsidR="00083C3F" w:rsidRDefault="00E1215B">
      <w:pPr>
        <w:rPr>
          <w:noProof/>
        </w:rPr>
      </w:pPr>
      <w:r>
        <w:rPr>
          <w:noProof/>
        </w:rPr>
        <w:t>The creation of European Secured Notes (ESN) has been proposed by the covered bond industry as an alternative to cover</w:t>
      </w:r>
      <w:r>
        <w:rPr>
          <w:noProof/>
        </w:rPr>
        <w:t xml:space="preserve">ed bonds. Like covered bonds, ESNs are dual recourse financial instruments, but their cover pool would focus exclusively on SME loans and infrastructure loans, including for local infrastructure (like schools, hospitals, etc) and sustainable investment.  </w:t>
      </w:r>
    </w:p>
    <w:p w:rsidR="00083C3F" w:rsidRDefault="00E1215B">
      <w:pPr>
        <w:rPr>
          <w:noProof/>
        </w:rPr>
      </w:pPr>
      <w:r>
        <w:rPr>
          <w:noProof/>
        </w:rPr>
        <w:t>A dual recourse ESN could be set-up as a direct on-balance instrument or as a structured product. The direct ESN would be similar in structure to a classic covered bond. The ESNs would be issued by a bank without transferring the assets to an external enti</w:t>
      </w:r>
      <w:r>
        <w:rPr>
          <w:noProof/>
        </w:rPr>
        <w:t>ty. The ESN would remain on the issuer's balance sheet together with the underlying pool of assets. The issuer would ensure that the value of the cover pool dynamically backs the financial obligations it generates. The investor has recourse to both the cov</w:t>
      </w:r>
      <w:r>
        <w:rPr>
          <w:noProof/>
        </w:rPr>
        <w:t xml:space="preserve">er pool and the issuer in the event of default (''dual recourse''). The direct ESN is similar to covered bonds issued in Germany, Spain, Denmark, Cyprus and Belgium. Its main advantages are its simplicity (no need to transfer assets to a different entity) </w:t>
      </w:r>
      <w:r>
        <w:rPr>
          <w:noProof/>
        </w:rPr>
        <w:t>and dual recourse. It could however require changes to legislation in some jurisdictions (e.g., bankruptcy and security law, segregation of assets requirements).</w:t>
      </w:r>
    </w:p>
    <w:p w:rsidR="00083C3F" w:rsidRDefault="00E1215B">
      <w:pPr>
        <w:rPr>
          <w:noProof/>
        </w:rPr>
      </w:pPr>
      <w:r>
        <w:rPr>
          <w:noProof/>
        </w:rPr>
        <w:t>A structured ESN would also be issued by the bank, but assets would be transferred to a separa</w:t>
      </w:r>
      <w:r>
        <w:rPr>
          <w:noProof/>
        </w:rPr>
        <w:t>te legal entity, an SPV, that guarantees the ESNs issued. The guarantee provided by the SPV implies a dual recourse, because in the event of default, the investor has access to the cover pool and to the issuer. A structured ESN requires that the legal fram</w:t>
      </w:r>
      <w:r>
        <w:rPr>
          <w:noProof/>
        </w:rPr>
        <w:t>ework allows the transfer of assets to an SPV. The structured ESN is similar to covered bond structures in Italy, the Netherlands, the United Kingdom, Canada, New Zealand and Australia. Based on it, Italy was the first EU Member State to introduce an ESN l</w:t>
      </w:r>
      <w:r>
        <w:rPr>
          <w:noProof/>
        </w:rPr>
        <w:t>egal framework (see Box 6) and Commerzbank made a SME structured covered bond programme (see Box 5).</w:t>
      </w:r>
    </w:p>
    <w:p w:rsidR="00083C3F" w:rsidRDefault="00E1215B">
      <w:pPr>
        <w:rPr>
          <w:noProof/>
        </w:rPr>
      </w:pPr>
      <w:r>
        <w:rPr>
          <w:noProof/>
        </w:rPr>
        <w:t>One advantage of ESN is that it could help overcome moral hazard problems linked to the lack of credit data on SME loans in capital markets which is one im</w:t>
      </w:r>
      <w:r>
        <w:rPr>
          <w:noProof/>
        </w:rPr>
        <w:t xml:space="preserve">portant reason why securitisation of SME loans is not picking up. The lack of data gives rise to a substantial cost for the investor. When issuing ESNs, rather than securitising the asset, banks remain liable for their SME loans, thereby signalling to the </w:t>
      </w:r>
      <w:r>
        <w:rPr>
          <w:noProof/>
        </w:rPr>
        <w:t>investor that they have screened the loans in terms of credit quality. Small banks in particular rely on relationship banking and they would benefit from such a new instrument.</w:t>
      </w:r>
    </w:p>
    <w:p w:rsidR="00083C3F" w:rsidRDefault="00E1215B">
      <w:pPr>
        <w:pStyle w:val="Box"/>
        <w:rPr>
          <w:noProof/>
        </w:rPr>
      </w:pPr>
      <w:bookmarkStart w:id="160" w:name="_Ref482700323"/>
      <w:r>
        <w:rPr>
          <w:noProof/>
        </w:rPr>
        <w:t>The Italian ESN legal framework</w:t>
      </w:r>
      <w:bookmarkEnd w:id="160"/>
      <w:r>
        <w:rPr>
          <w:noProof/>
        </w:rPr>
        <w:t xml:space="preserve"> </w:t>
      </w:r>
    </w:p>
    <w:p w:rsidR="00083C3F" w:rsidRDefault="00E1215B">
      <w:pPr>
        <w:shd w:val="clear" w:color="auto" w:fill="8DB3E2" w:themeFill="text2" w:themeFillTint="66"/>
        <w:rPr>
          <w:noProof/>
        </w:rPr>
      </w:pPr>
      <w:r>
        <w:rPr>
          <w:noProof/>
        </w:rPr>
        <w:t>Italy was the first Member State to adopt a re</w:t>
      </w:r>
      <w:r>
        <w:rPr>
          <w:noProof/>
        </w:rPr>
        <w:t>gulation on an ESN-like instrument in April 2016. The primary legislation allows the issue of bonds by banks (called Obbligazioni Bancarie Collateralizzate – OBC) collateralised by SME loans, leasing, factoring, ship loans and other types of commercial ass</w:t>
      </w:r>
      <w:r>
        <w:rPr>
          <w:noProof/>
        </w:rPr>
        <w:t>ets. OBCs is a dual recourse instruments. The structure is similar to the existing covered bonds (Obbligazioni Bancarie Garantite – OBG) though the law clearly differentiates between the two products as the new instrument is expected to be different in ter</w:t>
      </w:r>
      <w:r>
        <w:rPr>
          <w:noProof/>
        </w:rPr>
        <w:t>ms of underlying asset class and regulatory features. Secondary legislation will specify some features of the new instrument such as the exact definition of eligible assets and identification of licensable issuers.</w:t>
      </w:r>
    </w:p>
    <w:p w:rsidR="00083C3F" w:rsidRDefault="00E1215B">
      <w:pPr>
        <w:shd w:val="clear" w:color="auto" w:fill="8DB3E2" w:themeFill="text2" w:themeFillTint="66"/>
        <w:rPr>
          <w:noProof/>
        </w:rPr>
      </w:pPr>
      <w:r>
        <w:rPr>
          <w:noProof/>
        </w:rPr>
        <w:t>OBCs will be under public supervision. Th</w:t>
      </w:r>
      <w:r>
        <w:rPr>
          <w:noProof/>
        </w:rPr>
        <w:t>is is a key element as public supervision is a pre-requisite for the ESN to be UCITS-compliant and therefore exempt from bail-in, and eligible for a number of prudential and regulatory requirements. Other characteristic features will be the bankruptcy remo</w:t>
      </w:r>
      <w:r>
        <w:rPr>
          <w:noProof/>
        </w:rPr>
        <w:t>teness of the segregated assets, which will be assigned to an SPV (the so-called true sale mechanism). Two major rating agencies have already expressed their support to this instrument. There has been no issuance of OBCs so far as the secondary legislation</w:t>
      </w:r>
      <w:r>
        <w:rPr>
          <w:noProof/>
        </w:rPr>
        <w:t xml:space="preserve"> is not yet in place.</w:t>
      </w:r>
    </w:p>
    <w:p w:rsidR="00083C3F" w:rsidRDefault="00E1215B">
      <w:pPr>
        <w:pStyle w:val="Heading2"/>
        <w:rPr>
          <w:noProof/>
        </w:rPr>
      </w:pPr>
      <w:bookmarkStart w:id="161" w:name="_Toc481140393"/>
      <w:bookmarkStart w:id="162" w:name="_Toc482710965"/>
      <w:bookmarkStart w:id="163" w:name="_Toc482715287"/>
      <w:r>
        <w:rPr>
          <w:noProof/>
        </w:rPr>
        <w:t>Improving the functioning of a secondary market for NPLs</w:t>
      </w:r>
      <w:bookmarkEnd w:id="161"/>
      <w:bookmarkEnd w:id="162"/>
      <w:bookmarkEnd w:id="163"/>
    </w:p>
    <w:p w:rsidR="00083C3F" w:rsidRDefault="00E1215B">
      <w:pPr>
        <w:rPr>
          <w:noProof/>
        </w:rPr>
      </w:pPr>
      <w:r>
        <w:rPr>
          <w:noProof/>
        </w:rPr>
        <w:t>The large stock of non-performing loans (NPLs) on EU banks' balance sheets continues to weigh on the EU financial sector</w:t>
      </w:r>
      <w:r>
        <w:rPr>
          <w:rStyle w:val="FootnoteReference"/>
          <w:rFonts w:cs="Times New Roman"/>
          <w:noProof/>
          <w:sz w:val="24"/>
          <w:szCs w:val="24"/>
        </w:rPr>
        <w:footnoteReference w:id="46"/>
      </w:r>
      <w:r>
        <w:rPr>
          <w:noProof/>
        </w:rPr>
        <w:t xml:space="preserve">. Moreover, it hampers the proper functioning of the </w:t>
      </w:r>
      <w:r>
        <w:rPr>
          <w:noProof/>
        </w:rPr>
        <w:t>intermediation role banks play within the economy. Resolution of banks' NPLs is therefore key, as it will release considerable capacity for new bank lending, notably to SMEs, and spur economic growth</w:t>
      </w:r>
      <w:r>
        <w:rPr>
          <w:rStyle w:val="FootnoteReference"/>
          <w:rFonts w:cs="Times New Roman"/>
          <w:noProof/>
          <w:sz w:val="24"/>
          <w:szCs w:val="24"/>
        </w:rPr>
        <w:footnoteReference w:id="47"/>
      </w:r>
      <w:r>
        <w:rPr>
          <w:noProof/>
        </w:rPr>
        <w:t xml:space="preserve">. </w:t>
      </w:r>
    </w:p>
    <w:p w:rsidR="00083C3F" w:rsidRDefault="00E1215B">
      <w:pPr>
        <w:rPr>
          <w:rFonts w:cs="Times New Roman"/>
          <w:b/>
          <w:noProof/>
          <w:sz w:val="24"/>
          <w:szCs w:val="24"/>
        </w:rPr>
      </w:pPr>
      <w:r>
        <w:rPr>
          <w:noProof/>
        </w:rPr>
        <w:t>Addressing the high volumes of NPLs has gained moment</w:t>
      </w:r>
      <w:r>
        <w:rPr>
          <w:noProof/>
        </w:rPr>
        <w:t>um in the last couple of years in the banking sector of most Member States and has increasingly become the focus of attention by supervisors. A whole range of options are available, going from internal workout by the bank originally holding the impaired as</w:t>
      </w:r>
      <w:r>
        <w:rPr>
          <w:noProof/>
        </w:rPr>
        <w:t>set, over asset protection schemes, securitisation, transfer to an Asset Management Company, to an outright sale to investors. Meanwhile, it has become clear that a comprehensive approach is needed in order to reduce the duration and the cost of NPL resolu</w:t>
      </w:r>
      <w:r>
        <w:rPr>
          <w:noProof/>
        </w:rPr>
        <w:t xml:space="preserve">tion problem. Such a comprehensive approach may </w:t>
      </w:r>
      <w:r>
        <w:rPr>
          <w:i/>
          <w:noProof/>
        </w:rPr>
        <w:t>inter alia</w:t>
      </w:r>
      <w:r>
        <w:rPr>
          <w:noProof/>
        </w:rPr>
        <w:t xml:space="preserve"> include: (1) the need for supervisors (SSM, EBA, national regulators) to incentivise banks to restructure, write-off or provision bad loans; (2) the need for enhanced debt legal framework; and (3) </w:t>
      </w:r>
      <w:r>
        <w:rPr>
          <w:noProof/>
        </w:rPr>
        <w:t xml:space="preserve">a better functioning secondary market for impaired assets. This chapter focuses on this last aspect. </w:t>
      </w:r>
    </w:p>
    <w:p w:rsidR="00083C3F" w:rsidRDefault="00E1215B">
      <w:pPr>
        <w:pStyle w:val="Heading3"/>
        <w:rPr>
          <w:noProof/>
        </w:rPr>
      </w:pPr>
      <w:bookmarkStart w:id="164" w:name="_Toc481140394"/>
      <w:bookmarkStart w:id="165" w:name="_Toc482710966"/>
      <w:bookmarkStart w:id="166" w:name="_Toc482715288"/>
      <w:r>
        <w:rPr>
          <w:noProof/>
        </w:rPr>
        <w:t>The stock of non-performing loans</w:t>
      </w:r>
      <w:bookmarkEnd w:id="164"/>
      <w:bookmarkEnd w:id="165"/>
      <w:bookmarkEnd w:id="166"/>
    </w:p>
    <w:p w:rsidR="00083C3F" w:rsidRDefault="00E1215B">
      <w:pPr>
        <w:rPr>
          <w:noProof/>
        </w:rPr>
      </w:pPr>
      <w:r>
        <w:rPr>
          <w:noProof/>
        </w:rPr>
        <w:t>At the end of the third quarter of 2016, the 130 largest EU banks held a stock of about EUR 1.1 trillion of gross NPLs</w:t>
      </w:r>
      <w:r>
        <w:rPr>
          <w:rStyle w:val="FootnoteReference"/>
          <w:rFonts w:cs="Times New Roman"/>
          <w:noProof/>
        </w:rPr>
        <w:t xml:space="preserve"> </w:t>
      </w:r>
      <w:r>
        <w:rPr>
          <w:rFonts w:cs="Times New Roman"/>
          <w:noProof/>
        </w:rPr>
        <w:t>(EUR 0.6 trillion in net terms).</w:t>
      </w:r>
      <w:r>
        <w:rPr>
          <w:rStyle w:val="FootnoteReference"/>
          <w:rFonts w:cs="Times New Roman"/>
          <w:noProof/>
        </w:rPr>
        <w:footnoteReference w:id="48"/>
      </w:r>
      <w:r>
        <w:rPr>
          <w:noProof/>
        </w:rPr>
        <w:t xml:space="preserve"> Compared to the total gross loan book, the gross weighted average NPL ratio stood at 5.4% (7.4% of EU GDP), coming down from a peak of 8% in 2013. The current NPL levels are still much higher than in other major developed </w:t>
      </w:r>
      <w:r>
        <w:rPr>
          <w:noProof/>
        </w:rPr>
        <w:t>countries, e.g. US (1.7%) and Japan (1.6%). Whereas the US has been fairly quick in resolving NPLs stemming from the financial crisis (through swift provisioning and writing-offs by banks, as well as by state supported solutions), the EU banks continued pi</w:t>
      </w:r>
      <w:r>
        <w:rPr>
          <w:noProof/>
        </w:rPr>
        <w:t xml:space="preserve">ling up bad debts until 2013 and have been protracted in provisioning and writing off NPLs. The decline over the last years is also partly on account of the economic recovery getting traction and unemployment levels falling back. </w:t>
      </w:r>
    </w:p>
    <w:p w:rsidR="00083C3F" w:rsidRDefault="00E1215B">
      <w:pPr>
        <w:rPr>
          <w:noProof/>
        </w:rPr>
      </w:pPr>
      <w:r>
        <w:rPr>
          <w:noProof/>
        </w:rPr>
        <w:t>The NPL ratios are very u</w:t>
      </w:r>
      <w:r>
        <w:rPr>
          <w:noProof/>
        </w:rPr>
        <w:t xml:space="preserve">nevenly distributed across Member States and type of assets/counterparties, as shown in </w:t>
      </w:r>
      <w:r>
        <w:rPr>
          <w:noProof/>
        </w:rPr>
        <w:fldChar w:fldCharType="begin"/>
      </w:r>
      <w:r>
        <w:rPr>
          <w:noProof/>
        </w:rPr>
        <w:instrText xml:space="preserve"> REF _Ref481072802 \h </w:instrText>
      </w:r>
      <w:r>
        <w:rPr>
          <w:noProof/>
        </w:rPr>
      </w:r>
      <w:r>
        <w:rPr>
          <w:noProof/>
        </w:rPr>
        <w:fldChar w:fldCharType="separate"/>
      </w:r>
      <w:r>
        <w:rPr>
          <w:noProof/>
        </w:rPr>
        <w:t>Table 4.1</w:t>
      </w:r>
      <w:r>
        <w:rPr>
          <w:noProof/>
        </w:rPr>
        <w:fldChar w:fldCharType="end"/>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8"/>
      </w:tblGrid>
      <w:tr w:rsidR="00083C3F">
        <w:tc>
          <w:tcPr>
            <w:tcW w:w="9288" w:type="dxa"/>
          </w:tcPr>
          <w:p w:rsidR="00083C3F" w:rsidRDefault="00E1215B">
            <w:pPr>
              <w:pStyle w:val="Caption"/>
            </w:pPr>
            <w:bookmarkStart w:id="167" w:name="_Ref481072802"/>
            <w:bookmarkStart w:id="168" w:name="_Ref481072796"/>
            <w:r>
              <w:t xml:space="preserve">Table </w:t>
            </w:r>
            <w:r>
              <w:fldChar w:fldCharType="begin"/>
            </w:r>
            <w:r>
              <w:instrText xml:space="preserve"> STYLEREF 1 \s </w:instrText>
            </w:r>
            <w:r>
              <w:fldChar w:fldCharType="separate"/>
            </w:r>
            <w:r>
              <w:t>4</w:t>
            </w:r>
            <w:r>
              <w:fldChar w:fldCharType="end"/>
            </w:r>
            <w:r>
              <w:t>.</w:t>
            </w:r>
            <w:r>
              <w:fldChar w:fldCharType="begin"/>
            </w:r>
            <w:r>
              <w:instrText xml:space="preserve"> SEQ Table \* ARABIC \s 1 </w:instrText>
            </w:r>
            <w:r>
              <w:fldChar w:fldCharType="separate"/>
            </w:r>
            <w:r>
              <w:t>1</w:t>
            </w:r>
            <w:r>
              <w:fldChar w:fldCharType="end"/>
            </w:r>
            <w:bookmarkEnd w:id="167"/>
            <w:r>
              <w:t xml:space="preserve"> NPLs across</w:t>
            </w:r>
            <w:r>
              <w:t xml:space="preserve"> the EU</w:t>
            </w:r>
            <w:bookmarkEnd w:id="168"/>
            <w:r>
              <w:t>, mid 2016</w:t>
            </w:r>
          </w:p>
          <w:tbl>
            <w:tblPr>
              <w:tblW w:w="8011" w:type="dxa"/>
              <w:tblInd w:w="421" w:type="dxa"/>
              <w:tblLayout w:type="fixed"/>
              <w:tblLook w:val="04A0" w:firstRow="1" w:lastRow="0" w:firstColumn="1" w:lastColumn="0" w:noHBand="0" w:noVBand="1"/>
            </w:tblPr>
            <w:tblGrid>
              <w:gridCol w:w="1464"/>
              <w:gridCol w:w="1465"/>
              <w:gridCol w:w="1465"/>
              <w:gridCol w:w="1205"/>
              <w:gridCol w:w="1206"/>
              <w:gridCol w:w="1206"/>
            </w:tblGrid>
            <w:tr w:rsidR="00083C3F">
              <w:trPr>
                <w:trHeight w:val="288"/>
              </w:trPr>
              <w:tc>
                <w:tcPr>
                  <w:tcW w:w="1464"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Member State</w:t>
                  </w:r>
                </w:p>
              </w:tc>
              <w:tc>
                <w:tcPr>
                  <w:tcW w:w="1465" w:type="dxa"/>
                  <w:vMerge w:val="restart"/>
                  <w:tcBorders>
                    <w:top w:val="single" w:sz="4" w:space="0" w:color="auto"/>
                    <w:left w:val="nil"/>
                    <w:bottom w:val="single" w:sz="4" w:space="0" w:color="000000"/>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NPLs, EUR billion</w:t>
                  </w:r>
                </w:p>
              </w:tc>
              <w:tc>
                <w:tcPr>
                  <w:tcW w:w="1465" w:type="dxa"/>
                  <w:vMerge w:val="restart"/>
                  <w:tcBorders>
                    <w:top w:val="single" w:sz="4" w:space="0" w:color="auto"/>
                    <w:left w:val="nil"/>
                    <w:bottom w:val="single" w:sz="4" w:space="0" w:color="000000"/>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NPLs, % of gross loans</w:t>
                  </w:r>
                </w:p>
              </w:tc>
              <w:tc>
                <w:tcPr>
                  <w:tcW w:w="3617" w:type="dxa"/>
                  <w:gridSpan w:val="3"/>
                  <w:tcBorders>
                    <w:top w:val="single" w:sz="4" w:space="0" w:color="auto"/>
                    <w:left w:val="nil"/>
                    <w:bottom w:val="nil"/>
                    <w:right w:val="single" w:sz="4" w:space="0" w:color="000000"/>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NPL ratio by counterparty (%)</w:t>
                  </w:r>
                </w:p>
              </w:tc>
            </w:tr>
            <w:tr w:rsidR="00083C3F">
              <w:trPr>
                <w:trHeight w:val="288"/>
              </w:trPr>
              <w:tc>
                <w:tcPr>
                  <w:tcW w:w="1464" w:type="dxa"/>
                  <w:vMerge/>
                  <w:tcBorders>
                    <w:top w:val="single" w:sz="4" w:space="0" w:color="auto"/>
                    <w:left w:val="single" w:sz="4" w:space="0" w:color="auto"/>
                    <w:bottom w:val="single" w:sz="4" w:space="0" w:color="000000"/>
                    <w:right w:val="nil"/>
                  </w:tcBorders>
                  <w:vAlign w:val="center"/>
                  <w:hideMark/>
                </w:tcPr>
                <w:p w:rsidR="00083C3F" w:rsidRDefault="00083C3F">
                  <w:pPr>
                    <w:spacing w:after="0"/>
                    <w:contextualSpacing/>
                    <w:jc w:val="left"/>
                    <w:rPr>
                      <w:rFonts w:eastAsia="Times New Roman" w:cs="Times New Roman"/>
                      <w:noProof/>
                      <w:color w:val="000000"/>
                      <w:sz w:val="18"/>
                      <w:szCs w:val="18"/>
                      <w:lang w:eastAsia="en-GB"/>
                    </w:rPr>
                  </w:pPr>
                </w:p>
              </w:tc>
              <w:tc>
                <w:tcPr>
                  <w:tcW w:w="1465" w:type="dxa"/>
                  <w:vMerge/>
                  <w:tcBorders>
                    <w:top w:val="single" w:sz="4" w:space="0" w:color="auto"/>
                    <w:left w:val="nil"/>
                    <w:bottom w:val="single" w:sz="4" w:space="0" w:color="000000"/>
                    <w:right w:val="nil"/>
                  </w:tcBorders>
                  <w:vAlign w:val="center"/>
                  <w:hideMark/>
                </w:tcPr>
                <w:p w:rsidR="00083C3F" w:rsidRDefault="00083C3F">
                  <w:pPr>
                    <w:spacing w:after="0"/>
                    <w:contextualSpacing/>
                    <w:jc w:val="left"/>
                    <w:rPr>
                      <w:rFonts w:eastAsia="Times New Roman" w:cs="Times New Roman"/>
                      <w:noProof/>
                      <w:color w:val="000000"/>
                      <w:sz w:val="18"/>
                      <w:szCs w:val="18"/>
                      <w:lang w:eastAsia="en-GB"/>
                    </w:rPr>
                  </w:pPr>
                </w:p>
              </w:tc>
              <w:tc>
                <w:tcPr>
                  <w:tcW w:w="1465" w:type="dxa"/>
                  <w:vMerge/>
                  <w:tcBorders>
                    <w:top w:val="single" w:sz="4" w:space="0" w:color="auto"/>
                    <w:left w:val="nil"/>
                    <w:bottom w:val="single" w:sz="4" w:space="0" w:color="000000"/>
                    <w:right w:val="single" w:sz="4" w:space="0" w:color="auto"/>
                  </w:tcBorders>
                  <w:vAlign w:val="center"/>
                  <w:hideMark/>
                </w:tcPr>
                <w:p w:rsidR="00083C3F" w:rsidRDefault="00083C3F">
                  <w:pPr>
                    <w:spacing w:after="0"/>
                    <w:contextualSpacing/>
                    <w:jc w:val="left"/>
                    <w:rPr>
                      <w:rFonts w:eastAsia="Times New Roman" w:cs="Times New Roman"/>
                      <w:noProof/>
                      <w:color w:val="000000"/>
                      <w:sz w:val="18"/>
                      <w:szCs w:val="18"/>
                      <w:lang w:eastAsia="en-GB"/>
                    </w:rPr>
                  </w:pPr>
                </w:p>
              </w:tc>
              <w:tc>
                <w:tcPr>
                  <w:tcW w:w="1205" w:type="dxa"/>
                  <w:tcBorders>
                    <w:top w:val="nil"/>
                    <w:left w:val="nil"/>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SME</w:t>
                  </w:r>
                </w:p>
              </w:tc>
              <w:tc>
                <w:tcPr>
                  <w:tcW w:w="1206" w:type="dxa"/>
                  <w:tcBorders>
                    <w:top w:val="nil"/>
                    <w:left w:val="nil"/>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 xml:space="preserve">Large Corp. </w:t>
                  </w:r>
                </w:p>
              </w:tc>
              <w:tc>
                <w:tcPr>
                  <w:tcW w:w="1206" w:type="dxa"/>
                  <w:tcBorders>
                    <w:top w:val="nil"/>
                    <w:left w:val="nil"/>
                    <w:bottom w:val="single" w:sz="4" w:space="0" w:color="auto"/>
                    <w:right w:val="single" w:sz="4" w:space="0" w:color="auto"/>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Households</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IT</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276.0</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16.4</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30.4</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20.6</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12.9</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FR</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148.4</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3.9</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9.1</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5.0</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4.2</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ES</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141.2</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6.0</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17.4</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7.8</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4.5</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EL</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115.1</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46.9</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66.2</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37.4</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46.4</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UK</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90.6</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2.2</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5.2</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4.2</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2.7</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DE</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67.7</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2.6</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8.6</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5.1</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2.0</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NL</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44.6</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2.7</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5.4</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5.1</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1.5</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PT</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40.8</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19.7</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29.0</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35.6</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9.3</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IE</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32.8</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14.6</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30.2</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13.2</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14.9</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AT</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25.2</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6.0</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9.8</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7.9</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5.4</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BE</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21.4</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3.6</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6.8</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5.1</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3.9</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CY</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21.4</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47.4</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64.7</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61.1</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55.9</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DK</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19.8</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3.4</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12.4</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4.9</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5.5</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SE</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10.9</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1.0</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2.1</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1.4</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0.8</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PL</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6.7</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6.8</w:t>
                  </w:r>
                </w:p>
              </w:tc>
              <w:tc>
                <w:tcPr>
                  <w:tcW w:w="1205"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13.5</w:t>
                  </w:r>
                </w:p>
              </w:tc>
              <w:tc>
                <w:tcPr>
                  <w:tcW w:w="1206"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9.7</w:t>
                  </w:r>
                </w:p>
              </w:tc>
              <w:tc>
                <w:tcPr>
                  <w:tcW w:w="1206" w:type="dxa"/>
                  <w:tcBorders>
                    <w:top w:val="nil"/>
                    <w:left w:val="nil"/>
                    <w:bottom w:val="nil"/>
                    <w:right w:val="single" w:sz="4" w:space="0" w:color="auto"/>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5.2</w:t>
                  </w:r>
                </w:p>
              </w:tc>
            </w:tr>
            <w:tr w:rsidR="00083C3F">
              <w:trPr>
                <w:trHeight w:val="288"/>
              </w:trPr>
              <w:tc>
                <w:tcPr>
                  <w:tcW w:w="1464" w:type="dxa"/>
                  <w:tcBorders>
                    <w:top w:val="nil"/>
                    <w:left w:val="single" w:sz="4" w:space="0" w:color="auto"/>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Other MSs</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33.9</w:t>
                  </w:r>
                </w:p>
              </w:tc>
              <w:tc>
                <w:tcPr>
                  <w:tcW w:w="1465" w:type="dxa"/>
                  <w:tcBorders>
                    <w:top w:val="nil"/>
                    <w:left w:val="nil"/>
                    <w:bottom w:val="nil"/>
                    <w:right w:val="nil"/>
                  </w:tcBorders>
                  <w:shd w:val="clear" w:color="000000" w:fill="FFFFFF"/>
                  <w:noWrap/>
                  <w:vAlign w:val="center"/>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5.6</w:t>
                  </w:r>
                </w:p>
              </w:tc>
              <w:tc>
                <w:tcPr>
                  <w:tcW w:w="1205" w:type="dxa"/>
                  <w:tcBorders>
                    <w:top w:val="nil"/>
                    <w:left w:val="single" w:sz="4" w:space="0" w:color="auto"/>
                    <w:bottom w:val="nil"/>
                    <w:right w:val="nil"/>
                  </w:tcBorders>
                  <w:shd w:val="clear" w:color="000000" w:fill="FFFFFF"/>
                  <w:noWrap/>
                  <w:vAlign w:val="center"/>
                  <w:hideMark/>
                </w:tcPr>
                <w:p w:rsidR="00083C3F" w:rsidRDefault="00083C3F">
                  <w:pPr>
                    <w:spacing w:after="0"/>
                    <w:contextualSpacing/>
                    <w:jc w:val="center"/>
                    <w:rPr>
                      <w:rFonts w:eastAsia="Times New Roman" w:cs="Times New Roman"/>
                      <w:noProof/>
                      <w:color w:val="000000"/>
                      <w:sz w:val="18"/>
                      <w:szCs w:val="18"/>
                      <w:lang w:eastAsia="en-GB"/>
                    </w:rPr>
                  </w:pPr>
                </w:p>
              </w:tc>
              <w:tc>
                <w:tcPr>
                  <w:tcW w:w="1206" w:type="dxa"/>
                  <w:tcBorders>
                    <w:top w:val="nil"/>
                    <w:left w:val="nil"/>
                    <w:bottom w:val="nil"/>
                    <w:right w:val="nil"/>
                  </w:tcBorders>
                  <w:shd w:val="clear" w:color="000000" w:fill="FFFFFF"/>
                  <w:noWrap/>
                  <w:vAlign w:val="center"/>
                  <w:hideMark/>
                </w:tcPr>
                <w:p w:rsidR="00083C3F" w:rsidRDefault="00083C3F">
                  <w:pPr>
                    <w:spacing w:after="0"/>
                    <w:contextualSpacing/>
                    <w:jc w:val="center"/>
                    <w:rPr>
                      <w:rFonts w:eastAsia="Times New Roman" w:cs="Times New Roman"/>
                      <w:noProof/>
                      <w:color w:val="000000"/>
                      <w:sz w:val="18"/>
                      <w:szCs w:val="18"/>
                      <w:lang w:eastAsia="en-GB"/>
                    </w:rPr>
                  </w:pPr>
                </w:p>
              </w:tc>
              <w:tc>
                <w:tcPr>
                  <w:tcW w:w="1206" w:type="dxa"/>
                  <w:tcBorders>
                    <w:top w:val="nil"/>
                    <w:left w:val="nil"/>
                    <w:bottom w:val="nil"/>
                    <w:right w:val="single" w:sz="4" w:space="0" w:color="auto"/>
                  </w:tcBorders>
                  <w:shd w:val="clear" w:color="000000" w:fill="FFFFFF"/>
                  <w:noWrap/>
                  <w:vAlign w:val="center"/>
                  <w:hideMark/>
                </w:tcPr>
                <w:p w:rsidR="00083C3F" w:rsidRDefault="00083C3F">
                  <w:pPr>
                    <w:spacing w:after="0"/>
                    <w:contextualSpacing/>
                    <w:jc w:val="center"/>
                    <w:rPr>
                      <w:rFonts w:eastAsia="Times New Roman" w:cs="Times New Roman"/>
                      <w:noProof/>
                      <w:color w:val="000000"/>
                      <w:sz w:val="18"/>
                      <w:szCs w:val="18"/>
                      <w:lang w:eastAsia="en-GB"/>
                    </w:rPr>
                  </w:pPr>
                </w:p>
              </w:tc>
            </w:tr>
            <w:tr w:rsidR="00083C3F">
              <w:trPr>
                <w:trHeight w:val="124"/>
              </w:trPr>
              <w:tc>
                <w:tcPr>
                  <w:tcW w:w="1464" w:type="dxa"/>
                  <w:tcBorders>
                    <w:top w:val="single" w:sz="4" w:space="0" w:color="auto"/>
                    <w:left w:val="single" w:sz="4" w:space="0" w:color="auto"/>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EU</w:t>
                  </w:r>
                </w:p>
              </w:tc>
              <w:tc>
                <w:tcPr>
                  <w:tcW w:w="1465" w:type="dxa"/>
                  <w:tcBorders>
                    <w:top w:val="single" w:sz="4" w:space="0" w:color="auto"/>
                    <w:left w:val="nil"/>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1096.5</w:t>
                  </w:r>
                </w:p>
              </w:tc>
              <w:tc>
                <w:tcPr>
                  <w:tcW w:w="1465" w:type="dxa"/>
                  <w:tcBorders>
                    <w:top w:val="single" w:sz="4" w:space="0" w:color="auto"/>
                    <w:left w:val="nil"/>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5.4</w:t>
                  </w:r>
                </w:p>
              </w:tc>
              <w:tc>
                <w:tcPr>
                  <w:tcW w:w="1205" w:type="dxa"/>
                  <w:tcBorders>
                    <w:top w:val="single" w:sz="4" w:space="0" w:color="auto"/>
                    <w:left w:val="single" w:sz="4" w:space="0" w:color="auto"/>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16.7</w:t>
                  </w:r>
                </w:p>
              </w:tc>
              <w:tc>
                <w:tcPr>
                  <w:tcW w:w="1206" w:type="dxa"/>
                  <w:tcBorders>
                    <w:top w:val="single" w:sz="4" w:space="0" w:color="auto"/>
                    <w:left w:val="nil"/>
                    <w:bottom w:val="single" w:sz="4" w:space="0" w:color="auto"/>
                    <w:right w:val="nil"/>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7.6</w:t>
                  </w:r>
                </w:p>
              </w:tc>
              <w:tc>
                <w:tcPr>
                  <w:tcW w:w="1206" w:type="dxa"/>
                  <w:tcBorders>
                    <w:top w:val="single" w:sz="4" w:space="0" w:color="auto"/>
                    <w:left w:val="nil"/>
                    <w:bottom w:val="single" w:sz="4" w:space="0" w:color="auto"/>
                    <w:right w:val="single" w:sz="4" w:space="0" w:color="auto"/>
                  </w:tcBorders>
                  <w:shd w:val="clear" w:color="000000" w:fill="FFFFFF"/>
                  <w:noWrap/>
                  <w:hideMark/>
                </w:tcPr>
                <w:p w:rsidR="00083C3F" w:rsidRDefault="00E1215B">
                  <w:pPr>
                    <w:spacing w:after="0"/>
                    <w:contextualSpacing/>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4.9</w:t>
                  </w:r>
                </w:p>
              </w:tc>
            </w:tr>
          </w:tbl>
          <w:p w:rsidR="00083C3F" w:rsidRDefault="00083C3F">
            <w:pPr>
              <w:pStyle w:val="Figure"/>
              <w:rPr>
                <w:noProof/>
              </w:rPr>
            </w:pPr>
          </w:p>
        </w:tc>
      </w:tr>
      <w:tr w:rsidR="00083C3F">
        <w:tc>
          <w:tcPr>
            <w:tcW w:w="9288" w:type="dxa"/>
          </w:tcPr>
          <w:p w:rsidR="00083C3F" w:rsidRDefault="00E1215B">
            <w:pPr>
              <w:pStyle w:val="Source"/>
              <w:rPr>
                <w:noProof/>
              </w:rPr>
            </w:pPr>
            <w:r>
              <w:rPr>
                <w:noProof/>
              </w:rPr>
              <w:t>Source: EBA and own calculations.</w:t>
            </w:r>
          </w:p>
        </w:tc>
      </w:tr>
    </w:tbl>
    <w:p w:rsidR="00083C3F" w:rsidRDefault="00E1215B">
      <w:pPr>
        <w:rPr>
          <w:noProof/>
        </w:rPr>
      </w:pPr>
      <w:r>
        <w:rPr>
          <w:noProof/>
        </w:rPr>
        <w:t>As regards country variation, Cyprus and Greece bear relatively the highest legacy cost, with almost one-half of total loans not performing, accounting for about one-third of total bank assets. Portugal, Italy and Ireland report NPL ratios of almost 20%. O</w:t>
      </w:r>
      <w:r>
        <w:rPr>
          <w:noProof/>
        </w:rPr>
        <w:t xml:space="preserve">n the other end of the spectrum, many countries report NPL ratios of less than 3%. </w:t>
      </w:r>
    </w:p>
    <w:p w:rsidR="00083C3F" w:rsidRDefault="00E1215B">
      <w:pPr>
        <w:rPr>
          <w:noProof/>
        </w:rPr>
      </w:pPr>
      <w:r>
        <w:rPr>
          <w:noProof/>
        </w:rPr>
        <w:t>Equally strong is the dispersion at the level of type of assets/counterparties. Over 60% of NPLs are related to corporate lending, of which about one-third is related to le</w:t>
      </w:r>
      <w:r>
        <w:rPr>
          <w:noProof/>
        </w:rPr>
        <w:t>nding backed by commercial real estate (CRE). Within the asset class of banks loans to SMEs, 16.7% is non-performing on average in the EU; the impairment is particularly pronounced in Greece and Cyprus (ratios above 60%), and Italy and Ireland (ratio aroun</w:t>
      </w:r>
      <w:r>
        <w:rPr>
          <w:noProof/>
        </w:rPr>
        <w:t>d 30%). Amongst the bank loans to large non-financial corporates, 7.6% are non-performing in the EU. Besides Greece (37.4%) and Cyprus (61.1%), Portugal (35.6%) ranks high, together with Italy (20.6%). Finally, 4.9% of loans to households are non-performin</w:t>
      </w:r>
      <w:r>
        <w:rPr>
          <w:noProof/>
        </w:rPr>
        <w:t>g in the EU, in particular in Cyprus (55.9%), Greece (46.4%), Ireland (14.9%) and Italy (12.9%).</w:t>
      </w:r>
    </w:p>
    <w:p w:rsidR="00083C3F" w:rsidRDefault="00E1215B">
      <w:pPr>
        <w:rPr>
          <w:noProof/>
        </w:rPr>
      </w:pPr>
      <w:r>
        <w:rPr>
          <w:noProof/>
        </w:rPr>
        <w:t>Provisions for NPLs amount to about 46% of the book value of euro area bank's balance sheet. Including the collateral (covering 36% of total exposure), the cov</w:t>
      </w:r>
      <w:r>
        <w:rPr>
          <w:noProof/>
        </w:rPr>
        <w:t xml:space="preserve">erage ratios are on average about 82%. Again, these coverage ratios differ significantly from one Member State to another, with differences reflecting various levels of collateralisation (depending on lending practices as well as to segments most impacted </w:t>
      </w:r>
      <w:r>
        <w:rPr>
          <w:noProof/>
        </w:rPr>
        <w:t xml:space="preserve">by NPLs) as well as heterogeneous accounting practices. While these levels of the coverage ratios are not threatening the capital position of the banks involved, they will eat-in on profits for many more years to come. </w:t>
      </w:r>
    </w:p>
    <w:p w:rsidR="00083C3F" w:rsidRDefault="00E1215B">
      <w:pPr>
        <w:pStyle w:val="Heading3"/>
        <w:rPr>
          <w:noProof/>
        </w:rPr>
      </w:pPr>
      <w:bookmarkStart w:id="169" w:name="_Toc481140395"/>
      <w:bookmarkStart w:id="170" w:name="_Toc482710967"/>
      <w:bookmarkStart w:id="171" w:name="_Toc482715289"/>
      <w:r>
        <w:rPr>
          <w:noProof/>
        </w:rPr>
        <w:t>Developments in loan sales markets</w:t>
      </w:r>
      <w:bookmarkEnd w:id="169"/>
      <w:bookmarkEnd w:id="170"/>
      <w:bookmarkEnd w:id="171"/>
    </w:p>
    <w:p w:rsidR="00083C3F" w:rsidRDefault="00E1215B">
      <w:pPr>
        <w:rPr>
          <w:noProof/>
        </w:rPr>
      </w:pPr>
      <w:r>
        <w:rPr>
          <w:noProof/>
        </w:rPr>
        <w:t>T</w:t>
      </w:r>
      <w:r>
        <w:rPr>
          <w:noProof/>
        </w:rPr>
        <w:t>he secondary market of distressed loan sales is quite opaque. Analysis of non-performing loan sales is complicated because published transactions data most often aggregate data of NPLs with that of non-core loan sales. In this regard, the stock of performi</w:t>
      </w:r>
      <w:r>
        <w:rPr>
          <w:noProof/>
        </w:rPr>
        <w:t>ng non-core assets, i.e. loans banks are willing to shed off their balance sheet</w:t>
      </w:r>
      <w:r>
        <w:rPr>
          <w:rStyle w:val="FootnoteReference"/>
          <w:rFonts w:cs="Times New Roman"/>
          <w:noProof/>
          <w:sz w:val="24"/>
          <w:szCs w:val="24"/>
        </w:rPr>
        <w:footnoteReference w:id="49"/>
      </w:r>
      <w:r>
        <w:rPr>
          <w:noProof/>
        </w:rPr>
        <w:t>, amounts to EUR 1.2 trillion</w:t>
      </w:r>
      <w:r>
        <w:rPr>
          <w:rStyle w:val="FootnoteReference"/>
          <w:rFonts w:cs="Times New Roman"/>
          <w:noProof/>
          <w:sz w:val="24"/>
          <w:szCs w:val="24"/>
        </w:rPr>
        <w:footnoteReference w:id="50"/>
      </w:r>
      <w:r>
        <w:rPr>
          <w:noProof/>
        </w:rPr>
        <w:t>. Together with the stock of NPLs, EUR 2.3 trillion loan assets are available for sale in the EU.</w:t>
      </w:r>
    </w:p>
    <w:p w:rsidR="00083C3F" w:rsidRDefault="00E1215B">
      <w:pPr>
        <w:rPr>
          <w:noProof/>
        </w:rPr>
      </w:pPr>
      <w:r>
        <w:rPr>
          <w:noProof/>
        </w:rPr>
        <w:t>The secondary market of distressed loan sales i</w:t>
      </w:r>
      <w:r>
        <w:rPr>
          <w:noProof/>
        </w:rPr>
        <w:t>s quite opaque. Analysis of non-performing loan sales is complicated because published transactions data most often aggregate data of NPLs with that of non-core loan sales. In this regard, the stock of performing non-core assets, i.e. loans banks are willi</w:t>
      </w:r>
      <w:r>
        <w:rPr>
          <w:noProof/>
        </w:rPr>
        <w:t>ng to shed off their balance sheet</w:t>
      </w:r>
      <w:r>
        <w:rPr>
          <w:rStyle w:val="FootnoteReference"/>
          <w:rFonts w:cs="Times New Roman"/>
          <w:noProof/>
          <w:sz w:val="24"/>
          <w:szCs w:val="24"/>
        </w:rPr>
        <w:footnoteReference w:id="51"/>
      </w:r>
      <w:r>
        <w:rPr>
          <w:noProof/>
        </w:rPr>
        <w:t>, amounts to EUR 1.2 trillion</w:t>
      </w:r>
      <w:r>
        <w:rPr>
          <w:rStyle w:val="FootnoteReference"/>
          <w:rFonts w:cs="Times New Roman"/>
          <w:noProof/>
          <w:sz w:val="24"/>
          <w:szCs w:val="24"/>
        </w:rPr>
        <w:footnoteReference w:id="52"/>
      </w:r>
      <w:r>
        <w:rPr>
          <w:noProof/>
        </w:rPr>
        <w:t>. Together with the stock of NPLs, EUR 2.3 trillion loan assets are available for sale in the EU.</w:t>
      </w:r>
    </w:p>
    <w:p w:rsidR="00083C3F" w:rsidRDefault="00E1215B">
      <w:pPr>
        <w:rPr>
          <w:noProof/>
        </w:rPr>
      </w:pPr>
      <w:r>
        <w:rPr>
          <w:noProof/>
        </w:rPr>
        <w:t>Although the NPL stock has been building up gradually in the aftermath of the financial crisi</w:t>
      </w:r>
      <w:r>
        <w:rPr>
          <w:noProof/>
        </w:rPr>
        <w:t xml:space="preserve">s, it is only since the second half of 2013 that the sale of distressed and non-core loans has been picking-up, with transaction volumes rising to EUR 71 billion in 2014, EUR 118 billion in 2015 and about EUR 200 billion in 2016 (compared to a size of USD </w:t>
      </w:r>
      <w:r>
        <w:rPr>
          <w:noProof/>
        </w:rPr>
        <w:t>469 billion in the US at end-2013). At the current pace of loan sales, and not taking account of new incoming NPLs, it would still take 10 more years to solve the NPL issue. Last year, the improving investor sentiment towards the banking sector, still very</w:t>
      </w:r>
      <w:r>
        <w:rPr>
          <w:noProof/>
        </w:rPr>
        <w:t xml:space="preserve"> favourable financing conditions (amid exceptional accommodative monetary policy) and a general improvement in the EU real estate markets (implying an increase in collateral value, and downward revision of collateral value haircuts), presented attractive o</w:t>
      </w:r>
      <w:r>
        <w:rPr>
          <w:noProof/>
        </w:rPr>
        <w:t>pportunities for banks to sell NPLs and non-core assets. For the current year, the trend is expected to hold, with transaction volumes further boosted by regulatory pressure and modest insolvency regime reforms.</w:t>
      </w:r>
    </w:p>
    <w:p w:rsidR="00083C3F" w:rsidRDefault="00E1215B">
      <w:pPr>
        <w:rPr>
          <w:noProof/>
        </w:rPr>
      </w:pPr>
      <w:r>
        <w:rPr>
          <w:noProof/>
        </w:rPr>
        <w:t xml:space="preserve">Transactions were initially concentrated in </w:t>
      </w:r>
      <w:r>
        <w:rPr>
          <w:noProof/>
        </w:rPr>
        <w:t>a few Member States (mostly Ireland, Spain, United Kingdom). In 2016 there was an increasing trend towards sales of performing non-core portfolios in Member States where NPLs have been significantly unloaded (e.g. United Kingdom). Meanwhile, more investors</w:t>
      </w:r>
      <w:r>
        <w:rPr>
          <w:noProof/>
        </w:rPr>
        <w:t xml:space="preserve"> have been actively looking at the Italian market, as competition for distressed assets is intensifying across EU, and initiatives like the shortening of legislative proceedings, and the establishment of the Atlante fund. The market in Italy is further mov</w:t>
      </w:r>
      <w:r>
        <w:rPr>
          <w:noProof/>
        </w:rPr>
        <w:t>ing towards more complex deal structures, including more SME loans. Also in Spain have the sales transactions become more complex with secured SME and corporate exposures taking a larger part of the sales, even if the bulk of sales are still related to res</w:t>
      </w:r>
      <w:r>
        <w:rPr>
          <w:noProof/>
        </w:rPr>
        <w:t xml:space="preserve">idential mortgages,.  </w:t>
      </w:r>
    </w:p>
    <w:p w:rsidR="00083C3F" w:rsidRDefault="00E1215B">
      <w:pPr>
        <w:rPr>
          <w:noProof/>
        </w:rPr>
      </w:pPr>
      <w:r>
        <w:rPr>
          <w:noProof/>
        </w:rPr>
        <w:t xml:space="preserve">Market data on the pricing of NPLs is very much anecdotal. Market intelligence suggests that bid-ask spreads are very significant, with strong differences amongst asset classes. The weighted average price for concluded sales of NPLs </w:t>
      </w:r>
      <w:r>
        <w:rPr>
          <w:noProof/>
        </w:rPr>
        <w:t>is 34%, while average net book value is 56% (all EU banks). The average price is highest (60%) for secured retail loans (including mortgages), followed by commercial real estate loans (45%), SME/corporate loans (35%) and merely 10% on average for unsecured</w:t>
      </w:r>
      <w:r>
        <w:rPr>
          <w:noProof/>
        </w:rPr>
        <w:t xml:space="preserve"> retail loans (mostly consumer credit, credit card loans). However, trading in this last category is quite active. Also sales of residential real estate NPLs have been buoyant (EUR 58.5 billion in 2015). Commercial real estate loans are expected to have be</w:t>
      </w:r>
      <w:r>
        <w:rPr>
          <w:noProof/>
        </w:rPr>
        <w:t>en plateauing in 2016 (EUR 49.5 billion in 2015).</w:t>
      </w:r>
    </w:p>
    <w:p w:rsidR="00083C3F" w:rsidRDefault="00E1215B">
      <w:pPr>
        <w:rPr>
          <w:noProof/>
        </w:rPr>
      </w:pPr>
      <w:r>
        <w:rPr>
          <w:noProof/>
        </w:rPr>
        <w:t>The top 10 investors active on the secondary market of NPL take more than half of the volume of NPL sale transactions on their account. Amongst the most active buyers are private investment firms (e.g. Cerb</w:t>
      </w:r>
      <w:r>
        <w:rPr>
          <w:noProof/>
        </w:rPr>
        <w:t>erus, Lone Star, Blackstone), hedge funds (e.g. Fortress Investment Group, Oak Tree) and investment banks (e.g. Deutsche Bank, Goldman Sachs). The purpose of most of these large buyers is cash-flow driven. A minority of portfolios is repackaged and resold.</w:t>
      </w:r>
      <w:r>
        <w:rPr>
          <w:noProof/>
        </w:rPr>
        <w:t xml:space="preserve"> The scale of the big players enable them to build up a data advantage of how loan portfolios perform which helps them in their subsequent biding, build up a reputational advantage, and a track record with the main vendors. These element give the big playe</w:t>
      </w:r>
      <w:r>
        <w:rPr>
          <w:noProof/>
        </w:rPr>
        <w:t>rs a vital edge and explain why the current market for NPLs is assessed a buyers' market with a small number of large buyers. The lack of an efficient third party loan-servicing company across the EU forces investors to having to create their own servicing</w:t>
      </w:r>
      <w:r>
        <w:rPr>
          <w:noProof/>
        </w:rPr>
        <w:t xml:space="preserve"> capacity and creates an extra barrier to entry to buy NPLs.</w:t>
      </w:r>
    </w:p>
    <w:p w:rsidR="00083C3F" w:rsidRDefault="00E1215B">
      <w:pPr>
        <w:rPr>
          <w:noProof/>
        </w:rPr>
      </w:pPr>
      <w:r>
        <w:rPr>
          <w:noProof/>
        </w:rPr>
        <w:t xml:space="preserve">The functioning of secondary markets for NPLs is also hampered by a number of structural impediments. For example, there are legal requirements in some Member States on rules for the transfer of </w:t>
      </w:r>
      <w:r>
        <w:rPr>
          <w:noProof/>
        </w:rPr>
        <w:t>credit contracts or restrictions on purchasers of NPLs. Investors are also deterred by high uncertainty around debt recoveries and their timing, and collateral enforcement success. These impediments explain the wide gap between net book value of NPLs and t</w:t>
      </w:r>
      <w:r>
        <w:rPr>
          <w:noProof/>
        </w:rPr>
        <w:t>he proposed bid-price by buyers. Data on the size of that gap is scant but it is thought to be very large. For instance, estimates suggest that, for a fully collateralised non-performing loan, the discount required by a private investor may exceed 40% sole</w:t>
      </w:r>
      <w:r>
        <w:rPr>
          <w:noProof/>
        </w:rPr>
        <w:t>ly due to the cost, time and uncertainty of the recoveries. The impediments also explain why the direct sales of NPLs are more successful in relation to one type of assets than to other types, and why the NPL market is presently a buyers' market, with a su</w:t>
      </w:r>
      <w:r>
        <w:rPr>
          <w:noProof/>
        </w:rPr>
        <w:t>b-optimal level of competition at buyers' side.</w:t>
      </w:r>
    </w:p>
    <w:p w:rsidR="00083C3F" w:rsidRDefault="00E1215B">
      <w:pPr>
        <w:pStyle w:val="Heading2"/>
        <w:rPr>
          <w:noProof/>
        </w:rPr>
      </w:pPr>
      <w:bookmarkStart w:id="172" w:name="_Toc481140396"/>
      <w:bookmarkStart w:id="173" w:name="_Toc482710968"/>
      <w:bookmarkStart w:id="174" w:name="_Toc482715290"/>
      <w:r>
        <w:rPr>
          <w:noProof/>
        </w:rPr>
        <w:t>General policy implications</w:t>
      </w:r>
      <w:bookmarkEnd w:id="172"/>
      <w:bookmarkEnd w:id="173"/>
      <w:bookmarkEnd w:id="174"/>
    </w:p>
    <w:p w:rsidR="00083C3F" w:rsidRDefault="00E1215B">
      <w:pPr>
        <w:rPr>
          <w:noProof/>
        </w:rPr>
      </w:pPr>
      <w:r>
        <w:rPr>
          <w:noProof/>
        </w:rPr>
        <w:t>Banks are important financial institutions in capital markets. Efficient capital markets solutions can help banks to manage their balance sheets better and strengthen their lending</w:t>
      </w:r>
      <w:r>
        <w:rPr>
          <w:noProof/>
        </w:rPr>
        <w:t xml:space="preserve"> capacity through risk transfer and wholesale funding in particular. </w:t>
      </w:r>
    </w:p>
    <w:p w:rsidR="00083C3F" w:rsidRDefault="00E1215B">
      <w:pPr>
        <w:rPr>
          <w:noProof/>
        </w:rPr>
      </w:pPr>
      <w:r>
        <w:rPr>
          <w:noProof/>
        </w:rPr>
        <w:t>The following considerations are relevant in informing future work:</w:t>
      </w:r>
    </w:p>
    <w:p w:rsidR="00083C3F" w:rsidRDefault="00E1215B">
      <w:pPr>
        <w:ind w:left="567" w:hanging="567"/>
        <w:rPr>
          <w:noProof/>
        </w:rPr>
      </w:pPr>
      <w:r>
        <w:rPr>
          <w:noProof/>
        </w:rPr>
        <w:t>1.</w:t>
      </w:r>
      <w:r>
        <w:rPr>
          <w:noProof/>
        </w:rPr>
        <w:tab/>
      </w:r>
      <w:r>
        <w:rPr>
          <w:noProof/>
        </w:rPr>
        <w:t xml:space="preserve">A rapid agreement on the Commission's proposal of September 2015 to create Simple, Transparent and Standardised (STS) </w:t>
      </w:r>
      <w:r>
        <w:rPr>
          <w:b/>
          <w:noProof/>
        </w:rPr>
        <w:t>securitisation</w:t>
      </w:r>
      <w:r>
        <w:rPr>
          <w:noProof/>
        </w:rPr>
        <w:t xml:space="preserve"> would provide the necessary impetus to the revival of asset securitisation markets in the EU. Regulatory reform needs to be</w:t>
      </w:r>
      <w:r>
        <w:rPr>
          <w:noProof/>
        </w:rPr>
        <w:t xml:space="preserve"> accompanied by incentives for insurers' to invest in the STS securitisation market through a specific prudential treatment in Solvency II and standardisation of market practices. </w:t>
      </w:r>
    </w:p>
    <w:p w:rsidR="00083C3F" w:rsidRDefault="00E1215B">
      <w:pPr>
        <w:ind w:left="567" w:hanging="567"/>
        <w:rPr>
          <w:noProof/>
        </w:rPr>
      </w:pPr>
      <w:r>
        <w:rPr>
          <w:bCs/>
          <w:iCs/>
          <w:noProof/>
        </w:rPr>
        <w:t xml:space="preserve">2. </w:t>
      </w:r>
      <w:r>
        <w:rPr>
          <w:noProof/>
        </w:rPr>
        <w:tab/>
      </w:r>
      <w:r>
        <w:rPr>
          <w:b/>
          <w:noProof/>
        </w:rPr>
        <w:t>Covered bonds</w:t>
      </w:r>
      <w:r>
        <w:rPr>
          <w:noProof/>
        </w:rPr>
        <w:t xml:space="preserve"> have proven to be a reliable source of wholesale funding for banks, including during periods of financial market stress. Tackling market inefficiencies and fragmentation to achieve a more integrated EU covered bond markets could help improve funding condi</w:t>
      </w:r>
      <w:r>
        <w:rPr>
          <w:noProof/>
        </w:rPr>
        <w:t>tions for mortgage loans and public sector loans.</w:t>
      </w:r>
    </w:p>
    <w:p w:rsidR="00083C3F" w:rsidRDefault="00E1215B">
      <w:pPr>
        <w:ind w:left="567" w:hanging="567"/>
        <w:rPr>
          <w:noProof/>
        </w:rPr>
      </w:pPr>
      <w:r>
        <w:rPr>
          <w:noProof/>
        </w:rPr>
        <w:t>3.</w:t>
      </w:r>
      <w:r>
        <w:rPr>
          <w:b/>
          <w:noProof/>
        </w:rPr>
        <w:tab/>
      </w:r>
      <w:r>
        <w:rPr>
          <w:noProof/>
        </w:rPr>
        <w:t xml:space="preserve">The development of a new dual recourse </w:t>
      </w:r>
      <w:r>
        <w:rPr>
          <w:b/>
          <w:noProof/>
        </w:rPr>
        <w:t>ESN</w:t>
      </w:r>
      <w:r>
        <w:rPr>
          <w:noProof/>
        </w:rPr>
        <w:t xml:space="preserve"> could potentially be an additional channel for funding bank loans to SME, thereby complementing covered bonds and STS securitisation. ESNs might contribute to o</w:t>
      </w:r>
      <w:r>
        <w:rPr>
          <w:noProof/>
        </w:rPr>
        <w:t xml:space="preserve">vercoming moral hazard problems linked to the scarcity of information about SME credit quality. Nonetheless, ESNs warrant further investigation about its added value as a new type of bank financing instrument. Further work may be undertaken to explore how </w:t>
      </w:r>
      <w:r>
        <w:rPr>
          <w:noProof/>
        </w:rPr>
        <w:t xml:space="preserve">ESNs complement covered bonds and securitisation and what are the conditions for this market solution to develop. </w:t>
      </w:r>
    </w:p>
    <w:p w:rsidR="00083C3F" w:rsidRDefault="00E1215B">
      <w:pPr>
        <w:ind w:left="567" w:hanging="567"/>
        <w:rPr>
          <w:noProof/>
          <w:u w:color="000000"/>
          <w:lang w:eastAsia="en-GB"/>
        </w:rPr>
      </w:pPr>
      <w:r>
        <w:rPr>
          <w:noProof/>
        </w:rPr>
        <w:t xml:space="preserve">4. </w:t>
      </w:r>
      <w:r>
        <w:rPr>
          <w:noProof/>
        </w:rPr>
        <w:tab/>
        <w:t xml:space="preserve">Despite some increased momentum in recent years, the market of direct sales of </w:t>
      </w:r>
      <w:r>
        <w:rPr>
          <w:b/>
          <w:noProof/>
        </w:rPr>
        <w:t>NPL</w:t>
      </w:r>
      <w:r>
        <w:rPr>
          <w:noProof/>
        </w:rPr>
        <w:t xml:space="preserve"> remains less developed in the EU compared to some majo</w:t>
      </w:r>
      <w:r>
        <w:rPr>
          <w:noProof/>
        </w:rPr>
        <w:t xml:space="preserve">r advanced economies. </w:t>
      </w:r>
      <w:r>
        <w:rPr>
          <w:noProof/>
          <w:u w:color="000000"/>
          <w:lang w:eastAsia="en-GB"/>
        </w:rPr>
        <w:t xml:space="preserve">The functioning of secondary market for NPLs should be supported with various types of measures </w:t>
      </w:r>
      <w:r>
        <w:rPr>
          <w:noProof/>
        </w:rPr>
        <w:t>targeting the removal of impediments on both the buy and sell-sides. Measures could encompass a wide range of policy options aimed at, for</w:t>
      </w:r>
      <w:r>
        <w:rPr>
          <w:noProof/>
        </w:rPr>
        <w:t xml:space="preserve"> example, improving the transparency and quality of data on NPLs. The management of NPLs would also benefit from more efficient and more predictable loan enforcement and insolvency frameworks designed to enable swift value recovery by secured creditors. In</w:t>
      </w:r>
      <w:r>
        <w:rPr>
          <w:noProof/>
        </w:rPr>
        <w:t xml:space="preserve"> this context, </w:t>
      </w:r>
      <w:r>
        <w:rPr>
          <w:noProof/>
          <w:u w:color="000000"/>
          <w:lang w:eastAsia="en-GB"/>
        </w:rPr>
        <w:t>i</w:t>
      </w:r>
      <w:r>
        <w:rPr>
          <w:noProof/>
        </w:rPr>
        <w:t>t should be assessed how to strengthen the ability of secured creditors to recover value from secured loans to corporates and entrepreneurs, while remaining consistent with the Commission's proposal of November 2016 on the effective functio</w:t>
      </w:r>
      <w:r>
        <w:rPr>
          <w:noProof/>
        </w:rPr>
        <w:t>ning of the pre-insolvency/insolvency systems.</w:t>
      </w:r>
    </w:p>
    <w:p w:rsidR="00083C3F" w:rsidRDefault="00E1215B">
      <w:pPr>
        <w:pStyle w:val="Heading2"/>
        <w:rPr>
          <w:noProof/>
        </w:rPr>
      </w:pPr>
      <w:bookmarkStart w:id="175" w:name="_Toc481140397"/>
      <w:bookmarkStart w:id="176" w:name="_Toc482710969"/>
      <w:bookmarkStart w:id="177" w:name="_Toc482715291"/>
      <w:r>
        <w:rPr>
          <w:noProof/>
        </w:rPr>
        <w:t>Key indicators</w:t>
      </w:r>
      <w:bookmarkEnd w:id="175"/>
      <w:bookmarkEnd w:id="176"/>
      <w:bookmarkEnd w:id="177"/>
      <w:r>
        <w:rPr>
          <w:rStyle w:val="FootnoteReference"/>
          <w:rFonts w:cs="Times New Roman"/>
          <w:noProof/>
        </w:rPr>
        <w:footnoteReference w:id="53"/>
      </w:r>
    </w:p>
    <w:tbl>
      <w:tblPr>
        <w:tblStyle w:val="TableGrid26"/>
        <w:tblW w:w="9412" w:type="dxa"/>
        <w:tblCellMar>
          <w:top w:w="28" w:type="dxa"/>
          <w:left w:w="57" w:type="dxa"/>
          <w:bottom w:w="28" w:type="dxa"/>
          <w:right w:w="57" w:type="dxa"/>
        </w:tblCellMar>
        <w:tblLook w:val="04A0" w:firstRow="1" w:lastRow="0" w:firstColumn="1" w:lastColumn="0" w:noHBand="0" w:noVBand="1"/>
      </w:tblPr>
      <w:tblGrid>
        <w:gridCol w:w="4452"/>
        <w:gridCol w:w="1701"/>
        <w:gridCol w:w="1701"/>
        <w:gridCol w:w="1558"/>
      </w:tblGrid>
      <w:tr w:rsidR="00083C3F">
        <w:tc>
          <w:tcPr>
            <w:tcW w:w="4452" w:type="dxa"/>
            <w:vAlign w:val="center"/>
          </w:tcPr>
          <w:p w:rsidR="00083C3F" w:rsidRDefault="00E1215B">
            <w:pPr>
              <w:jc w:val="center"/>
              <w:rPr>
                <w:rFonts w:cs="Times New Roman"/>
                <w:noProof/>
              </w:rPr>
            </w:pPr>
            <w:r>
              <w:rPr>
                <w:rFonts w:cs="Times New Roman"/>
                <w:b/>
                <w:noProof/>
              </w:rPr>
              <w:t>Indicator</w:t>
            </w:r>
          </w:p>
        </w:tc>
        <w:tc>
          <w:tcPr>
            <w:tcW w:w="1701" w:type="dxa"/>
            <w:vAlign w:val="center"/>
          </w:tcPr>
          <w:p w:rsidR="00083C3F" w:rsidRDefault="00E1215B">
            <w:pPr>
              <w:jc w:val="center"/>
              <w:rPr>
                <w:rFonts w:cs="Times New Roman"/>
                <w:noProof/>
              </w:rPr>
            </w:pPr>
            <w:r>
              <w:rPr>
                <w:rFonts w:cs="Times New Roman"/>
                <w:b/>
                <w:noProof/>
              </w:rPr>
              <w:t>Last 5-year average</w:t>
            </w:r>
          </w:p>
        </w:tc>
        <w:tc>
          <w:tcPr>
            <w:tcW w:w="1701" w:type="dxa"/>
            <w:vAlign w:val="center"/>
          </w:tcPr>
          <w:p w:rsidR="00083C3F" w:rsidRDefault="00E1215B">
            <w:pPr>
              <w:jc w:val="center"/>
              <w:rPr>
                <w:rFonts w:cs="Times New Roman"/>
                <w:noProof/>
              </w:rPr>
            </w:pPr>
            <w:r>
              <w:rPr>
                <w:rFonts w:cs="Times New Roman"/>
                <w:b/>
                <w:noProof/>
              </w:rPr>
              <w:t xml:space="preserve">Latest observation </w:t>
            </w:r>
          </w:p>
        </w:tc>
        <w:tc>
          <w:tcPr>
            <w:tcW w:w="1558" w:type="dxa"/>
            <w:vAlign w:val="center"/>
          </w:tcPr>
          <w:p w:rsidR="00083C3F" w:rsidRDefault="00E1215B">
            <w:pPr>
              <w:jc w:val="center"/>
              <w:rPr>
                <w:rFonts w:cs="Times New Roman"/>
                <w:noProof/>
              </w:rPr>
            </w:pPr>
            <w:r>
              <w:rPr>
                <w:rFonts w:cs="Times New Roman"/>
                <w:b/>
                <w:noProof/>
              </w:rPr>
              <w:t>Value</w:t>
            </w:r>
          </w:p>
        </w:tc>
      </w:tr>
      <w:tr w:rsidR="00083C3F">
        <w:tc>
          <w:tcPr>
            <w:tcW w:w="4452" w:type="dxa"/>
            <w:vAlign w:val="center"/>
          </w:tcPr>
          <w:p w:rsidR="00083C3F" w:rsidRDefault="00E1215B">
            <w:pPr>
              <w:rPr>
                <w:rFonts w:cs="Times New Roman"/>
                <w:noProof/>
              </w:rPr>
            </w:pPr>
            <w:r>
              <w:rPr>
                <w:rFonts w:cs="Times New Roman"/>
                <w:noProof/>
              </w:rPr>
              <w:t>Securitisation, outstanding volume, EUR billion</w:t>
            </w:r>
          </w:p>
        </w:tc>
        <w:tc>
          <w:tcPr>
            <w:tcW w:w="1701" w:type="dxa"/>
            <w:vAlign w:val="center"/>
          </w:tcPr>
          <w:p w:rsidR="00083C3F" w:rsidRDefault="00E1215B">
            <w:pPr>
              <w:jc w:val="center"/>
              <w:rPr>
                <w:rFonts w:cs="Times New Roman"/>
                <w:noProof/>
                <w:highlight w:val="yellow"/>
              </w:rPr>
            </w:pPr>
            <w:r>
              <w:rPr>
                <w:rFonts w:cs="Times New Roman"/>
                <w:noProof/>
              </w:rPr>
              <w:t>EUR 1 459 billion</w:t>
            </w:r>
          </w:p>
        </w:tc>
        <w:tc>
          <w:tcPr>
            <w:tcW w:w="1701" w:type="dxa"/>
            <w:vAlign w:val="center"/>
          </w:tcPr>
          <w:p w:rsidR="00083C3F" w:rsidRDefault="00E1215B">
            <w:pPr>
              <w:jc w:val="center"/>
              <w:rPr>
                <w:rFonts w:cs="Times New Roman"/>
                <w:noProof/>
              </w:rPr>
            </w:pPr>
            <w:r>
              <w:rPr>
                <w:rFonts w:cs="Times New Roman"/>
                <w:noProof/>
              </w:rPr>
              <w:t>2016</w:t>
            </w:r>
          </w:p>
        </w:tc>
        <w:tc>
          <w:tcPr>
            <w:tcW w:w="1558" w:type="dxa"/>
            <w:vAlign w:val="center"/>
          </w:tcPr>
          <w:p w:rsidR="00083C3F" w:rsidRDefault="00E1215B">
            <w:pPr>
              <w:jc w:val="center"/>
              <w:rPr>
                <w:rFonts w:cs="Times New Roman"/>
                <w:noProof/>
              </w:rPr>
            </w:pPr>
            <w:r>
              <w:rPr>
                <w:rFonts w:cs="Times New Roman"/>
                <w:noProof/>
              </w:rPr>
              <w:t>EUR 1 274 billion</w:t>
            </w:r>
          </w:p>
        </w:tc>
      </w:tr>
      <w:tr w:rsidR="00083C3F">
        <w:tc>
          <w:tcPr>
            <w:tcW w:w="4452" w:type="dxa"/>
            <w:vAlign w:val="center"/>
          </w:tcPr>
          <w:p w:rsidR="00083C3F" w:rsidRDefault="00E1215B">
            <w:pPr>
              <w:rPr>
                <w:rFonts w:cs="Times New Roman"/>
                <w:noProof/>
              </w:rPr>
            </w:pPr>
            <w:r>
              <w:rPr>
                <w:rFonts w:cs="Times New Roman"/>
                <w:noProof/>
              </w:rPr>
              <w:t>Securitisation, gross annual issuance, EUR bil</w:t>
            </w:r>
            <w:r>
              <w:rPr>
                <w:rFonts w:cs="Times New Roman"/>
                <w:noProof/>
              </w:rPr>
              <w:t>lion</w:t>
            </w:r>
          </w:p>
        </w:tc>
        <w:tc>
          <w:tcPr>
            <w:tcW w:w="1701" w:type="dxa"/>
            <w:vAlign w:val="center"/>
          </w:tcPr>
          <w:p w:rsidR="00083C3F" w:rsidRDefault="00E1215B">
            <w:pPr>
              <w:jc w:val="center"/>
              <w:rPr>
                <w:rFonts w:cs="Times New Roman"/>
                <w:noProof/>
                <w:highlight w:val="yellow"/>
              </w:rPr>
            </w:pPr>
            <w:r>
              <w:rPr>
                <w:rFonts w:cs="Times New Roman"/>
                <w:noProof/>
              </w:rPr>
              <w:t>EUR 222 billion</w:t>
            </w:r>
          </w:p>
        </w:tc>
        <w:tc>
          <w:tcPr>
            <w:tcW w:w="1701" w:type="dxa"/>
            <w:vAlign w:val="center"/>
          </w:tcPr>
          <w:p w:rsidR="00083C3F" w:rsidRDefault="00E1215B">
            <w:pPr>
              <w:jc w:val="center"/>
              <w:rPr>
                <w:rFonts w:cs="Times New Roman"/>
                <w:noProof/>
              </w:rPr>
            </w:pPr>
            <w:r>
              <w:rPr>
                <w:rFonts w:cs="Times New Roman"/>
                <w:noProof/>
              </w:rPr>
              <w:t>2016</w:t>
            </w:r>
          </w:p>
        </w:tc>
        <w:tc>
          <w:tcPr>
            <w:tcW w:w="1558" w:type="dxa"/>
            <w:vAlign w:val="center"/>
          </w:tcPr>
          <w:p w:rsidR="00083C3F" w:rsidRDefault="00E1215B">
            <w:pPr>
              <w:jc w:val="center"/>
              <w:rPr>
                <w:rFonts w:cs="Times New Roman"/>
                <w:noProof/>
                <w:highlight w:val="yellow"/>
              </w:rPr>
            </w:pPr>
            <w:r>
              <w:rPr>
                <w:rFonts w:cs="Times New Roman"/>
                <w:noProof/>
              </w:rPr>
              <w:t>EUR 238 billion</w:t>
            </w:r>
          </w:p>
        </w:tc>
      </w:tr>
      <w:tr w:rsidR="00083C3F">
        <w:tc>
          <w:tcPr>
            <w:tcW w:w="4452" w:type="dxa"/>
            <w:vAlign w:val="center"/>
          </w:tcPr>
          <w:p w:rsidR="00083C3F" w:rsidRDefault="00E1215B">
            <w:pPr>
              <w:rPr>
                <w:rFonts w:cs="Times New Roman"/>
                <w:noProof/>
              </w:rPr>
            </w:pPr>
            <w:r>
              <w:rPr>
                <w:rFonts w:cs="Times New Roman"/>
                <w:noProof/>
              </w:rPr>
              <w:t>Covered bonds, outstanding volume, EUR billion</w:t>
            </w:r>
          </w:p>
        </w:tc>
        <w:tc>
          <w:tcPr>
            <w:tcW w:w="1701" w:type="dxa"/>
            <w:vAlign w:val="center"/>
          </w:tcPr>
          <w:p w:rsidR="00083C3F" w:rsidRDefault="00E1215B">
            <w:pPr>
              <w:jc w:val="center"/>
              <w:rPr>
                <w:rFonts w:cs="Times New Roman"/>
                <w:noProof/>
                <w:highlight w:val="yellow"/>
              </w:rPr>
            </w:pPr>
            <w:r>
              <w:rPr>
                <w:rFonts w:cs="Times New Roman"/>
                <w:noProof/>
              </w:rPr>
              <w:t>EUR 2 617 billion</w:t>
            </w:r>
          </w:p>
        </w:tc>
        <w:tc>
          <w:tcPr>
            <w:tcW w:w="1701" w:type="dxa"/>
            <w:vAlign w:val="center"/>
          </w:tcPr>
          <w:p w:rsidR="00083C3F" w:rsidRDefault="00E1215B">
            <w:pPr>
              <w:jc w:val="center"/>
              <w:rPr>
                <w:rFonts w:cs="Times New Roman"/>
                <w:noProof/>
              </w:rPr>
            </w:pPr>
            <w:r>
              <w:rPr>
                <w:rFonts w:cs="Times New Roman"/>
                <w:noProof/>
              </w:rPr>
              <w:t>2015</w:t>
            </w:r>
          </w:p>
        </w:tc>
        <w:tc>
          <w:tcPr>
            <w:tcW w:w="1558" w:type="dxa"/>
            <w:vAlign w:val="center"/>
          </w:tcPr>
          <w:p w:rsidR="00083C3F" w:rsidRDefault="00E1215B">
            <w:pPr>
              <w:jc w:val="center"/>
              <w:rPr>
                <w:rFonts w:cs="Times New Roman"/>
                <w:noProof/>
                <w:highlight w:val="yellow"/>
              </w:rPr>
            </w:pPr>
            <w:r>
              <w:rPr>
                <w:rFonts w:cs="Times New Roman"/>
                <w:noProof/>
              </w:rPr>
              <w:t>EUR 2 498 billion</w:t>
            </w:r>
          </w:p>
        </w:tc>
      </w:tr>
      <w:tr w:rsidR="00083C3F">
        <w:tc>
          <w:tcPr>
            <w:tcW w:w="4452" w:type="dxa"/>
            <w:vAlign w:val="center"/>
          </w:tcPr>
          <w:p w:rsidR="00083C3F" w:rsidRDefault="00E1215B">
            <w:pPr>
              <w:rPr>
                <w:rFonts w:cs="Times New Roman"/>
                <w:noProof/>
              </w:rPr>
            </w:pPr>
            <w:r>
              <w:rPr>
                <w:rFonts w:cs="Times New Roman"/>
                <w:noProof/>
              </w:rPr>
              <w:t>Covered bonds (euro area only), outstanding volume, EUR billion</w:t>
            </w:r>
          </w:p>
        </w:tc>
        <w:tc>
          <w:tcPr>
            <w:tcW w:w="1701" w:type="dxa"/>
            <w:vAlign w:val="center"/>
          </w:tcPr>
          <w:p w:rsidR="00083C3F" w:rsidRDefault="00E1215B">
            <w:pPr>
              <w:jc w:val="center"/>
              <w:rPr>
                <w:rFonts w:cs="Times New Roman"/>
                <w:noProof/>
              </w:rPr>
            </w:pPr>
            <w:r>
              <w:rPr>
                <w:rFonts w:cs="Times New Roman"/>
                <w:noProof/>
              </w:rPr>
              <w:t>EUR 1 222 billion</w:t>
            </w:r>
          </w:p>
        </w:tc>
        <w:tc>
          <w:tcPr>
            <w:tcW w:w="1701" w:type="dxa"/>
            <w:vAlign w:val="center"/>
          </w:tcPr>
          <w:p w:rsidR="00083C3F" w:rsidRDefault="00E1215B">
            <w:pPr>
              <w:jc w:val="center"/>
              <w:rPr>
                <w:rFonts w:cs="Times New Roman"/>
                <w:noProof/>
              </w:rPr>
            </w:pPr>
            <w:r>
              <w:rPr>
                <w:rFonts w:cs="Times New Roman"/>
                <w:noProof/>
              </w:rPr>
              <w:t>2017 Q1</w:t>
            </w:r>
          </w:p>
        </w:tc>
        <w:tc>
          <w:tcPr>
            <w:tcW w:w="1558" w:type="dxa"/>
            <w:vAlign w:val="center"/>
          </w:tcPr>
          <w:p w:rsidR="00083C3F" w:rsidRDefault="00E1215B">
            <w:pPr>
              <w:jc w:val="center"/>
              <w:rPr>
                <w:rFonts w:cs="Times New Roman"/>
                <w:noProof/>
              </w:rPr>
            </w:pPr>
            <w:r>
              <w:rPr>
                <w:rFonts w:cs="Times New Roman"/>
                <w:noProof/>
              </w:rPr>
              <w:t xml:space="preserve">EUR 1 224 billion </w:t>
            </w:r>
          </w:p>
        </w:tc>
      </w:tr>
      <w:tr w:rsidR="00083C3F">
        <w:tc>
          <w:tcPr>
            <w:tcW w:w="4452" w:type="dxa"/>
            <w:vAlign w:val="center"/>
          </w:tcPr>
          <w:p w:rsidR="00083C3F" w:rsidRDefault="00E1215B">
            <w:pPr>
              <w:rPr>
                <w:rFonts w:cs="Times New Roman"/>
                <w:noProof/>
              </w:rPr>
            </w:pPr>
            <w:r>
              <w:rPr>
                <w:rFonts w:cs="Times New Roman"/>
                <w:noProof/>
              </w:rPr>
              <w:t>Non-performing</w:t>
            </w:r>
            <w:r>
              <w:rPr>
                <w:rFonts w:cs="Times New Roman"/>
                <w:noProof/>
              </w:rPr>
              <w:t xml:space="preserve"> loans, in % of outstanding gross volume of loans</w:t>
            </w:r>
          </w:p>
        </w:tc>
        <w:tc>
          <w:tcPr>
            <w:tcW w:w="1701" w:type="dxa"/>
            <w:vAlign w:val="center"/>
          </w:tcPr>
          <w:p w:rsidR="00083C3F" w:rsidRDefault="00E1215B">
            <w:pPr>
              <w:jc w:val="center"/>
              <w:rPr>
                <w:rFonts w:cs="Times New Roman"/>
                <w:noProof/>
              </w:rPr>
            </w:pPr>
            <w:r>
              <w:rPr>
                <w:rFonts w:cs="Times New Roman"/>
                <w:noProof/>
              </w:rPr>
              <w:t>5.77%</w:t>
            </w:r>
          </w:p>
        </w:tc>
        <w:tc>
          <w:tcPr>
            <w:tcW w:w="1701" w:type="dxa"/>
            <w:vAlign w:val="center"/>
          </w:tcPr>
          <w:p w:rsidR="00083C3F" w:rsidRDefault="00E1215B">
            <w:pPr>
              <w:jc w:val="center"/>
              <w:rPr>
                <w:rFonts w:cs="Times New Roman"/>
                <w:noProof/>
              </w:rPr>
            </w:pPr>
            <w:r>
              <w:rPr>
                <w:rFonts w:cs="Times New Roman"/>
                <w:noProof/>
              </w:rPr>
              <w:t xml:space="preserve">2016 </w:t>
            </w:r>
          </w:p>
        </w:tc>
        <w:tc>
          <w:tcPr>
            <w:tcW w:w="1558" w:type="dxa"/>
            <w:vAlign w:val="center"/>
          </w:tcPr>
          <w:p w:rsidR="00083C3F" w:rsidRDefault="00E1215B">
            <w:pPr>
              <w:jc w:val="center"/>
              <w:rPr>
                <w:rFonts w:cs="Times New Roman"/>
                <w:noProof/>
              </w:rPr>
            </w:pPr>
            <w:r>
              <w:rPr>
                <w:rFonts w:cs="Times New Roman"/>
                <w:noProof/>
              </w:rPr>
              <w:t>5.4%</w:t>
            </w:r>
          </w:p>
        </w:tc>
      </w:tr>
    </w:tbl>
    <w:p w:rsidR="00083C3F" w:rsidRDefault="00E1215B">
      <w:pPr>
        <w:rPr>
          <w:noProof/>
        </w:rPr>
      </w:pPr>
      <w:r>
        <w:rPr>
          <w:noProof/>
        </w:rPr>
        <w:br w:type="page"/>
      </w:r>
    </w:p>
    <w:p w:rsidR="00083C3F" w:rsidRDefault="00E1215B">
      <w:pPr>
        <w:pStyle w:val="Heading1"/>
        <w:keepNext w:val="0"/>
        <w:keepLines w:val="0"/>
        <w:autoSpaceDE w:val="0"/>
        <w:autoSpaceDN w:val="0"/>
        <w:adjustRightInd w:val="0"/>
        <w:spacing w:before="240"/>
        <w:jc w:val="left"/>
        <w:rPr>
          <w:noProof/>
        </w:rPr>
      </w:pPr>
      <w:bookmarkStart w:id="178" w:name="_Toc481140398"/>
      <w:bookmarkStart w:id="179" w:name="_Toc482710970"/>
      <w:bookmarkStart w:id="180" w:name="_Toc482715292"/>
      <w:r>
        <w:rPr>
          <w:noProof/>
        </w:rPr>
        <w:t>Institutional investment: Investing for Long-term, Infrastructure and Sustainable Investment</w:t>
      </w:r>
      <w:bookmarkEnd w:id="178"/>
      <w:bookmarkEnd w:id="179"/>
      <w:bookmarkEnd w:id="180"/>
    </w:p>
    <w:p w:rsidR="00083C3F" w:rsidRDefault="00E1215B">
      <w:pPr>
        <w:rPr>
          <w:noProof/>
        </w:rPr>
      </w:pPr>
      <w:r>
        <w:rPr>
          <w:noProof/>
        </w:rPr>
        <w:t>Institutional investors that have long-term liabilities are an important source of finance for long-term sustainable investments, such as those in infrastructure and green bonds. Given their long-term liability structure, the focus is primarily on insuranc</w:t>
      </w:r>
      <w:r>
        <w:rPr>
          <w:noProof/>
        </w:rPr>
        <w:t xml:space="preserve">e companies and pension funds' contribution to more long-term sustainable investments. </w:t>
      </w:r>
    </w:p>
    <w:p w:rsidR="00083C3F" w:rsidRDefault="00E1215B">
      <w:pPr>
        <w:pStyle w:val="Heading2"/>
        <w:rPr>
          <w:noProof/>
        </w:rPr>
      </w:pPr>
      <w:bookmarkStart w:id="181" w:name="_Toc481140399"/>
      <w:bookmarkStart w:id="182" w:name="_Toc482710971"/>
      <w:bookmarkStart w:id="183" w:name="_Toc482715293"/>
      <w:r>
        <w:rPr>
          <w:noProof/>
        </w:rPr>
        <w:t>Long-term institutional investments at the forefront</w:t>
      </w:r>
      <w:bookmarkEnd w:id="181"/>
      <w:bookmarkEnd w:id="182"/>
      <w:bookmarkEnd w:id="183"/>
    </w:p>
    <w:p w:rsidR="00083C3F" w:rsidRDefault="00E1215B">
      <w:pPr>
        <w:rPr>
          <w:noProof/>
        </w:rPr>
      </w:pPr>
      <w:r>
        <w:rPr>
          <w:noProof/>
        </w:rPr>
        <w:t>The strategic asset allocation of institutional investors with long-term liabilities relies on the ability to act w</w:t>
      </w:r>
      <w:r>
        <w:rPr>
          <w:noProof/>
        </w:rPr>
        <w:t>ith limited constraints about liquidity of investments to implement such strategies. They can act as shock absorbers in the economy by providing liquidity and not being forced to sell assets when asset prices drop. Therefore, they express a counter-cyclica</w:t>
      </w:r>
      <w:r>
        <w:rPr>
          <w:noProof/>
        </w:rPr>
        <w:t>l view. Their importance in national economies can be gauged by the size of their asset holdings relative to GDP. Pension funds and insurers are major investors in a large number of developed economies, with assets representing over 60% of GDP in Europe an</w:t>
      </w:r>
      <w:r>
        <w:rPr>
          <w:noProof/>
        </w:rPr>
        <w:t>d other countries, such as Canada and the US (OECD 2015).</w:t>
      </w:r>
      <w:r>
        <w:rPr>
          <w:b/>
          <w:bCs/>
          <w:i/>
          <w:iCs/>
          <w:noProof/>
        </w:rPr>
        <w:t xml:space="preserve"> </w:t>
      </w:r>
      <w:r>
        <w:rPr>
          <w:noProof/>
        </w:rPr>
        <w:t xml:space="preserve">In </w:t>
      </w:r>
      <w:r>
        <w:rPr>
          <w:rStyle w:val="Emphasis"/>
          <w:rFonts w:cs="Times New Roman"/>
          <w:i w:val="0"/>
          <w:noProof/>
          <w:szCs w:val="24"/>
        </w:rPr>
        <w:t>2015</w:t>
      </w:r>
      <w:r>
        <w:rPr>
          <w:noProof/>
        </w:rPr>
        <w:t>, the European insurance market was the largest in the world having combined total assets of EUR 9.89 trillion. France, the United Kingdom and Germany represent each about a fifth of the tota</w:t>
      </w:r>
      <w:r>
        <w:rPr>
          <w:noProof/>
        </w:rPr>
        <w:t>l amount, with Italy representing 7%. The European pension market was the second largest in the world in 2015. Combined assets under management totalled EUR 6.16 trillion for the top 1000 pension funds. It should be noted that the United Kingdom and the Ne</w:t>
      </w:r>
      <w:r>
        <w:rPr>
          <w:noProof/>
        </w:rPr>
        <w:t xml:space="preserve">therlands account for some 39% of those assets (PwC 2016). In 2014, the combined GDP of the EU Member States was EUR 13.96 trillion. </w:t>
      </w:r>
    </w:p>
    <w:p w:rsidR="00083C3F" w:rsidRDefault="00E1215B">
      <w:pPr>
        <w:pStyle w:val="Heading3"/>
        <w:rPr>
          <w:noProof/>
        </w:rPr>
      </w:pPr>
      <w:bookmarkStart w:id="184" w:name="_Toc481140400"/>
      <w:bookmarkStart w:id="185" w:name="_Toc482710972"/>
      <w:bookmarkStart w:id="186" w:name="_Toc482715294"/>
      <w:r>
        <w:rPr>
          <w:noProof/>
        </w:rPr>
        <w:t>Trends</w:t>
      </w:r>
      <w:bookmarkEnd w:id="184"/>
      <w:bookmarkEnd w:id="185"/>
      <w:bookmarkEnd w:id="186"/>
    </w:p>
    <w:p w:rsidR="00083C3F" w:rsidRDefault="00E1215B">
      <w:pPr>
        <w:pStyle w:val="Heading4"/>
        <w:rPr>
          <w:noProof/>
        </w:rPr>
      </w:pPr>
      <w:r>
        <w:rPr>
          <w:noProof/>
        </w:rPr>
        <w:t>Pension funds</w:t>
      </w:r>
    </w:p>
    <w:p w:rsidR="00083C3F" w:rsidRDefault="00E1215B">
      <w:pPr>
        <w:rPr>
          <w:noProof/>
        </w:rPr>
      </w:pPr>
      <w:r>
        <w:rPr>
          <w:noProof/>
        </w:rPr>
        <w:t>In 2015, pension funds invested around 30% of the total portfolio in equity (Pensions Europe 2016). I</w:t>
      </w:r>
      <w:r>
        <w:rPr>
          <w:noProof/>
        </w:rPr>
        <w:t>rish pension funds hold more than 50% of their investments in equity. Data from the Dutch Central Bank indicate that the share of equity holdings by Dutch pension funds has decreased over the past years to 13% at the end of Q3 2016. This reflects however a</w:t>
      </w:r>
      <w:r>
        <w:rPr>
          <w:noProof/>
        </w:rPr>
        <w:t xml:space="preserve"> shift towards indirect holdings of equity via mutual funds (50% in Q3 2016). As much as 80% of direct equity holdings are invested outside the euro area.</w:t>
      </w:r>
    </w:p>
    <w:p w:rsidR="00083C3F" w:rsidRDefault="00E1215B">
      <w:pPr>
        <w:rPr>
          <w:noProof/>
        </w:rPr>
      </w:pPr>
      <w:r>
        <w:rPr>
          <w:noProof/>
        </w:rPr>
        <w:t xml:space="preserve">There is quite some heterogeneity in the asset allocation between EU Member States. In 2015, pension </w:t>
      </w:r>
      <w:r>
        <w:rPr>
          <w:noProof/>
        </w:rPr>
        <w:t xml:space="preserve">funds in continental Europe had a more conservative asset allocation than their counterparts in the US with the exception of Poland (see </w:t>
      </w:r>
      <w:r>
        <w:rPr>
          <w:noProof/>
        </w:rPr>
        <w:fldChar w:fldCharType="begin"/>
      </w:r>
      <w:r>
        <w:rPr>
          <w:noProof/>
        </w:rPr>
        <w:instrText xml:space="preserve"> REF _Ref479675831 \h </w:instrText>
      </w:r>
      <w:r>
        <w:rPr>
          <w:noProof/>
        </w:rPr>
      </w:r>
      <w:r>
        <w:rPr>
          <w:noProof/>
        </w:rPr>
        <w:fldChar w:fldCharType="separate"/>
      </w:r>
      <w:r>
        <w:rPr>
          <w:noProof/>
        </w:rPr>
        <w:t>Figure 5.1</w:t>
      </w:r>
      <w:r>
        <w:rPr>
          <w:noProof/>
        </w:rPr>
        <w:fldChar w:fldCharType="end"/>
      </w:r>
      <w:r>
        <w:rPr>
          <w:noProof/>
        </w:rPr>
        <w:t xml:space="preserve">). A large share of </w:t>
      </w:r>
      <w:r>
        <w:rPr>
          <w:noProof/>
        </w:rPr>
        <w:t>investment has gone into government bonds and less than 30% of assets were in (listed and unlisted) equity.</w:t>
      </w:r>
    </w:p>
    <w:p w:rsidR="00083C3F" w:rsidRDefault="00083C3F">
      <w:pPr>
        <w:rPr>
          <w:rFonts w:cs="Times New Roman"/>
          <w:noProof/>
          <w:szCs w:val="24"/>
        </w:rPr>
      </w:pPr>
    </w:p>
    <w:p w:rsidR="00083C3F" w:rsidRDefault="00E1215B">
      <w:pPr>
        <w:pStyle w:val="Caption"/>
      </w:pPr>
      <w:bookmarkStart w:id="187" w:name="_Ref479675831"/>
      <w:r>
        <w:t xml:space="preserve">Figure </w:t>
      </w:r>
      <w:r>
        <w:fldChar w:fldCharType="begin"/>
      </w:r>
      <w:r>
        <w:instrText xml:space="preserve"> STYLEREF 1 \s </w:instrText>
      </w:r>
      <w:r>
        <w:fldChar w:fldCharType="separate"/>
      </w:r>
      <w:r>
        <w:t>5</w:t>
      </w:r>
      <w:r>
        <w:fldChar w:fldCharType="end"/>
      </w:r>
      <w:r>
        <w:t>.</w:t>
      </w:r>
      <w:r>
        <w:fldChar w:fldCharType="begin"/>
      </w:r>
      <w:r>
        <w:instrText xml:space="preserve"> SEQ Figure \* ARABIC \s 1 </w:instrText>
      </w:r>
      <w:r>
        <w:fldChar w:fldCharType="separate"/>
      </w:r>
      <w:r>
        <w:t>1</w:t>
      </w:r>
      <w:r>
        <w:fldChar w:fldCharType="end"/>
      </w:r>
      <w:bookmarkEnd w:id="187"/>
      <w:r>
        <w:t xml:space="preserve"> Asset allocation of autonomous pension funds (% of total investment, 2015)</w:t>
      </w:r>
    </w:p>
    <w:p w:rsidR="00083C3F" w:rsidRDefault="00E1215B">
      <w:pPr>
        <w:pStyle w:val="Figure"/>
        <w:rPr>
          <w:noProof/>
        </w:rPr>
      </w:pPr>
      <w:r>
        <w:rPr>
          <w:noProof/>
          <w:lang w:eastAsia="en-GB"/>
        </w:rPr>
        <w:drawing>
          <wp:inline distT="0" distB="0" distL="0" distR="0" wp14:anchorId="25DEE64C" wp14:editId="7335AF46">
            <wp:extent cx="5248276" cy="3348037"/>
            <wp:effectExtent l="0" t="0" r="0" b="508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lang w:eastAsia="en-GB"/>
        </w:rPr>
        <w:t xml:space="preserve"> </w:t>
      </w:r>
    </w:p>
    <w:p w:rsidR="00083C3F" w:rsidRDefault="00E1215B">
      <w:pPr>
        <w:pStyle w:val="Source"/>
        <w:rPr>
          <w:noProof/>
        </w:rPr>
      </w:pPr>
      <w:r>
        <w:rPr>
          <w:noProof/>
        </w:rPr>
        <w:t>Source: OE</w:t>
      </w:r>
      <w:r>
        <w:rPr>
          <w:noProof/>
        </w:rPr>
        <w:t>CD (1)Figures for Ireland are from 2013 (2) The "Other" category includes loans, land and buildings, unallocated insurance contracts, hedge funds, private equity funds, structured products, other mutual funds (i.e. not invested in cash, bills and bonds, or</w:t>
      </w:r>
      <w:r>
        <w:rPr>
          <w:noProof/>
        </w:rPr>
        <w:t xml:space="preserve"> equities) and other investments.</w:t>
      </w:r>
    </w:p>
    <w:p w:rsidR="00083C3F" w:rsidRDefault="00E1215B">
      <w:pPr>
        <w:pStyle w:val="Heading4"/>
        <w:rPr>
          <w:noProof/>
        </w:rPr>
      </w:pPr>
      <w:r>
        <w:rPr>
          <w:noProof/>
        </w:rPr>
        <w:t>Insurance companies</w:t>
      </w:r>
    </w:p>
    <w:p w:rsidR="00083C3F" w:rsidRDefault="00E1215B">
      <w:pPr>
        <w:rPr>
          <w:noProof/>
        </w:rPr>
      </w:pPr>
      <w:r>
        <w:rPr>
          <w:noProof/>
        </w:rPr>
        <w:t>Compared to pension funds, equity investment by insurance undertakings are rather lower. Direct equity investment represents only around 6% of insurers' total investment portfolio, which is mainly inves</w:t>
      </w:r>
      <w:r>
        <w:rPr>
          <w:noProof/>
        </w:rPr>
        <w:t>ted in bonds (60%) and in other non-equity products (loans, deposits, structured notes, etc) for around 10%. Data from the industry suggest that the share of equity decreased compared to 10 years ago.</w:t>
      </w:r>
      <w:r>
        <w:rPr>
          <w:rStyle w:val="FootnoteReference"/>
          <w:noProof/>
        </w:rPr>
        <w:footnoteReference w:id="54"/>
      </w:r>
      <w:r>
        <w:rPr>
          <w:noProof/>
        </w:rPr>
        <w:t xml:space="preserve"> Drivers behind this change are multiple, including acc</w:t>
      </w:r>
      <w:r>
        <w:rPr>
          <w:noProof/>
        </w:rPr>
        <w:t>ounting and prudential treatment of equity exposure.</w:t>
      </w:r>
    </w:p>
    <w:p w:rsidR="00083C3F" w:rsidRDefault="00E1215B">
      <w:pPr>
        <w:rPr>
          <w:noProof/>
        </w:rPr>
      </w:pPr>
      <w:r>
        <w:rPr>
          <w:noProof/>
        </w:rPr>
        <w:t>Insurance companies have been rebalancing some of their direct investments in listed shares (currently at 6%) to indirect investment in equity shares via investment funds. in aggregate insurers’ allocati</w:t>
      </w:r>
      <w:r>
        <w:rPr>
          <w:noProof/>
        </w:rPr>
        <w:t>ons to debt-like products are generally significantly higher than to equity. A key shift in asset allocation can nevertheless be noted in the area of infrastructure, where insurers have significantly increased their exposures over recent years. This came a</w:t>
      </w:r>
      <w:r>
        <w:rPr>
          <w:noProof/>
        </w:rPr>
        <w:t>gainst the background of low interest rates and low returns on traditional assets, but also as a consequence of a strong political push in this area, focused on both the creation of infrastructure pipelines throughout the EU and the review of excessive pru</w:t>
      </w:r>
      <w:r>
        <w:rPr>
          <w:noProof/>
        </w:rPr>
        <w:t>dential barriers about which the insurance industry had expressed concerns. While the average EU allocation remains in the area of 1% of insurers’ total portfolios, a range of European companies have publicly expressed their intention to increase the avera</w:t>
      </w:r>
      <w:r>
        <w:rPr>
          <w:noProof/>
        </w:rPr>
        <w:t>ge weight to as much as 5-10% (Insurance Europe 2016).</w:t>
      </w:r>
    </w:p>
    <w:p w:rsidR="00083C3F" w:rsidRDefault="00E1215B">
      <w:pPr>
        <w:pStyle w:val="Caption"/>
      </w:pPr>
      <w:r>
        <w:t xml:space="preserve">Figure </w:t>
      </w:r>
      <w:r>
        <w:fldChar w:fldCharType="begin"/>
      </w:r>
      <w:r>
        <w:instrText xml:space="preserve"> STYLEREF 1 \s </w:instrText>
      </w:r>
      <w:r>
        <w:fldChar w:fldCharType="separate"/>
      </w:r>
      <w:r>
        <w:t>5</w:t>
      </w:r>
      <w:r>
        <w:fldChar w:fldCharType="end"/>
      </w:r>
      <w:r>
        <w:t>.</w:t>
      </w:r>
      <w:r>
        <w:fldChar w:fldCharType="begin"/>
      </w:r>
      <w:r>
        <w:instrText xml:space="preserve"> SEQ Figure \* ARABIC \s 1 </w:instrText>
      </w:r>
      <w:r>
        <w:fldChar w:fldCharType="separate"/>
      </w:r>
      <w:r>
        <w:t>2</w:t>
      </w:r>
      <w:r>
        <w:fldChar w:fldCharType="end"/>
      </w:r>
      <w:r>
        <w:t xml:space="preserve"> Breakdown of insurers' investment portfolio – 2014 (%)</w:t>
      </w:r>
    </w:p>
    <w:p w:rsidR="00083C3F" w:rsidRDefault="00E1215B">
      <w:pPr>
        <w:keepNext/>
        <w:rPr>
          <w:noProof/>
        </w:rPr>
      </w:pPr>
      <w:r>
        <w:rPr>
          <w:noProof/>
          <w:lang w:eastAsia="en-GB"/>
        </w:rPr>
        <w:drawing>
          <wp:inline distT="0" distB="0" distL="0" distR="0" wp14:anchorId="6D91FD13" wp14:editId="14A6AA48">
            <wp:extent cx="5760720" cy="2944495"/>
            <wp:effectExtent l="0" t="0" r="0"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83C3F" w:rsidRDefault="00E1215B">
      <w:pPr>
        <w:pStyle w:val="Source"/>
        <w:rPr>
          <w:rFonts w:cs="Times New Roman"/>
          <w:noProof/>
          <w:szCs w:val="24"/>
        </w:rPr>
      </w:pPr>
      <w:r>
        <w:rPr>
          <w:noProof/>
        </w:rPr>
        <w:t>Source: Insurance Europe</w:t>
      </w:r>
    </w:p>
    <w:p w:rsidR="00083C3F" w:rsidRDefault="00E1215B">
      <w:pPr>
        <w:pStyle w:val="Heading3"/>
        <w:rPr>
          <w:noProof/>
        </w:rPr>
      </w:pPr>
      <w:bookmarkStart w:id="188" w:name="_Toc481140401"/>
      <w:bookmarkStart w:id="189" w:name="_Toc482710973"/>
      <w:bookmarkStart w:id="190" w:name="_Toc482715295"/>
      <w:r>
        <w:rPr>
          <w:noProof/>
        </w:rPr>
        <w:t>Drivers</w:t>
      </w:r>
      <w:bookmarkEnd w:id="188"/>
      <w:bookmarkEnd w:id="189"/>
      <w:bookmarkEnd w:id="190"/>
    </w:p>
    <w:p w:rsidR="00083C3F" w:rsidRDefault="00E1215B">
      <w:pPr>
        <w:rPr>
          <w:noProof/>
        </w:rPr>
      </w:pPr>
      <w:r>
        <w:rPr>
          <w:noProof/>
        </w:rPr>
        <w:t>The investment strategies of institutional investors differ significantly across countries. Asset allocation is influenced by a variety of factors, such as market trends, investment beliefs, regulation, risk appetite, liability considerations, cultural fac</w:t>
      </w:r>
      <w:r>
        <w:rPr>
          <w:noProof/>
        </w:rPr>
        <w:t xml:space="preserve">tors, governance structures, tax issues and ultimately domestically available assets (OECD 2015). </w:t>
      </w:r>
    </w:p>
    <w:p w:rsidR="00083C3F" w:rsidRDefault="00E1215B">
      <w:pPr>
        <w:rPr>
          <w:noProof/>
        </w:rPr>
      </w:pPr>
      <w:r>
        <w:rPr>
          <w:noProof/>
        </w:rPr>
        <w:t xml:space="preserve">Traditionally, institutional investors have been a source of long-term investments via two main asset classes (bonds and equities) and an investment horizon </w:t>
      </w:r>
      <w:r>
        <w:rPr>
          <w:noProof/>
        </w:rPr>
        <w:t>tied to the often long-term nature of their liabilities. However, over the last decade there have been major shifts in investment strategies. Very low rates have created a demand for a kind of “barbell” portfolio in institutional investment: large asset al</w:t>
      </w:r>
      <w:r>
        <w:rPr>
          <w:noProof/>
        </w:rPr>
        <w:t>locations to both i) private equity and low cost exchange-traded funds (ETF) at one end; and ii) capital market risk assets, based on leverage, that pay higher short-term cash yields (e.g. hedge and absolute return funds, etc.) at the other end. In between</w:t>
      </w:r>
      <w:r>
        <w:rPr>
          <w:noProof/>
        </w:rPr>
        <w:t xml:space="preserve"> is an allocation to equities, cash and bonds within which further herding of investors into concentrated positions is found: into high-yield non-investment grade bonds; and into equities that focus on providing strong dividends and buybacks (OECD 2016). S</w:t>
      </w:r>
      <w:r>
        <w:rPr>
          <w:noProof/>
        </w:rPr>
        <w:t>ignificant adjustments to strategic asset allocation have been rare, with the exception of a long-term trend among many institutions to shift more of their portfolios to illiquid assets.</w:t>
      </w:r>
    </w:p>
    <w:p w:rsidR="00083C3F" w:rsidRDefault="00E1215B">
      <w:pPr>
        <w:rPr>
          <w:noProof/>
        </w:rPr>
      </w:pPr>
      <w:r>
        <w:rPr>
          <w:noProof/>
        </w:rPr>
        <w:t>Until recently, strategic asset allocation has been rather nonstrateg</w:t>
      </w:r>
      <w:r>
        <w:rPr>
          <w:noProof/>
        </w:rPr>
        <w:t>ic. Most institutions used historical estimates of returns, correlation, and volatility, plugged in relevant constraints, and generated a frontier of portfolio options that theoretically matched their risk and return objectives. Instead of working on strat</w:t>
      </w:r>
      <w:r>
        <w:rPr>
          <w:noProof/>
        </w:rPr>
        <w:t>egic asset allocation, many institutions have focused the bulk of their time on searching for alpha through a number of means, including active management (both internal and external) and direct investing in illiquid asset classes. The work on beta has bee</w:t>
      </w:r>
      <w:r>
        <w:rPr>
          <w:noProof/>
        </w:rPr>
        <w:t>n mainly to reduce costs, often through internalizing management, with some exploration of enhanced-beta portfolios. Institutions generally spent 20 percent of their time on beta, including strategic asset allocation, and 80 percent on the search for alpha</w:t>
      </w:r>
      <w:r>
        <w:rPr>
          <w:noProof/>
        </w:rPr>
        <w:t>. By far the most important change, however, is coming to the 80/20 alpha/beta management approach. Institutions plan to change those proportions by focusing on building portfolio-construction capabilities, given that these drive the vast majority of long-</w:t>
      </w:r>
      <w:r>
        <w:rPr>
          <w:noProof/>
        </w:rPr>
        <w:t xml:space="preserve">term returns (McKinsey 2015). </w:t>
      </w:r>
    </w:p>
    <w:p w:rsidR="00083C3F" w:rsidRDefault="00E1215B">
      <w:pPr>
        <w:rPr>
          <w:noProof/>
        </w:rPr>
      </w:pPr>
      <w:r>
        <w:rPr>
          <w:noProof/>
        </w:rPr>
        <w:t>The financial crisis showed big investors that they didn't fully know their own portfolios. Moreover, they felt they were overpaying middlemen – fees of 2% of the sum invested and 20% of profits were once common – and were wo</w:t>
      </w:r>
      <w:r>
        <w:rPr>
          <w:noProof/>
        </w:rPr>
        <w:t>rking to different time horizons (pension funds invest for generations; private-equity funds for five years). A long investment horizon is the institutional investor’s greatest competitive advantage, yet asset-managers’ cycles have become ever shorter.</w:t>
      </w:r>
    </w:p>
    <w:p w:rsidR="00083C3F" w:rsidRDefault="00E1215B">
      <w:pPr>
        <w:rPr>
          <w:noProof/>
        </w:rPr>
      </w:pPr>
      <w:r>
        <w:rPr>
          <w:noProof/>
        </w:rPr>
        <w:t>Pen</w:t>
      </w:r>
      <w:r>
        <w:rPr>
          <w:noProof/>
        </w:rPr>
        <w:t>sion funds and insurers are significantly increasing their direct investments —a response in part to high fees and disappointing returns of many asset managers. The trend is a logical extension of the practice of co-investing platforms, in which institutio</w:t>
      </w:r>
      <w:r>
        <w:rPr>
          <w:noProof/>
        </w:rPr>
        <w:t>ns put money directly into specific deals alongside funds in which they have also invested. Institutions have demanded such opportunities both to cut the overall cost of investing via private-equity funds and to gain experience that might help them initiat</w:t>
      </w:r>
      <w:r>
        <w:rPr>
          <w:noProof/>
        </w:rPr>
        <w:t>e deals of their own in future (Monk and Sharma 2015).</w:t>
      </w:r>
    </w:p>
    <w:p w:rsidR="00083C3F" w:rsidRDefault="00E1215B">
      <w:pPr>
        <w:pStyle w:val="Heading2"/>
        <w:rPr>
          <w:noProof/>
        </w:rPr>
      </w:pPr>
      <w:bookmarkStart w:id="191" w:name="_Toc481140402"/>
      <w:bookmarkStart w:id="192" w:name="_Toc482710974"/>
      <w:bookmarkStart w:id="193" w:name="_Toc482715296"/>
      <w:r>
        <w:rPr>
          <w:noProof/>
        </w:rPr>
        <w:t>Infrastructure</w:t>
      </w:r>
      <w:bookmarkEnd w:id="191"/>
      <w:bookmarkEnd w:id="192"/>
      <w:bookmarkEnd w:id="193"/>
    </w:p>
    <w:p w:rsidR="00083C3F" w:rsidRDefault="00E1215B">
      <w:pPr>
        <w:rPr>
          <w:noProof/>
        </w:rPr>
      </w:pPr>
      <w:r>
        <w:rPr>
          <w:noProof/>
        </w:rPr>
        <w:t>Infrastructure is usually divided into economic and social sectors. Using a broad definition economic infrastructure typically includes transport; utilities</w:t>
      </w:r>
      <w:r>
        <w:rPr>
          <w:rStyle w:val="FootnoteReference"/>
          <w:noProof/>
        </w:rPr>
        <w:footnoteReference w:id="55"/>
      </w:r>
      <w:r>
        <w:rPr>
          <w:noProof/>
        </w:rPr>
        <w:t>; communication; and renewabl</w:t>
      </w:r>
      <w:r>
        <w:rPr>
          <w:noProof/>
        </w:rPr>
        <w:t>e energy. Social infrastructure - also called public real estate – includes schools, hospitals and stadiums. An investor classifies infrastructure along its risk/return profile. The investor perspective is important when defining infrastructure, as these d</w:t>
      </w:r>
      <w:r>
        <w:rPr>
          <w:noProof/>
        </w:rPr>
        <w:t>ifferences will ultimately attract or deter different sources of private finance (Della Croce 2011).</w:t>
      </w:r>
    </w:p>
    <w:p w:rsidR="00083C3F" w:rsidRDefault="00E1215B">
      <w:pPr>
        <w:rPr>
          <w:noProof/>
        </w:rPr>
      </w:pPr>
      <w:r>
        <w:rPr>
          <w:noProof/>
        </w:rPr>
        <w:t xml:space="preserve">Ageing infrastructure facilities are deteriorating. This combined with urbanisation trends and albeit slower but continuing growth of the population and </w:t>
      </w:r>
      <w:r>
        <w:rPr>
          <w:noProof/>
        </w:rPr>
        <w:t>shifting demographics makes for massive and growing infrastructure needs (European Commission 2017). The European Investment Bank (EIB) estimated that the total cumulative infrastructure investment needs in the EU could reach up to EUR 2 trillion for the p</w:t>
      </w:r>
      <w:r>
        <w:rPr>
          <w:noProof/>
        </w:rPr>
        <w:t>eriod up to 2020.</w:t>
      </w:r>
    </w:p>
    <w:p w:rsidR="00083C3F" w:rsidRDefault="00E1215B">
      <w:pPr>
        <w:rPr>
          <w:noProof/>
        </w:rPr>
      </w:pPr>
      <w:r>
        <w:rPr>
          <w:noProof/>
        </w:rPr>
        <w:t>Over the last decades, public capital investment in infrastructure has on average declined in OECD countries. The OECD average ratio of capital spent in fixed investment (mainly infrastructure) to GDP fell from above 4% in 1980 to approxi</w:t>
      </w:r>
      <w:r>
        <w:rPr>
          <w:noProof/>
        </w:rPr>
        <w:t>mately 3% in 2005. This reflected a decline in public investment in countries with both traditionally high and low public investment rates between the early 1980s and late 1990s, though it has subsequently stabilized (Della Croce and Yermo 2013).</w:t>
      </w:r>
    </w:p>
    <w:p w:rsidR="00083C3F" w:rsidRDefault="00E1215B">
      <w:pPr>
        <w:rPr>
          <w:rFonts w:cs="Times New Roman"/>
          <w:noProof/>
          <w:szCs w:val="24"/>
        </w:rPr>
      </w:pPr>
      <w:r>
        <w:rPr>
          <w:rFonts w:cs="Times New Roman"/>
          <w:noProof/>
          <w:szCs w:val="24"/>
        </w:rPr>
        <w:t>Portfolio</w:t>
      </w:r>
      <w:r>
        <w:rPr>
          <w:rFonts w:cs="Times New Roman"/>
          <w:noProof/>
          <w:szCs w:val="24"/>
        </w:rPr>
        <w:t xml:space="preserve"> allocations of pension funds to infrastructure debt and equity are small, at around 0.5% (Della Croce 2012). A major reason for the apparent mismatch between infrastructure investment demand and the supply of infrastructure finance is the lack of a pipeli</w:t>
      </w:r>
      <w:r>
        <w:rPr>
          <w:rFonts w:cs="Times New Roman"/>
          <w:noProof/>
          <w:szCs w:val="24"/>
        </w:rPr>
        <w:t>ne of properly structured projects. Infrastructure investments entail complex legal and financial arrangements, requiring a lot of expertise. Building up the necessary expertise is costly, and investors will only be willing to incur these fixed costs if th</w:t>
      </w:r>
      <w:r>
        <w:rPr>
          <w:rFonts w:cs="Times New Roman"/>
          <w:noProof/>
          <w:szCs w:val="24"/>
        </w:rPr>
        <w:t>ere is a sufficient and predictable pipeline of infrastructure investment opportunities. Otherwise, the costs can easily outweigh the potential benefits of investing into infrastructure over other, less complex, asset classes.</w:t>
      </w:r>
    </w:p>
    <w:p w:rsidR="00083C3F" w:rsidRDefault="00E1215B">
      <w:pPr>
        <w:rPr>
          <w:noProof/>
        </w:rPr>
      </w:pPr>
      <w:r>
        <w:rPr>
          <w:noProof/>
        </w:rPr>
        <w:t>The lion’s share of the growt</w:t>
      </w:r>
      <w:r>
        <w:rPr>
          <w:noProof/>
        </w:rPr>
        <w:t>h in infrastructure financing is shouldered by banks (Ehlers 2014). Banks will remain important financiers, in particular in the early stages of new projects (see Box 7). But banks, which have mostly short-term liabilities, are not well-placed to hold long</w:t>
      </w:r>
      <w:r>
        <w:rPr>
          <w:noProof/>
        </w:rPr>
        <w:t>-term assets on their balance sheets for an extended period of time. Bonds would be suitable instruments for large pension funds and insurance companies with their long-term liabilities. In addition, other new forms of finance, such as infrastructure inves</w:t>
      </w:r>
      <w:r>
        <w:rPr>
          <w:noProof/>
        </w:rPr>
        <w:t xml:space="preserve">tment funds, can help to tap some of the vast resources of international capital markets. The project bond and loan market has been gradually increasing over the last four years; reaching EUR 70 billion at end-2015 (see </w:t>
      </w:r>
      <w:r>
        <w:rPr>
          <w:noProof/>
        </w:rPr>
        <w:fldChar w:fldCharType="begin"/>
      </w:r>
      <w:r>
        <w:rPr>
          <w:noProof/>
        </w:rPr>
        <w:instrText xml:space="preserve"> REF _Ref481140473 </w:instrText>
      </w:r>
      <w:r>
        <w:rPr>
          <w:noProof/>
        </w:rPr>
        <w:fldChar w:fldCharType="separate"/>
      </w:r>
      <w:r>
        <w:rPr>
          <w:noProof/>
        </w:rPr>
        <w:t>Figure 5.3</w:t>
      </w:r>
      <w:r>
        <w:rPr>
          <w:noProof/>
        </w:rPr>
        <w:fldChar w:fldCharType="end"/>
      </w:r>
      <w:r>
        <w:rPr>
          <w:noProof/>
        </w:rPr>
        <w:t xml:space="preserve">). </w:t>
      </w:r>
    </w:p>
    <w:p w:rsidR="00083C3F" w:rsidRDefault="00E1215B">
      <w:pPr>
        <w:pStyle w:val="Caption"/>
      </w:pPr>
      <w:bookmarkStart w:id="194" w:name="_Ref481140473"/>
      <w:r>
        <w:t xml:space="preserve">Figure </w:t>
      </w:r>
      <w:r>
        <w:rPr>
          <w:i w:val="0"/>
        </w:rPr>
        <w:fldChar w:fldCharType="begin"/>
      </w:r>
      <w:r>
        <w:instrText xml:space="preserve"> STYLEREF 1 \s </w:instrText>
      </w:r>
      <w:r>
        <w:rPr>
          <w:i w:val="0"/>
        </w:rPr>
        <w:fldChar w:fldCharType="separate"/>
      </w:r>
      <w:r>
        <w:t>5</w:t>
      </w:r>
      <w:r>
        <w:rPr>
          <w:i w:val="0"/>
        </w:rPr>
        <w:fldChar w:fldCharType="end"/>
      </w:r>
      <w:r>
        <w:t>.</w:t>
      </w:r>
      <w:r>
        <w:rPr>
          <w:i w:val="0"/>
        </w:rPr>
        <w:fldChar w:fldCharType="begin"/>
      </w:r>
      <w:r>
        <w:instrText xml:space="preserve"> SEQ Figure \* ARABIC \s 1 </w:instrText>
      </w:r>
      <w:r>
        <w:rPr>
          <w:i w:val="0"/>
        </w:rPr>
        <w:fldChar w:fldCharType="separate"/>
      </w:r>
      <w:r>
        <w:t>3</w:t>
      </w:r>
      <w:r>
        <w:rPr>
          <w:i w:val="0"/>
        </w:rPr>
        <w:fldChar w:fldCharType="end"/>
      </w:r>
      <w:bookmarkEnd w:id="194"/>
      <w:r>
        <w:t xml:space="preserve"> Historical European project financing issuance (EUR million)</w:t>
      </w:r>
    </w:p>
    <w:p w:rsidR="00083C3F" w:rsidRDefault="00E1215B">
      <w:pPr>
        <w:pStyle w:val="Caption"/>
      </w:pPr>
      <w:r>
        <w:rPr>
          <w:lang w:eastAsia="en-GB"/>
        </w:rPr>
        <w:drawing>
          <wp:inline distT="0" distB="0" distL="0" distR="0" wp14:anchorId="58DF40AE" wp14:editId="07C139B7">
            <wp:extent cx="5972810" cy="2343785"/>
            <wp:effectExtent l="0" t="0" r="889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t>Source: Thomson Reuters Project Finance International and Scope.</w:t>
      </w:r>
    </w:p>
    <w:p w:rsidR="00083C3F" w:rsidRDefault="00E1215B">
      <w:pPr>
        <w:rPr>
          <w:noProof/>
        </w:rPr>
      </w:pPr>
      <w:r>
        <w:rPr>
          <w:noProof/>
        </w:rPr>
        <w:t>Facing constraints on public resources and fiscal space, while recogni</w:t>
      </w:r>
      <w:r>
        <w:rPr>
          <w:noProof/>
        </w:rPr>
        <w:t>zing the importance of investment in infrastructure to help their economies grow, governments are increasingly turning to the private sector as an alternative additional source of funding to meet the funding gap (World Bank 2016). PPPs enable cooperation b</w:t>
      </w:r>
      <w:r>
        <w:rPr>
          <w:noProof/>
        </w:rPr>
        <w:t>etween a government and one or more private sector companies to finance and operate long term infrastructure projects in sectors such as transport, healthcare and environment. In 2016, the aggregate value of PPP transactions that reached financial close in</w:t>
      </w:r>
      <w:r>
        <w:rPr>
          <w:noProof/>
        </w:rPr>
        <w:t xml:space="preserve"> the European market totalled EUR 12 billion, a considerable decrease from 2007.  Education was the most active sector in terms of number of deals with 27 projects closed and an aggregate value of EUR 1.6 billion, thus achieving its best performance since </w:t>
      </w:r>
      <w:r>
        <w:rPr>
          <w:noProof/>
        </w:rPr>
        <w:t>2010. In the healthcare sector, whilst the number of projects that reached financial close increased to 15, the aggregate value contracted significantly to EUR 2.3 billion. Four projects in France closed in the telecommunications sector for an aggregate va</w:t>
      </w:r>
      <w:r>
        <w:rPr>
          <w:noProof/>
        </w:rPr>
        <w:t xml:space="preserve">lue of EUR 1.2 billion. </w:t>
      </w:r>
    </w:p>
    <w:p w:rsidR="00083C3F" w:rsidRDefault="00E1215B">
      <w:pPr>
        <w:pStyle w:val="Caption"/>
      </w:pPr>
      <w:r>
        <w:t xml:space="preserve">Figure </w:t>
      </w:r>
      <w:r>
        <w:fldChar w:fldCharType="begin"/>
      </w:r>
      <w:r>
        <w:instrText xml:space="preserve"> STYLEREF 1 \s </w:instrText>
      </w:r>
      <w:r>
        <w:fldChar w:fldCharType="separate"/>
      </w:r>
      <w:r>
        <w:t>5</w:t>
      </w:r>
      <w:r>
        <w:fldChar w:fldCharType="end"/>
      </w:r>
      <w:r>
        <w:t>.</w:t>
      </w:r>
      <w:r>
        <w:fldChar w:fldCharType="begin"/>
      </w:r>
      <w:r>
        <w:instrText xml:space="preserve"> SEQ Figure \* ARABIC \s 1 </w:instrText>
      </w:r>
      <w:r>
        <w:fldChar w:fldCharType="separate"/>
      </w:r>
      <w:r>
        <w:t>4</w:t>
      </w:r>
      <w:r>
        <w:fldChar w:fldCharType="end"/>
      </w:r>
      <w:r>
        <w:t xml:space="preserve"> The European PPP Market by Value and Number of Projects since 2007</w:t>
      </w:r>
    </w:p>
    <w:p w:rsidR="00083C3F" w:rsidRDefault="00E1215B">
      <w:pPr>
        <w:pStyle w:val="Figure"/>
        <w:rPr>
          <w:noProof/>
        </w:rPr>
      </w:pPr>
      <w:r>
        <w:rPr>
          <w:noProof/>
          <w:lang w:eastAsia="en-GB"/>
        </w:rPr>
        <w:drawing>
          <wp:inline distT="0" distB="0" distL="0" distR="0" wp14:anchorId="1ACFE78B" wp14:editId="34F26C9B">
            <wp:extent cx="5553074" cy="26479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83C3F" w:rsidRDefault="00E1215B">
      <w:pPr>
        <w:pStyle w:val="Source"/>
        <w:rPr>
          <w:noProof/>
          <w:lang w:val="fr-BE"/>
        </w:rPr>
      </w:pPr>
      <w:r>
        <w:rPr>
          <w:noProof/>
          <w:lang w:val="fr-BE"/>
        </w:rPr>
        <w:t>Source: European PPP Expertise Centre (EPEC)</w:t>
      </w:r>
    </w:p>
    <w:p w:rsidR="00083C3F" w:rsidRDefault="00E1215B">
      <w:pPr>
        <w:pStyle w:val="Box"/>
        <w:rPr>
          <w:noProof/>
        </w:rPr>
      </w:pPr>
      <w:r>
        <w:rPr>
          <w:noProof/>
        </w:rPr>
        <w:t>Different financing instruments for different phases</w:t>
      </w:r>
    </w:p>
    <w:p w:rsidR="00083C3F" w:rsidRDefault="00E1215B">
      <w:pPr>
        <w:shd w:val="clear" w:color="auto" w:fill="DBE5F1" w:themeFill="accent1" w:themeFillTint="33"/>
        <w:rPr>
          <w:noProof/>
        </w:rPr>
      </w:pPr>
      <w:r>
        <w:rPr>
          <w:noProof/>
        </w:rPr>
        <w:t>A typ</w:t>
      </w:r>
      <w:r>
        <w:rPr>
          <w:noProof/>
        </w:rPr>
        <w:t xml:space="preserve">ical project has several distinct phases (planning, construction and operational). Each phase exhibits different risk and return characteristics, and each faces different incentive problems and calls for a different role for governments, banks and capital </w:t>
      </w:r>
      <w:r>
        <w:rPr>
          <w:noProof/>
        </w:rPr>
        <w:t>markets. Bank loans usually supply the largest share of financing in the two initial phases of an infrastructure project (planning and construction). Bank loans have some key advantages over bonds or other structured financing solutions: (i) debt holders s</w:t>
      </w:r>
      <w:r>
        <w:rPr>
          <w:noProof/>
        </w:rPr>
        <w:t>erve an important monitoring role in the project and banks tend to have the necessary expertise. The risks banks take ensure they perform a crucial monitoring role in the process of setting up an infrastructure project that is valued by other potential deb</w:t>
      </w:r>
      <w:r>
        <w:rPr>
          <w:noProof/>
        </w:rPr>
        <w:t xml:space="preserve">t investors; (ii) infrastructure projects need a gradual disbursement of funds and bank loans are sufficiently flexible; and (iii) infrastructure projects are relatively more likely to require debt restructurings in unforeseen events and banks can quickly </w:t>
      </w:r>
      <w:r>
        <w:rPr>
          <w:noProof/>
        </w:rPr>
        <w:t>negotiate restructurings among each other, whereas the restructuring of bonds, for instance, is complex and time consuming. Bank loans for infrastructure projects are in many cases extended by a syndicate of banks rather than a single bank.</w:t>
      </w:r>
    </w:p>
    <w:p w:rsidR="00083C3F" w:rsidRDefault="00E1215B">
      <w:pPr>
        <w:shd w:val="clear" w:color="auto" w:fill="DBE5F1" w:themeFill="accent1" w:themeFillTint="33"/>
        <w:rPr>
          <w:rFonts w:cs="Times New Roman"/>
          <w:noProof/>
          <w:szCs w:val="24"/>
        </w:rPr>
      </w:pPr>
      <w:r>
        <w:rPr>
          <w:rFonts w:cs="Times New Roman"/>
          <w:noProof/>
          <w:szCs w:val="24"/>
        </w:rPr>
        <w:t>The operational</w:t>
      </w:r>
      <w:r>
        <w:rPr>
          <w:rFonts w:cs="Times New Roman"/>
          <w:noProof/>
          <w:szCs w:val="24"/>
        </w:rPr>
        <w:t xml:space="preserve"> phase is distinctively different from the initial phases. As the infrastructure project is starting to generate positive cash flows, default risks subside rapidly over time, on average even below those of other highly rated debt securities. With stable un</w:t>
      </w:r>
      <w:r>
        <w:rPr>
          <w:rFonts w:cs="Times New Roman"/>
          <w:noProof/>
          <w:szCs w:val="24"/>
        </w:rPr>
        <w:t>derlying cash flows in the operational phase, infrastructure projects are akin to fixed income securities and therefore bond financing is a natural and economically appropriate financing instrument. Bonds often come into play when initial bank loans are be</w:t>
      </w:r>
      <w:r>
        <w:rPr>
          <w:rFonts w:cs="Times New Roman"/>
          <w:noProof/>
          <w:szCs w:val="24"/>
        </w:rPr>
        <w:t>ing refinanced, as they represent a low-cost financing alternative. Nevertheless, the volume of issued infrastructure project bonds is surprisingly small; though it is increasing rapidly. Still, compared to syndicated loans, bonds constitute only 10–20% of</w:t>
      </w:r>
      <w:r>
        <w:rPr>
          <w:rFonts w:cs="Times New Roman"/>
          <w:noProof/>
          <w:szCs w:val="24"/>
        </w:rPr>
        <w:t xml:space="preserve"> infrastructure debt financing.</w:t>
      </w:r>
    </w:p>
    <w:p w:rsidR="00083C3F" w:rsidRDefault="00E1215B">
      <w:pPr>
        <w:pStyle w:val="Heading2"/>
        <w:rPr>
          <w:noProof/>
        </w:rPr>
      </w:pPr>
      <w:bookmarkStart w:id="195" w:name="_Toc481140403"/>
      <w:bookmarkStart w:id="196" w:name="_Toc482710975"/>
      <w:bookmarkStart w:id="197" w:name="_Toc482715297"/>
      <w:r>
        <w:rPr>
          <w:noProof/>
        </w:rPr>
        <w:t>Sustainable finance</w:t>
      </w:r>
      <w:bookmarkEnd w:id="195"/>
      <w:bookmarkEnd w:id="196"/>
      <w:bookmarkEnd w:id="197"/>
    </w:p>
    <w:p w:rsidR="00083C3F" w:rsidRDefault="00E1215B">
      <w:pPr>
        <w:rPr>
          <w:noProof/>
        </w:rPr>
      </w:pPr>
      <w:r>
        <w:rPr>
          <w:noProof/>
        </w:rPr>
        <w:t xml:space="preserve">Hard data on sustainable investments are scarce. This is because definitions of green investments or ESG investment processes can vary from one fund to another. Renewable energy and social infrastructure </w:t>
      </w:r>
      <w:r>
        <w:rPr>
          <w:noProof/>
        </w:rPr>
        <w:t>are relatively new sectors in the portfolio of certain investors although increasing. Some funds reported sector allocations for unlisted infrastructure, listed shares, and debt, or in a combination of these three categories. Further work is needed to make</w:t>
      </w:r>
      <w:r>
        <w:rPr>
          <w:noProof/>
        </w:rPr>
        <w:t xml:space="preserve"> use of the data on investments available under the European System of Accounts framework (Gross Fixed Capital Formation), its satellite system the European Environmental Economic Accounts and in the Structural Business Statistics to monitor the shift towa</w:t>
      </w:r>
      <w:r>
        <w:rPr>
          <w:noProof/>
        </w:rPr>
        <w:t>rds sustainability in investment patterns in the economy.</w:t>
      </w:r>
    </w:p>
    <w:p w:rsidR="00083C3F" w:rsidRDefault="00E1215B">
      <w:pPr>
        <w:rPr>
          <w:noProof/>
        </w:rPr>
      </w:pPr>
      <w:r>
        <w:rPr>
          <w:noProof/>
        </w:rPr>
        <w:t>Pension funds and insurance companies have a long-term investment horizon. Issues related to climate change and its impact on portfolio values is inherently important for risk management. Long-range</w:t>
      </w:r>
      <w:r>
        <w:rPr>
          <w:noProof/>
        </w:rPr>
        <w:t xml:space="preserve"> forecasts of climate change scenarios shed light on the potential risk to portfolio investments, particularly those that are carbon intensive. Holistic risk management processes capture such scenarios and begin to quantify potential risks, and search for </w:t>
      </w:r>
      <w:r>
        <w:rPr>
          <w:noProof/>
        </w:rPr>
        <w:t>ways to hedge such risks at low cost. Investments in green technologies and businesses or infrastructures that are less sensitive to climate change scenarios are one way that funds are taking action.</w:t>
      </w:r>
    </w:p>
    <w:p w:rsidR="00083C3F" w:rsidRDefault="00E1215B">
      <w:pPr>
        <w:rPr>
          <w:noProof/>
        </w:rPr>
      </w:pPr>
      <w:r>
        <w:rPr>
          <w:rFonts w:cs="Times New Roman"/>
          <w:noProof/>
        </w:rPr>
        <w:t xml:space="preserve">Green bonds are in the vanguard. </w:t>
      </w:r>
      <w:r>
        <w:rPr>
          <w:noProof/>
        </w:rPr>
        <w:t>The market for green bo</w:t>
      </w:r>
      <w:r>
        <w:rPr>
          <w:noProof/>
        </w:rPr>
        <w:t>nds has been expanding rapidly over recent years, with the amount of green bonds outstanding more than doubling between end-2014 and end-2015. However, this market still remains marginal, representing less than 0.1% of the global outstanding debt securitie</w:t>
      </w:r>
      <w:r>
        <w:rPr>
          <w:noProof/>
        </w:rPr>
        <w:t>s market.</w:t>
      </w:r>
    </w:p>
    <w:p w:rsidR="00083C3F" w:rsidRDefault="00E1215B">
      <w:pPr>
        <w:rPr>
          <w:noProof/>
        </w:rPr>
      </w:pPr>
      <w:r>
        <w:rPr>
          <w:noProof/>
        </w:rPr>
        <w:t>According to estimates by EUROSIF, "systematic integration" of ESG issues, including, on the one hand, investment strategies where investors systematically consider or include ESG analysis when rating or valuing investment and, on the other hand,</w:t>
      </w:r>
      <w:r>
        <w:rPr>
          <w:noProof/>
        </w:rPr>
        <w:t xml:space="preserve"> investment strategies involving mandatory constraints based on findings from ESG research stood at around EUR 1.9 trillion at end 2013, a 65% increase since end-2011, covering 11% of all European professionally managed assets. This trend shows growing awa</w:t>
      </w:r>
      <w:r>
        <w:rPr>
          <w:noProof/>
        </w:rPr>
        <w:t xml:space="preserve">reness and interest among investors. In terms of asset allocation, equities represented about half of European Sustainable and Responsible Investment (SRI) assets at end-2013, up from 33% at end-2011. Bonds represented 40% of SRI assets – 21% in corporate </w:t>
      </w:r>
      <w:r>
        <w:rPr>
          <w:noProof/>
        </w:rPr>
        <w:t>bonds, 17% in sovereign bonds.</w:t>
      </w:r>
    </w:p>
    <w:p w:rsidR="00083C3F" w:rsidRDefault="00E1215B">
      <w:pPr>
        <w:rPr>
          <w:noProof/>
        </w:rPr>
      </w:pPr>
      <w:r>
        <w:rPr>
          <w:noProof/>
        </w:rPr>
        <w:t>A strategy has emerged to recycle capital from the balance sheets of traditional funding institutions. By buying into projects and/or refinancing existing projects, institutional investors free up debt and equity capital in c</w:t>
      </w:r>
      <w:r>
        <w:rPr>
          <w:noProof/>
        </w:rPr>
        <w:t xml:space="preserve">onstruction and operating-stage renewable electricity projects. Banks, private equity funds, project developers and utilities can then redeploy the proceeds into the development and construction of new projects. Closed-end funds and real-estate investment </w:t>
      </w:r>
      <w:r>
        <w:rPr>
          <w:noProof/>
        </w:rPr>
        <w:t xml:space="preserve">trusts (REIT) have played an important role in this respect for some time. </w:t>
      </w:r>
    </w:p>
    <w:p w:rsidR="00083C3F" w:rsidRDefault="00E1215B">
      <w:pPr>
        <w:rPr>
          <w:noProof/>
        </w:rPr>
      </w:pPr>
      <w:r>
        <w:rPr>
          <w:noProof/>
        </w:rPr>
        <w:t>As of April 2017, 3% of the total investment of EUR 183.5 billion expected to be mobilised by the EFSI supports projects in the environment and resource efficiency sector. In addit</w:t>
      </w:r>
      <w:r>
        <w:rPr>
          <w:noProof/>
        </w:rPr>
        <w:t xml:space="preserve">ion, 24% of the total investment expected to be mobilised by the EFSI supports projects in the energy sector, a number of which cover the renewable energy and energy efficiency sectors. </w:t>
      </w:r>
    </w:p>
    <w:p w:rsidR="00083C3F" w:rsidRDefault="00E1215B">
      <w:pPr>
        <w:rPr>
          <w:noProof/>
          <w:color w:val="1F497D"/>
        </w:rPr>
      </w:pPr>
      <w:r>
        <w:rPr>
          <w:noProof/>
        </w:rPr>
        <w:t xml:space="preserve">The review of the EFSI framework is putting greater focus on meeting </w:t>
      </w:r>
      <w:r>
        <w:rPr>
          <w:noProof/>
        </w:rPr>
        <w:t>the EU's social objectives. Private capital can support the EFSI objectives when financial returns are associated with positive social externalities. Investments into social housing could for example provide accommodation to low-income households. Investme</w:t>
      </w:r>
      <w:r>
        <w:rPr>
          <w:noProof/>
        </w:rPr>
        <w:t>nts into vocational training can widen the supply of a skilled workforce, with positive effects on the competitiveness of EU businesses. Investment into long-term care increases labour market participation rates, benefitting labour productivity. Social imp</w:t>
      </w:r>
      <w:r>
        <w:rPr>
          <w:noProof/>
        </w:rPr>
        <w:t>act bonds are also proving to become successful in several Member States.</w:t>
      </w:r>
    </w:p>
    <w:p w:rsidR="00083C3F" w:rsidRDefault="00E1215B">
      <w:pPr>
        <w:rPr>
          <w:rFonts w:cs="Times New Roman"/>
          <w:noProof/>
        </w:rPr>
      </w:pPr>
      <w:r>
        <w:rPr>
          <w:rFonts w:cs="Times New Roman"/>
          <w:noProof/>
        </w:rPr>
        <w:t>The positive development of the markets for sustainable investment can be supported, for example, by improving confidence in disclosures and labels, and providing appropriate regulat</w:t>
      </w:r>
      <w:r>
        <w:rPr>
          <w:rFonts w:cs="Times New Roman"/>
          <w:noProof/>
        </w:rPr>
        <w:t>ory recognition of any observed improvement of risk-return performance of these assets. Environmentally harmful subsidies, such as those for fossil fuels, are also potential distortion of pricing on energy markets and potentially inhibit investments in the</w:t>
      </w:r>
      <w:r>
        <w:rPr>
          <w:rFonts w:cs="Times New Roman"/>
          <w:noProof/>
        </w:rPr>
        <w:t xml:space="preserve"> clean energy transition and innovation.</w:t>
      </w:r>
      <w:r>
        <w:rPr>
          <w:rStyle w:val="FootnoteReference"/>
          <w:rFonts w:cs="Times New Roman"/>
          <w:noProof/>
        </w:rPr>
        <w:footnoteReference w:id="56"/>
      </w:r>
      <w:r>
        <w:rPr>
          <w:rFonts w:cs="Times New Roman"/>
          <w:noProof/>
        </w:rPr>
        <w:t xml:space="preserve"> </w:t>
      </w:r>
    </w:p>
    <w:p w:rsidR="00083C3F" w:rsidRDefault="00E1215B">
      <w:pPr>
        <w:rPr>
          <w:rFonts w:cs="Times New Roman"/>
          <w:noProof/>
        </w:rPr>
      </w:pPr>
      <w:r>
        <w:rPr>
          <w:noProof/>
        </w:rPr>
        <w:t>Moreover, while funding abounds and technology costs for renewable electricity are falling fast, there is a shortage of bankable projects. Both policy and market factors have an impact on the risk-return profile o</w:t>
      </w:r>
      <w:r>
        <w:rPr>
          <w:noProof/>
        </w:rPr>
        <w:t>f renewable electricity projects. Investor uncertainty as to what extent revenues can be recuperated through energy markets, together with the uncertainty related to the support schemes for Renewable Energy Sources (RES)</w:t>
      </w:r>
      <w:r>
        <w:rPr>
          <w:noProof/>
          <w:color w:val="FF0000"/>
        </w:rPr>
        <w:t xml:space="preserve"> and past retroactive changes</w:t>
      </w:r>
      <w:r>
        <w:rPr>
          <w:noProof/>
        </w:rPr>
        <w:t xml:space="preserve"> is an </w:t>
      </w:r>
      <w:r>
        <w:rPr>
          <w:noProof/>
        </w:rPr>
        <w:t>impediment to capital markets investments. At the European level, the EU ETS puts a price on emissions reduction on the industry which in principle can help companies to profit from low carbon investments, including in RES. However, while overall emissions</w:t>
      </w:r>
      <w:r>
        <w:rPr>
          <w:noProof/>
        </w:rPr>
        <w:t xml:space="preserve"> from the power sector have been reduced in line with EU climate objectives, there is currently a significant oversupply of allowances driven by uncertainty. A revision of the EU ETS, with a functioning Market Stability Reserve (as proposed by the European</w:t>
      </w:r>
      <w:r>
        <w:rPr>
          <w:noProof/>
        </w:rPr>
        <w:t xml:space="preserve"> Commission)</w:t>
      </w:r>
      <w:r>
        <w:rPr>
          <w:rStyle w:val="FootnoteReference"/>
          <w:noProof/>
        </w:rPr>
        <w:footnoteReference w:id="57"/>
      </w:r>
      <w:r>
        <w:rPr>
          <w:noProof/>
        </w:rPr>
        <w:t xml:space="preserve">, will help to reduce this uncertainty. Where support for RES investments is still needed, support schemes should be cost effective and market-based without retroactive changes. </w:t>
      </w:r>
    </w:p>
    <w:p w:rsidR="00083C3F" w:rsidRDefault="00E1215B">
      <w:pPr>
        <w:spacing w:after="0"/>
        <w:rPr>
          <w:rFonts w:cs="Times New Roman"/>
          <w:noProof/>
        </w:rPr>
      </w:pPr>
      <w:r>
        <w:rPr>
          <w:noProof/>
        </w:rPr>
        <w:t xml:space="preserve">. </w:t>
      </w:r>
    </w:p>
    <w:p w:rsidR="00083C3F" w:rsidRDefault="00E1215B">
      <w:pPr>
        <w:pStyle w:val="Heading2"/>
        <w:rPr>
          <w:noProof/>
        </w:rPr>
      </w:pPr>
      <w:bookmarkStart w:id="198" w:name="_Toc481140404"/>
      <w:bookmarkStart w:id="199" w:name="_Toc482710976"/>
      <w:bookmarkStart w:id="200" w:name="_Toc482715298"/>
      <w:r>
        <w:rPr>
          <w:noProof/>
        </w:rPr>
        <w:t>General policy implications</w:t>
      </w:r>
      <w:bookmarkEnd w:id="198"/>
      <w:bookmarkEnd w:id="199"/>
      <w:bookmarkEnd w:id="200"/>
    </w:p>
    <w:p w:rsidR="00083C3F" w:rsidRDefault="00E1215B">
      <w:pPr>
        <w:rPr>
          <w:noProof/>
        </w:rPr>
      </w:pPr>
      <w:r>
        <w:rPr>
          <w:noProof/>
        </w:rPr>
        <w:t>Institutional investors are impor</w:t>
      </w:r>
      <w:r>
        <w:rPr>
          <w:noProof/>
        </w:rPr>
        <w:t>tant financial institutions in capital markets. They have a capacity to channel private capital to investments that support the long-term growth potential of the economy and the necessary infrastructure, as well as to contribute to a sustainable allocation</w:t>
      </w:r>
      <w:r>
        <w:rPr>
          <w:noProof/>
        </w:rPr>
        <w:t xml:space="preserve"> of resources that takes into account the environmental and social needs of people living in the EU.</w:t>
      </w:r>
    </w:p>
    <w:p w:rsidR="00083C3F" w:rsidRDefault="00E1215B">
      <w:pPr>
        <w:rPr>
          <w:noProof/>
        </w:rPr>
      </w:pPr>
      <w:r>
        <w:rPr>
          <w:noProof/>
        </w:rPr>
        <w:t>The following considerations are relevant in informing future work:</w:t>
      </w:r>
    </w:p>
    <w:p w:rsidR="00083C3F" w:rsidRDefault="00E1215B">
      <w:pPr>
        <w:spacing w:after="0"/>
        <w:ind w:left="567" w:hanging="567"/>
        <w:rPr>
          <w:rFonts w:cs="Times New Roman"/>
          <w:noProof/>
        </w:rPr>
      </w:pPr>
      <w:r>
        <w:rPr>
          <w:noProof/>
          <w:lang w:eastAsia="en-GB"/>
        </w:rPr>
        <w:t>1.</w:t>
      </w:r>
      <w:r>
        <w:rPr>
          <w:noProof/>
          <w:lang w:eastAsia="en-GB"/>
        </w:rPr>
        <w:tab/>
        <w:t xml:space="preserve">As regards long-term investment, there is a need to identify </w:t>
      </w:r>
      <w:r>
        <w:rPr>
          <w:rFonts w:eastAsia="Times New Roman"/>
          <w:noProof/>
        </w:rPr>
        <w:t xml:space="preserve">the economic drivers of </w:t>
      </w:r>
      <w:r>
        <w:rPr>
          <w:rFonts w:eastAsia="Times New Roman"/>
          <w:b/>
          <w:noProof/>
        </w:rPr>
        <w:t>equity investments</w:t>
      </w:r>
      <w:r>
        <w:rPr>
          <w:rFonts w:eastAsia="Times New Roman"/>
          <w:noProof/>
        </w:rPr>
        <w:t xml:space="preserve"> by insurance companies and pension funds, including intra-EU investments and the potential impact of regulatory constraints at the EU and national level and other factors. As part of this, it would be appropriate </w:t>
      </w:r>
      <w:r>
        <w:rPr>
          <w:rFonts w:eastAsia="Times New Roman"/>
          <w:noProof/>
        </w:rPr>
        <w:t xml:space="preserve">to assess whether the accounting treatment of equity instruments in international accounting standards, in particular IFRS 9, endorsed by the EU in November 2016, is sufficiently conducive to long term financing. </w:t>
      </w:r>
      <w:r>
        <w:rPr>
          <w:noProof/>
        </w:rPr>
        <w:t>Moreover,</w:t>
      </w:r>
      <w:r>
        <w:rPr>
          <w:rFonts w:eastAsia="Times New Roman"/>
          <w:noProof/>
        </w:rPr>
        <w:t xml:space="preserve"> the </w:t>
      </w:r>
      <w:r>
        <w:rPr>
          <w:noProof/>
        </w:rPr>
        <w:t>implementation</w:t>
      </w:r>
      <w:r>
        <w:rPr>
          <w:rFonts w:eastAsia="Times New Roman"/>
          <w:noProof/>
        </w:rPr>
        <w:t xml:space="preserve"> of </w:t>
      </w:r>
      <w:r>
        <w:rPr>
          <w:noProof/>
        </w:rPr>
        <w:t>the Shareho</w:t>
      </w:r>
      <w:r>
        <w:rPr>
          <w:noProof/>
        </w:rPr>
        <w:t>lding Rights Directive will seek to facilitate the cross-border exercise of shareholder rights, including on-line voting.</w:t>
      </w:r>
    </w:p>
    <w:p w:rsidR="00083C3F" w:rsidRDefault="00083C3F">
      <w:pPr>
        <w:spacing w:after="0"/>
        <w:ind w:left="567" w:hanging="567"/>
        <w:rPr>
          <w:noProof/>
        </w:rPr>
      </w:pPr>
    </w:p>
    <w:p w:rsidR="00083C3F" w:rsidRDefault="00E1215B">
      <w:pPr>
        <w:spacing w:after="240"/>
        <w:ind w:left="567" w:hanging="567"/>
        <w:rPr>
          <w:rFonts w:cs="Times New Roman"/>
          <w:noProof/>
        </w:rPr>
      </w:pPr>
      <w:r>
        <w:rPr>
          <w:rFonts w:cs="Times New Roman"/>
          <w:noProof/>
        </w:rPr>
        <w:t xml:space="preserve">2. </w:t>
      </w:r>
      <w:r>
        <w:rPr>
          <w:rFonts w:cs="Times New Roman"/>
          <w:noProof/>
        </w:rPr>
        <w:tab/>
        <w:t xml:space="preserve">To support </w:t>
      </w:r>
      <w:r>
        <w:rPr>
          <w:rFonts w:cs="Times New Roman"/>
          <w:b/>
          <w:noProof/>
        </w:rPr>
        <w:t xml:space="preserve">infrastructure investments </w:t>
      </w:r>
      <w:r>
        <w:rPr>
          <w:rFonts w:cs="Times New Roman"/>
          <w:noProof/>
        </w:rPr>
        <w:t>by insurance undertakings, the reduced risk calibrations in Solvency 2 for qualifying infra</w:t>
      </w:r>
      <w:r>
        <w:rPr>
          <w:rFonts w:cs="Times New Roman"/>
          <w:noProof/>
        </w:rPr>
        <w:t xml:space="preserve">structure projects have been extended to </w:t>
      </w:r>
      <w:r>
        <w:rPr>
          <w:noProof/>
        </w:rPr>
        <w:t>investments into infrastructure corporates.</w:t>
      </w:r>
      <w:r>
        <w:rPr>
          <w:rFonts w:cs="Times New Roman"/>
          <w:noProof/>
        </w:rPr>
        <w:t xml:space="preserve"> </w:t>
      </w:r>
    </w:p>
    <w:p w:rsidR="00083C3F" w:rsidRDefault="00E1215B">
      <w:pPr>
        <w:spacing w:after="240"/>
        <w:ind w:left="567" w:hanging="567"/>
        <w:rPr>
          <w:noProof/>
        </w:rPr>
      </w:pPr>
      <w:r>
        <w:rPr>
          <w:rFonts w:cs="Times New Roman"/>
          <w:noProof/>
        </w:rPr>
        <w:t xml:space="preserve">3. </w:t>
      </w:r>
      <w:r>
        <w:rPr>
          <w:rFonts w:cs="Times New Roman"/>
          <w:noProof/>
        </w:rPr>
        <w:tab/>
      </w:r>
      <w:r>
        <w:rPr>
          <w:noProof/>
        </w:rPr>
        <w:t xml:space="preserve">EU single market freedoms provide a comprehensive set of rules for </w:t>
      </w:r>
      <w:r>
        <w:rPr>
          <w:b/>
          <w:noProof/>
        </w:rPr>
        <w:t>investment protection</w:t>
      </w:r>
      <w:r>
        <w:rPr>
          <w:noProof/>
        </w:rPr>
        <w:t>. National courts and authorities might, however, not always be fully aware of</w:t>
      </w:r>
      <w:r>
        <w:rPr>
          <w:noProof/>
        </w:rPr>
        <w:t xml:space="preserve"> such rules or may find them difficult to apply. Greater clarity on substantive EU standards for the treatment of cross-border EU investments is particularly important for EU investors, national administrations, stakeholders, as well as for national court </w:t>
      </w:r>
      <w:r>
        <w:rPr>
          <w:noProof/>
        </w:rPr>
        <w:t>judges, and should ensure more transparency with regards to the effective protection of EU investor rights in the single market. Moreover, options should be assessed to establish a framework for the amicable resolution of investment disputes.</w:t>
      </w:r>
    </w:p>
    <w:p w:rsidR="00083C3F" w:rsidRDefault="00E1215B">
      <w:pPr>
        <w:spacing w:after="240"/>
        <w:ind w:left="567" w:hanging="567"/>
        <w:rPr>
          <w:noProof/>
        </w:rPr>
      </w:pPr>
      <w:r>
        <w:rPr>
          <w:noProof/>
        </w:rPr>
        <w:t xml:space="preserve">4. </w:t>
      </w:r>
      <w:r>
        <w:rPr>
          <w:noProof/>
        </w:rPr>
        <w:tab/>
        <w:t>Regulatio</w:t>
      </w:r>
      <w:r>
        <w:rPr>
          <w:noProof/>
        </w:rPr>
        <w:t>n should include the appropriate signals, incentives and obligations that lead actors on financial markets to internalise the wider risks and returns on their investments, including those linked to environmental issues as well as other social and ethical c</w:t>
      </w:r>
      <w:r>
        <w:rPr>
          <w:noProof/>
        </w:rPr>
        <w:t xml:space="preserve">onsiderations. The forthcoming analysis and recommendations of the Commission's High Level Expert Group (HLEG) on </w:t>
      </w:r>
      <w:r>
        <w:rPr>
          <w:b/>
          <w:noProof/>
        </w:rPr>
        <w:t>Sustainable Finance</w:t>
      </w:r>
      <w:r>
        <w:rPr>
          <w:noProof/>
        </w:rPr>
        <w:t xml:space="preserve"> will represent an important input in developing a comprehensive EU approach to rewiring financial regulation to better int</w:t>
      </w:r>
      <w:r>
        <w:rPr>
          <w:noProof/>
        </w:rPr>
        <w:t>egrate sustainable finance. Moreover, best practices in the Member States that associate financial returns with positive environmental and social externalities could be investigated.</w:t>
      </w:r>
    </w:p>
    <w:p w:rsidR="00083C3F" w:rsidRDefault="00E1215B">
      <w:pPr>
        <w:pStyle w:val="Heading2"/>
        <w:rPr>
          <w:noProof/>
        </w:rPr>
      </w:pPr>
      <w:bookmarkStart w:id="201" w:name="_Toc481140405"/>
      <w:bookmarkStart w:id="202" w:name="_Toc482710977"/>
      <w:bookmarkStart w:id="203" w:name="_Toc482715299"/>
      <w:r>
        <w:rPr>
          <w:noProof/>
        </w:rPr>
        <w:t>Key indicators</w:t>
      </w:r>
      <w:bookmarkEnd w:id="201"/>
      <w:bookmarkEnd w:id="202"/>
      <w:bookmarkEnd w:id="203"/>
      <w:r>
        <w:rPr>
          <w:rStyle w:val="FootnoteReference"/>
          <w:noProof/>
        </w:rPr>
        <w:footnoteReference w:id="58"/>
      </w:r>
    </w:p>
    <w:p w:rsidR="00083C3F" w:rsidRDefault="00E1215B">
      <w:pPr>
        <w:pStyle w:val="Heading4"/>
        <w:spacing w:after="200"/>
        <w:rPr>
          <w:noProof/>
        </w:rPr>
      </w:pPr>
      <w:r>
        <w:rPr>
          <w:noProof/>
        </w:rPr>
        <w:t>Long-term investment</w:t>
      </w:r>
    </w:p>
    <w:tbl>
      <w:tblPr>
        <w:tblStyle w:val="TableGrid18"/>
        <w:tblW w:w="9412" w:type="dxa"/>
        <w:tblCellMar>
          <w:top w:w="28" w:type="dxa"/>
          <w:left w:w="57" w:type="dxa"/>
          <w:bottom w:w="28" w:type="dxa"/>
          <w:right w:w="57" w:type="dxa"/>
        </w:tblCellMar>
        <w:tblLook w:val="04A0" w:firstRow="1" w:lastRow="0" w:firstColumn="1" w:lastColumn="0" w:noHBand="0" w:noVBand="1"/>
      </w:tblPr>
      <w:tblGrid>
        <w:gridCol w:w="4309"/>
        <w:gridCol w:w="1701"/>
        <w:gridCol w:w="1701"/>
        <w:gridCol w:w="1701"/>
      </w:tblGrid>
      <w:tr w:rsidR="00083C3F">
        <w:tc>
          <w:tcPr>
            <w:tcW w:w="4309" w:type="dxa"/>
            <w:vAlign w:val="center"/>
          </w:tcPr>
          <w:p w:rsidR="00083C3F" w:rsidRDefault="00E1215B">
            <w:pPr>
              <w:spacing w:after="0"/>
              <w:jc w:val="center"/>
              <w:rPr>
                <w:rFonts w:cs="Times New Roman"/>
                <w:noProof/>
              </w:rPr>
            </w:pPr>
            <w:r>
              <w:rPr>
                <w:rFonts w:cs="Times New Roman"/>
                <w:b/>
                <w:noProof/>
              </w:rPr>
              <w:t>Indicator</w:t>
            </w:r>
          </w:p>
        </w:tc>
        <w:tc>
          <w:tcPr>
            <w:tcW w:w="1701" w:type="dxa"/>
          </w:tcPr>
          <w:p w:rsidR="00083C3F" w:rsidRDefault="00E1215B">
            <w:pPr>
              <w:spacing w:after="0"/>
              <w:jc w:val="center"/>
              <w:rPr>
                <w:rFonts w:cs="Times New Roman"/>
                <w:noProof/>
              </w:rPr>
            </w:pPr>
            <w:r>
              <w:rPr>
                <w:rFonts w:cs="Times New Roman"/>
                <w:b/>
                <w:noProof/>
              </w:rPr>
              <w:t>Last 5-year average</w:t>
            </w:r>
          </w:p>
        </w:tc>
        <w:tc>
          <w:tcPr>
            <w:tcW w:w="1701" w:type="dxa"/>
            <w:vAlign w:val="center"/>
          </w:tcPr>
          <w:p w:rsidR="00083C3F" w:rsidRDefault="00E1215B">
            <w:pPr>
              <w:spacing w:after="0"/>
              <w:jc w:val="center"/>
              <w:rPr>
                <w:rFonts w:cs="Times New Roman"/>
                <w:noProof/>
              </w:rPr>
            </w:pPr>
            <w:r>
              <w:rPr>
                <w:rFonts w:cs="Times New Roman"/>
                <w:b/>
                <w:noProof/>
              </w:rPr>
              <w:t>Latest</w:t>
            </w:r>
            <w:r>
              <w:rPr>
                <w:rFonts w:cs="Times New Roman"/>
                <w:b/>
                <w:noProof/>
              </w:rPr>
              <w:t xml:space="preserve"> observation</w:t>
            </w:r>
          </w:p>
        </w:tc>
        <w:tc>
          <w:tcPr>
            <w:tcW w:w="1701" w:type="dxa"/>
            <w:vAlign w:val="center"/>
          </w:tcPr>
          <w:p w:rsidR="00083C3F" w:rsidRDefault="00E1215B">
            <w:pPr>
              <w:spacing w:after="0"/>
              <w:jc w:val="center"/>
              <w:rPr>
                <w:rFonts w:cs="Times New Roman"/>
                <w:noProof/>
              </w:rPr>
            </w:pPr>
            <w:r>
              <w:rPr>
                <w:rFonts w:cs="Times New Roman"/>
                <w:b/>
                <w:noProof/>
              </w:rPr>
              <w:t>Value</w:t>
            </w:r>
          </w:p>
        </w:tc>
      </w:tr>
      <w:tr w:rsidR="00083C3F">
        <w:tc>
          <w:tcPr>
            <w:tcW w:w="4309" w:type="dxa"/>
          </w:tcPr>
          <w:p w:rsidR="00083C3F" w:rsidRDefault="00E1215B">
            <w:pPr>
              <w:spacing w:after="0"/>
              <w:jc w:val="left"/>
              <w:rPr>
                <w:rFonts w:cs="Times New Roman"/>
                <w:noProof/>
              </w:rPr>
            </w:pPr>
            <w:r>
              <w:rPr>
                <w:rFonts w:cs="Times New Roman"/>
                <w:noProof/>
              </w:rPr>
              <w:t xml:space="preserve">Asset allocation of autonomous pension funds – equity, percentage of portfolio </w:t>
            </w:r>
          </w:p>
        </w:tc>
        <w:tc>
          <w:tcPr>
            <w:tcW w:w="1701" w:type="dxa"/>
          </w:tcPr>
          <w:p w:rsidR="00083C3F" w:rsidRDefault="00E1215B">
            <w:pPr>
              <w:spacing w:after="0"/>
              <w:jc w:val="center"/>
              <w:rPr>
                <w:rFonts w:cs="Times New Roman"/>
                <w:noProof/>
              </w:rPr>
            </w:pPr>
            <w:r>
              <w:rPr>
                <w:rFonts w:cs="Times New Roman"/>
                <w:noProof/>
              </w:rPr>
              <w:t>NA</w:t>
            </w:r>
          </w:p>
        </w:tc>
        <w:tc>
          <w:tcPr>
            <w:tcW w:w="1701" w:type="dxa"/>
            <w:vAlign w:val="center"/>
          </w:tcPr>
          <w:p w:rsidR="00083C3F" w:rsidRDefault="00E1215B">
            <w:pPr>
              <w:spacing w:after="0"/>
              <w:jc w:val="center"/>
              <w:rPr>
                <w:rFonts w:cs="Times New Roman"/>
                <w:noProof/>
              </w:rPr>
            </w:pPr>
            <w:r>
              <w:rPr>
                <w:rFonts w:cs="Times New Roman"/>
                <w:noProof/>
              </w:rPr>
              <w:t>2015</w:t>
            </w:r>
          </w:p>
        </w:tc>
        <w:tc>
          <w:tcPr>
            <w:tcW w:w="1701" w:type="dxa"/>
            <w:vAlign w:val="center"/>
          </w:tcPr>
          <w:p w:rsidR="00083C3F" w:rsidRDefault="00E1215B">
            <w:pPr>
              <w:spacing w:after="0"/>
              <w:jc w:val="center"/>
              <w:rPr>
                <w:rFonts w:cs="Times New Roman"/>
                <w:noProof/>
              </w:rPr>
            </w:pPr>
            <w:r>
              <w:rPr>
                <w:rFonts w:cs="Times New Roman"/>
                <w:noProof/>
              </w:rPr>
              <w:t>30%</w:t>
            </w:r>
          </w:p>
        </w:tc>
      </w:tr>
      <w:tr w:rsidR="00083C3F">
        <w:tc>
          <w:tcPr>
            <w:tcW w:w="4309" w:type="dxa"/>
          </w:tcPr>
          <w:p w:rsidR="00083C3F" w:rsidRDefault="00E1215B">
            <w:pPr>
              <w:spacing w:after="0"/>
              <w:jc w:val="left"/>
              <w:rPr>
                <w:rFonts w:cs="Times New Roman"/>
                <w:noProof/>
              </w:rPr>
            </w:pPr>
            <w:r>
              <w:rPr>
                <w:rFonts w:cs="Times New Roman"/>
                <w:noProof/>
              </w:rPr>
              <w:t>Asset allocation of insurance companies – equity, percentage of portfolio</w:t>
            </w:r>
          </w:p>
        </w:tc>
        <w:tc>
          <w:tcPr>
            <w:tcW w:w="1701" w:type="dxa"/>
          </w:tcPr>
          <w:p w:rsidR="00083C3F" w:rsidRDefault="00E1215B">
            <w:pPr>
              <w:spacing w:after="0"/>
              <w:jc w:val="center"/>
              <w:rPr>
                <w:rFonts w:cs="Times New Roman"/>
                <w:noProof/>
              </w:rPr>
            </w:pPr>
            <w:r>
              <w:rPr>
                <w:rFonts w:cs="Times New Roman"/>
                <w:noProof/>
              </w:rPr>
              <w:t>NA</w:t>
            </w:r>
          </w:p>
        </w:tc>
        <w:tc>
          <w:tcPr>
            <w:tcW w:w="1701" w:type="dxa"/>
            <w:vAlign w:val="center"/>
          </w:tcPr>
          <w:p w:rsidR="00083C3F" w:rsidRDefault="00E1215B">
            <w:pPr>
              <w:spacing w:after="0"/>
              <w:jc w:val="center"/>
              <w:rPr>
                <w:rFonts w:cs="Times New Roman"/>
                <w:noProof/>
              </w:rPr>
            </w:pPr>
            <w:r>
              <w:rPr>
                <w:rFonts w:cs="Times New Roman"/>
                <w:noProof/>
              </w:rPr>
              <w:t>2014</w:t>
            </w:r>
          </w:p>
        </w:tc>
        <w:tc>
          <w:tcPr>
            <w:tcW w:w="1701" w:type="dxa"/>
            <w:vAlign w:val="center"/>
          </w:tcPr>
          <w:p w:rsidR="00083C3F" w:rsidRDefault="00E1215B">
            <w:pPr>
              <w:spacing w:after="0"/>
              <w:jc w:val="center"/>
              <w:rPr>
                <w:rFonts w:cs="Times New Roman"/>
                <w:noProof/>
              </w:rPr>
            </w:pPr>
            <w:r>
              <w:rPr>
                <w:rFonts w:cs="Times New Roman"/>
                <w:noProof/>
              </w:rPr>
              <w:t>6%</w:t>
            </w:r>
          </w:p>
        </w:tc>
      </w:tr>
      <w:tr w:rsidR="00083C3F">
        <w:tc>
          <w:tcPr>
            <w:tcW w:w="4309" w:type="dxa"/>
          </w:tcPr>
          <w:p w:rsidR="00083C3F" w:rsidRDefault="00E1215B">
            <w:pPr>
              <w:spacing w:after="0"/>
              <w:jc w:val="left"/>
              <w:rPr>
                <w:rFonts w:cs="Times New Roman"/>
                <w:noProof/>
              </w:rPr>
            </w:pPr>
            <w:r>
              <w:rPr>
                <w:rFonts w:cs="Times New Roman"/>
                <w:noProof/>
              </w:rPr>
              <w:t>ELTIFs, number</w:t>
            </w:r>
          </w:p>
        </w:tc>
        <w:tc>
          <w:tcPr>
            <w:tcW w:w="1701" w:type="dxa"/>
          </w:tcPr>
          <w:p w:rsidR="00083C3F" w:rsidRDefault="00E1215B">
            <w:pPr>
              <w:spacing w:after="0"/>
              <w:jc w:val="center"/>
              <w:rPr>
                <w:rFonts w:cs="Times New Roman"/>
                <w:noProof/>
              </w:rPr>
            </w:pPr>
            <w:r>
              <w:rPr>
                <w:rFonts w:cs="Times New Roman"/>
                <w:noProof/>
              </w:rPr>
              <w:t>NA</w:t>
            </w:r>
          </w:p>
        </w:tc>
        <w:tc>
          <w:tcPr>
            <w:tcW w:w="1701" w:type="dxa"/>
            <w:vAlign w:val="center"/>
          </w:tcPr>
          <w:p w:rsidR="00083C3F" w:rsidRDefault="00E1215B">
            <w:pPr>
              <w:spacing w:after="0"/>
              <w:jc w:val="center"/>
              <w:rPr>
                <w:rFonts w:cs="Times New Roman"/>
                <w:noProof/>
              </w:rPr>
            </w:pPr>
            <w:r>
              <w:rPr>
                <w:rFonts w:cs="Times New Roman"/>
                <w:noProof/>
              </w:rPr>
              <w:t>2016</w:t>
            </w:r>
          </w:p>
        </w:tc>
        <w:tc>
          <w:tcPr>
            <w:tcW w:w="1701" w:type="dxa"/>
            <w:vAlign w:val="center"/>
          </w:tcPr>
          <w:p w:rsidR="00083C3F" w:rsidRDefault="00E1215B">
            <w:pPr>
              <w:spacing w:after="0"/>
              <w:jc w:val="center"/>
              <w:rPr>
                <w:rFonts w:cs="Times New Roman"/>
                <w:noProof/>
              </w:rPr>
            </w:pPr>
            <w:r>
              <w:rPr>
                <w:rFonts w:cs="Times New Roman"/>
                <w:noProof/>
              </w:rPr>
              <w:t>7</w:t>
            </w:r>
          </w:p>
        </w:tc>
      </w:tr>
    </w:tbl>
    <w:p w:rsidR="00083C3F" w:rsidRDefault="00E1215B">
      <w:pPr>
        <w:pStyle w:val="Heading4"/>
        <w:rPr>
          <w:noProof/>
        </w:rPr>
      </w:pPr>
      <w:r>
        <w:rPr>
          <w:noProof/>
        </w:rPr>
        <w:t>Infrastructure investments</w:t>
      </w:r>
    </w:p>
    <w:tbl>
      <w:tblPr>
        <w:tblStyle w:val="TableGrid18"/>
        <w:tblW w:w="9412" w:type="dxa"/>
        <w:tblCellMar>
          <w:top w:w="28" w:type="dxa"/>
          <w:left w:w="57" w:type="dxa"/>
          <w:bottom w:w="28" w:type="dxa"/>
          <w:right w:w="57" w:type="dxa"/>
        </w:tblCellMar>
        <w:tblLook w:val="04A0" w:firstRow="1" w:lastRow="0" w:firstColumn="1" w:lastColumn="0" w:noHBand="0" w:noVBand="1"/>
      </w:tblPr>
      <w:tblGrid>
        <w:gridCol w:w="4168"/>
        <w:gridCol w:w="1842"/>
        <w:gridCol w:w="1701"/>
        <w:gridCol w:w="1701"/>
      </w:tblGrid>
      <w:tr w:rsidR="00083C3F">
        <w:tc>
          <w:tcPr>
            <w:tcW w:w="4168" w:type="dxa"/>
            <w:vAlign w:val="center"/>
          </w:tcPr>
          <w:p w:rsidR="00083C3F" w:rsidRDefault="00E1215B">
            <w:pPr>
              <w:spacing w:after="0"/>
              <w:jc w:val="center"/>
              <w:rPr>
                <w:rFonts w:cs="Times New Roman"/>
                <w:noProof/>
              </w:rPr>
            </w:pPr>
            <w:r>
              <w:rPr>
                <w:rFonts w:cs="Times New Roman"/>
                <w:b/>
                <w:noProof/>
              </w:rPr>
              <w:t>Indicator</w:t>
            </w:r>
          </w:p>
        </w:tc>
        <w:tc>
          <w:tcPr>
            <w:tcW w:w="1842" w:type="dxa"/>
          </w:tcPr>
          <w:p w:rsidR="00083C3F" w:rsidRDefault="00E1215B">
            <w:pPr>
              <w:spacing w:after="0"/>
              <w:jc w:val="center"/>
              <w:rPr>
                <w:rFonts w:cs="Times New Roman"/>
                <w:noProof/>
              </w:rPr>
            </w:pPr>
            <w:r>
              <w:rPr>
                <w:rFonts w:cs="Times New Roman"/>
                <w:b/>
                <w:noProof/>
              </w:rPr>
              <w:t>Last 5-year average</w:t>
            </w:r>
          </w:p>
        </w:tc>
        <w:tc>
          <w:tcPr>
            <w:tcW w:w="1701" w:type="dxa"/>
            <w:vAlign w:val="center"/>
          </w:tcPr>
          <w:p w:rsidR="00083C3F" w:rsidRDefault="00E1215B">
            <w:pPr>
              <w:spacing w:after="0"/>
              <w:jc w:val="center"/>
              <w:rPr>
                <w:rFonts w:cs="Times New Roman"/>
                <w:noProof/>
              </w:rPr>
            </w:pPr>
            <w:r>
              <w:rPr>
                <w:rFonts w:cs="Times New Roman"/>
                <w:b/>
                <w:noProof/>
              </w:rPr>
              <w:t>Latest observation</w:t>
            </w:r>
          </w:p>
        </w:tc>
        <w:tc>
          <w:tcPr>
            <w:tcW w:w="1701" w:type="dxa"/>
            <w:vAlign w:val="center"/>
          </w:tcPr>
          <w:p w:rsidR="00083C3F" w:rsidRDefault="00E1215B">
            <w:pPr>
              <w:spacing w:after="0"/>
              <w:jc w:val="center"/>
              <w:rPr>
                <w:rFonts w:cs="Times New Roman"/>
                <w:noProof/>
              </w:rPr>
            </w:pPr>
            <w:r>
              <w:rPr>
                <w:rFonts w:cs="Times New Roman"/>
                <w:b/>
                <w:noProof/>
              </w:rPr>
              <w:t>Value</w:t>
            </w:r>
          </w:p>
        </w:tc>
      </w:tr>
      <w:tr w:rsidR="00083C3F">
        <w:tc>
          <w:tcPr>
            <w:tcW w:w="4168" w:type="dxa"/>
          </w:tcPr>
          <w:p w:rsidR="00083C3F" w:rsidRDefault="00E1215B">
            <w:pPr>
              <w:spacing w:after="0"/>
              <w:jc w:val="left"/>
              <w:rPr>
                <w:rFonts w:cs="Times New Roman"/>
                <w:noProof/>
              </w:rPr>
            </w:pPr>
            <w:r>
              <w:rPr>
                <w:rFonts w:cs="Times New Roman"/>
                <w:noProof/>
              </w:rPr>
              <w:t>Infrastructure deals completed, value, Europe</w:t>
            </w:r>
          </w:p>
        </w:tc>
        <w:tc>
          <w:tcPr>
            <w:tcW w:w="1842" w:type="dxa"/>
          </w:tcPr>
          <w:p w:rsidR="00083C3F" w:rsidRDefault="00083C3F">
            <w:pPr>
              <w:spacing w:after="0"/>
              <w:jc w:val="center"/>
              <w:rPr>
                <w:rFonts w:cs="Times New Roman"/>
                <w:noProof/>
              </w:rPr>
            </w:pPr>
          </w:p>
        </w:tc>
        <w:tc>
          <w:tcPr>
            <w:tcW w:w="1701" w:type="dxa"/>
            <w:vAlign w:val="center"/>
          </w:tcPr>
          <w:p w:rsidR="00083C3F" w:rsidRDefault="00E1215B">
            <w:pPr>
              <w:spacing w:after="0"/>
              <w:jc w:val="center"/>
              <w:rPr>
                <w:rFonts w:cs="Times New Roman"/>
                <w:noProof/>
              </w:rPr>
            </w:pPr>
            <w:r>
              <w:rPr>
                <w:rFonts w:cs="Times New Roman"/>
                <w:noProof/>
              </w:rPr>
              <w:t>2016</w:t>
            </w:r>
          </w:p>
        </w:tc>
        <w:tc>
          <w:tcPr>
            <w:tcW w:w="1701" w:type="dxa"/>
            <w:vAlign w:val="center"/>
          </w:tcPr>
          <w:p w:rsidR="00083C3F" w:rsidRDefault="00E1215B">
            <w:pPr>
              <w:spacing w:after="0"/>
              <w:jc w:val="center"/>
              <w:rPr>
                <w:rFonts w:cs="Times New Roman"/>
                <w:noProof/>
              </w:rPr>
            </w:pPr>
            <w:r>
              <w:rPr>
                <w:rFonts w:cs="Times New Roman"/>
                <w:noProof/>
              </w:rPr>
              <w:t>EUR 232 billion</w:t>
            </w:r>
          </w:p>
        </w:tc>
      </w:tr>
      <w:tr w:rsidR="00083C3F">
        <w:tc>
          <w:tcPr>
            <w:tcW w:w="4168" w:type="dxa"/>
          </w:tcPr>
          <w:p w:rsidR="00083C3F" w:rsidRDefault="00E1215B">
            <w:pPr>
              <w:spacing w:after="0"/>
              <w:jc w:val="left"/>
              <w:rPr>
                <w:rFonts w:cs="Times New Roman"/>
                <w:noProof/>
              </w:rPr>
            </w:pPr>
            <w:r>
              <w:rPr>
                <w:rFonts w:cs="Times New Roman"/>
                <w:noProof/>
              </w:rPr>
              <w:t>European project bond issuance, value</w:t>
            </w:r>
          </w:p>
        </w:tc>
        <w:tc>
          <w:tcPr>
            <w:tcW w:w="1842" w:type="dxa"/>
          </w:tcPr>
          <w:p w:rsidR="00083C3F" w:rsidRDefault="00E1215B">
            <w:pPr>
              <w:spacing w:after="0"/>
              <w:jc w:val="center"/>
              <w:rPr>
                <w:rFonts w:cs="Times New Roman"/>
                <w:noProof/>
              </w:rPr>
            </w:pPr>
            <w:r>
              <w:rPr>
                <w:rFonts w:cs="Times New Roman"/>
                <w:noProof/>
              </w:rPr>
              <w:t>EUR 8.5 billion</w:t>
            </w:r>
            <w:r>
              <w:rPr>
                <w:rStyle w:val="FootnoteReference"/>
                <w:rFonts w:cs="Times New Roman"/>
                <w:noProof/>
              </w:rPr>
              <w:footnoteReference w:id="59"/>
            </w:r>
          </w:p>
        </w:tc>
        <w:tc>
          <w:tcPr>
            <w:tcW w:w="1701" w:type="dxa"/>
            <w:vAlign w:val="center"/>
          </w:tcPr>
          <w:p w:rsidR="00083C3F" w:rsidRDefault="00E1215B">
            <w:pPr>
              <w:spacing w:after="0"/>
              <w:jc w:val="center"/>
              <w:rPr>
                <w:rFonts w:cs="Times New Roman"/>
                <w:noProof/>
              </w:rPr>
            </w:pPr>
            <w:r>
              <w:rPr>
                <w:rFonts w:cs="Times New Roman"/>
                <w:noProof/>
              </w:rPr>
              <w:t>2016</w:t>
            </w:r>
          </w:p>
        </w:tc>
        <w:tc>
          <w:tcPr>
            <w:tcW w:w="1701" w:type="dxa"/>
            <w:vAlign w:val="center"/>
          </w:tcPr>
          <w:p w:rsidR="00083C3F" w:rsidRDefault="00E1215B">
            <w:pPr>
              <w:spacing w:after="0"/>
              <w:jc w:val="center"/>
              <w:rPr>
                <w:rFonts w:cs="Times New Roman"/>
                <w:noProof/>
              </w:rPr>
            </w:pPr>
            <w:r>
              <w:rPr>
                <w:rFonts w:cs="Times New Roman"/>
                <w:noProof/>
              </w:rPr>
              <w:t>EUR 15.0 billion</w:t>
            </w:r>
          </w:p>
        </w:tc>
      </w:tr>
      <w:tr w:rsidR="00083C3F">
        <w:tc>
          <w:tcPr>
            <w:tcW w:w="4168" w:type="dxa"/>
          </w:tcPr>
          <w:p w:rsidR="00083C3F" w:rsidRDefault="00E1215B">
            <w:pPr>
              <w:spacing w:after="0"/>
              <w:jc w:val="left"/>
              <w:rPr>
                <w:rFonts w:cs="Times New Roman"/>
                <w:noProof/>
              </w:rPr>
            </w:pPr>
            <w:r>
              <w:rPr>
                <w:rFonts w:cs="Times New Roman"/>
                <w:noProof/>
              </w:rPr>
              <w:t>European project loan issuance, value</w:t>
            </w:r>
          </w:p>
        </w:tc>
        <w:tc>
          <w:tcPr>
            <w:tcW w:w="1842" w:type="dxa"/>
          </w:tcPr>
          <w:p w:rsidR="00083C3F" w:rsidRDefault="00E1215B">
            <w:pPr>
              <w:spacing w:after="0"/>
              <w:jc w:val="center"/>
              <w:rPr>
                <w:rFonts w:cs="Times New Roman"/>
                <w:noProof/>
              </w:rPr>
            </w:pPr>
            <w:r>
              <w:rPr>
                <w:rFonts w:cs="Times New Roman"/>
                <w:noProof/>
              </w:rPr>
              <w:t xml:space="preserve">EUR 43.6 </w:t>
            </w:r>
            <w:r>
              <w:rPr>
                <w:rFonts w:cs="Times New Roman"/>
                <w:noProof/>
              </w:rPr>
              <w:t>billion</w:t>
            </w:r>
            <w:r>
              <w:rPr>
                <w:rFonts w:cs="Times New Roman"/>
                <w:noProof/>
                <w:vertAlign w:val="superscript"/>
              </w:rPr>
              <w:t>62</w:t>
            </w:r>
          </w:p>
        </w:tc>
        <w:tc>
          <w:tcPr>
            <w:tcW w:w="1701" w:type="dxa"/>
            <w:vAlign w:val="center"/>
          </w:tcPr>
          <w:p w:rsidR="00083C3F" w:rsidRDefault="00E1215B">
            <w:pPr>
              <w:spacing w:after="0"/>
              <w:jc w:val="center"/>
              <w:rPr>
                <w:rFonts w:cs="Times New Roman"/>
                <w:noProof/>
              </w:rPr>
            </w:pPr>
            <w:r>
              <w:rPr>
                <w:rFonts w:cs="Times New Roman"/>
                <w:noProof/>
              </w:rPr>
              <w:t>2016</w:t>
            </w:r>
          </w:p>
        </w:tc>
        <w:tc>
          <w:tcPr>
            <w:tcW w:w="1701" w:type="dxa"/>
            <w:vAlign w:val="center"/>
          </w:tcPr>
          <w:p w:rsidR="00083C3F" w:rsidRDefault="00E1215B">
            <w:pPr>
              <w:spacing w:after="0"/>
              <w:jc w:val="center"/>
              <w:rPr>
                <w:rFonts w:cs="Times New Roman"/>
                <w:noProof/>
              </w:rPr>
            </w:pPr>
            <w:r>
              <w:rPr>
                <w:rFonts w:cs="Times New Roman"/>
                <w:noProof/>
              </w:rPr>
              <w:t>EUR 55.6 billion</w:t>
            </w:r>
          </w:p>
        </w:tc>
      </w:tr>
      <w:tr w:rsidR="00083C3F">
        <w:tc>
          <w:tcPr>
            <w:tcW w:w="4168" w:type="dxa"/>
          </w:tcPr>
          <w:p w:rsidR="00083C3F" w:rsidRDefault="00E1215B">
            <w:pPr>
              <w:spacing w:after="0"/>
              <w:jc w:val="left"/>
              <w:rPr>
                <w:rFonts w:cs="Times New Roman"/>
                <w:noProof/>
              </w:rPr>
            </w:pPr>
            <w:r>
              <w:rPr>
                <w:rFonts w:cs="Times New Roman"/>
                <w:noProof/>
              </w:rPr>
              <w:t>PPP transactions, Europe</w:t>
            </w:r>
          </w:p>
        </w:tc>
        <w:tc>
          <w:tcPr>
            <w:tcW w:w="1842" w:type="dxa"/>
          </w:tcPr>
          <w:p w:rsidR="00083C3F" w:rsidRDefault="00E1215B">
            <w:pPr>
              <w:spacing w:after="0"/>
              <w:jc w:val="center"/>
              <w:rPr>
                <w:rFonts w:cs="Times New Roman"/>
                <w:noProof/>
              </w:rPr>
            </w:pPr>
            <w:r>
              <w:rPr>
                <w:rFonts w:cs="Times New Roman"/>
                <w:noProof/>
              </w:rPr>
              <w:t>EUR 15.8 billion</w:t>
            </w:r>
            <w:r>
              <w:rPr>
                <w:rFonts w:cs="Times New Roman"/>
                <w:noProof/>
                <w:vertAlign w:val="superscript"/>
              </w:rPr>
              <w:t>62</w:t>
            </w:r>
          </w:p>
        </w:tc>
        <w:tc>
          <w:tcPr>
            <w:tcW w:w="1701" w:type="dxa"/>
            <w:vAlign w:val="center"/>
          </w:tcPr>
          <w:p w:rsidR="00083C3F" w:rsidRDefault="00E1215B">
            <w:pPr>
              <w:spacing w:after="0"/>
              <w:jc w:val="center"/>
              <w:rPr>
                <w:rFonts w:cs="Times New Roman"/>
                <w:noProof/>
              </w:rPr>
            </w:pPr>
            <w:r>
              <w:rPr>
                <w:rFonts w:cs="Times New Roman"/>
                <w:noProof/>
              </w:rPr>
              <w:t>2015</w:t>
            </w:r>
          </w:p>
        </w:tc>
        <w:tc>
          <w:tcPr>
            <w:tcW w:w="1701" w:type="dxa"/>
            <w:vAlign w:val="center"/>
          </w:tcPr>
          <w:p w:rsidR="00083C3F" w:rsidRDefault="00E1215B">
            <w:pPr>
              <w:spacing w:after="0"/>
              <w:jc w:val="center"/>
              <w:rPr>
                <w:rFonts w:cs="Times New Roman"/>
                <w:noProof/>
              </w:rPr>
            </w:pPr>
            <w:r>
              <w:rPr>
                <w:rFonts w:cs="Times New Roman"/>
                <w:noProof/>
              </w:rPr>
              <w:t>EUR 12 billion</w:t>
            </w:r>
          </w:p>
        </w:tc>
      </w:tr>
      <w:tr w:rsidR="00083C3F">
        <w:tc>
          <w:tcPr>
            <w:tcW w:w="4168" w:type="dxa"/>
          </w:tcPr>
          <w:p w:rsidR="00083C3F" w:rsidRDefault="00E1215B">
            <w:pPr>
              <w:spacing w:after="0"/>
              <w:jc w:val="left"/>
              <w:rPr>
                <w:rFonts w:cs="Times New Roman"/>
                <w:noProof/>
              </w:rPr>
            </w:pPr>
            <w:r>
              <w:rPr>
                <w:rFonts w:cs="Times New Roman"/>
                <w:noProof/>
              </w:rPr>
              <w:t>Number of projects supported by EFSI</w:t>
            </w:r>
          </w:p>
        </w:tc>
        <w:tc>
          <w:tcPr>
            <w:tcW w:w="1842" w:type="dxa"/>
          </w:tcPr>
          <w:p w:rsidR="00083C3F" w:rsidRDefault="00E1215B">
            <w:pPr>
              <w:spacing w:after="0"/>
              <w:jc w:val="center"/>
              <w:rPr>
                <w:rFonts w:cs="Times New Roman"/>
                <w:noProof/>
              </w:rPr>
            </w:pPr>
            <w:r>
              <w:rPr>
                <w:rFonts w:cs="Times New Roman"/>
                <w:noProof/>
              </w:rPr>
              <w:t>NA</w:t>
            </w:r>
          </w:p>
        </w:tc>
        <w:tc>
          <w:tcPr>
            <w:tcW w:w="1701" w:type="dxa"/>
            <w:vAlign w:val="center"/>
          </w:tcPr>
          <w:p w:rsidR="00083C3F" w:rsidRDefault="00E1215B">
            <w:pPr>
              <w:spacing w:after="0"/>
              <w:jc w:val="center"/>
              <w:rPr>
                <w:rFonts w:cs="Times New Roman"/>
                <w:noProof/>
              </w:rPr>
            </w:pPr>
            <w:r>
              <w:rPr>
                <w:rFonts w:cs="Times New Roman"/>
                <w:noProof/>
              </w:rPr>
              <w:t>Q1 2017</w:t>
            </w:r>
          </w:p>
        </w:tc>
        <w:tc>
          <w:tcPr>
            <w:tcW w:w="1701" w:type="dxa"/>
            <w:vAlign w:val="center"/>
          </w:tcPr>
          <w:p w:rsidR="00083C3F" w:rsidRDefault="00E1215B">
            <w:pPr>
              <w:spacing w:after="0"/>
              <w:jc w:val="center"/>
              <w:rPr>
                <w:rFonts w:cs="Times New Roman"/>
                <w:noProof/>
              </w:rPr>
            </w:pPr>
            <w:r>
              <w:rPr>
                <w:rFonts w:cs="Times New Roman"/>
                <w:noProof/>
              </w:rPr>
              <w:t>477</w:t>
            </w:r>
          </w:p>
        </w:tc>
      </w:tr>
      <w:tr w:rsidR="00083C3F">
        <w:tc>
          <w:tcPr>
            <w:tcW w:w="4168" w:type="dxa"/>
          </w:tcPr>
          <w:p w:rsidR="00083C3F" w:rsidRDefault="00E1215B">
            <w:pPr>
              <w:spacing w:after="0"/>
              <w:jc w:val="left"/>
              <w:rPr>
                <w:rFonts w:cs="Times New Roman"/>
                <w:noProof/>
              </w:rPr>
            </w:pPr>
            <w:r>
              <w:rPr>
                <w:rFonts w:cs="Times New Roman"/>
                <w:noProof/>
              </w:rPr>
              <w:t>EIB financing for EFSI-supported projects</w:t>
            </w:r>
          </w:p>
        </w:tc>
        <w:tc>
          <w:tcPr>
            <w:tcW w:w="1842" w:type="dxa"/>
          </w:tcPr>
          <w:p w:rsidR="00083C3F" w:rsidRDefault="00E1215B">
            <w:pPr>
              <w:spacing w:after="0"/>
              <w:jc w:val="center"/>
              <w:rPr>
                <w:rFonts w:cs="Times New Roman"/>
                <w:noProof/>
              </w:rPr>
            </w:pPr>
            <w:r>
              <w:rPr>
                <w:rFonts w:cs="Times New Roman"/>
                <w:noProof/>
              </w:rPr>
              <w:t>NA</w:t>
            </w:r>
          </w:p>
        </w:tc>
        <w:tc>
          <w:tcPr>
            <w:tcW w:w="1701" w:type="dxa"/>
            <w:vAlign w:val="center"/>
          </w:tcPr>
          <w:p w:rsidR="00083C3F" w:rsidRDefault="00E1215B">
            <w:pPr>
              <w:spacing w:after="0"/>
              <w:jc w:val="center"/>
              <w:rPr>
                <w:rFonts w:cs="Times New Roman"/>
                <w:noProof/>
              </w:rPr>
            </w:pPr>
            <w:r>
              <w:rPr>
                <w:rFonts w:cs="Times New Roman"/>
                <w:noProof/>
              </w:rPr>
              <w:t>Q1 2017</w:t>
            </w:r>
          </w:p>
        </w:tc>
        <w:tc>
          <w:tcPr>
            <w:tcW w:w="1701" w:type="dxa"/>
            <w:vAlign w:val="center"/>
          </w:tcPr>
          <w:p w:rsidR="00083C3F" w:rsidRDefault="00E1215B">
            <w:pPr>
              <w:spacing w:after="0"/>
              <w:jc w:val="center"/>
              <w:rPr>
                <w:rFonts w:cs="Times New Roman"/>
                <w:noProof/>
              </w:rPr>
            </w:pPr>
            <w:r>
              <w:rPr>
                <w:rFonts w:cs="Times New Roman"/>
                <w:noProof/>
              </w:rPr>
              <w:t>EUR 33.9 billion</w:t>
            </w:r>
          </w:p>
        </w:tc>
      </w:tr>
      <w:tr w:rsidR="00083C3F">
        <w:tc>
          <w:tcPr>
            <w:tcW w:w="4168" w:type="dxa"/>
          </w:tcPr>
          <w:p w:rsidR="00083C3F" w:rsidRDefault="00E1215B">
            <w:pPr>
              <w:spacing w:after="0"/>
              <w:jc w:val="left"/>
              <w:rPr>
                <w:rFonts w:cs="Times New Roman"/>
                <w:noProof/>
              </w:rPr>
            </w:pPr>
            <w:r>
              <w:rPr>
                <w:rFonts w:cs="Times New Roman"/>
                <w:noProof/>
              </w:rPr>
              <w:t xml:space="preserve">Expected total investment in </w:t>
            </w:r>
            <w:r>
              <w:rPr>
                <w:rFonts w:cs="Times New Roman"/>
                <w:noProof/>
              </w:rPr>
              <w:t>EFSI-supported projects</w:t>
            </w:r>
          </w:p>
        </w:tc>
        <w:tc>
          <w:tcPr>
            <w:tcW w:w="1842" w:type="dxa"/>
          </w:tcPr>
          <w:p w:rsidR="00083C3F" w:rsidRDefault="00E1215B">
            <w:pPr>
              <w:spacing w:after="0"/>
              <w:jc w:val="center"/>
              <w:rPr>
                <w:rFonts w:cs="Times New Roman"/>
                <w:noProof/>
              </w:rPr>
            </w:pPr>
            <w:r>
              <w:rPr>
                <w:rFonts w:cs="Times New Roman"/>
                <w:noProof/>
              </w:rPr>
              <w:t>NA</w:t>
            </w:r>
          </w:p>
        </w:tc>
        <w:tc>
          <w:tcPr>
            <w:tcW w:w="1701" w:type="dxa"/>
            <w:vAlign w:val="center"/>
          </w:tcPr>
          <w:p w:rsidR="00083C3F" w:rsidRDefault="00E1215B">
            <w:pPr>
              <w:spacing w:after="0"/>
              <w:jc w:val="center"/>
              <w:rPr>
                <w:rFonts w:cs="Times New Roman"/>
                <w:noProof/>
              </w:rPr>
            </w:pPr>
            <w:r>
              <w:rPr>
                <w:rFonts w:cs="Times New Roman"/>
                <w:noProof/>
              </w:rPr>
              <w:t>Q1 2017</w:t>
            </w:r>
          </w:p>
        </w:tc>
        <w:tc>
          <w:tcPr>
            <w:tcW w:w="1701" w:type="dxa"/>
            <w:vAlign w:val="center"/>
          </w:tcPr>
          <w:p w:rsidR="00083C3F" w:rsidRDefault="00E1215B">
            <w:pPr>
              <w:spacing w:after="0"/>
              <w:jc w:val="center"/>
              <w:rPr>
                <w:rFonts w:cs="Times New Roman"/>
                <w:noProof/>
              </w:rPr>
            </w:pPr>
            <w:r>
              <w:rPr>
                <w:rFonts w:cs="Times New Roman"/>
                <w:noProof/>
              </w:rPr>
              <w:t>EUR 183.5 billion</w:t>
            </w:r>
          </w:p>
        </w:tc>
      </w:tr>
    </w:tbl>
    <w:p w:rsidR="00083C3F" w:rsidRDefault="00083C3F">
      <w:pPr>
        <w:rPr>
          <w:noProof/>
        </w:rPr>
      </w:pPr>
    </w:p>
    <w:p w:rsidR="00083C3F" w:rsidRDefault="00E1215B">
      <w:pPr>
        <w:ind w:left="709"/>
        <w:rPr>
          <w:b/>
          <w:i/>
          <w:noProof/>
        </w:rPr>
      </w:pPr>
      <w:r>
        <w:rPr>
          <w:b/>
          <w:i/>
          <w:noProof/>
        </w:rPr>
        <w:t>Sustainable investments</w:t>
      </w:r>
    </w:p>
    <w:tbl>
      <w:tblPr>
        <w:tblStyle w:val="TableGrid18"/>
        <w:tblW w:w="9412" w:type="dxa"/>
        <w:tblCellMar>
          <w:top w:w="28" w:type="dxa"/>
          <w:left w:w="57" w:type="dxa"/>
          <w:bottom w:w="28" w:type="dxa"/>
          <w:right w:w="57" w:type="dxa"/>
        </w:tblCellMar>
        <w:tblLook w:val="04A0" w:firstRow="1" w:lastRow="0" w:firstColumn="1" w:lastColumn="0" w:noHBand="0" w:noVBand="1"/>
      </w:tblPr>
      <w:tblGrid>
        <w:gridCol w:w="4168"/>
        <w:gridCol w:w="1842"/>
        <w:gridCol w:w="1701"/>
        <w:gridCol w:w="1701"/>
      </w:tblGrid>
      <w:tr w:rsidR="00083C3F">
        <w:tc>
          <w:tcPr>
            <w:tcW w:w="4168" w:type="dxa"/>
            <w:tcBorders>
              <w:bottom w:val="single" w:sz="4" w:space="0" w:color="auto"/>
            </w:tcBorders>
          </w:tcPr>
          <w:p w:rsidR="00083C3F" w:rsidRDefault="00E1215B">
            <w:pPr>
              <w:spacing w:after="0"/>
              <w:jc w:val="left"/>
              <w:rPr>
                <w:rFonts w:cs="Times New Roman"/>
                <w:noProof/>
              </w:rPr>
            </w:pPr>
            <w:r>
              <w:rPr>
                <w:rFonts w:cs="Times New Roman"/>
                <w:noProof/>
              </w:rPr>
              <w:t>Green bonds issuance, global, value</w:t>
            </w:r>
          </w:p>
        </w:tc>
        <w:tc>
          <w:tcPr>
            <w:tcW w:w="1842" w:type="dxa"/>
            <w:tcBorders>
              <w:bottom w:val="single" w:sz="4" w:space="0" w:color="auto"/>
            </w:tcBorders>
          </w:tcPr>
          <w:p w:rsidR="00083C3F" w:rsidRDefault="00E1215B">
            <w:pPr>
              <w:spacing w:after="0"/>
              <w:jc w:val="center"/>
              <w:rPr>
                <w:rFonts w:cs="Times New Roman"/>
                <w:noProof/>
              </w:rPr>
            </w:pPr>
            <w:r>
              <w:rPr>
                <w:rFonts w:cs="Times New Roman"/>
                <w:noProof/>
              </w:rPr>
              <w:t>EUR 19 billion</w:t>
            </w:r>
          </w:p>
        </w:tc>
        <w:tc>
          <w:tcPr>
            <w:tcW w:w="1701" w:type="dxa"/>
            <w:tcBorders>
              <w:bottom w:val="single" w:sz="4" w:space="0" w:color="auto"/>
            </w:tcBorders>
            <w:vAlign w:val="center"/>
          </w:tcPr>
          <w:p w:rsidR="00083C3F" w:rsidRDefault="00E1215B">
            <w:pPr>
              <w:spacing w:after="0"/>
              <w:jc w:val="center"/>
              <w:rPr>
                <w:rFonts w:cs="Times New Roman"/>
                <w:noProof/>
              </w:rPr>
            </w:pPr>
            <w:r>
              <w:rPr>
                <w:rFonts w:cs="Times New Roman"/>
                <w:noProof/>
              </w:rPr>
              <w:t>2016</w:t>
            </w:r>
          </w:p>
        </w:tc>
        <w:tc>
          <w:tcPr>
            <w:tcW w:w="1701" w:type="dxa"/>
            <w:tcBorders>
              <w:bottom w:val="single" w:sz="4" w:space="0" w:color="auto"/>
            </w:tcBorders>
            <w:vAlign w:val="center"/>
          </w:tcPr>
          <w:p w:rsidR="00083C3F" w:rsidRDefault="00E1215B">
            <w:pPr>
              <w:spacing w:after="0"/>
              <w:jc w:val="center"/>
              <w:rPr>
                <w:rFonts w:cs="Times New Roman"/>
                <w:noProof/>
              </w:rPr>
            </w:pPr>
            <w:r>
              <w:rPr>
                <w:rFonts w:cs="Times New Roman"/>
                <w:noProof/>
              </w:rPr>
              <w:t>EUR 100 billion</w:t>
            </w:r>
          </w:p>
        </w:tc>
      </w:tr>
    </w:tbl>
    <w:p w:rsidR="00083C3F" w:rsidRDefault="00083C3F">
      <w:pPr>
        <w:rPr>
          <w:noProof/>
        </w:rPr>
      </w:pPr>
    </w:p>
    <w:p w:rsidR="00083C3F" w:rsidRDefault="00E1215B">
      <w:pPr>
        <w:spacing w:after="200"/>
        <w:jc w:val="left"/>
        <w:rPr>
          <w:noProof/>
        </w:rPr>
      </w:pPr>
      <w:r>
        <w:rPr>
          <w:noProof/>
        </w:rPr>
        <w:br w:type="page"/>
      </w:r>
    </w:p>
    <w:p w:rsidR="00083C3F" w:rsidRDefault="00E1215B">
      <w:pPr>
        <w:pStyle w:val="Heading1"/>
        <w:rPr>
          <w:noProof/>
        </w:rPr>
      </w:pPr>
      <w:bookmarkStart w:id="204" w:name="_Toc481140406"/>
      <w:bookmarkStart w:id="205" w:name="_Toc482710978"/>
      <w:bookmarkStart w:id="206" w:name="_Toc482715300"/>
      <w:bookmarkStart w:id="207" w:name="_Toc479611915"/>
      <w:r>
        <w:rPr>
          <w:noProof/>
        </w:rPr>
        <w:t>Fostering retail investments</w:t>
      </w:r>
      <w:bookmarkEnd w:id="204"/>
      <w:bookmarkEnd w:id="205"/>
      <w:bookmarkEnd w:id="206"/>
    </w:p>
    <w:bookmarkEnd w:id="207"/>
    <w:p w:rsidR="00083C3F" w:rsidRDefault="00E1215B">
      <w:pPr>
        <w:rPr>
          <w:noProof/>
        </w:rPr>
      </w:pPr>
      <w:r>
        <w:rPr>
          <w:noProof/>
        </w:rPr>
        <w:t>Retail investors are the main providers of funding for the economy, with total holdings of financial assets close to EUR 34 trillion in 2016 (Eurostat). Understanding how they invest retained savings and allocate funds to different financial assets is henc</w:t>
      </w:r>
      <w:r>
        <w:rPr>
          <w:noProof/>
        </w:rPr>
        <w:t>e crucial for devising policies to foster investments into capital markets, as well as to enhance investor protection. While significant progress towards establishing a more competitive internal market for retail financial services has been made, there sti</w:t>
      </w:r>
      <w:r>
        <w:rPr>
          <w:noProof/>
        </w:rPr>
        <w:t>ll remain a number of problems, which hinder a more efficient flow of financial investments into the economy. These are related to both market structure and the regulatory framework, especially in cross-border transactions and provision of services. Behavi</w:t>
      </w:r>
      <w:r>
        <w:rPr>
          <w:noProof/>
        </w:rPr>
        <w:t xml:space="preserve">oural biases and free-riding problems </w:t>
      </w:r>
      <w:r>
        <w:rPr>
          <w:noProof/>
          <w:color w:val="000000" w:themeColor="text1"/>
        </w:rPr>
        <w:t xml:space="preserve">(from information asymmetry) </w:t>
      </w:r>
      <w:r>
        <w:rPr>
          <w:noProof/>
        </w:rPr>
        <w:t>on the side of retail customers reinforce supply side issues.</w:t>
      </w:r>
    </w:p>
    <w:p w:rsidR="00083C3F" w:rsidRDefault="00E1215B">
      <w:pPr>
        <w:pStyle w:val="Heading2"/>
        <w:numPr>
          <w:ilvl w:val="1"/>
          <w:numId w:val="44"/>
        </w:numPr>
        <w:rPr>
          <w:noProof/>
        </w:rPr>
      </w:pPr>
      <w:bookmarkStart w:id="208" w:name="_Toc481140407"/>
      <w:bookmarkStart w:id="209" w:name="_Toc482710979"/>
      <w:bookmarkStart w:id="210" w:name="_Toc482715301"/>
      <w:r>
        <w:rPr>
          <w:noProof/>
        </w:rPr>
        <w:t>Key trends in retail investments</w:t>
      </w:r>
      <w:bookmarkEnd w:id="208"/>
      <w:bookmarkEnd w:id="209"/>
      <w:bookmarkEnd w:id="210"/>
    </w:p>
    <w:p w:rsidR="00083C3F" w:rsidRDefault="00E1215B">
      <w:pPr>
        <w:pStyle w:val="Heading3"/>
        <w:numPr>
          <w:ilvl w:val="2"/>
          <w:numId w:val="44"/>
        </w:numPr>
        <w:ind w:left="1287"/>
        <w:rPr>
          <w:noProof/>
        </w:rPr>
      </w:pPr>
      <w:bookmarkStart w:id="211" w:name="_Toc479611916"/>
      <w:bookmarkStart w:id="212" w:name="_Toc481140408"/>
      <w:bookmarkStart w:id="213" w:name="_Toc482710980"/>
      <w:bookmarkStart w:id="214" w:name="_Toc482715302"/>
      <w:r>
        <w:rPr>
          <w:noProof/>
        </w:rPr>
        <w:t>Saving Rates</w:t>
      </w:r>
      <w:bookmarkEnd w:id="211"/>
      <w:bookmarkEnd w:id="212"/>
      <w:bookmarkEnd w:id="213"/>
      <w:bookmarkEnd w:id="214"/>
      <w:r>
        <w:rPr>
          <w:noProof/>
        </w:rPr>
        <w:t xml:space="preserve"> </w:t>
      </w:r>
    </w:p>
    <w:p w:rsidR="00083C3F" w:rsidRDefault="00E1215B">
      <w:pPr>
        <w:rPr>
          <w:noProof/>
        </w:rPr>
      </w:pPr>
      <w:r>
        <w:rPr>
          <w:noProof/>
        </w:rPr>
        <w:t xml:space="preserve">The financial situation of European households has significantly improved since </w:t>
      </w:r>
      <w:r>
        <w:rPr>
          <w:noProof/>
        </w:rPr>
        <w:t>the financial crisis. Real adjusted gross disposable income of households per capita has been increasing since 2009, both in the Eurozone as well as in the EU, leaving consumers with more money to spend on consumption or to provision for future consumption</w:t>
      </w:r>
      <w:r>
        <w:rPr>
          <w:noProof/>
        </w:rPr>
        <w:t xml:space="preserve"> in the form of savings. </w:t>
      </w:r>
    </w:p>
    <w:p w:rsidR="00083C3F" w:rsidRDefault="00E1215B">
      <w:pPr>
        <w:rPr>
          <w:noProof/>
        </w:rPr>
      </w:pPr>
      <w:r>
        <w:rPr>
          <w:noProof/>
        </w:rPr>
        <w:t>Savings represent a crucial factor in the analysis of the retail investment market as it reflects the amount of money that households have freely at their disposal for investments. It forms the main domestic source of funds for ca</w:t>
      </w:r>
      <w:r>
        <w:rPr>
          <w:noProof/>
        </w:rPr>
        <w:t>pital investment and high saving rates can translate into funds being available for economic growth. The propensity to save has been relatively stable since 2012 for the Euro area and slightly declining below pre-crisis level. The saving rate stood at 10.2</w:t>
      </w:r>
      <w:r>
        <w:rPr>
          <w:noProof/>
        </w:rPr>
        <w:t>% of total disposable income in the third quarter of 2016 for the EU (</w:t>
      </w:r>
      <w:r>
        <w:rPr>
          <w:noProof/>
        </w:rPr>
        <w:fldChar w:fldCharType="begin"/>
      </w:r>
      <w:r>
        <w:rPr>
          <w:noProof/>
        </w:rPr>
        <w:instrText xml:space="preserve"> REF _Ref479678294 \h </w:instrText>
      </w:r>
      <w:r>
        <w:rPr>
          <w:noProof/>
        </w:rPr>
      </w:r>
      <w:r>
        <w:rPr>
          <w:noProof/>
        </w:rPr>
        <w:fldChar w:fldCharType="separate"/>
      </w:r>
      <w:r>
        <w:rPr>
          <w:noProof/>
        </w:rPr>
        <w:t>Figure 6.1</w:t>
      </w:r>
      <w:r>
        <w:rPr>
          <w:noProof/>
        </w:rPr>
        <w:fldChar w:fldCharType="end"/>
      </w:r>
      <w:r>
        <w:rPr>
          <w:noProof/>
        </w:rPr>
        <w:t>). While there has been a historical close alignment in saving rate trends of the EU a</w:t>
      </w:r>
      <w:r>
        <w:rPr>
          <w:noProof/>
        </w:rPr>
        <w:t xml:space="preserve">nd the Euro area, there is an initial divergence over the period from 2012 to 2016. This indicates a higher inclination to spend income on consumption and an increase in household borrowing outside of the Euro area, where risk aversion remains high. </w:t>
      </w:r>
    </w:p>
    <w:p w:rsidR="00083C3F" w:rsidRDefault="00E1215B">
      <w:pPr>
        <w:pStyle w:val="Caption"/>
      </w:pPr>
      <w:bookmarkStart w:id="215" w:name="_Ref479678294"/>
      <w:r>
        <w:t>Figur</w:t>
      </w:r>
      <w:r>
        <w:t xml:space="preserve">e </w:t>
      </w:r>
      <w:r>
        <w:fldChar w:fldCharType="begin"/>
      </w:r>
      <w:r>
        <w:instrText xml:space="preserve"> STYLEREF 1 \s </w:instrText>
      </w:r>
      <w:r>
        <w:fldChar w:fldCharType="separate"/>
      </w:r>
      <w:r>
        <w:t>6</w:t>
      </w:r>
      <w:r>
        <w:fldChar w:fldCharType="end"/>
      </w:r>
      <w:r>
        <w:t>.</w:t>
      </w:r>
      <w:r>
        <w:fldChar w:fldCharType="begin"/>
      </w:r>
      <w:r>
        <w:instrText xml:space="preserve"> SEQ Figure \* ARABIC \s 1 </w:instrText>
      </w:r>
      <w:r>
        <w:fldChar w:fldCharType="separate"/>
      </w:r>
      <w:r>
        <w:t>1</w:t>
      </w:r>
      <w:r>
        <w:fldChar w:fldCharType="end"/>
      </w:r>
      <w:bookmarkEnd w:id="215"/>
      <w:r>
        <w:t xml:space="preserve"> Household saving rate (2005-2016)</w:t>
      </w:r>
    </w:p>
    <w:p w:rsidR="00083C3F" w:rsidRDefault="00E1215B">
      <w:pPr>
        <w:pStyle w:val="Figure"/>
        <w:rPr>
          <w:noProof/>
        </w:rPr>
      </w:pPr>
      <w:r>
        <w:rPr>
          <w:noProof/>
          <w:lang w:eastAsia="en-GB"/>
        </w:rPr>
        <w:drawing>
          <wp:inline distT="0" distB="0" distL="0" distR="0" wp14:anchorId="533D371F" wp14:editId="6E787EAB">
            <wp:extent cx="5420563" cy="2545690"/>
            <wp:effectExtent l="0" t="0" r="889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83C3F" w:rsidRDefault="00E1215B">
      <w:pPr>
        <w:pStyle w:val="Source"/>
        <w:rPr>
          <w:noProof/>
        </w:rPr>
      </w:pPr>
      <w:r>
        <w:rPr>
          <w:noProof/>
        </w:rPr>
        <w:t xml:space="preserve">Source: Eurostat. </w:t>
      </w:r>
    </w:p>
    <w:p w:rsidR="00083C3F" w:rsidRDefault="00E1215B">
      <w:pPr>
        <w:rPr>
          <w:noProof/>
        </w:rPr>
      </w:pPr>
      <w:r>
        <w:rPr>
          <w:noProof/>
        </w:rPr>
        <w:t xml:space="preserve">A considerable proportion of retail savings are invested in financial assets, which form an important part of overall wealth. The contribution of </w:t>
      </w:r>
      <w:r>
        <w:rPr>
          <w:noProof/>
        </w:rPr>
        <w:t>households to overall financial assets is especially strong in certain peripheral countries such as Greece (66.3%) and the Slovak Republic (62.3%). Beyond representing potential funding sources for companies, households' financial assets are also an import</w:t>
      </w:r>
      <w:r>
        <w:rPr>
          <w:noProof/>
        </w:rPr>
        <w:t>ant source of revenue, either through capital gains or interests and dividends. Enhancing the efficiency of retail financial markets and optimising the returns on retail products thus holds a dual advantage: increased financing for the economy and higher i</w:t>
      </w:r>
      <w:r>
        <w:rPr>
          <w:noProof/>
        </w:rPr>
        <w:t>ncome for households, both of which would add to economic growth. Active retail investor participation in financial markets also improves the information flow and ultimately price discovery.</w:t>
      </w:r>
    </w:p>
    <w:p w:rsidR="00083C3F" w:rsidRDefault="00E1215B">
      <w:pPr>
        <w:pStyle w:val="Heading3"/>
        <w:numPr>
          <w:ilvl w:val="2"/>
          <w:numId w:val="44"/>
        </w:numPr>
        <w:ind w:left="1287"/>
        <w:rPr>
          <w:noProof/>
        </w:rPr>
      </w:pPr>
      <w:bookmarkStart w:id="216" w:name="_Toc481140409"/>
      <w:bookmarkStart w:id="217" w:name="_Toc482710981"/>
      <w:bookmarkStart w:id="218" w:name="_Toc482715303"/>
      <w:r>
        <w:rPr>
          <w:noProof/>
        </w:rPr>
        <w:t>Household Financial Assets: a balance sheet analysis</w:t>
      </w:r>
      <w:bookmarkEnd w:id="216"/>
      <w:bookmarkEnd w:id="217"/>
      <w:bookmarkEnd w:id="218"/>
      <w:r>
        <w:rPr>
          <w:noProof/>
        </w:rPr>
        <w:t xml:space="preserve"> </w:t>
      </w:r>
    </w:p>
    <w:p w:rsidR="00083C3F" w:rsidRDefault="00E1215B">
      <w:pPr>
        <w:rPr>
          <w:noProof/>
        </w:rPr>
      </w:pPr>
      <w:r>
        <w:rPr>
          <w:noProof/>
        </w:rPr>
        <w:t>Retail inve</w:t>
      </w:r>
      <w:r>
        <w:rPr>
          <w:noProof/>
        </w:rPr>
        <w:t xml:space="preserve">stments can only provide direct sources of alternative funding for the real economy when channelled through capital markets in the form of financial investments. </w:t>
      </w:r>
      <w:r>
        <w:rPr>
          <w:noProof/>
        </w:rPr>
        <w:fldChar w:fldCharType="begin"/>
      </w:r>
      <w:r>
        <w:rPr>
          <w:noProof/>
        </w:rPr>
        <w:instrText xml:space="preserve"> REF _Ref481103793 \h </w:instrText>
      </w:r>
      <w:r>
        <w:rPr>
          <w:noProof/>
        </w:rPr>
      </w:r>
      <w:r>
        <w:rPr>
          <w:noProof/>
        </w:rPr>
        <w:fldChar w:fldCharType="separate"/>
      </w:r>
      <w:r>
        <w:rPr>
          <w:noProof/>
        </w:rPr>
        <w:t>Figure 6.2</w:t>
      </w:r>
      <w:r>
        <w:rPr>
          <w:noProof/>
        </w:rPr>
        <w:fldChar w:fldCharType="end"/>
      </w:r>
      <w:r>
        <w:rPr>
          <w:noProof/>
        </w:rPr>
        <w:t xml:space="preserve"> provides an overview of households' financial assets in the EU</w:t>
      </w:r>
      <w:r>
        <w:rPr>
          <w:i/>
          <w:noProof/>
        </w:rPr>
        <w:t xml:space="preserve"> </w:t>
      </w:r>
      <w:r>
        <w:rPr>
          <w:noProof/>
        </w:rPr>
        <w:t>over time. Households’ financial wealth has grown consistently since 2012, mainly driven by deposits and investments in insurance and pension products. Equity holdings have marginally in</w:t>
      </w:r>
      <w:r>
        <w:rPr>
          <w:noProof/>
        </w:rPr>
        <w:t>creased on the long-term, but gone down in 2016. The other three components, including investments in units of funds, are flat and of limited size. Currently, most of the investment of households in investment funds goes through insurance and pension produ</w:t>
      </w:r>
      <w:r>
        <w:rPr>
          <w:noProof/>
        </w:rPr>
        <w:t>cts, compared to the US, where there are more direct holdings of equity and investment funds units (e.g. ETFs, etc).</w:t>
      </w:r>
    </w:p>
    <w:p w:rsidR="00083C3F" w:rsidRDefault="00E1215B">
      <w:pPr>
        <w:pStyle w:val="Caption"/>
      </w:pPr>
      <w:bookmarkStart w:id="219" w:name="_Ref481103793"/>
      <w:r>
        <w:t xml:space="preserve">Figure </w:t>
      </w:r>
      <w:r>
        <w:fldChar w:fldCharType="begin"/>
      </w:r>
      <w:r>
        <w:instrText xml:space="preserve"> STYLEREF 1 \s </w:instrText>
      </w:r>
      <w:r>
        <w:fldChar w:fldCharType="separate"/>
      </w:r>
      <w:r>
        <w:t>6</w:t>
      </w:r>
      <w:r>
        <w:fldChar w:fldCharType="end"/>
      </w:r>
      <w:r>
        <w:t>.</w:t>
      </w:r>
      <w:r>
        <w:fldChar w:fldCharType="begin"/>
      </w:r>
      <w:r>
        <w:instrText xml:space="preserve"> SEQ Figure \* ARABIC \s 1 </w:instrText>
      </w:r>
      <w:r>
        <w:fldChar w:fldCharType="separate"/>
      </w:r>
      <w:r>
        <w:t>2</w:t>
      </w:r>
      <w:r>
        <w:fldChar w:fldCharType="end"/>
      </w:r>
      <w:bookmarkEnd w:id="219"/>
      <w:r>
        <w:t xml:space="preserve"> Household financial assets in the EU (EUR billion)</w:t>
      </w:r>
    </w:p>
    <w:p w:rsidR="00083C3F" w:rsidRDefault="00E1215B">
      <w:pPr>
        <w:pStyle w:val="Figure"/>
        <w:rPr>
          <w:noProof/>
        </w:rPr>
      </w:pPr>
      <w:r>
        <w:rPr>
          <w:noProof/>
          <w:lang w:eastAsia="en-GB"/>
        </w:rPr>
        <w:drawing>
          <wp:inline distT="0" distB="0" distL="0" distR="0" wp14:anchorId="1FA0613B" wp14:editId="66BED8B1">
            <wp:extent cx="5759355" cy="303662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83C3F" w:rsidRDefault="00E1215B">
      <w:pPr>
        <w:pStyle w:val="Source"/>
        <w:rPr>
          <w:noProof/>
        </w:rPr>
      </w:pPr>
      <w:r>
        <w:rPr>
          <w:noProof/>
          <w:szCs w:val="18"/>
        </w:rPr>
        <w:t>Source: Eurostat. Note:</w:t>
      </w:r>
      <w:r>
        <w:rPr>
          <w:i w:val="0"/>
          <w:noProof/>
          <w:szCs w:val="18"/>
        </w:rPr>
        <w:t xml:space="preserve"> For</w:t>
      </w:r>
      <w:r>
        <w:rPr>
          <w:i w:val="0"/>
          <w:noProof/>
          <w:szCs w:val="18"/>
        </w:rPr>
        <w:t xml:space="preserve"> UK and Ireland, non-profit institutions serving households are included as well</w:t>
      </w:r>
      <w:r>
        <w:rPr>
          <w:i w:val="0"/>
          <w:noProof/>
          <w:sz w:val="16"/>
        </w:rPr>
        <w:t>.</w:t>
      </w:r>
    </w:p>
    <w:p w:rsidR="00083C3F" w:rsidRDefault="00E1215B">
      <w:pPr>
        <w:rPr>
          <w:noProof/>
        </w:rPr>
      </w:pPr>
      <w:r>
        <w:rPr>
          <w:noProof/>
        </w:rPr>
        <w:t xml:space="preserve">The composition of households' financial assets however varies considerably across EU Member States (see </w:t>
      </w:r>
      <w:r>
        <w:rPr>
          <w:noProof/>
        </w:rPr>
        <w:fldChar w:fldCharType="begin"/>
      </w:r>
      <w:r>
        <w:rPr>
          <w:noProof/>
        </w:rPr>
        <w:instrText xml:space="preserve"> REF _Ref482710580 \h </w:instrText>
      </w:r>
      <w:r>
        <w:rPr>
          <w:noProof/>
        </w:rPr>
      </w:r>
      <w:r>
        <w:rPr>
          <w:noProof/>
        </w:rPr>
        <w:fldChar w:fldCharType="separate"/>
      </w:r>
      <w:r>
        <w:rPr>
          <w:noProof/>
        </w:rPr>
        <w:t>Figure 6.3</w:t>
      </w:r>
      <w:r>
        <w:rPr>
          <w:noProof/>
        </w:rPr>
        <w:fldChar w:fldCharType="end"/>
      </w:r>
      <w:r>
        <w:rPr>
          <w:noProof/>
        </w:rPr>
        <w:t xml:space="preserve">). Some countries, such as Greece, Cyprus and Slovakia, exhibit a considerably larger proportion of financial assets held in the form of currency and deposits than the EU average (over 60% of </w:t>
      </w:r>
      <w:r>
        <w:rPr>
          <w:noProof/>
        </w:rPr>
        <w:t xml:space="preserve">financial assets).A total of 20 out of 28 countries are above average. Other countries, in particular the United Kingdom and the Netherlands, have much higher proportions invested in insurance and pension funds. Estonia, Bulgaria and Lithuania exhibit the </w:t>
      </w:r>
      <w:r>
        <w:rPr>
          <w:noProof/>
        </w:rPr>
        <w:t>largest proportional holdings of equity instruments while Luxembourg, Belgium and Spain show the highest percentage values of financial assets held in investment funds. These differences occur due to different reasons. Countries with a higher GDP per capit</w:t>
      </w:r>
      <w:r>
        <w:rPr>
          <w:noProof/>
        </w:rPr>
        <w:t xml:space="preserve">a, for example, tend to show smaller holdings of cash deposits as higher earnings will allow households to save and invest more long-term. National regulatory and tax regimes which favour may also introduce additional bias.  </w:t>
      </w:r>
    </w:p>
    <w:p w:rsidR="00083C3F" w:rsidRDefault="00E1215B">
      <w:pPr>
        <w:pStyle w:val="Caption"/>
      </w:pPr>
      <w:bookmarkStart w:id="220" w:name="_Ref482710580"/>
      <w:r>
        <w:t xml:space="preserve">Figure </w:t>
      </w:r>
      <w:r>
        <w:fldChar w:fldCharType="begin"/>
      </w:r>
      <w:r>
        <w:instrText xml:space="preserve"> STYLEREF 1 \s </w:instrText>
      </w:r>
      <w:r>
        <w:fldChar w:fldCharType="separate"/>
      </w:r>
      <w:r>
        <w:t>6</w:t>
      </w:r>
      <w:r>
        <w:fldChar w:fldCharType="end"/>
      </w:r>
      <w:r>
        <w:t>.</w:t>
      </w:r>
      <w:r>
        <w:fldChar w:fldCharType="begin"/>
      </w:r>
      <w:r>
        <w:instrText xml:space="preserve"> SE</w:instrText>
      </w:r>
      <w:r>
        <w:instrText xml:space="preserve">Q Figure \* ARABIC \s 1 </w:instrText>
      </w:r>
      <w:r>
        <w:fldChar w:fldCharType="separate"/>
      </w:r>
      <w:r>
        <w:t>3</w:t>
      </w:r>
      <w:r>
        <w:fldChar w:fldCharType="end"/>
      </w:r>
      <w:bookmarkEnd w:id="220"/>
      <w:r>
        <w:t xml:space="preserve"> Composition of households' investments in financial assets across Member States (% of total financial assets)</w:t>
      </w:r>
    </w:p>
    <w:p w:rsidR="00083C3F" w:rsidRDefault="00E1215B">
      <w:pPr>
        <w:rPr>
          <w:noProof/>
        </w:rPr>
      </w:pPr>
      <w:r>
        <w:rPr>
          <w:noProof/>
          <w:lang w:eastAsia="en-GB"/>
        </w:rPr>
        <w:drawing>
          <wp:inline distT="0" distB="0" distL="0" distR="0" wp14:anchorId="428BEA59" wp14:editId="0CAA2F54">
            <wp:extent cx="5760720" cy="3134527"/>
            <wp:effectExtent l="0" t="0" r="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83C3F" w:rsidRDefault="00E1215B">
      <w:pPr>
        <w:rPr>
          <w:noProof/>
        </w:rPr>
      </w:pPr>
      <w:r>
        <w:rPr>
          <w:noProof/>
        </w:rPr>
        <w:t xml:space="preserve">As suggested by </w:t>
      </w:r>
      <w:r>
        <w:rPr>
          <w:noProof/>
        </w:rPr>
        <w:fldChar w:fldCharType="begin"/>
      </w:r>
      <w:r>
        <w:rPr>
          <w:noProof/>
        </w:rPr>
        <w:instrText xml:space="preserve"> REF _Ref482710836 \h </w:instrText>
      </w:r>
      <w:r>
        <w:rPr>
          <w:noProof/>
        </w:rPr>
      </w:r>
      <w:r>
        <w:rPr>
          <w:noProof/>
        </w:rPr>
        <w:fldChar w:fldCharType="separate"/>
      </w:r>
      <w:r>
        <w:rPr>
          <w:noProof/>
        </w:rPr>
        <w:t>Figure 6</w:t>
      </w:r>
      <w:r>
        <w:rPr>
          <w:noProof/>
        </w:rPr>
        <w:fldChar w:fldCharType="end"/>
      </w:r>
      <w:r>
        <w:rPr>
          <w:noProof/>
        </w:rPr>
        <w:t xml:space="preserve"> (</w:t>
      </w:r>
      <w:r>
        <w:rPr>
          <w:noProof/>
        </w:rPr>
        <w:t xml:space="preserve">as a percentage of gross disposable income), there has been a considerable outflow of retail investments from debt securities starting in Q4 2012. While the pace is relatively slow, households were still selling EUR 300 per capita of debt securities in Q3 </w:t>
      </w:r>
      <w:r>
        <w:rPr>
          <w:noProof/>
        </w:rPr>
        <w:t xml:space="preserve">2016. This may be due to loosen monetary policies, such as the ECB’s asset purchase programme, which has significantly reduced yields on debt securities. </w:t>
      </w:r>
    </w:p>
    <w:p w:rsidR="00083C3F" w:rsidRDefault="00E1215B">
      <w:pPr>
        <w:rPr>
          <w:noProof/>
        </w:rPr>
      </w:pPr>
      <w:r>
        <w:rPr>
          <w:noProof/>
        </w:rPr>
        <w:t>Allocations to investment funds and equity have developed more positively over the same period, growi</w:t>
      </w:r>
      <w:r>
        <w:rPr>
          <w:noProof/>
        </w:rPr>
        <w:t xml:space="preserve">ng considerably between 2013 and 2015. Inflows have, however, slowed for three consecutive quarters with figures for Q2 2016 showing an inﬂow of EUR 370 per capita, compared to an average of EUR 590 in 2015. Monetary easing is not necessarily a driver, as </w:t>
      </w:r>
      <w:r>
        <w:rPr>
          <w:noProof/>
        </w:rPr>
        <w:t xml:space="preserve">a low interest rate environment should facilitate increased equity investments. Equity underweight in retail investors’ portfolio is a structural issue in Europe. In recent years, moreover, there has been a rather marked shift from equity to investment in </w:t>
      </w:r>
      <w:r>
        <w:rPr>
          <w:noProof/>
        </w:rPr>
        <w:t xml:space="preserve">life insurance and more importantly currency and deposits because of uncertainty and instability. </w:t>
      </w:r>
    </w:p>
    <w:p w:rsidR="00083C3F" w:rsidRDefault="00E1215B">
      <w:pPr>
        <w:pStyle w:val="Caption"/>
      </w:pPr>
      <w:bookmarkStart w:id="221" w:name="_Ref481104820"/>
      <w:bookmarkStart w:id="222" w:name="_Ref482710836"/>
      <w:r>
        <w:t xml:space="preserve">Figure </w:t>
      </w:r>
      <w:r>
        <w:fldChar w:fldCharType="begin"/>
      </w:r>
      <w:r>
        <w:instrText xml:space="preserve"> STYLEREF 1 \s </w:instrText>
      </w:r>
      <w:r>
        <w:fldChar w:fldCharType="separate"/>
      </w:r>
      <w:r>
        <w:t>6</w:t>
      </w:r>
      <w:r>
        <w:fldChar w:fldCharType="end"/>
      </w:r>
      <w:bookmarkEnd w:id="221"/>
      <w:bookmarkEnd w:id="222"/>
      <w:r>
        <w:t>.4</w:t>
      </w:r>
      <w:r>
        <w:fldChar w:fldCharType="begin"/>
      </w:r>
      <w:r>
        <w:fldChar w:fldCharType="separate"/>
      </w:r>
      <w:r>
        <w:rPr>
          <w:b/>
          <w:bCs/>
        </w:rPr>
        <w:t>Error! No sequence specified.</w:t>
      </w:r>
      <w:r>
        <w:fldChar w:fldCharType="end"/>
      </w:r>
      <w:r>
        <w:t xml:space="preserve"> Household investments in financial assets and contributions by component (% of gross disposable </w:t>
      </w:r>
      <w:r>
        <w:t>income)</w:t>
      </w:r>
    </w:p>
    <w:p w:rsidR="00083C3F" w:rsidRDefault="00E1215B">
      <w:pPr>
        <w:pStyle w:val="Figure"/>
        <w:rPr>
          <w:noProof/>
        </w:rPr>
      </w:pPr>
      <w:r>
        <w:rPr>
          <w:noProof/>
          <w:lang w:eastAsia="en-GB"/>
        </w:rPr>
        <w:drawing>
          <wp:inline distT="0" distB="0" distL="0" distR="0" wp14:anchorId="77E65891" wp14:editId="5AE0B593">
            <wp:extent cx="5600700" cy="2514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83C3F" w:rsidRDefault="00E1215B">
      <w:pPr>
        <w:pStyle w:val="Source"/>
        <w:rPr>
          <w:b/>
          <w:noProof/>
        </w:rPr>
      </w:pPr>
      <w:r>
        <w:rPr>
          <w:noProof/>
        </w:rPr>
        <w:t>Source: ECB Household Sector Report Q2 2016</w:t>
      </w:r>
    </w:p>
    <w:p w:rsidR="00083C3F" w:rsidRDefault="00E1215B">
      <w:pPr>
        <w:rPr>
          <w:rFonts w:cs="Times New Roman"/>
          <w:noProof/>
          <w:sz w:val="24"/>
          <w:szCs w:val="24"/>
          <w:lang w:eastAsia="en-GB"/>
        </w:rPr>
      </w:pPr>
      <w:r>
        <w:rPr>
          <w:noProof/>
        </w:rPr>
        <w:t xml:space="preserve">The recent growth in households’ financial assets is currently driven by cash and deposits. In the third quarter of 2016, household holdings of these assets reached a six-year high with net inflows of </w:t>
      </w:r>
      <w:r>
        <w:rPr>
          <w:noProof/>
        </w:rPr>
        <w:t>EUR 730 per capita. In normal circumstances, these increased deposits may in theory facilitate banks’ ability to lend more and thus provide increased financing to the economy. Banks today, however, face negative interest rates in holding cash and are tryin</w:t>
      </w:r>
      <w:r>
        <w:rPr>
          <w:noProof/>
        </w:rPr>
        <w:t>g to reduce overreliance on deposits. Given the current situation of the lending market, increased deposits are extremely unlikely to provide increased funding to the economy.</w:t>
      </w:r>
      <w:r>
        <w:rPr>
          <w:rStyle w:val="FootnoteReference"/>
          <w:noProof/>
        </w:rPr>
        <w:footnoteReference w:id="60"/>
      </w:r>
      <w:r>
        <w:rPr>
          <w:noProof/>
        </w:rPr>
        <w:t xml:space="preserve"> A lack of demand for loans, combined with a high proportion of bad loans or low</w:t>
      </w:r>
      <w:r>
        <w:rPr>
          <w:noProof/>
        </w:rPr>
        <w:t xml:space="preserve"> capital levels of banks in some countries, results in a limited increase in bank lending. U</w:t>
      </w:r>
      <w:r>
        <w:rPr>
          <w:rFonts w:cs="Verdana"/>
          <w:noProof/>
        </w:rPr>
        <w:t xml:space="preserve">ncertainty about global trade and economic growth add more to the picture. Finally, heightened risks for </w:t>
      </w:r>
      <w:r>
        <w:rPr>
          <w:noProof/>
        </w:rPr>
        <w:t>bank profitability, led by negative interest rates, and ref</w:t>
      </w:r>
      <w:r>
        <w:rPr>
          <w:noProof/>
        </w:rPr>
        <w:t>inancing, as bank bond issuance continues to drop, is another element of uncertainty. As a result, many companies have resorted to bond issuance, while investors are increasingly looking outside the EU while slowly decreasing holdings of government bonds.</w:t>
      </w:r>
      <w:r>
        <w:rPr>
          <w:rFonts w:cs="Times New Roman"/>
          <w:noProof/>
          <w:sz w:val="24"/>
          <w:szCs w:val="24"/>
          <w:lang w:eastAsia="en-GB"/>
        </w:rPr>
        <w:t xml:space="preserve"> </w:t>
      </w:r>
      <w:r>
        <w:rPr>
          <w:noProof/>
        </w:rPr>
        <w:t xml:space="preserve">  </w:t>
      </w:r>
    </w:p>
    <w:p w:rsidR="00083C3F" w:rsidRDefault="00E1215B">
      <w:pPr>
        <w:rPr>
          <w:noProof/>
        </w:rPr>
      </w:pPr>
      <w:r>
        <w:rPr>
          <w:noProof/>
        </w:rPr>
        <w:t>Some of the retail financial investments flowing into currency and deposits could be put to alternative uses through capital markets instruments. While deposits are a stable and prudent way to store value, the current level of interest rates paid on the</w:t>
      </w:r>
      <w:r>
        <w:rPr>
          <w:noProof/>
        </w:rPr>
        <w:t>m is not sufficient in real terms. In effect, households are forgoing future consumption and hindering economic growth by holding a large proportion of financial wealth in cash or deposits. Allocating an increasing amount to equity and debt securities woul</w:t>
      </w:r>
      <w:r>
        <w:rPr>
          <w:noProof/>
        </w:rPr>
        <w:t xml:space="preserve">d benefit the European economy by freeing additional sources of financing, against the background of a European banking sector undergoing restructuring. </w:t>
      </w:r>
    </w:p>
    <w:p w:rsidR="00083C3F" w:rsidRDefault="00E1215B">
      <w:pPr>
        <w:pStyle w:val="Heading3"/>
        <w:rPr>
          <w:noProof/>
        </w:rPr>
      </w:pPr>
      <w:bookmarkStart w:id="223" w:name="_Toc479611918"/>
      <w:bookmarkStart w:id="224" w:name="_Toc481140410"/>
      <w:bookmarkStart w:id="225" w:name="_Toc482710982"/>
      <w:bookmarkStart w:id="226" w:name="_Toc482715304"/>
      <w:r>
        <w:rPr>
          <w:noProof/>
        </w:rPr>
        <w:t>Europe's retail market structure</w:t>
      </w:r>
      <w:bookmarkEnd w:id="223"/>
      <w:bookmarkEnd w:id="224"/>
      <w:bookmarkEnd w:id="225"/>
      <w:bookmarkEnd w:id="226"/>
    </w:p>
    <w:p w:rsidR="00083C3F" w:rsidRDefault="00E1215B">
      <w:pPr>
        <w:rPr>
          <w:noProof/>
        </w:rPr>
      </w:pPr>
      <w:r>
        <w:rPr>
          <w:noProof/>
        </w:rPr>
        <w:t>In spite of considerable progress toward European capital market inte</w:t>
      </w:r>
      <w:r>
        <w:rPr>
          <w:noProof/>
        </w:rPr>
        <w:t>gration and the introduction of the euro, national borders still constitute a barrier for retail financial markets. The level of direct cross-border transactions in retail financial services remains low compared to fully integrated national markets, like t</w:t>
      </w:r>
      <w:r>
        <w:rPr>
          <w:noProof/>
        </w:rPr>
        <w:t>he US. Consumers still largely purchase retail financial products from suppliers based in their own domestic market and firms generally only serve markets in which they are physically established.</w:t>
      </w:r>
    </w:p>
    <w:p w:rsidR="00083C3F" w:rsidRDefault="00E1215B">
      <w:pPr>
        <w:rPr>
          <w:noProof/>
        </w:rPr>
      </w:pPr>
      <w:r>
        <w:rPr>
          <w:noProof/>
        </w:rPr>
        <w:t>A 2015 study of the European Consumers Association showed t</w:t>
      </w:r>
      <w:r>
        <w:rPr>
          <w:noProof/>
        </w:rPr>
        <w:t>hat there are still substantial price and nominal interest differentials among Member States (BEUC 2015), suggesting insufficient cross-border competition. This is corroborated by a study carried out by the Dutch central bank (DNB 2015), which found that t</w:t>
      </w:r>
      <w:r>
        <w:rPr>
          <w:noProof/>
        </w:rPr>
        <w:t>he willingness to switch banking product differs but is the strongest for main savings accounts. Retail clients should therefore normally be expected to change their savings account to providers across borders if better offers are available. The same study</w:t>
      </w:r>
      <w:r>
        <w:rPr>
          <w:noProof/>
        </w:rPr>
        <w:t>, however, also concluded that it is especially difficult to stimulate consumers to switch to foreign banks (DNB 2015). For basic products, like current accounts, this is often linked to factors such as language or physical proximity of branches.</w:t>
      </w:r>
      <w:r>
        <w:rPr>
          <w:rStyle w:val="FootnoteReference"/>
          <w:noProof/>
        </w:rPr>
        <w:footnoteReference w:id="61"/>
      </w:r>
      <w:r>
        <w:rPr>
          <w:noProof/>
        </w:rPr>
        <w:t xml:space="preserve"> Even tho</w:t>
      </w:r>
      <w:r>
        <w:rPr>
          <w:noProof/>
        </w:rPr>
        <w:t xml:space="preserve">ugh information technologies, such as the internet, and innovation in the sector could erode those barriers (e.g. multi-lingual offerings by banks), national regulatory fragmentation and consumer trust issues are still hampering the cross-border provision </w:t>
      </w:r>
      <w:r>
        <w:rPr>
          <w:noProof/>
        </w:rPr>
        <w:t xml:space="preserve">of services.    </w:t>
      </w:r>
    </w:p>
    <w:p w:rsidR="00083C3F" w:rsidRDefault="00E1215B">
      <w:pPr>
        <w:rPr>
          <w:noProof/>
          <w:sz w:val="23"/>
        </w:rPr>
      </w:pPr>
      <w:r>
        <w:rPr>
          <w:noProof/>
        </w:rPr>
        <w:t>The European insurance sector displays a very similar picture, since also there cross-border sales without physical presence in the target market play only a marginal role. A 2014 study (EVZ 2014) showed that 47% of a select group of insur</w:t>
      </w:r>
      <w:r>
        <w:rPr>
          <w:noProof/>
        </w:rPr>
        <w:t xml:space="preserve">ance companies provided the possibility to conclude a contract via the internet. However, when trying to conclude insurance contracts from an address in a country that deviated from the country of origin of the insurance company, only 14 out of 144 tested </w:t>
      </w:r>
      <w:r>
        <w:rPr>
          <w:noProof/>
        </w:rPr>
        <w:t>companies actually offer such contracts. This means that only 9.7% of the selected group of insurers offered cross-border insurance contracts via the Internet. A related written survey (EVZ 2014) showed similar results. Only 3 out of 32 companies (9.4%) th</w:t>
      </w:r>
      <w:r>
        <w:rPr>
          <w:noProof/>
        </w:rPr>
        <w:t>at replied to the survey offered cross-border insurance contracts that could be concluded by consumers with a primary residence abroad. Insufficient cross-border competition is also evident when one compares the price of products. Premia for a comparable n</w:t>
      </w:r>
      <w:r>
        <w:rPr>
          <w:noProof/>
        </w:rPr>
        <w:t>on-investment 25-year term life insurance product, for example, can range from EUR 10 per month in Slovakia and EUR 12.40 per month in Spain to GBP 65 per month in the United Kingdom (FSUG 2015). A similar situation exists in the motor insurance market whe</w:t>
      </w:r>
      <w:r>
        <w:rPr>
          <w:noProof/>
        </w:rPr>
        <w:t xml:space="preserve">re quotes vary significantly across countries, even for the same car model (Insurance Europe 2015). Likewise annual fees charged for a credit card can vary from EUR 9.10 in Romania to almost EUR 114 in Slovakia and offline </w:t>
      </w:r>
      <w:r>
        <w:rPr>
          <w:noProof/>
          <w:sz w:val="23"/>
          <w:szCs w:val="23"/>
        </w:rPr>
        <w:t>credit transfers, while free in s</w:t>
      </w:r>
      <w:r>
        <w:rPr>
          <w:noProof/>
          <w:sz w:val="23"/>
          <w:szCs w:val="23"/>
        </w:rPr>
        <w:t xml:space="preserve">ome Member States, can cost an average of EUR 3.58 in France (FSUG 2015). </w:t>
      </w:r>
    </w:p>
    <w:p w:rsidR="00083C3F" w:rsidRDefault="00E1215B">
      <w:pPr>
        <w:rPr>
          <w:noProof/>
        </w:rPr>
      </w:pPr>
      <w:r>
        <w:rPr>
          <w:noProof/>
        </w:rPr>
        <w:t>A market that is characterised by a particularly high degree of fragmentation across national borders and low cross-border sales is that for personal pension products. There is alre</w:t>
      </w:r>
      <w:r>
        <w:rPr>
          <w:noProof/>
        </w:rPr>
        <w:t>ady a low level of investment and participation by households in pension products at national level</w:t>
      </w:r>
      <w:r>
        <w:rPr>
          <w:rStyle w:val="FootnoteReference"/>
          <w:noProof/>
        </w:rPr>
        <w:footnoteReference w:id="62"/>
      </w:r>
      <w:r>
        <w:rPr>
          <w:noProof/>
        </w:rPr>
        <w:t>, which endangers Europe’s future prosperity in view of demographic change. Strongly fragmented national markets add to this issue as it prevents efficiency</w:t>
      </w:r>
      <w:r>
        <w:rPr>
          <w:noProof/>
        </w:rPr>
        <w:t xml:space="preserve"> gains via economies of scale, risk diversification and innovation on the side of providers while the lower levels of competition implies higher costs for consumers. Given that personal pension products operate on a long-term basis, trust and understanding</w:t>
      </w:r>
      <w:r>
        <w:rPr>
          <w:noProof/>
        </w:rPr>
        <w:t xml:space="preserve"> are particularly important in this market. Nonetheless, personal pension products exhibit some of the lowest consumer trust rankings across retail financial products in the EU. In many Member States third pillar savings products remain strongly underdevel</w:t>
      </w:r>
      <w:r>
        <w:rPr>
          <w:noProof/>
        </w:rPr>
        <w:t>oped while they are not offered at all in Greece and Cyprus. Given the long-term liabilities of pension providers, they are ideally suited to invest in higher yielding illiquid long-term assets and even infrastructure or real-estate projects. Creating a mo</w:t>
      </w:r>
      <w:r>
        <w:rPr>
          <w:noProof/>
        </w:rPr>
        <w:t xml:space="preserve">re integrated European market would thus reduce deadweight loss while at the same time increasing the funding available to the economy </w:t>
      </w:r>
    </w:p>
    <w:p w:rsidR="00083C3F" w:rsidRDefault="00E1215B">
      <w:pPr>
        <w:rPr>
          <w:b/>
          <w:noProof/>
        </w:rPr>
      </w:pPr>
      <w:r>
        <w:rPr>
          <w:noProof/>
        </w:rPr>
        <w:t>The European market for investment funds is likely to be the most integrated market tapped by retail investors. The pass</w:t>
      </w:r>
      <w:r>
        <w:rPr>
          <w:noProof/>
        </w:rPr>
        <w:t xml:space="preserve">port regimes established under UCITS and AIFMD have facilitated significant improvements to cross-border activity and competition. Together, UCITS funds and AIFs have EUR 13.38 trillion Assets under Management (AuM), with 57% of the funds having the right </w:t>
      </w:r>
      <w:r>
        <w:rPr>
          <w:noProof/>
        </w:rPr>
        <w:t>to passport. This initially indicates a significant level of integration of markets. However, much of the market actually remains along national lines. While 57% of funds have the right to passport, the funds marketed cross-border represent only 40% of tot</w:t>
      </w:r>
      <w:r>
        <w:rPr>
          <w:noProof/>
        </w:rPr>
        <w:t>al AuM. It should also be noted that many of these funds are only sold in one additional Member State to their home country ('round-trip funds'). They are generally sold back to the Member State where the asset management company is domiciled (indicating t</w:t>
      </w:r>
      <w:r>
        <w:rPr>
          <w:noProof/>
        </w:rPr>
        <w:t xml:space="preserve">hat these funds are domiciled in a different Member State to take advantage of beneficial tax treatment or other factors). For UCITS funds it is estimated that this applies to one third of funds captured as being marketed cross-border, while another third </w:t>
      </w:r>
      <w:r>
        <w:rPr>
          <w:noProof/>
        </w:rPr>
        <w:t>is not sold in more than four other Member States. Data collected at the end of 2015 indicates that only 30% of funds are sold by distributors outside their home market (EFAMA 2016). This marks a significant increase from 18% recorded at end of 2005 but st</w:t>
      </w:r>
      <w:r>
        <w:rPr>
          <w:noProof/>
        </w:rPr>
        <w:t>ill lags behind figures that would be expected in a fully integrated market. The total number of European funds is a further indication of a lack of cross border competition and integration. While the United States only counts around 7 000 mutual funds the</w:t>
      </w:r>
      <w:r>
        <w:rPr>
          <w:noProof/>
        </w:rPr>
        <w:t>re are more than 30 000 UCITS funds available for sale in Europe. Likewise, the United States' mutual funds are close to seven times as big on average as European funds, thus reaping larger benefits of economies of scale and facilitating lower costs. Large</w:t>
      </w:r>
      <w:r>
        <w:rPr>
          <w:noProof/>
        </w:rPr>
        <w:t xml:space="preserve">r sized funds would also be expected to compete more readily across borders as they are able to stem costs of expanding distribution channels and overcoming regulatory barriers more easily. </w:t>
      </w:r>
    </w:p>
    <w:p w:rsidR="00083C3F" w:rsidRDefault="00E1215B">
      <w:pPr>
        <w:rPr>
          <w:noProof/>
        </w:rPr>
      </w:pPr>
      <w:r>
        <w:rPr>
          <w:noProof/>
        </w:rPr>
        <w:t>To sum up, regulatory barriers affect distribution and market ent</w:t>
      </w:r>
      <w:r>
        <w:rPr>
          <w:noProof/>
        </w:rPr>
        <w:t>ry and include fragmented registration procedures, costly and diverse marketing requirements, inconsistent administrative arrangements and tax obstacles. This affects how both large and specialised niche funds compete and manage the quality of product supp</w:t>
      </w:r>
      <w:r>
        <w:rPr>
          <w:noProof/>
        </w:rPr>
        <w:t>ly. The elimination of regulatory barriers would be also an important aspect for the insurance and banking markets. Here, equally, administrative burdens arising due to non-harmonisation, differences in supervisory treatment and lack of standardisation cre</w:t>
      </w:r>
      <w:r>
        <w:rPr>
          <w:noProof/>
        </w:rPr>
        <w:t>ate costs that prevent more efficient cross-border competition. While behavioural biases may still lead to a certain favouritism of domestic products, this effect tends to dissipate as the number and visibility of cross-border offers increases. Other barri</w:t>
      </w:r>
      <w:r>
        <w:rPr>
          <w:noProof/>
        </w:rPr>
        <w:t xml:space="preserve">ers such as language or culture can be overcome with relative ease today, given technological innovation and increased labour mobility across borders. </w:t>
      </w:r>
    </w:p>
    <w:p w:rsidR="00083C3F" w:rsidRDefault="00E1215B">
      <w:pPr>
        <w:pStyle w:val="Heading2"/>
        <w:rPr>
          <w:noProof/>
        </w:rPr>
      </w:pPr>
      <w:bookmarkStart w:id="227" w:name="_Toc479611919"/>
      <w:bookmarkStart w:id="228" w:name="_Toc481140411"/>
      <w:bookmarkStart w:id="229" w:name="_Toc482710983"/>
      <w:bookmarkStart w:id="230" w:name="_Toc482715305"/>
      <w:r>
        <w:rPr>
          <w:noProof/>
        </w:rPr>
        <w:t>Characteristics of retail investment services markets</w:t>
      </w:r>
      <w:bookmarkEnd w:id="227"/>
      <w:bookmarkEnd w:id="228"/>
      <w:bookmarkEnd w:id="229"/>
      <w:bookmarkEnd w:id="230"/>
      <w:r>
        <w:rPr>
          <w:noProof/>
        </w:rPr>
        <w:t xml:space="preserve">  </w:t>
      </w:r>
    </w:p>
    <w:p w:rsidR="00083C3F" w:rsidRDefault="00E1215B">
      <w:pPr>
        <w:rPr>
          <w:noProof/>
        </w:rPr>
      </w:pPr>
      <w:r>
        <w:rPr>
          <w:noProof/>
        </w:rPr>
        <w:t>There are several market structure issues in ret</w:t>
      </w:r>
      <w:r>
        <w:rPr>
          <w:noProof/>
        </w:rPr>
        <w:t>ail financial markets, both on the supply and on the demand side of capital. While regulatory actions have already been undertaken to address these issues they still form important drivers of markets and costs. The market for retail financial services in E</w:t>
      </w:r>
      <w:r>
        <w:rPr>
          <w:noProof/>
        </w:rPr>
        <w:t>urope, like other segments of the financial services industry, has suffered considerably during the financial crisis and continues to be impacted by its aftershocks still today. At the same time, revenues in this sector have been more stable than many othe</w:t>
      </w:r>
      <w:r>
        <w:rPr>
          <w:noProof/>
        </w:rPr>
        <w:t>r segments and it has thus increased in importance for the global financial services industry. In addition to the market distortions experienced during the crisis, the sector has been undergoing rapid change in recent years. Technological innovation, often</w:t>
      </w:r>
      <w:r>
        <w:rPr>
          <w:noProof/>
        </w:rPr>
        <w:t xml:space="preserve"> driven by “maverick” market entrants, has forced market players to adapt to a new competitive situation. The sector has also faced a range of regulatory actions, both at the European and national level, which have required providers to adjust their behavi</w:t>
      </w:r>
      <w:r>
        <w:rPr>
          <w:noProof/>
        </w:rPr>
        <w:t>our and to disclose an increasing amount of information. This has in turn led to increased overall compliance costs. Both of these developments have resulted in a decrease in overall margins and triggered national consolidation in many markets as well as c</w:t>
      </w:r>
      <w:r>
        <w:rPr>
          <w:noProof/>
        </w:rPr>
        <w:t>ross-border M&amp;As.</w:t>
      </w:r>
    </w:p>
    <w:p w:rsidR="00083C3F" w:rsidRDefault="00E1215B">
      <w:pPr>
        <w:pStyle w:val="Caption"/>
      </w:pPr>
      <w:r>
        <w:t xml:space="preserve">Figure </w:t>
      </w:r>
      <w:r>
        <w:fldChar w:fldCharType="begin"/>
      </w:r>
      <w:r>
        <w:instrText xml:space="preserve"> STYLEREF 1 \s </w:instrText>
      </w:r>
      <w:r>
        <w:fldChar w:fldCharType="separate"/>
      </w:r>
      <w:r>
        <w:t>6</w:t>
      </w:r>
      <w:r>
        <w:fldChar w:fldCharType="end"/>
      </w:r>
      <w:r>
        <w:t>.5 Retail investment market failures</w:t>
      </w:r>
    </w:p>
    <w:p w:rsidR="00083C3F" w:rsidRDefault="00E1215B">
      <w:pPr>
        <w:pStyle w:val="Figure"/>
        <w:rPr>
          <w:noProof/>
        </w:rPr>
      </w:pPr>
      <w:r>
        <w:rPr>
          <w:noProof/>
          <w:lang w:eastAsia="en-GB"/>
        </w:rPr>
        <w:drawing>
          <wp:inline distT="0" distB="0" distL="0" distR="0" wp14:anchorId="79A2AED3" wp14:editId="7119E077">
            <wp:extent cx="4659783" cy="3211373"/>
            <wp:effectExtent l="0" t="0" r="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083C3F" w:rsidRDefault="00E1215B">
      <w:pPr>
        <w:pStyle w:val="Source"/>
        <w:rPr>
          <w:noProof/>
        </w:rPr>
      </w:pPr>
      <w:r>
        <w:rPr>
          <w:noProof/>
        </w:rPr>
        <w:t>Source: Commission services</w:t>
      </w:r>
    </w:p>
    <w:p w:rsidR="00083C3F" w:rsidRDefault="00E1215B">
      <w:pPr>
        <w:rPr>
          <w:noProof/>
        </w:rPr>
      </w:pPr>
      <w:r>
        <w:rPr>
          <w:noProof/>
        </w:rPr>
        <w:t>While this indicates that there is an increasing competitive pressure in this market segment, many indicators and studies still point to a lack o</w:t>
      </w:r>
      <w:r>
        <w:rPr>
          <w:noProof/>
        </w:rPr>
        <w:t>f competition overall, especially in a cross-border context. Whereas the sector appears to be highly competitive at first sight, given a vast choice of products, a multitude of providers and relatively low barriers to entry, there are significant discrepan</w:t>
      </w:r>
      <w:r>
        <w:rPr>
          <w:noProof/>
        </w:rPr>
        <w:t>cies in terms of costs both within national markets and even more so across the EU. The reasons for this lie in the structure of the market and regulatory fragmentation across national markets as well as the behaviour of consumers. Together, they create an</w:t>
      </w:r>
      <w:r>
        <w:rPr>
          <w:noProof/>
        </w:rPr>
        <w:t xml:space="preserve"> environment that hampers efficient competition.</w:t>
      </w:r>
    </w:p>
    <w:p w:rsidR="00083C3F" w:rsidRDefault="00E1215B">
      <w:pPr>
        <w:pStyle w:val="Heading3"/>
        <w:rPr>
          <w:noProof/>
        </w:rPr>
      </w:pPr>
      <w:bookmarkStart w:id="231" w:name="_Toc481140412"/>
      <w:bookmarkStart w:id="232" w:name="_Toc482710984"/>
      <w:bookmarkStart w:id="233" w:name="_Toc482715306"/>
      <w:r>
        <w:rPr>
          <w:noProof/>
        </w:rPr>
        <w:t>Structural information asymmetry</w:t>
      </w:r>
      <w:bookmarkEnd w:id="231"/>
      <w:bookmarkEnd w:id="232"/>
      <w:bookmarkEnd w:id="233"/>
    </w:p>
    <w:p w:rsidR="00083C3F" w:rsidRDefault="00E1215B">
      <w:pPr>
        <w:rPr>
          <w:noProof/>
        </w:rPr>
      </w:pPr>
      <w:r>
        <w:rPr>
          <w:noProof/>
        </w:rPr>
        <w:t>The market for retail financial services displays several differences with other segments of the financial services industry. Most notably, customers purchasing retail financ</w:t>
      </w:r>
      <w:r>
        <w:rPr>
          <w:noProof/>
        </w:rPr>
        <w:t>ial services often possess little or no knowledge of the market itself. This leaves the demand side at a considerable disadvantage. The inability to measure quality for a lack of knowledge (on top of the asymmetry generated by the nature of the service pro</w:t>
      </w:r>
      <w:r>
        <w:rPr>
          <w:noProof/>
        </w:rPr>
        <w:t>vided) means that consumers can have structural difficulties to price products. While sophisticated customers may be more able to determine which products are of high quality and offered at a reasonable price, as they professional knowledge, a large majori</w:t>
      </w:r>
      <w:r>
        <w:rPr>
          <w:noProof/>
        </w:rPr>
        <w:t xml:space="preserve">ty of retail clients will be unable to do so. </w:t>
      </w:r>
    </w:p>
    <w:p w:rsidR="00083C3F" w:rsidRDefault="00E1215B">
      <w:pPr>
        <w:rPr>
          <w:noProof/>
        </w:rPr>
      </w:pPr>
      <w:r>
        <w:rPr>
          <w:noProof/>
        </w:rPr>
        <w:t>Other markets exhibit similar information asymmetries, as the ones in retail financial services. Common examples include the provision of healthcare or legal services or the market for second hand cars</w:t>
      </w:r>
      <w:r>
        <w:rPr>
          <w:rStyle w:val="FootnoteReference"/>
          <w:noProof/>
        </w:rPr>
        <w:footnoteReference w:id="63"/>
      </w:r>
      <w:r>
        <w:rPr>
          <w:noProof/>
        </w:rPr>
        <w:t>. The c</w:t>
      </w:r>
      <w:r>
        <w:rPr>
          <w:noProof/>
        </w:rPr>
        <w:t>ommonalities shared by each of these markets is that the supply side holds a significant informational advantage, either in terms of technical knowledge necessary to provide the service or good and/or knowledge of the market itself. At the same time, the i</w:t>
      </w:r>
      <w:r>
        <w:rPr>
          <w:noProof/>
        </w:rPr>
        <w:t xml:space="preserve">ncentives of the supply side are naturally not aligned with those on the demand side. A second-hand car retailer, for example, will not necessarily aim to sell the best-priced car to a customer but rather to sell a car at the highest price irrespective of </w:t>
      </w:r>
      <w:r>
        <w:rPr>
          <w:noProof/>
        </w:rPr>
        <w:t>its quality. This behaviour is particularly prevalent in markets where switching costs are high and where the quality of products is difficult to evaluate.</w:t>
      </w:r>
      <w:r>
        <w:rPr>
          <w:rStyle w:val="FootnoteReference"/>
          <w:noProof/>
        </w:rPr>
        <w:footnoteReference w:id="64"/>
      </w:r>
      <w:r>
        <w:rPr>
          <w:noProof/>
        </w:rPr>
        <w:t xml:space="preserve">  </w:t>
      </w:r>
    </w:p>
    <w:p w:rsidR="00083C3F" w:rsidRDefault="00E1215B">
      <w:pPr>
        <w:rPr>
          <w:noProof/>
        </w:rPr>
      </w:pPr>
      <w:r>
        <w:rPr>
          <w:noProof/>
        </w:rPr>
        <w:t xml:space="preserve">Markets characterised by asymmetric information generally face efficiency problems, as the usual </w:t>
      </w:r>
      <w:r>
        <w:rPr>
          <w:noProof/>
        </w:rPr>
        <w:t>laws of competition only apply to a lesser extent. In more transparent markets, the demand side may have higher chances to purchase the product or service that offers the highest quality at the lowest price.</w:t>
      </w:r>
      <w:r>
        <w:rPr>
          <w:rStyle w:val="FootnoteReference"/>
          <w:noProof/>
        </w:rPr>
        <w:footnoteReference w:id="65"/>
      </w:r>
      <w:r>
        <w:rPr>
          <w:noProof/>
        </w:rPr>
        <w:t xml:space="preserve"> This forces less competitive market participant</w:t>
      </w:r>
      <w:r>
        <w:rPr>
          <w:noProof/>
        </w:rPr>
        <w:t xml:space="preserve">s to either improve their price and/or quality or leave the market altogether. In opaque markets, however, these actors can often remain in the market by successfully masking the actual cost of the service. The information asymmetry gives rise to problems </w:t>
      </w:r>
      <w:r>
        <w:rPr>
          <w:noProof/>
        </w:rPr>
        <w:t>that go beyond price-based competition alone. As retail consumers cannot readily discern the quality of financial products, it makes them vulnerable to conflicts of interest and misconduct on the part of the provider and creates risks of adverse selection.</w:t>
      </w:r>
      <w:r>
        <w:rPr>
          <w:noProof/>
        </w:rPr>
        <w:t xml:space="preserve"> Increased complexity of products further aggravates this issue. Providers can deliberately exacerbate the information asymmetry by obscuring key product characteristics through marketing strategies or product differentiation. </w:t>
      </w:r>
    </w:p>
    <w:p w:rsidR="00083C3F" w:rsidRDefault="00E1215B">
      <w:pPr>
        <w:rPr>
          <w:noProof/>
        </w:rPr>
      </w:pPr>
      <w:r>
        <w:rPr>
          <w:noProof/>
        </w:rPr>
        <w:t>Although the supply side can</w:t>
      </w:r>
      <w:r>
        <w:rPr>
          <w:noProof/>
        </w:rPr>
        <w:t xml:space="preserve"> aggravate information asymmetries, they are not the initial source of this asymmetry. Providers and distributors today are increasingly transparent, given new regulatory disclosure and reporting requirements imposed in the aftermath of the financial crisi</w:t>
      </w:r>
      <w:r>
        <w:rPr>
          <w:noProof/>
        </w:rPr>
        <w:t>s. Examples include the UCITS KIID or the upcoming changes under MiFID II and the Prospectus Regulation. While these requirements should be further enhanced and harmonised, both across products and national European markets, the consumer also carries signi</w:t>
      </w:r>
      <w:r>
        <w:rPr>
          <w:noProof/>
        </w:rPr>
        <w:t xml:space="preserve">ficant responsibility to alleviate information asymmetries. There is a general tendency of retail customers to under invest in information. A common misconception is that other consumers will have already investigated the safety and integrity of suppliers </w:t>
      </w:r>
      <w:r>
        <w:rPr>
          <w:noProof/>
        </w:rPr>
        <w:t>of financial services, so there is little need to do it themselves. Consumers feel that they can 'free-ride' on previous customers' research, which clearly leads to “under-information” problems, if this is the approach taken by a majority of them (</w:t>
      </w:r>
      <w:r>
        <w:rPr>
          <w:noProof/>
          <w:color w:val="000000" w:themeColor="text1"/>
        </w:rPr>
        <w:t xml:space="preserve">Benink, </w:t>
      </w:r>
      <w:r>
        <w:rPr>
          <w:noProof/>
          <w:color w:val="000000" w:themeColor="text1"/>
        </w:rPr>
        <w:t>Llewellyn 1995)</w:t>
      </w:r>
      <w:r>
        <w:rPr>
          <w:noProof/>
        </w:rPr>
        <w:t>. Conversely, there are high search costs involved in comparing the multitude of products and providers in the market which render a complete market comparison uneconomical</w:t>
      </w:r>
      <w:r>
        <w:rPr>
          <w:rStyle w:val="FootnoteReference"/>
          <w:noProof/>
        </w:rPr>
        <w:footnoteReference w:id="66"/>
      </w:r>
      <w:r>
        <w:rPr>
          <w:noProof/>
        </w:rPr>
        <w:t xml:space="preserve">. While increased market research may improve the quality of products or services and/or reduce the fees paid, this benefit can be offset by the search costs. In some cases the increased search efforts could potentially even lead to an overall decrease in </w:t>
      </w:r>
      <w:r>
        <w:rPr>
          <w:noProof/>
        </w:rPr>
        <w:t xml:space="preserve">value. </w:t>
      </w:r>
    </w:p>
    <w:p w:rsidR="00083C3F" w:rsidRDefault="00E1215B">
      <w:pPr>
        <w:rPr>
          <w:noProof/>
        </w:rPr>
      </w:pPr>
      <w:r>
        <w:rPr>
          <w:noProof/>
        </w:rPr>
        <w:t xml:space="preserve">The likely outcome of information asymmetries coupled with high search costs is a pooling equilibrium in which the commissions that suppliers receive reflect the reputation of the </w:t>
      </w:r>
      <w:r>
        <w:rPr>
          <w:iCs/>
          <w:noProof/>
        </w:rPr>
        <w:t>industry</w:t>
      </w:r>
      <w:r>
        <w:rPr>
          <w:noProof/>
        </w:rPr>
        <w:t xml:space="preserve"> for quality and long-term value for money (Spencer 2000). This point links to the conflicts of interests and principal-agent problems assessed in the following section. </w:t>
      </w:r>
    </w:p>
    <w:p w:rsidR="00083C3F" w:rsidRDefault="00E1215B">
      <w:pPr>
        <w:pStyle w:val="Heading4"/>
        <w:rPr>
          <w:noProof/>
        </w:rPr>
      </w:pPr>
      <w:r>
        <w:rPr>
          <w:noProof/>
        </w:rPr>
        <w:t xml:space="preserve">Conflicts of interest and principal-agent problems </w:t>
      </w:r>
    </w:p>
    <w:p w:rsidR="00083C3F" w:rsidRDefault="00E1215B">
      <w:pPr>
        <w:rPr>
          <w:noProof/>
        </w:rPr>
      </w:pPr>
      <w:r>
        <w:rPr>
          <w:noProof/>
        </w:rPr>
        <w:t>Misaligned incentives and informa</w:t>
      </w:r>
      <w:r>
        <w:rPr>
          <w:noProof/>
        </w:rPr>
        <w:t>tion asymmetry give rise to principal-agent problems in retail financial services markets. Agency problems occur in situations where one person (in this case the provider or distributor referred to as the 'agent') is able to make decisions on behalf or tha</w:t>
      </w:r>
      <w:r>
        <w:rPr>
          <w:noProof/>
        </w:rPr>
        <w:t>t have an impact on another person (the consumer, referred to as the 'principal'). This gives rise to issues of moral hazard, i.e. the agent is incentivised to act in their own best interests, which stand contrary to those of their principal and the princi</w:t>
      </w:r>
      <w:r>
        <w:rPr>
          <w:noProof/>
        </w:rPr>
        <w:t xml:space="preserve">pal cannot monitor effectively (as monitoring costs are too high).  </w:t>
      </w:r>
    </w:p>
    <w:p w:rsidR="00083C3F" w:rsidRDefault="00E1215B">
      <w:pPr>
        <w:rPr>
          <w:noProof/>
        </w:rPr>
      </w:pPr>
      <w:r>
        <w:rPr>
          <w:noProof/>
        </w:rPr>
        <w:t>Retail financial services are particularly prone to this issue given the structure of the market, including the distribution channels through which products are offered to retail customer</w:t>
      </w:r>
      <w:r>
        <w:rPr>
          <w:noProof/>
        </w:rPr>
        <w:t>s. Currently, it is still common practice that distributors of retail financial products (e.g. banks) receive inducements from product providers, while still promoting themselves as 'independent'. The commissions paid by the providers can give rise to a de</w:t>
      </w:r>
      <w:r>
        <w:rPr>
          <w:noProof/>
        </w:rPr>
        <w:t xml:space="preserve">gree of bias in the advice provided and products recommended by the distributor. Similarly, in-house products may be favoured over third-party products, especially if the third party does not pay any inducements. As the retail investor generally lacks the </w:t>
      </w:r>
      <w:r>
        <w:rPr>
          <w:noProof/>
        </w:rPr>
        <w:t xml:space="preserve">information necessary to make an informed decision they may be unable to spot ill-advice. </w:t>
      </w:r>
    </w:p>
    <w:p w:rsidR="00083C3F" w:rsidRDefault="00E1215B">
      <w:pPr>
        <w:rPr>
          <w:noProof/>
        </w:rPr>
      </w:pPr>
      <w:r>
        <w:rPr>
          <w:noProof/>
        </w:rPr>
        <w:t xml:space="preserve">The problems arising from the principal-agent relationship between customers and providers or intermediaries is already being addressed by a range of new regulatory </w:t>
      </w:r>
      <w:r>
        <w:rPr>
          <w:noProof/>
        </w:rPr>
        <w:t>measures that aim to align the incentives of customers with the supply side. A problem is that regulation of various segments of the retail financial services market still varies, meaning that customers cannot rely on the same level of customer protection.</w:t>
      </w:r>
      <w:r>
        <w:rPr>
          <w:noProof/>
        </w:rPr>
        <w:t xml:space="preserve"> For example, while MiFID II prohibits portfolio managers and independent advisers from accepting payments or benefits from a third party in relation to the services provided, unless they can prove that acceptance of these inducements improves the quality </w:t>
      </w:r>
      <w:r>
        <w:rPr>
          <w:noProof/>
        </w:rPr>
        <w:t>of the service provided, insurance distributors will only need to demonstrate that such inducements do not lower the quality of their services. Retail customers will generally not be aware or be unable to prove these differences, which may considerably imp</w:t>
      </w:r>
      <w:r>
        <w:rPr>
          <w:noProof/>
        </w:rPr>
        <w:t>act the quality of the services that they pay for. Increased harmonisation of consumer protection measures across all retail financial services may alleviate this issue. National regimes still exhibit considerable differences as well, thus lowering the tru</w:t>
      </w:r>
      <w:r>
        <w:rPr>
          <w:noProof/>
        </w:rPr>
        <w:t xml:space="preserve">st of customers when dealing with providers offering services on a cross-border basis.  </w:t>
      </w:r>
    </w:p>
    <w:p w:rsidR="00083C3F" w:rsidRDefault="00E1215B">
      <w:pPr>
        <w:pStyle w:val="Heading3"/>
        <w:rPr>
          <w:noProof/>
        </w:rPr>
      </w:pPr>
      <w:bookmarkStart w:id="234" w:name="_Toc479611921"/>
      <w:bookmarkStart w:id="235" w:name="_Toc481140413"/>
      <w:bookmarkStart w:id="236" w:name="_Toc482710985"/>
      <w:bookmarkStart w:id="237" w:name="_Toc482715307"/>
      <w:r>
        <w:rPr>
          <w:noProof/>
        </w:rPr>
        <w:t>Transaction costs in cross-border provision of retail financial services</w:t>
      </w:r>
      <w:bookmarkEnd w:id="234"/>
      <w:bookmarkEnd w:id="235"/>
      <w:bookmarkEnd w:id="236"/>
      <w:bookmarkEnd w:id="237"/>
    </w:p>
    <w:p w:rsidR="00083C3F" w:rsidRDefault="00E1215B">
      <w:pPr>
        <w:rPr>
          <w:noProof/>
        </w:rPr>
      </w:pPr>
      <w:r>
        <w:rPr>
          <w:noProof/>
        </w:rPr>
        <w:t>The market structure of retail financial services is not the only factor that impedes a higher</w:t>
      </w:r>
      <w:r>
        <w:rPr>
          <w:noProof/>
        </w:rPr>
        <w:t xml:space="preserve"> efficiency and lower costs for end consumers. While certain national markets may already exhibit reasonable levels of competition, there is a clear lack of cross-border competition throughout the EU. Since increasing amounts of retail services and product</w:t>
      </w:r>
      <w:r>
        <w:rPr>
          <w:noProof/>
        </w:rPr>
        <w:t>s are offered and marketed online, the physical location of providers and distributors should play an ever deceasing role. Nevertheless, the European retail financial services market remains clearly fragmented by national borders. This fragmentation arises</w:t>
      </w:r>
      <w:r>
        <w:rPr>
          <w:noProof/>
        </w:rPr>
        <w:t xml:space="preserve"> from a variety of different factors ranging from concentration of national distribution channels and cultural preferences to regulatory costs arising from less harmonised supervisory approaches and taxation constraints. While there are some indications th</w:t>
      </w:r>
      <w:r>
        <w:rPr>
          <w:noProof/>
        </w:rPr>
        <w:t>at providers are gradually engaging in cross-border operations, operations are generally limited to the largest market participants, who are able to invest considerable amounts in setting up new distribution channels in other Member States and shoulder the</w:t>
      </w:r>
      <w:r>
        <w:rPr>
          <w:noProof/>
        </w:rPr>
        <w:t xml:space="preserve"> legal and economic costs of market entry. </w:t>
      </w:r>
    </w:p>
    <w:p w:rsidR="00083C3F" w:rsidRDefault="00E1215B">
      <w:pPr>
        <w:rPr>
          <w:noProof/>
        </w:rPr>
      </w:pPr>
      <w:r>
        <w:rPr>
          <w:noProof/>
        </w:rPr>
        <w:t>There is also a lack of demand for the provision of services on a cross-border basis. Reasons for this include barriers that are difficult to overcome by regulatory change, such as language. There are, however, a</w:t>
      </w:r>
      <w:r>
        <w:rPr>
          <w:noProof/>
        </w:rPr>
        <w:t>lso trust issues that stem from the consumers' belief that they are less protected when engaging with foreign providers. While this is at times purely due to cognitive and behavioural biases there are also aspects where there are in fact differences in con</w:t>
      </w:r>
      <w:r>
        <w:rPr>
          <w:noProof/>
        </w:rPr>
        <w:t xml:space="preserve">sumer protection rules and related legal fields such as contract law. </w:t>
      </w:r>
    </w:p>
    <w:p w:rsidR="00083C3F" w:rsidRDefault="00E1215B">
      <w:pPr>
        <w:pStyle w:val="Heading4"/>
        <w:rPr>
          <w:noProof/>
        </w:rPr>
      </w:pPr>
      <w:r>
        <w:rPr>
          <w:noProof/>
        </w:rPr>
        <w:t xml:space="preserve">Distribution Channels and Market Structure </w:t>
      </w:r>
    </w:p>
    <w:p w:rsidR="00083C3F" w:rsidRDefault="00E1215B">
      <w:pPr>
        <w:rPr>
          <w:noProof/>
        </w:rPr>
      </w:pPr>
      <w:r>
        <w:rPr>
          <w:noProof/>
        </w:rPr>
        <w:t>Analyses of retail distribution channels traditionally distinguish between direct and indirect channels. Direct distribution channels are cha</w:t>
      </w:r>
      <w:r>
        <w:rPr>
          <w:noProof/>
        </w:rPr>
        <w:t>nnels where the provider engages with its customers without intermediaries. The provider owns the channel, acquires the customers and initiates a direct sales relationship with them. Indirect distribution channels, on the other hand, involve intermediaries</w:t>
      </w:r>
      <w:r>
        <w:rPr>
          <w:noProof/>
        </w:rPr>
        <w:t xml:space="preserve"> or agents (sometimes referred to as distributors) who establish the sales relationship with the customer. Third party distributors are categorised into independent and tied intermediaries the former being able to sell products from a number of providers w</w:t>
      </w:r>
      <w:r>
        <w:rPr>
          <w:noProof/>
        </w:rPr>
        <w:t>hile tied the latter are restricted to selling products from one particular company.</w:t>
      </w:r>
    </w:p>
    <w:p w:rsidR="00083C3F" w:rsidRDefault="00E1215B">
      <w:pPr>
        <w:rPr>
          <w:noProof/>
        </w:rPr>
      </w:pPr>
      <w:r>
        <w:rPr>
          <w:noProof/>
        </w:rPr>
        <w:t xml:space="preserve">Each of these channels holds certain advantages and disadvantages and different segments of the retail financial services market display greater use of one as compared to </w:t>
      </w:r>
      <w:r>
        <w:rPr>
          <w:noProof/>
        </w:rPr>
        <w:t>the other. Retail banking, for instance still shows a big reliance on direct distribution while the insurance and investment sectors extensively use third parties such as insurance brokers and financial advisers in their distribution strategy (Gough 2005).</w:t>
      </w:r>
      <w:r>
        <w:rPr>
          <w:noProof/>
        </w:rPr>
        <w:t xml:space="preserve"> While indirect channels allow providers to extend their market coverage without increasing fixed costs, it will often require investments in control mechanisms and training. Conversely, direct channels hold the advantage that they allow for a greater and </w:t>
      </w:r>
      <w:r>
        <w:rPr>
          <w:noProof/>
        </w:rPr>
        <w:t>better control of client interactions but these benefits are offset by potentially large set-up, channel management costs and more limited coverage. Direct and indirect distribution channels are obviously not exclusive and many market participants today em</w:t>
      </w:r>
      <w:r>
        <w:rPr>
          <w:noProof/>
        </w:rPr>
        <w:t xml:space="preserve">ploy multi-channel strategies where a product is made available through two or more channels of distribution (Webb, Hogan 2002). While potentially increasing costs, a multi-channel approach can be very effective as different channels may be more appealing </w:t>
      </w:r>
      <w:r>
        <w:rPr>
          <w:noProof/>
        </w:rPr>
        <w:t xml:space="preserve">to specific customers groups or hold other advantages such as decreased costs or geographical scope. </w:t>
      </w:r>
    </w:p>
    <w:p w:rsidR="00083C3F" w:rsidRDefault="00E1215B">
      <w:pPr>
        <w:rPr>
          <w:noProof/>
        </w:rPr>
      </w:pPr>
      <w:r>
        <w:rPr>
          <w:noProof/>
        </w:rPr>
        <w:t>Furthermore, the retail financial services market has seen a significant blurring of lines between different institutional types (Chakrabarty, Ennew 2007)</w:t>
      </w:r>
      <w:r>
        <w:rPr>
          <w:noProof/>
        </w:rPr>
        <w:t>. Retail banks, for example, now frequently offer insurance products (bancassurance) and insurance companies may offer bank accounts. Intermediaries today can also include other non-financial institutions such supermarkets and post-offices which launch the</w:t>
      </w:r>
      <w:r>
        <w:rPr>
          <w:noProof/>
        </w:rPr>
        <w:t xml:space="preserve">ir own credit cards or act as insurance distributors. </w:t>
      </w:r>
    </w:p>
    <w:p w:rsidR="00083C3F" w:rsidRDefault="00E1215B">
      <w:pPr>
        <w:rPr>
          <w:noProof/>
        </w:rPr>
      </w:pPr>
      <w:r>
        <w:rPr>
          <w:noProof/>
        </w:rPr>
        <w:t>In addition, new technologies are increasingly changing the structure of retail financial services markets and the way that users are accessing financial services. Innovative market entrants, such as F</w:t>
      </w:r>
      <w:r>
        <w:rPr>
          <w:noProof/>
        </w:rPr>
        <w:t>inTech companies, are gradually contesting incumbents' market shares and traditional distribution channels by offering more specifically tailored products and services, thus providing direct channel access and a richer customer experience. New data storage</w:t>
      </w:r>
      <w:r>
        <w:rPr>
          <w:noProof/>
        </w:rPr>
        <w:t xml:space="preserve"> abilities such as cloud computing and distributed ledger technologies in conjunction with artificial intelligence, machine learning and big data analytics are enabling these providers to increasingly automate highly time-consuming functions, thus lowering</w:t>
      </w:r>
      <w:r>
        <w:rPr>
          <w:noProof/>
        </w:rPr>
        <w:t xml:space="preserve"> costs, while still providing highly bespoke services. Through the use of internet and mobile communications technologies they are able to directly engage with consumer where previously they would have been dependent on accessing them via traditional retai</w:t>
      </w:r>
      <w:r>
        <w:rPr>
          <w:noProof/>
        </w:rPr>
        <w:t xml:space="preserve">l service providers. </w:t>
      </w:r>
    </w:p>
    <w:p w:rsidR="00083C3F" w:rsidRDefault="00E1215B">
      <w:pPr>
        <w:rPr>
          <w:noProof/>
        </w:rPr>
      </w:pPr>
      <w:r>
        <w:rPr>
          <w:noProof/>
        </w:rPr>
        <w:t>How these new technologies will ultimately impact the market will depend on various factors such as customer preferences, reactive innovation and M&amp;A activities on the side of incumbents as well as potential regulatory measures aiming</w:t>
      </w:r>
      <w:r>
        <w:rPr>
          <w:noProof/>
        </w:rPr>
        <w:t xml:space="preserve"> to address new risks arising from these technologies. While there is certainly a trend towards an increasing use of online distribution channels, especially for transaction activities, branches and other forms of face-to-face and voice-to-voice channels a</w:t>
      </w:r>
      <w:r>
        <w:rPr>
          <w:noProof/>
        </w:rPr>
        <w:t xml:space="preserve">re likely to maintain a crucial role for sales-and-advice interactions (Boston Consulting Group 2013). Customer surveys have also shown that factors such as branch proximity still play a key role in customers' decision of bank providers (Boston Consulting </w:t>
      </w:r>
      <w:r>
        <w:rPr>
          <w:noProof/>
        </w:rPr>
        <w:t xml:space="preserve">Group 2011). </w:t>
      </w:r>
    </w:p>
    <w:p w:rsidR="00083C3F" w:rsidRDefault="00E1215B">
      <w:pPr>
        <w:rPr>
          <w:noProof/>
        </w:rPr>
      </w:pPr>
      <w:r>
        <w:rPr>
          <w:noProof/>
        </w:rPr>
        <w:t>Ultimately, new innovations are expected to increase interactions across multiple channels and facilitate increased specialisation of providers and intermediaries, as they maximise each channels' value depending on product and customer group.</w:t>
      </w:r>
      <w:r>
        <w:rPr>
          <w:noProof/>
        </w:rPr>
        <w:t xml:space="preserve"> Direct and indirect channels may also cooperate more closely, although this will depend on the respective market participants. The increased competitive pressures will work to the benefit of the consumer but there are also risks of information and choice </w:t>
      </w:r>
      <w:r>
        <w:rPr>
          <w:noProof/>
        </w:rPr>
        <w:t xml:space="preserve">overload, especially for less informed retail customers.        </w:t>
      </w:r>
    </w:p>
    <w:p w:rsidR="00083C3F" w:rsidRDefault="00E1215B">
      <w:pPr>
        <w:pStyle w:val="Heading4"/>
        <w:rPr>
          <w:noProof/>
        </w:rPr>
      </w:pPr>
      <w:r>
        <w:rPr>
          <w:noProof/>
        </w:rPr>
        <w:t xml:space="preserve">National fragmentation of rules and gold-plating </w:t>
      </w:r>
    </w:p>
    <w:p w:rsidR="00083C3F" w:rsidRDefault="00E1215B">
      <w:pPr>
        <w:rPr>
          <w:noProof/>
        </w:rPr>
      </w:pPr>
      <w:r>
        <w:rPr>
          <w:noProof/>
        </w:rPr>
        <w:t>While the large majority of consumer protection requirements are set at the European level, there is still a significant degree of fragmentat</w:t>
      </w:r>
      <w:r>
        <w:rPr>
          <w:noProof/>
        </w:rPr>
        <w:t>ion arising from Member States' practice to 'gold-plate' existing rules. Often implemented under the pretext of needing enhanced consumer protection this practice significantly undermines the internal market and cross-border competition. Providers of retai</w:t>
      </w:r>
      <w:r>
        <w:rPr>
          <w:noProof/>
        </w:rPr>
        <w:t>l financial services and products will need to invest significant amounts in legal advice and analysis when entering a new Member State, if they cannot rely on the same rules that apply in their home Member State. Respondents to the consultation on the cro</w:t>
      </w:r>
      <w:r>
        <w:rPr>
          <w:noProof/>
        </w:rPr>
        <w:t>ss-border provision of funds, for example, highlighted a lack of transparency of national standards and deviating definitions and provisions in key areas. This includes notification, marketing and distribution, which often vary across Member States, all we</w:t>
      </w:r>
      <w:r>
        <w:rPr>
          <w:noProof/>
        </w:rPr>
        <w:t>ll as differing requirements for administrative arrangements such as paying agents. Similar comments were received under the Call for Evidence whereby the definition of an activity as marketing was noted particularly frequently in this context as being inc</w:t>
      </w:r>
      <w:r>
        <w:rPr>
          <w:noProof/>
        </w:rPr>
        <w:t>onsistent.</w:t>
      </w:r>
    </w:p>
    <w:p w:rsidR="00083C3F" w:rsidRDefault="00E1215B">
      <w:pPr>
        <w:rPr>
          <w:noProof/>
        </w:rPr>
      </w:pPr>
      <w:r>
        <w:rPr>
          <w:noProof/>
        </w:rPr>
        <w:t>Stakeholders also stressed potential dangers of gold plating and additional national requirements in offering documentation, the pre-approval of marketing material or the repurchase or redemption of investment fund units. Discretion on non-imple</w:t>
      </w:r>
      <w:r>
        <w:rPr>
          <w:noProof/>
        </w:rPr>
        <w:t>mentation of provisions related to National Private Placement Regimes is an additional example. The fragmentation of provisions and deviating supervisory practices will work to the detriment of legal certainty. These increased business risks may significan</w:t>
      </w:r>
      <w:r>
        <w:rPr>
          <w:noProof/>
        </w:rPr>
        <w:t xml:space="preserve">tly obstruct cross-border business activities. </w:t>
      </w:r>
    </w:p>
    <w:p w:rsidR="00083C3F" w:rsidRDefault="00E1215B">
      <w:pPr>
        <w:pStyle w:val="Heading4"/>
        <w:rPr>
          <w:noProof/>
        </w:rPr>
      </w:pPr>
      <w:r>
        <w:rPr>
          <w:noProof/>
        </w:rPr>
        <w:t xml:space="preserve">Fragmentation of distribution channels </w:t>
      </w:r>
    </w:p>
    <w:p w:rsidR="00083C3F" w:rsidRDefault="00E1215B">
      <w:pPr>
        <w:rPr>
          <w:noProof/>
        </w:rPr>
      </w:pPr>
      <w:r>
        <w:rPr>
          <w:noProof/>
        </w:rPr>
        <w:t>While direct channel distribution is likely to increase in importance given online sales opportunities, mobile technologies and other forms of innovation, traditional d</w:t>
      </w:r>
      <w:r>
        <w:rPr>
          <w:noProof/>
        </w:rPr>
        <w:t xml:space="preserve">istribution channels via banks and other intermediaries remain important, especially for sales-and-advice interactions. Distribution networks, while technically open to cross border access, often remain concentrated along national borders.  </w:t>
      </w:r>
    </w:p>
    <w:p w:rsidR="00083C3F" w:rsidRDefault="00E1215B">
      <w:pPr>
        <w:rPr>
          <w:noProof/>
        </w:rPr>
      </w:pPr>
      <w:r>
        <w:rPr>
          <w:noProof/>
        </w:rPr>
        <w:t>In the context</w:t>
      </w:r>
      <w:r>
        <w:rPr>
          <w:noProof/>
        </w:rPr>
        <w:t xml:space="preserve"> of the distribution of investment funds, requirements to have a local agent in certain host Member States were pinpointed as creating unnecessary barriers to entry. These mandatory agents will increase the time efforts of achieving market entry while posi</w:t>
      </w:r>
      <w:r>
        <w:rPr>
          <w:noProof/>
        </w:rPr>
        <w:t>ng an additional cost factor, which affect smaller funds in particular. Their respective roles and costs furthermore vary considerably across Member States thereby leading to additional transparency and fragmentation issues.</w:t>
      </w:r>
      <w:r>
        <w:rPr>
          <w:noProof/>
        </w:rPr>
        <w:tab/>
      </w:r>
    </w:p>
    <w:p w:rsidR="00083C3F" w:rsidRDefault="00E1215B">
      <w:pPr>
        <w:pStyle w:val="Heading4"/>
        <w:rPr>
          <w:noProof/>
        </w:rPr>
      </w:pPr>
      <w:r>
        <w:rPr>
          <w:noProof/>
        </w:rPr>
        <w:t>Other factors limiting cross-b</w:t>
      </w:r>
      <w:r>
        <w:rPr>
          <w:noProof/>
        </w:rPr>
        <w:t xml:space="preserve">order competition  </w:t>
      </w:r>
    </w:p>
    <w:p w:rsidR="00083C3F" w:rsidRDefault="00E1215B">
      <w:pPr>
        <w:rPr>
          <w:noProof/>
        </w:rPr>
      </w:pPr>
      <w:r>
        <w:rPr>
          <w:noProof/>
        </w:rPr>
        <w:t xml:space="preserve">Non-harmonised legal frameworks in other areas, such as tax law, securities law, contract law and insolvency law, add to the costs and legal uncertainty of passporting providers. The tax treatment of products forms a significant driver </w:t>
      </w:r>
      <w:r>
        <w:rPr>
          <w:noProof/>
        </w:rPr>
        <w:t>of demand for retail investment products. Considerably different taxation regimes therefore not only lead to a concentration of providers in certain Member States but also to strong divergences in demand for products. Products may thus need to be adapted t</w:t>
      </w:r>
      <w:r>
        <w:rPr>
          <w:noProof/>
        </w:rPr>
        <w:t xml:space="preserve">o the respective taxation regime in order to be competitive, creating administrative burdens for providers. </w:t>
      </w:r>
    </w:p>
    <w:p w:rsidR="00083C3F" w:rsidRDefault="00E1215B">
      <w:pPr>
        <w:rPr>
          <w:noProof/>
        </w:rPr>
      </w:pPr>
      <w:r>
        <w:rPr>
          <w:noProof/>
        </w:rPr>
        <w:t>Similarly, access to data and information on consumers and national trends, alongside standards for property valuation and procedures for collectin</w:t>
      </w:r>
      <w:r>
        <w:rPr>
          <w:noProof/>
        </w:rPr>
        <w:t xml:space="preserve">g debts can vary greatly thus undermining cross-border lending and provision of insurance products. </w:t>
      </w:r>
    </w:p>
    <w:p w:rsidR="00083C3F" w:rsidRDefault="00E1215B">
      <w:pPr>
        <w:pStyle w:val="Heading3"/>
        <w:rPr>
          <w:noProof/>
        </w:rPr>
      </w:pPr>
      <w:bookmarkStart w:id="238" w:name="_Toc479611923"/>
      <w:bookmarkStart w:id="239" w:name="_Toc481140414"/>
      <w:bookmarkStart w:id="240" w:name="_Toc482710986"/>
      <w:bookmarkStart w:id="241" w:name="_Toc482715308"/>
      <w:r>
        <w:rPr>
          <w:noProof/>
        </w:rPr>
        <w:t>Behavioural Aspects</w:t>
      </w:r>
      <w:bookmarkEnd w:id="238"/>
      <w:r>
        <w:rPr>
          <w:noProof/>
        </w:rPr>
        <w:t>: biases in retail investment decision-making</w:t>
      </w:r>
      <w:bookmarkEnd w:id="239"/>
      <w:bookmarkEnd w:id="240"/>
      <w:bookmarkEnd w:id="241"/>
      <w:r>
        <w:rPr>
          <w:noProof/>
        </w:rPr>
        <w:t xml:space="preserve"> </w:t>
      </w:r>
    </w:p>
    <w:p w:rsidR="00083C3F" w:rsidRDefault="00E1215B">
      <w:pPr>
        <w:tabs>
          <w:tab w:val="left" w:pos="0"/>
        </w:tabs>
        <w:rPr>
          <w:noProof/>
        </w:rPr>
      </w:pPr>
      <w:r>
        <w:rPr>
          <w:noProof/>
          <w:color w:val="000000"/>
          <w:szCs w:val="24"/>
          <w:lang w:eastAsia="en-GB"/>
        </w:rPr>
        <w:t xml:space="preserve">Risk and return are the two most important attributes of any investment. Any risk-averse </w:t>
      </w:r>
      <w:r>
        <w:rPr>
          <w:noProof/>
          <w:color w:val="000000"/>
          <w:szCs w:val="24"/>
          <w:lang w:eastAsia="en-GB"/>
        </w:rPr>
        <w:t>investor will, as a general rule,</w:t>
      </w:r>
      <w:r>
        <w:rPr>
          <w:rStyle w:val="FootnoteReference"/>
          <w:noProof/>
          <w:color w:val="000000"/>
          <w:szCs w:val="24"/>
          <w:lang w:eastAsia="en-GB"/>
        </w:rPr>
        <w:footnoteReference w:id="67"/>
      </w:r>
      <w:r>
        <w:rPr>
          <w:noProof/>
          <w:color w:val="000000"/>
          <w:szCs w:val="24"/>
          <w:lang w:eastAsia="en-GB"/>
        </w:rPr>
        <w:t xml:space="preserve"> try to maximise his returns while minimising the exposure to risk. The risk is the uncertainty of an expected return actually being realised. It follows from this that there is a trade-off between risk and returns.</w:t>
      </w:r>
      <w:r>
        <w:rPr>
          <w:rStyle w:val="FootnoteReference"/>
          <w:noProof/>
          <w:color w:val="000000"/>
          <w:szCs w:val="24"/>
          <w:lang w:eastAsia="en-GB"/>
        </w:rPr>
        <w:footnoteReference w:id="68"/>
      </w:r>
      <w:r>
        <w:rPr>
          <w:noProof/>
          <w:color w:val="000000"/>
          <w:szCs w:val="24"/>
          <w:lang w:eastAsia="en-GB"/>
        </w:rPr>
        <w:t xml:space="preserve"> </w:t>
      </w:r>
      <w:r>
        <w:rPr>
          <w:noProof/>
        </w:rPr>
        <w:t>Moder</w:t>
      </w:r>
      <w:r>
        <w:rPr>
          <w:noProof/>
        </w:rPr>
        <w:t>n portfolio theory can help to develop insights into investing. It is a normative theory, describing how people could make optimal investment decisions. In practice, retail investors often (if not always) deviate from the optimal choice. To broaden our ins</w:t>
      </w:r>
      <w:r>
        <w:rPr>
          <w:noProof/>
        </w:rPr>
        <w:t>ights regarding actual</w:t>
      </w:r>
      <w:r>
        <w:rPr>
          <w:i/>
          <w:noProof/>
        </w:rPr>
        <w:t xml:space="preserve"> </w:t>
      </w:r>
      <w:r>
        <w:rPr>
          <w:noProof/>
        </w:rPr>
        <w:t>investment behaviour, we need to account for behavioural biases, non-rational behaviour and other influences. Retail investment decisions are often biased, leading to suboptimal investment behaviour such as under diversification, exc</w:t>
      </w:r>
      <w:r>
        <w:rPr>
          <w:noProof/>
        </w:rPr>
        <w:t>essive trading, herding, and the tendency to sell winners and hold on to losing stocks (so-called disposition effect). This suboptimal behaviour has been associated with behavioural biases. The following section shortly discusses the main biases related to</w:t>
      </w:r>
      <w:r>
        <w:rPr>
          <w:noProof/>
        </w:rPr>
        <w:t xml:space="preserve"> belief and preference formation, and also looks at the effect of cognitive limitations with respect to information processing.</w:t>
      </w:r>
    </w:p>
    <w:p w:rsidR="00083C3F" w:rsidRDefault="00E1215B">
      <w:pPr>
        <w:pStyle w:val="Heading4"/>
        <w:rPr>
          <w:noProof/>
        </w:rPr>
      </w:pPr>
      <w:r>
        <w:rPr>
          <w:noProof/>
        </w:rPr>
        <w:t>Limited information processing capabilities</w:t>
      </w:r>
    </w:p>
    <w:p w:rsidR="00083C3F" w:rsidRDefault="00E1215B">
      <w:pPr>
        <w:spacing w:before="200"/>
        <w:rPr>
          <w:noProof/>
        </w:rPr>
      </w:pPr>
      <w:r>
        <w:rPr>
          <w:noProof/>
        </w:rPr>
        <w:t>In making investment decisions, retail investors are confronted with complex information and a wide range of investment alternatives. Investors are not able to evaluate all relevant information because of cognitive limitations to process information (infor</w:t>
      </w:r>
      <w:r>
        <w:rPr>
          <w:noProof/>
        </w:rPr>
        <w:t xml:space="preserve">mation overload). As a result Benartzi and Thaler (1999) argue that they are inclined to rely on </w:t>
      </w:r>
      <w:r>
        <w:rPr>
          <w:i/>
          <w:noProof/>
        </w:rPr>
        <w:t>heuristics</w:t>
      </w:r>
      <w:r>
        <w:rPr>
          <w:noProof/>
        </w:rPr>
        <w:t xml:space="preserve"> that are cognitive shortcuts or rules of thumb that simplify the original decision but can also lead to cognitive biases (systematic errors). Beside</w:t>
      </w:r>
      <w:r>
        <w:rPr>
          <w:noProof/>
        </w:rPr>
        <w:t xml:space="preserve">s limited capacities to process financial information, decisions are also influenced by framing effects. </w:t>
      </w:r>
      <w:r>
        <w:rPr>
          <w:i/>
          <w:noProof/>
        </w:rPr>
        <w:t>Framing</w:t>
      </w:r>
      <w:r>
        <w:rPr>
          <w:noProof/>
        </w:rPr>
        <w:t xml:space="preserve"> refers to the fact that the manner in which choices are presented changes their relative attractiveness. Hence, the framing itself influences t</w:t>
      </w:r>
      <w:r>
        <w:rPr>
          <w:noProof/>
        </w:rPr>
        <w:t>he decision. Overall, the evidence on heuristics and framing underlines the importance of providing high quality and easily understandable financial information to investors.</w:t>
      </w:r>
    </w:p>
    <w:p w:rsidR="00083C3F" w:rsidRDefault="00E1215B">
      <w:pPr>
        <w:pStyle w:val="ListParagraph"/>
        <w:numPr>
          <w:ilvl w:val="0"/>
          <w:numId w:val="60"/>
        </w:numPr>
        <w:rPr>
          <w:noProof/>
        </w:rPr>
      </w:pPr>
      <w:r>
        <w:rPr>
          <w:noProof/>
        </w:rPr>
        <w:t>Biases in beliefs</w:t>
      </w:r>
    </w:p>
    <w:p w:rsidR="00083C3F" w:rsidRDefault="00E1215B">
      <w:pPr>
        <w:spacing w:before="200"/>
        <w:rPr>
          <w:noProof/>
        </w:rPr>
      </w:pPr>
      <w:r>
        <w:rPr>
          <w:noProof/>
        </w:rPr>
        <w:t>Biases in beliefs are largely related to the fact that investor</w:t>
      </w:r>
      <w:r>
        <w:rPr>
          <w:noProof/>
        </w:rPr>
        <w:t>s rely heavily on readily available or familiar information. In essence, investors are not optimally weighing all pieces of information -as assumed in standard portfolio theory- because they rely too heavily on historical information relative to new inform</w:t>
      </w:r>
      <w:r>
        <w:rPr>
          <w:noProof/>
        </w:rPr>
        <w:t>ation (</w:t>
      </w:r>
      <w:r>
        <w:rPr>
          <w:i/>
          <w:noProof/>
        </w:rPr>
        <w:t>conservatism bias</w:t>
      </w:r>
      <w:r>
        <w:rPr>
          <w:noProof/>
        </w:rPr>
        <w:t>), a single piece of information (</w:t>
      </w:r>
      <w:r>
        <w:rPr>
          <w:i/>
          <w:noProof/>
        </w:rPr>
        <w:t>anchoring bias</w:t>
      </w:r>
      <w:r>
        <w:rPr>
          <w:noProof/>
        </w:rPr>
        <w:t>), readily available information (</w:t>
      </w:r>
      <w:r>
        <w:rPr>
          <w:i/>
          <w:noProof/>
        </w:rPr>
        <w:t>availability bias</w:t>
      </w:r>
      <w:r>
        <w:rPr>
          <w:noProof/>
        </w:rPr>
        <w:t>), familiar information (</w:t>
      </w:r>
      <w:r>
        <w:rPr>
          <w:i/>
          <w:noProof/>
        </w:rPr>
        <w:t>familiarity bias</w:t>
      </w:r>
      <w:r>
        <w:rPr>
          <w:noProof/>
        </w:rPr>
        <w:t xml:space="preserve">), or because they believe that stereotypes and recent information are representative for </w:t>
      </w:r>
      <w:r>
        <w:rPr>
          <w:noProof/>
        </w:rPr>
        <w:t>the whole sample (</w:t>
      </w:r>
      <w:r>
        <w:rPr>
          <w:i/>
          <w:noProof/>
        </w:rPr>
        <w:t>representativeness bias and extrapolation bias</w:t>
      </w:r>
      <w:r>
        <w:rPr>
          <w:noProof/>
        </w:rPr>
        <w:t>). These biases explain why investors react sub-optimally to financial news, leading to patterns of over- and under-reaction. In addition, they also provide an explanation for the fact that in</w:t>
      </w:r>
      <w:r>
        <w:rPr>
          <w:noProof/>
        </w:rPr>
        <w:t>vestors react stronger to more salient information and, for instance, rely too much on past performance as an investment selection criterion.</w:t>
      </w:r>
    </w:p>
    <w:p w:rsidR="00083C3F" w:rsidRDefault="00E1215B">
      <w:pPr>
        <w:spacing w:before="200"/>
        <w:rPr>
          <w:noProof/>
        </w:rPr>
      </w:pPr>
      <w:r>
        <w:rPr>
          <w:noProof/>
        </w:rPr>
        <w:t xml:space="preserve">In addition, investment beliefs are also to a large extent influenced by </w:t>
      </w:r>
      <w:r>
        <w:rPr>
          <w:i/>
          <w:noProof/>
        </w:rPr>
        <w:t>overconfidence</w:t>
      </w:r>
      <w:r>
        <w:rPr>
          <w:noProof/>
        </w:rPr>
        <w:t>, indicating that investors</w:t>
      </w:r>
      <w:r>
        <w:rPr>
          <w:noProof/>
        </w:rPr>
        <w:t xml:space="preserve"> overestimate their own knowledge or ability. Overconfidence explains why retail investors are under-diversified, trade excessively (compared to the benefits generated by their trades) or have biased risk perceptions.</w:t>
      </w:r>
    </w:p>
    <w:tbl>
      <w:tblPr>
        <w:tblW w:w="0" w:type="auto"/>
        <w:tblInd w:w="108" w:type="dxa"/>
        <w:tblLook w:val="04A0" w:firstRow="1" w:lastRow="0" w:firstColumn="1" w:lastColumn="0" w:noHBand="0" w:noVBand="1"/>
      </w:tblPr>
      <w:tblGrid>
        <w:gridCol w:w="9180"/>
      </w:tblGrid>
      <w:tr w:rsidR="00083C3F">
        <w:tc>
          <w:tcPr>
            <w:tcW w:w="9180" w:type="dxa"/>
            <w:shd w:val="clear" w:color="auto" w:fill="548DD4" w:themeFill="text2" w:themeFillTint="99"/>
          </w:tcPr>
          <w:p w:rsidR="00083C3F" w:rsidRDefault="00E1215B">
            <w:pPr>
              <w:pStyle w:val="Box"/>
              <w:keepLines/>
              <w:rPr>
                <w:noProof/>
              </w:rPr>
            </w:pPr>
            <w:bookmarkStart w:id="242" w:name="_Toc479599432"/>
            <w:bookmarkStart w:id="243" w:name="_Toc479611924"/>
            <w:r>
              <w:rPr>
                <w:noProof/>
              </w:rPr>
              <w:t>Passive long-term investments and ETFs</w:t>
            </w:r>
            <w:bookmarkEnd w:id="242"/>
            <w:bookmarkEnd w:id="243"/>
            <w:r>
              <w:rPr>
                <w:noProof/>
              </w:rPr>
              <w:t xml:space="preserve"> </w:t>
            </w:r>
          </w:p>
        </w:tc>
      </w:tr>
      <w:tr w:rsidR="00083C3F">
        <w:tc>
          <w:tcPr>
            <w:tcW w:w="9180" w:type="dxa"/>
            <w:shd w:val="clear" w:color="auto" w:fill="B8CCE4" w:themeFill="accent1" w:themeFillTint="66"/>
          </w:tcPr>
          <w:p w:rsidR="00083C3F" w:rsidRDefault="00E1215B">
            <w:pPr>
              <w:keepNext/>
              <w:rPr>
                <w:noProof/>
              </w:rPr>
            </w:pPr>
            <w:r>
              <w:rPr>
                <w:noProof/>
              </w:rPr>
              <w:t>The Efficient Market Hypothesis (EMH) developed by Eugene Fama (Fama 1970) states that modern financial markets are 'efficient', i.e. markets will quickly react to new information and the price of an asset reflects all available information. While the E</w:t>
            </w:r>
            <w:r>
              <w:rPr>
                <w:noProof/>
              </w:rPr>
              <w:t>MH faces a number of deficiencies, especially as concerns some of its underlying assumptions</w:t>
            </w:r>
            <w:r>
              <w:rPr>
                <w:rStyle w:val="FootnoteReference"/>
                <w:noProof/>
              </w:rPr>
              <w:footnoteReference w:id="69"/>
            </w:r>
            <w:r>
              <w:rPr>
                <w:noProof/>
              </w:rPr>
              <w:t xml:space="preserve">, it nonetheless holds a range of valuable insights. This is particularly true for retail investors as they do not generally follow markets in real-time, nor have </w:t>
            </w:r>
            <w:r>
              <w:rPr>
                <w:noProof/>
              </w:rPr>
              <w:t xml:space="preserve">access to inside information which markets have yet to process. </w:t>
            </w:r>
          </w:p>
          <w:p w:rsidR="00083C3F" w:rsidRDefault="00E1215B">
            <w:pPr>
              <w:keepNext/>
              <w:rPr>
                <w:noProof/>
              </w:rPr>
            </w:pPr>
            <w:r>
              <w:rPr>
                <w:noProof/>
              </w:rPr>
              <w:t>One of the major consequences of the EMH is that an investor can never exploit the market to make abnormal profits by using information that the market already knows. While abnormal profits a</w:t>
            </w:r>
            <w:r>
              <w:rPr>
                <w:noProof/>
              </w:rPr>
              <w:t xml:space="preserve">re certainly possible, this is down to plain luck and these profits can never be maintained in a systematic fashion in the long-run. What follows from this is that assets cannot be categorised as "over/undervalued" in the absence of private information. A </w:t>
            </w:r>
            <w:r>
              <w:rPr>
                <w:noProof/>
              </w:rPr>
              <w:t>further implication is that the total market is always perfectly diversified and that any portfolio which deviates from the total-market cannot achieve a higher degree of diversification. In effect, no other portfolio can have both a higher expected return</w:t>
            </w:r>
            <w:r>
              <w:rPr>
                <w:noProof/>
              </w:rPr>
              <w:t xml:space="preserve"> and lower risk than the total-market portfolio. This investment approach of retail investors may be partially misguided in cases where they attempt to outperform markets via actively managed funds. Although a limited number of professional investors manag</w:t>
            </w:r>
            <w:r>
              <w:rPr>
                <w:noProof/>
              </w:rPr>
              <w:t xml:space="preserve">e to outperform their respective benchmarks, this is a rare occurrence when assessing investment periods of longer than 5 years. Moreover, any positive alpha that fund managers may generate is usually eroded by fees imposed on the investors. The S&amp;P Spiva </w:t>
            </w:r>
            <w:r>
              <w:rPr>
                <w:noProof/>
              </w:rPr>
              <w:t>Scoreboard (S&amp;P Dow Jones Indices 2016), as an example of numerous analyses in this area, shows that less than 50% of EU equity funds outperformed their respective benchmark over a 5-year time horizon when taking fees into account. This figure drops to les</w:t>
            </w:r>
            <w:r>
              <w:rPr>
                <w:noProof/>
              </w:rPr>
              <w:t xml:space="preserve">s than 30% over a 10 year period and reaches as low as 1.1% for certain other markets. </w:t>
            </w:r>
          </w:p>
          <w:p w:rsidR="00083C3F" w:rsidRDefault="00E1215B">
            <w:pPr>
              <w:keepNext/>
              <w:rPr>
                <w:noProof/>
              </w:rPr>
            </w:pPr>
            <w:r>
              <w:rPr>
                <w:noProof/>
              </w:rPr>
              <w:t>Even more worrying in terms of retail investor protection is that a significant proportion of funds that are marketed as active are actually passively managed to a larg</w:t>
            </w:r>
            <w:r>
              <w:rPr>
                <w:noProof/>
              </w:rPr>
              <w:t>e extent. These so-called closet indexers nonetheless charge fees comparable to true actively managed funds without explicitly disclosing their passive investment strategy to investors. The Danish FSA, for example, found that 3 in 10 actively managed funds</w:t>
            </w:r>
            <w:r>
              <w:rPr>
                <w:noProof/>
              </w:rPr>
              <w:t xml:space="preserve"> are charging active fees even though they are effectively behaving as passively managed funds (Finanstilsynet 2014). This compares to research carried out by Morningstar, which revealed that the average active share for European large-cap funds was only 6</w:t>
            </w:r>
            <w:r>
              <w:rPr>
                <w:noProof/>
              </w:rPr>
              <w:t>9.6% and that 20.2% of European funds had a three-year average active share of below 60% (classified as closet indexing) (Morningstar 2016). ESMA, taking a slightly more cautious approach, still found that 15% of funds had an active share below 60% (Europe</w:t>
            </w:r>
            <w:r>
              <w:rPr>
                <w:noProof/>
              </w:rPr>
              <w:t>an Securities Markets Authority 2016). In view of these figures, it appears that total-market investing via passively managed funds, such as ETFs</w:t>
            </w:r>
            <w:r>
              <w:rPr>
                <w:rStyle w:val="FootnoteReference"/>
                <w:noProof/>
              </w:rPr>
              <w:footnoteReference w:id="70"/>
            </w:r>
            <w:r>
              <w:rPr>
                <w:noProof/>
              </w:rPr>
              <w:t>, can be a better option for retail investors than actively managed funds in many circumstances. While profess</w:t>
            </w:r>
            <w:r>
              <w:rPr>
                <w:noProof/>
              </w:rPr>
              <w:t>ional investors may have reasons to divert from total market investing and are in a position to evaluate the strategies of respective active funds, this does not normally apply to retail investors. Not only are ETFs cheaper in terms of management fees, giv</w:t>
            </w:r>
            <w:r>
              <w:rPr>
                <w:noProof/>
              </w:rPr>
              <w:t xml:space="preserve">en the absence of entry and exit fees, but they also allow for greater diversification across markets and geographical regions when investing small sums. There is even the possibility to match investors' risk preference and adjust the stock/bond ratio via </w:t>
            </w:r>
            <w:r>
              <w:rPr>
                <w:noProof/>
              </w:rPr>
              <w:t>ETFs</w:t>
            </w:r>
            <w:r>
              <w:rPr>
                <w:rStyle w:val="FootnoteReference"/>
                <w:noProof/>
              </w:rPr>
              <w:footnoteReference w:id="71"/>
            </w:r>
            <w:r>
              <w:rPr>
                <w:noProof/>
              </w:rPr>
              <w:t xml:space="preserve">. </w:t>
            </w:r>
          </w:p>
          <w:p w:rsidR="00083C3F" w:rsidRDefault="00E1215B">
            <w:pPr>
              <w:keepNext/>
              <w:rPr>
                <w:noProof/>
              </w:rPr>
            </w:pPr>
            <w:r>
              <w:rPr>
                <w:noProof/>
              </w:rPr>
              <w:t>Moreover, passive investments, whether through ETFs or otherwise, have shown to outperform active strategies in the long-run. The key behavioural aspect that undermines the realisation of these superior returns is usually that retail investors nerv</w:t>
            </w:r>
            <w:r>
              <w:rPr>
                <w:noProof/>
              </w:rPr>
              <w:t>ously sell investments in market downturns and believe that they can time market entry and exit. Experience has shown that even professional investors are unable to carry this out effectively, at least over a longer period of time. Passive wait and hold st</w:t>
            </w:r>
            <w:r>
              <w:rPr>
                <w:noProof/>
              </w:rPr>
              <w:t xml:space="preserve">rategies are thus the logical answer to maximise returns. </w:t>
            </w:r>
          </w:p>
          <w:p w:rsidR="00083C3F" w:rsidRDefault="00E1215B">
            <w:pPr>
              <w:pStyle w:val="Caption"/>
            </w:pPr>
            <w:r>
              <w:t xml:space="preserve">Table </w:t>
            </w:r>
            <w:r>
              <w:fldChar w:fldCharType="begin"/>
            </w:r>
            <w:r>
              <w:instrText xml:space="preserve"> STYLEREF 1 \s </w:instrText>
            </w:r>
            <w:r>
              <w:fldChar w:fldCharType="separate"/>
            </w:r>
            <w:r>
              <w:t>6</w:t>
            </w:r>
            <w:r>
              <w:fldChar w:fldCharType="end"/>
            </w:r>
            <w:r>
              <w:t>.</w:t>
            </w:r>
            <w:r>
              <w:fldChar w:fldCharType="begin"/>
            </w:r>
            <w:r>
              <w:instrText xml:space="preserve"> SEQ Table \* ARABIC \s 1 </w:instrText>
            </w:r>
            <w:r>
              <w:fldChar w:fldCharType="separate"/>
            </w:r>
            <w:r>
              <w:t>1</w:t>
            </w:r>
            <w:r>
              <w:fldChar w:fldCharType="end"/>
            </w:r>
            <w:r>
              <w:t xml:space="preserve"> Percentage of European Equity Funds Outperformed by Benchmarks</w:t>
            </w:r>
          </w:p>
          <w:p w:rsidR="00083C3F" w:rsidRDefault="00E1215B">
            <w:pPr>
              <w:pStyle w:val="Figure"/>
              <w:rPr>
                <w:noProof/>
              </w:rPr>
            </w:pPr>
            <w:r>
              <w:rPr>
                <w:noProof/>
                <w:shd w:val="clear" w:color="auto" w:fill="B8CCE4" w:themeFill="accent1" w:themeFillTint="66"/>
                <w:lang w:eastAsia="en-GB"/>
              </w:rPr>
              <w:drawing>
                <wp:inline distT="0" distB="0" distL="0" distR="0" wp14:anchorId="08C53330" wp14:editId="104978F4">
                  <wp:extent cx="4925705" cy="1572986"/>
                  <wp:effectExtent l="0" t="0" r="825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t="8664" b="51220"/>
                          <a:stretch/>
                        </pic:blipFill>
                        <pic:spPr bwMode="auto">
                          <a:xfrm>
                            <a:off x="0" y="0"/>
                            <a:ext cx="4929425" cy="1574174"/>
                          </a:xfrm>
                          <a:prstGeom prst="rect">
                            <a:avLst/>
                          </a:prstGeom>
                          <a:noFill/>
                          <a:ln>
                            <a:noFill/>
                          </a:ln>
                          <a:extLst>
                            <a:ext uri="{53640926-AAD7-44D8-BBD7-CCE9431645EC}">
                              <a14:shadowObscured xmlns:a14="http://schemas.microsoft.com/office/drawing/2010/main"/>
                            </a:ext>
                          </a:extLst>
                        </pic:spPr>
                      </pic:pic>
                    </a:graphicData>
                  </a:graphic>
                </wp:inline>
              </w:drawing>
            </w:r>
          </w:p>
          <w:p w:rsidR="00083C3F" w:rsidRDefault="00E1215B">
            <w:pPr>
              <w:pStyle w:val="Source"/>
              <w:keepNext/>
              <w:rPr>
                <w:noProof/>
              </w:rPr>
            </w:pPr>
            <w:r>
              <w:rPr>
                <w:noProof/>
              </w:rPr>
              <w:t>Source: S&amp;P Dow Jones Indices (see S&amp;P Dow Jones Indices 2016).</w:t>
            </w:r>
          </w:p>
        </w:tc>
      </w:tr>
    </w:tbl>
    <w:p w:rsidR="00083C3F" w:rsidRDefault="00083C3F">
      <w:pPr>
        <w:ind w:left="720"/>
        <w:rPr>
          <w:noProof/>
        </w:rPr>
      </w:pPr>
    </w:p>
    <w:p w:rsidR="00083C3F" w:rsidRDefault="00E1215B">
      <w:pPr>
        <w:pStyle w:val="ListParagraph"/>
        <w:rPr>
          <w:noProof/>
        </w:rPr>
      </w:pPr>
      <w:r>
        <w:rPr>
          <w:noProof/>
        </w:rPr>
        <w:t>Behavioural preferences</w:t>
      </w:r>
    </w:p>
    <w:p w:rsidR="00083C3F" w:rsidRDefault="00E1215B">
      <w:pPr>
        <w:spacing w:before="200"/>
        <w:rPr>
          <w:noProof/>
        </w:rPr>
      </w:pPr>
      <w:r>
        <w:rPr>
          <w:noProof/>
        </w:rPr>
        <w:t>A central feature is the attitude of investors towards losses and regret.</w:t>
      </w:r>
      <w:r>
        <w:rPr>
          <w:rStyle w:val="FootnoteReference"/>
          <w:noProof/>
        </w:rPr>
        <w:footnoteReference w:id="72"/>
      </w:r>
      <w:r>
        <w:rPr>
          <w:noProof/>
        </w:rPr>
        <w:t xml:space="preserve"> The prospect theory stipulates that investors are loss averse. Investors appear to weight losses twice as much as gains of similar magnitude. Loss aversion a</w:t>
      </w:r>
      <w:r>
        <w:rPr>
          <w:noProof/>
        </w:rPr>
        <w:t>nd prospect theory could explain the disposition effect. Investors hold on to 'paper' losses, hoping that the stock will recover so they can avoid the realization of the loss, while they are quick to lock in gains by selling winners. Besides loss aversion,</w:t>
      </w:r>
      <w:r>
        <w:rPr>
          <w:noProof/>
        </w:rPr>
        <w:t xml:space="preserve"> investors also deviate from standard portfolio theory because they are subject to </w:t>
      </w:r>
      <w:r>
        <w:rPr>
          <w:i/>
          <w:noProof/>
        </w:rPr>
        <w:t>mental accounting</w:t>
      </w:r>
      <w:r>
        <w:rPr>
          <w:noProof/>
        </w:rPr>
        <w:t>. This is used to describe the fact that people treat money differently depending on the money's origin and intended use. Consequently, investors hold diffe</w:t>
      </w:r>
      <w:r>
        <w:rPr>
          <w:noProof/>
        </w:rPr>
        <w:t>rent risk perception for different 'accounts' (low risk for retirement investments, medium to high risk for general investments), without proper risk aggregation at the portfolio level.</w:t>
      </w:r>
    </w:p>
    <w:p w:rsidR="00083C3F" w:rsidRDefault="00E1215B">
      <w:pPr>
        <w:spacing w:before="200"/>
        <w:rPr>
          <w:noProof/>
        </w:rPr>
      </w:pPr>
      <w:r>
        <w:rPr>
          <w:noProof/>
        </w:rPr>
        <w:t>Financial decisions will also be influenced by other factors such as p</w:t>
      </w:r>
      <w:r>
        <w:rPr>
          <w:noProof/>
        </w:rPr>
        <w:t>ersonal traits and emotions. Self-control, for instance, is an important personal trait that influences one's ability to control his/her impulses and delay gratification. Impulse control will lead investors to be less prone to trade excessively or follow t</w:t>
      </w:r>
      <w:r>
        <w:rPr>
          <w:noProof/>
        </w:rPr>
        <w:t>he herd, while delaying gratification stimulates long term investments in the stock market. Hence, in reality individual and aggregate investment behaviour will also be influenced -often through unconscious patterns - by emotions (Taffler 2014).</w:t>
      </w:r>
      <w:r>
        <w:rPr>
          <w:noProof/>
          <w:vertAlign w:val="superscript"/>
        </w:rPr>
        <w:t xml:space="preserve"> </w:t>
      </w:r>
    </w:p>
    <w:tbl>
      <w:tblPr>
        <w:tblW w:w="0" w:type="auto"/>
        <w:tblLook w:val="04A0" w:firstRow="1" w:lastRow="0" w:firstColumn="1" w:lastColumn="0" w:noHBand="0" w:noVBand="1"/>
      </w:tblPr>
      <w:tblGrid>
        <w:gridCol w:w="9288"/>
      </w:tblGrid>
      <w:tr w:rsidR="00083C3F">
        <w:tc>
          <w:tcPr>
            <w:tcW w:w="9288" w:type="dxa"/>
            <w:shd w:val="clear" w:color="auto" w:fill="548DD4" w:themeFill="text2" w:themeFillTint="99"/>
          </w:tcPr>
          <w:p w:rsidR="00083C3F" w:rsidRDefault="00E1215B">
            <w:pPr>
              <w:pStyle w:val="Box"/>
              <w:spacing w:before="0" w:after="0"/>
              <w:rPr>
                <w:noProof/>
              </w:rPr>
            </w:pPr>
            <w:bookmarkStart w:id="244" w:name="_Toc479599451"/>
            <w:bookmarkStart w:id="245" w:name="_Toc479611925"/>
            <w:r>
              <w:rPr>
                <w:noProof/>
              </w:rPr>
              <w:t>FinTech a</w:t>
            </w:r>
            <w:r>
              <w:rPr>
                <w:noProof/>
              </w:rPr>
              <w:t xml:space="preserve">nd behavioural </w:t>
            </w:r>
            <w:bookmarkEnd w:id="244"/>
            <w:bookmarkEnd w:id="245"/>
            <w:r>
              <w:rPr>
                <w:noProof/>
              </w:rPr>
              <w:t>biases</w:t>
            </w:r>
          </w:p>
        </w:tc>
      </w:tr>
      <w:tr w:rsidR="00083C3F">
        <w:tc>
          <w:tcPr>
            <w:tcW w:w="9288" w:type="dxa"/>
            <w:shd w:val="clear" w:color="auto" w:fill="B8CCE4" w:themeFill="accent1" w:themeFillTint="66"/>
          </w:tcPr>
          <w:p w:rsidR="00083C3F" w:rsidRDefault="00E1215B">
            <w:pPr>
              <w:rPr>
                <w:noProof/>
              </w:rPr>
            </w:pPr>
            <w:r>
              <w:rPr>
                <w:noProof/>
              </w:rPr>
              <w:t>The financial services sector has been continuously transformed and improved by an increasing use of technology over time. Big legacy banks and brokers however focused predominantly on enhancing wholesale services, given strong compe</w:t>
            </w:r>
            <w:r>
              <w:rPr>
                <w:noProof/>
              </w:rPr>
              <w:t>titive pressure, while paying little attention to retail markets. Innovation in retail markets traditionally aimed at increasing the rents extracted rather than improving the quality of services provided to clients. This has been changing considerably over</w:t>
            </w:r>
            <w:r>
              <w:rPr>
                <w:noProof/>
              </w:rPr>
              <w:t xml:space="preserve"> the past few years given the advent of new 'FinTech' companies, which take advantage of new technological advancements and greater market accessibility.    </w:t>
            </w:r>
          </w:p>
          <w:p w:rsidR="00083C3F" w:rsidRDefault="00E1215B">
            <w:pPr>
              <w:rPr>
                <w:noProof/>
              </w:rPr>
            </w:pPr>
            <w:r>
              <w:rPr>
                <w:noProof/>
              </w:rPr>
              <w:t>FinTech can work as an important driver to expand access to financial services for consumers and i</w:t>
            </w:r>
            <w:r>
              <w:rPr>
                <w:noProof/>
              </w:rPr>
              <w:t>nvestors, bringing greater choice and more user-friendly services, including at lower prices. Current limitations in traditional financial service markets (e.g. opacity, lack of use of big data, insufficient competition), such as financial advice, consumer</w:t>
            </w:r>
            <w:r>
              <w:rPr>
                <w:noProof/>
              </w:rPr>
              <w:t xml:space="preserve"> credit or insurance, may foreclose access to some categories of individuals. New financial technologies can thus help individuals to access alternative funding sources and other specialised services that support their saving and consumption behaviours. Fi</w:t>
            </w:r>
            <w:r>
              <w:rPr>
                <w:noProof/>
              </w:rPr>
              <w:t>nTech has the potential of bringing benefits, including cost reductions as well as faster and seamless provision of different financial services.</w:t>
            </w:r>
          </w:p>
          <w:p w:rsidR="00083C3F" w:rsidRDefault="00E1215B">
            <w:pPr>
              <w:spacing w:before="200"/>
              <w:rPr>
                <w:noProof/>
              </w:rPr>
            </w:pPr>
            <w:r>
              <w:rPr>
                <w:noProof/>
              </w:rPr>
              <w:t>Several recent consultations and actions launched in the context of the CMU or the Green Paper on retail finan</w:t>
            </w:r>
            <w:r>
              <w:rPr>
                <w:noProof/>
              </w:rPr>
              <w:t>cial services have covered questions how to best accompany the digital transformation of finance. In parallel, the Call for Evidence has highlighted elements of EU regulation that may not yet be conducive to technological development. This has led to a new</w:t>
            </w:r>
            <w:r>
              <w:rPr>
                <w:noProof/>
              </w:rPr>
              <w:t xml:space="preserve"> consultation and workstream specifically focused on FinTech which aims to address potential barriers for new technologies while addressing risks that may potentially arise in their adoption.</w:t>
            </w:r>
          </w:p>
        </w:tc>
      </w:tr>
    </w:tbl>
    <w:p w:rsidR="00083C3F" w:rsidRDefault="00E1215B">
      <w:pPr>
        <w:pStyle w:val="Heading4"/>
        <w:rPr>
          <w:noProof/>
        </w:rPr>
      </w:pPr>
      <w:r>
        <w:rPr>
          <w:noProof/>
        </w:rPr>
        <w:t>Lack of financial literacy</w:t>
      </w:r>
    </w:p>
    <w:p w:rsidR="00083C3F" w:rsidRDefault="00E1215B">
      <w:pPr>
        <w:spacing w:before="200"/>
        <w:rPr>
          <w:rFonts w:cstheme="minorHAnsi"/>
          <w:noProof/>
        </w:rPr>
      </w:pPr>
      <w:r>
        <w:rPr>
          <w:rFonts w:cstheme="minorHAnsi"/>
          <w:noProof/>
        </w:rPr>
        <w:t>Financial literacy has a positive effect on many aspects of an individual's economic life, including the way he/she participates in financial markets, deals with financial information and relates to financial intermediaries. For instance, financial literac</w:t>
      </w:r>
      <w:r>
        <w:rPr>
          <w:rFonts w:cstheme="minorHAnsi"/>
          <w:noProof/>
        </w:rPr>
        <w:t xml:space="preserve">y results in higher levels of wealth accumulation </w:t>
      </w:r>
      <w:r>
        <w:rPr>
          <w:rFonts w:cstheme="minorHAnsi"/>
          <w:noProof/>
        </w:rPr>
        <w:fldChar w:fldCharType="begin"/>
      </w:r>
      <w:r>
        <w:rPr>
          <w:rFonts w:cstheme="minorHAnsi"/>
          <w:noProof/>
        </w:rPr>
        <w:instrText xml:space="preserve"> ADDIN EN.CITE &lt;EndNote&gt;&lt;Cite&gt;&lt;Author&gt;Van Rooij&lt;/Author&gt;&lt;Year&gt;2012&lt;/Year&gt;&lt;RecNum&gt;80&lt;/RecNum&gt;&lt;DisplayText&gt;(Van Rooij, Lusardi, &amp;amp; Alessie, 2012)&lt;/DisplayText&gt;&lt;record&gt;&lt;rec-number&gt;80&lt;/rec-number&gt;&lt;foreign-ke</w:instrText>
      </w:r>
      <w:r>
        <w:rPr>
          <w:rFonts w:cstheme="minorHAnsi"/>
          <w:noProof/>
        </w:rPr>
        <w:instrText>ys&gt;&lt;key app="EN" db-id="5zxafretjwa2dce5e52pra2dzfrsrsf05zps" timestamp="1395907742"&gt;80&lt;/key&gt;&lt;/foreign-keys&gt;&lt;ref-type name="Journal Article"&gt;17&lt;/ref-type&gt;&lt;contributors&gt;&lt;authors&gt;&lt;author&gt;Van Rooij, Maarten CJ&lt;/author&gt;&lt;author&gt;Lusardi, Annamaria&lt;/author&gt;&lt;autho</w:instrText>
      </w:r>
      <w:r>
        <w:rPr>
          <w:rFonts w:cstheme="minorHAnsi"/>
          <w:noProof/>
        </w:rPr>
        <w:instrText>r&gt;Alessie, Rob&lt;/author&gt;&lt;/authors&gt;&lt;/contributors&gt;&lt;titles&gt;&lt;title&gt;Financial Literacy, Retirement Planning and Household Wealth&lt;/title&gt;&lt;secondary-title&gt;The Economic Journal&lt;/secondary-title&gt;&lt;/titles&gt;&lt;periodical&gt;&lt;full-title&gt;The Economic Journal&lt;/full-title&gt;&lt;/pe</w:instrText>
      </w:r>
      <w:r>
        <w:rPr>
          <w:rFonts w:cstheme="minorHAnsi"/>
          <w:noProof/>
        </w:rPr>
        <w:instrText>riodical&gt;&lt;pages&gt;449-478&lt;/pages&gt;&lt;volume&gt;122&lt;/volume&gt;&lt;number&gt;560&lt;/number&gt;&lt;dates&gt;&lt;year&gt;2012&lt;/year&gt;&lt;/dates&gt;&lt;isbn&gt;1468-0297&lt;/isbn&gt;&lt;urls&gt;&lt;/urls&gt;&lt;/record&gt;&lt;/Cite&gt;&lt;/EndNote&gt;</w:instrText>
      </w:r>
      <w:r>
        <w:rPr>
          <w:rFonts w:cstheme="minorHAnsi"/>
          <w:noProof/>
        </w:rPr>
        <w:fldChar w:fldCharType="separate"/>
      </w:r>
      <w:r>
        <w:rPr>
          <w:rFonts w:cstheme="minorHAnsi"/>
          <w:noProof/>
        </w:rPr>
        <w:t>(Van Rooij, Lusardi, &amp; Alessie, 2012)</w:t>
      </w:r>
      <w:r>
        <w:rPr>
          <w:rFonts w:cstheme="minorHAnsi"/>
          <w:noProof/>
        </w:rPr>
        <w:fldChar w:fldCharType="end"/>
      </w:r>
      <w:r>
        <w:rPr>
          <w:rFonts w:cstheme="minorHAnsi"/>
          <w:noProof/>
        </w:rPr>
        <w:t xml:space="preserve">, greater preparedness for retirement </w:t>
      </w:r>
      <w:r>
        <w:rPr>
          <w:rFonts w:cstheme="minorHAnsi"/>
          <w:noProof/>
        </w:rPr>
        <w:fldChar w:fldCharType="begin">
          <w:fldData xml:space="preserve">PEVuZE5vdGU+PENpdGU+PEF1dGhvcj5MdXNhcmRpPC9BdXRob3I+PFllYXI+MjAwOTwvWWVhcj48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</w:fldData>
        </w:fldChar>
      </w:r>
      <w:r>
        <w:rPr>
          <w:rFonts w:cstheme="minorHAnsi"/>
          <w:noProof/>
        </w:rPr>
        <w:instrText xml:space="preserve"> ADDIN EN.CITE</w:instrText>
      </w:r>
      <w:r>
        <w:rPr>
          <w:rFonts w:cstheme="minorHAnsi"/>
          <w:noProof/>
        </w:rPr>
        <w:instrText xml:space="preserve"> </w:instrText>
      </w:r>
      <w:r>
        <w:rPr>
          <w:rFonts w:cstheme="minorHAnsi"/>
          <w:noProof/>
        </w:rPr>
        <w:fldChar w:fldCharType="begin">
          <w:fldData xml:space="preserve">PEVuZE5vdGU+PENpdGU+PEF1dGhvcj5MdXNhcmRpPC9BdXRob3I+PFllYXI+MjAwOTwvWWVhcj48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</w:fldData>
        </w:fldChar>
      </w:r>
      <w:r>
        <w:rPr>
          <w:rFonts w:cstheme="minorHAnsi"/>
          <w:noProof/>
        </w:rPr>
        <w:instrText xml:space="preserve"> ADDIN EN.CITE.DATA </w:instrText>
      </w:r>
      <w:r>
        <w:rPr>
          <w:rFonts w:cstheme="minorHAnsi"/>
          <w:noProof/>
        </w:rPr>
      </w:r>
      <w:r>
        <w:rPr>
          <w:rFonts w:cstheme="minorHAnsi"/>
          <w:noProof/>
        </w:rPr>
        <w:fldChar w:fldCharType="end"/>
      </w:r>
      <w:r>
        <w:rPr>
          <w:rFonts w:cstheme="minorHAnsi"/>
          <w:noProof/>
        </w:rPr>
      </w:r>
      <w:r>
        <w:rPr>
          <w:rFonts w:cstheme="minorHAnsi"/>
          <w:noProof/>
        </w:rPr>
        <w:fldChar w:fldCharType="separate"/>
      </w:r>
      <w:r>
        <w:rPr>
          <w:rFonts w:cstheme="minorHAnsi"/>
          <w:noProof/>
        </w:rPr>
        <w:t>(Lusardi &amp; Mitchell, 2009, 2011; Van Rooij et al., 2012)</w:t>
      </w:r>
      <w:r>
        <w:rPr>
          <w:rFonts w:cstheme="minorHAnsi"/>
          <w:noProof/>
        </w:rPr>
        <w:fldChar w:fldCharType="end"/>
      </w:r>
      <w:r>
        <w:rPr>
          <w:rFonts w:cstheme="minorHAnsi"/>
          <w:noProof/>
        </w:rPr>
        <w:t xml:space="preserve">, better debt management (i.e. lower levels of debt and better loan conditions) </w:t>
      </w:r>
      <w:r>
        <w:rPr>
          <w:rFonts w:cstheme="minorHAnsi"/>
          <w:noProof/>
        </w:rPr>
        <w:fldChar w:fldCharType="begin">
          <w:fldData xml:space="preserve">PEVuZE5vdGU+PENpdGU+PEF1dGhvcj5DYW1wYmVsbDwvQXV0aG9yPjxZZWFyPjIwMDY8L1llYXI+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</w:fldData>
        </w:fldChar>
      </w:r>
      <w:r>
        <w:rPr>
          <w:rFonts w:cstheme="minorHAnsi"/>
          <w:noProof/>
        </w:rPr>
        <w:instrText xml:space="preserve"> ADDIN EN.CITE </w:instrText>
      </w:r>
      <w:r>
        <w:rPr>
          <w:rFonts w:cstheme="minorHAnsi"/>
          <w:noProof/>
        </w:rPr>
        <w:fldChar w:fldCharType="begin">
          <w:fldData xml:space="preserve">PEVuZE5vdGU+PENpdGU+PEF1dGhvcj5DYW1wYmVsbDwvQXV0aG9yPjxZZWFyPjIwMDY8L1llYXI+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</w:fldData>
        </w:fldChar>
      </w:r>
      <w:r>
        <w:rPr>
          <w:rFonts w:cstheme="minorHAnsi"/>
          <w:noProof/>
        </w:rPr>
        <w:instrText xml:space="preserve"> ADDIN EN.CITE.DAT</w:instrText>
      </w:r>
      <w:r>
        <w:rPr>
          <w:rFonts w:cstheme="minorHAnsi"/>
          <w:noProof/>
        </w:rPr>
        <w:instrText xml:space="preserve">A </w:instrText>
      </w:r>
      <w:r>
        <w:rPr>
          <w:rFonts w:cstheme="minorHAnsi"/>
          <w:noProof/>
        </w:rPr>
      </w:r>
      <w:r>
        <w:rPr>
          <w:rFonts w:cstheme="minorHAnsi"/>
          <w:noProof/>
        </w:rPr>
        <w:fldChar w:fldCharType="end"/>
      </w:r>
      <w:r>
        <w:rPr>
          <w:rFonts w:cstheme="minorHAnsi"/>
          <w:noProof/>
        </w:rPr>
      </w:r>
      <w:r>
        <w:rPr>
          <w:rFonts w:cstheme="minorHAnsi"/>
          <w:noProof/>
        </w:rPr>
        <w:fldChar w:fldCharType="separate"/>
      </w:r>
      <w:r>
        <w:rPr>
          <w:rFonts w:cstheme="minorHAnsi"/>
          <w:noProof/>
        </w:rPr>
        <w:t>(Campbell,</w:t>
      </w:r>
      <w:r>
        <w:rPr>
          <w:rFonts w:cstheme="minorHAnsi"/>
          <w:noProof/>
        </w:rPr>
        <w:t xml:space="preserve"> 2006; Huston, 2012; Lusardi &amp; Scheresberg, 2013; Lusardi &amp; Tufano, 2009; Stango &amp; Zinman, 2009)</w:t>
      </w:r>
      <w:r>
        <w:rPr>
          <w:rFonts w:cstheme="minorHAnsi"/>
          <w:noProof/>
        </w:rPr>
        <w:fldChar w:fldCharType="end"/>
      </w:r>
      <w:r>
        <w:rPr>
          <w:rFonts w:cstheme="minorHAnsi"/>
          <w:noProof/>
        </w:rPr>
        <w:t xml:space="preserve">, and more appropriate risk diversification in case of investment </w:t>
      </w:r>
      <w:r>
        <w:rPr>
          <w:rFonts w:cstheme="minorHAnsi"/>
          <w:noProof/>
        </w:rPr>
        <w:fldChar w:fldCharType="begin"/>
      </w:r>
      <w:r>
        <w:rPr>
          <w:rFonts w:cstheme="minorHAnsi"/>
          <w:noProof/>
        </w:rPr>
        <w:instrText xml:space="preserve"> ADDIN EN.CITE &lt;EndNote&gt;&lt;Cite&gt;&lt;Author&gt;Abreu&lt;/Author&gt;&lt;Year&gt;2010&lt;/Year&gt;&lt;RecNum&gt;2547&lt;/RecNum&gt;&lt;DisplayText&gt;(</w:instrText>
      </w:r>
      <w:r>
        <w:rPr>
          <w:rFonts w:cstheme="minorHAnsi"/>
          <w:noProof/>
        </w:rPr>
        <w:instrText>Abreu &amp;amp; Mendes, 2010)&lt;/DisplayText&gt;&lt;record&gt;&lt;rec-number&gt;2547&lt;/rec-number&gt;&lt;foreign-keys&gt;&lt;key app="EN" db-id="5zxafretjwa2dce5e52pra2dzfrsrsf05zps" timestamp="1461571572"&gt;2547&lt;/key&gt;&lt;/foreign-keys&gt;&lt;ref-type name="Journal Article"&gt;17&lt;/ref-type&gt;&lt;contributors</w:instrText>
      </w:r>
      <w:r>
        <w:rPr>
          <w:rFonts w:cstheme="minorHAnsi"/>
          <w:noProof/>
        </w:rPr>
        <w:instrText>&gt;&lt;authors&gt;&lt;author&gt;Abreu, Margarida&lt;/author&gt;&lt;author&gt;Mendes, Victor&lt;/author&gt;&lt;/authors&gt;&lt;/contributors&gt;&lt;titles&gt;&lt;title&gt;Financial literacy and portfolio diversification&lt;/title&gt;&lt;secondary-title&gt;Quantitative Finance&lt;/secondary-title&gt;&lt;/titles&gt;&lt;periodical&gt;&lt;full-titl</w:instrText>
      </w:r>
      <w:r>
        <w:rPr>
          <w:rFonts w:cstheme="minorHAnsi"/>
          <w:noProof/>
        </w:rPr>
        <w:instrText>e&gt;Quantitative Finance&lt;/full-title&gt;&lt;/periodical&gt;&lt;pages&gt;515-528&lt;/pages&gt;&lt;volume&gt;10&lt;/volume&gt;&lt;number&gt;5&lt;/number&gt;&lt;dates&gt;&lt;year&gt;2010&lt;/year&gt;&lt;/dates&gt;&lt;isbn&gt;1469-7688&lt;/isbn&gt;&lt;urls&gt;&lt;/urls&gt;&lt;/record&gt;&lt;/Cite&gt;&lt;/EndNote&gt;</w:instrText>
      </w:r>
      <w:r>
        <w:rPr>
          <w:rFonts w:cstheme="minorHAnsi"/>
          <w:noProof/>
        </w:rPr>
        <w:fldChar w:fldCharType="separate"/>
      </w:r>
      <w:r>
        <w:rPr>
          <w:rFonts w:cstheme="minorHAnsi"/>
          <w:noProof/>
        </w:rPr>
        <w:t>(Abreu &amp; Mendes, 2010)</w:t>
      </w:r>
      <w:r>
        <w:rPr>
          <w:rFonts w:cstheme="minorHAnsi"/>
          <w:noProof/>
        </w:rPr>
        <w:fldChar w:fldCharType="end"/>
      </w:r>
      <w:r>
        <w:rPr>
          <w:rFonts w:cstheme="minorHAnsi"/>
          <w:noProof/>
        </w:rPr>
        <w:t>. More financially literate con</w:t>
      </w:r>
      <w:r>
        <w:rPr>
          <w:rFonts w:cstheme="minorHAnsi"/>
          <w:noProof/>
        </w:rPr>
        <w:t>sumers are also beneficial for the society at large, but drivers of financial literacy are still largely unexplored.</w:t>
      </w:r>
      <w:r>
        <w:rPr>
          <w:rStyle w:val="FootnoteReference"/>
          <w:rFonts w:cstheme="minorHAnsi"/>
          <w:noProof/>
        </w:rPr>
        <w:footnoteReference w:id="73"/>
      </w:r>
      <w:r>
        <w:rPr>
          <w:rFonts w:cstheme="minorHAnsi"/>
          <w:noProof/>
        </w:rPr>
        <w:t xml:space="preserve"> </w:t>
      </w:r>
    </w:p>
    <w:p w:rsidR="00083C3F" w:rsidRDefault="00E1215B">
      <w:pPr>
        <w:spacing w:before="200"/>
        <w:rPr>
          <w:rFonts w:cstheme="minorHAnsi"/>
          <w:noProof/>
        </w:rPr>
      </w:pPr>
      <w:r>
        <w:rPr>
          <w:rFonts w:cstheme="minorHAnsi"/>
          <w:noProof/>
        </w:rPr>
        <w:t>Competition and innovation in markets stimulates and is stimulated by the presence of financially literate consumers that can take well-i</w:t>
      </w:r>
      <w:r>
        <w:rPr>
          <w:rFonts w:cstheme="minorHAnsi"/>
          <w:noProof/>
        </w:rPr>
        <w:t>nformed decisions. In addition, the more rational and predictable financial behavior of financially literate people may lead to a more efficient financial sector and less costly financial regulation (OECD 2012). Faced with a financial crisis, financially l</w:t>
      </w:r>
      <w:r>
        <w:rPr>
          <w:rFonts w:cstheme="minorHAnsi"/>
          <w:noProof/>
        </w:rPr>
        <w:t>iterate people are also better equipped to deal with income shocks thereby contributing to financial stability (Klapper, Lusardi &amp; Panos 2013; OECD 2012).</w:t>
      </w:r>
    </w:p>
    <w:p w:rsidR="00083C3F" w:rsidRDefault="00E1215B">
      <w:pPr>
        <w:rPr>
          <w:rFonts w:cstheme="minorHAnsi"/>
          <w:noProof/>
        </w:rPr>
      </w:pPr>
      <w:r>
        <w:rPr>
          <w:noProof/>
        </w:rPr>
        <w:t>In spite of these benefits, there is overwhelming evidence that financial illiteracy is widespread (B</w:t>
      </w:r>
      <w:r>
        <w:rPr>
          <w:noProof/>
        </w:rPr>
        <w:t>ernheim 1998; Lusardi &amp; Mitchell 2011; OECD 2013).</w:t>
      </w:r>
      <w:r>
        <w:rPr>
          <w:rFonts w:cstheme="minorHAnsi"/>
          <w:noProof/>
        </w:rPr>
        <w:t xml:space="preserve"> A recent global survey taken in 144 countries indicates that only 33 percent of the population above the age of 15 can be considered to be financially literate. In Europe, 48 percent of adults are financia</w:t>
      </w:r>
      <w:r>
        <w:rPr>
          <w:rFonts w:cstheme="minorHAnsi"/>
          <w:noProof/>
        </w:rPr>
        <w:t>lly illiterate.</w:t>
      </w:r>
      <w:r>
        <w:rPr>
          <w:rStyle w:val="FootnoteReference"/>
          <w:rFonts w:cstheme="minorHAnsi"/>
          <w:noProof/>
        </w:rPr>
        <w:footnoteReference w:id="74"/>
      </w:r>
      <w:r>
        <w:rPr>
          <w:rFonts w:cstheme="minorHAnsi"/>
          <w:noProof/>
        </w:rPr>
        <w:t xml:space="preserve"> This lack of financial literacy directly impacts investor participation in the stock market (</w:t>
      </w:r>
      <w:r>
        <w:rPr>
          <w:noProof/>
        </w:rPr>
        <w:t xml:space="preserve">Van Rooij, Lusardi &amp; Alessie 2011; </w:t>
      </w:r>
      <w:r>
        <w:rPr>
          <w:rFonts w:cstheme="minorHAnsi"/>
          <w:noProof/>
        </w:rPr>
        <w:t xml:space="preserve">Abreu &amp; Mendes 2010) </w:t>
      </w:r>
      <w:r>
        <w:rPr>
          <w:noProof/>
        </w:rPr>
        <w:t>via reducing risk aversion to capital market investments, increasing savings rate and port</w:t>
      </w:r>
      <w:r>
        <w:rPr>
          <w:noProof/>
        </w:rPr>
        <w:t>folio selection</w:t>
      </w:r>
      <w:r>
        <w:rPr>
          <w:rFonts w:cstheme="minorHAnsi"/>
          <w:noProof/>
        </w:rPr>
        <w:t xml:space="preserve">. Financially literate people are disproportionately more likely to participate in the stock market and to be better prepared for retirement. </w:t>
      </w:r>
      <w:r>
        <w:rPr>
          <w:noProof/>
        </w:rPr>
        <w:t>For instance, they hold more diversified investment portfolios (</w:t>
      </w:r>
      <w:r>
        <w:rPr>
          <w:noProof/>
          <w:color w:val="000000" w:themeColor="text1"/>
        </w:rPr>
        <w:t>Gaudecker 2015)</w:t>
      </w:r>
      <w:r>
        <w:rPr>
          <w:noProof/>
        </w:rPr>
        <w:t>. In addition, finan</w:t>
      </w:r>
      <w:r>
        <w:rPr>
          <w:noProof/>
        </w:rPr>
        <w:t>cial literacy may help investors to process financial information. The latter is often complex and investors are often confronted with a significant amount of investment alternatives. As a result, their choice might be subject to framing and to problems re</w:t>
      </w:r>
      <w:r>
        <w:rPr>
          <w:noProof/>
        </w:rPr>
        <w:t xml:space="preserve">lated to information overload. Financial literacy reduces these effects. </w:t>
      </w:r>
      <w:r>
        <w:rPr>
          <w:rFonts w:cstheme="minorHAnsi"/>
          <w:noProof/>
          <w:color w:val="000000" w:themeColor="text1"/>
        </w:rPr>
        <w:fldChar w:fldCharType="begin"/>
      </w:r>
      <w:r>
        <w:rPr>
          <w:rFonts w:cstheme="minorHAnsi"/>
          <w:noProof/>
        </w:rPr>
        <w:instrText xml:space="preserve"> REF _Ref481773444 \h </w:instrText>
      </w:r>
      <w:r>
        <w:rPr>
          <w:rFonts w:cstheme="minorHAnsi"/>
          <w:noProof/>
          <w:color w:val="000000" w:themeColor="text1"/>
        </w:rPr>
      </w:r>
      <w:r>
        <w:rPr>
          <w:rFonts w:cstheme="minorHAnsi"/>
          <w:noProof/>
          <w:color w:val="000000" w:themeColor="text1"/>
        </w:rPr>
        <w:fldChar w:fldCharType="separate"/>
      </w:r>
      <w:r>
        <w:rPr>
          <w:noProof/>
        </w:rPr>
        <w:t>Figure 6</w:t>
      </w:r>
      <w:r>
        <w:rPr>
          <w:rFonts w:cstheme="minorHAnsi"/>
          <w:noProof/>
          <w:color w:val="000000" w:themeColor="text1"/>
        </w:rPr>
        <w:fldChar w:fldCharType="end"/>
      </w:r>
      <w:r>
        <w:rPr>
          <w:rFonts w:cstheme="minorHAnsi"/>
          <w:noProof/>
          <w:color w:val="000000" w:themeColor="text1"/>
        </w:rPr>
        <w:t xml:space="preserve">.6 shows </w:t>
      </w:r>
      <w:r>
        <w:rPr>
          <w:rFonts w:cstheme="minorHAnsi"/>
          <w:noProof/>
        </w:rPr>
        <w:t>the relationship between financial literacy and stock/debt market capitalisat</w:t>
      </w:r>
      <w:r>
        <w:rPr>
          <w:rFonts w:cstheme="minorHAnsi"/>
          <w:noProof/>
        </w:rPr>
        <w:t xml:space="preserve">ion across EU Member States.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83C3F">
        <w:tc>
          <w:tcPr>
            <w:tcW w:w="9288" w:type="dxa"/>
            <w:gridSpan w:val="2"/>
          </w:tcPr>
          <w:p w:rsidR="00083C3F" w:rsidRDefault="00E1215B">
            <w:pPr>
              <w:pStyle w:val="Caption"/>
              <w:jc w:val="center"/>
            </w:pPr>
            <w:bookmarkStart w:id="246" w:name="_Ref481773444"/>
            <w:r>
              <w:t xml:space="preserve">Figure </w:t>
            </w:r>
            <w:r>
              <w:fldChar w:fldCharType="begin"/>
            </w:r>
            <w:r>
              <w:instrText xml:space="preserve"> STYLEREF 1 \s </w:instrText>
            </w:r>
            <w:r>
              <w:fldChar w:fldCharType="separate"/>
            </w:r>
            <w:r>
              <w:t>6</w:t>
            </w:r>
            <w:r>
              <w:fldChar w:fldCharType="end"/>
            </w:r>
            <w:bookmarkEnd w:id="246"/>
            <w:r>
              <w:t>.6 Financial literacy vs. stock and debt market capitalisation across Member States (excl. LU &amp; IE)</w:t>
            </w:r>
          </w:p>
        </w:tc>
      </w:tr>
      <w:tr w:rsidR="00083C3F">
        <w:tc>
          <w:tcPr>
            <w:tcW w:w="4644" w:type="dxa"/>
          </w:tcPr>
          <w:p w:rsidR="00083C3F" w:rsidRDefault="00E1215B">
            <w:pPr>
              <w:pStyle w:val="Figure"/>
              <w:rPr>
                <w:noProof/>
              </w:rPr>
            </w:pPr>
            <w:r>
              <w:rPr>
                <w:noProof/>
                <w:lang w:eastAsia="en-GB"/>
              </w:rPr>
              <w:drawing>
                <wp:inline distT="0" distB="0" distL="0" distR="0" wp14:anchorId="6DB1EB2D" wp14:editId="5D980293">
                  <wp:extent cx="2682815" cy="2320283"/>
                  <wp:effectExtent l="0" t="0" r="3810" b="4445"/>
                  <wp:docPr id="5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08770" cy="2342731"/>
                          </a:xfrm>
                          <a:prstGeom prst="rect">
                            <a:avLst/>
                          </a:prstGeom>
                          <a:noFill/>
                        </pic:spPr>
                      </pic:pic>
                    </a:graphicData>
                  </a:graphic>
                </wp:inline>
              </w:drawing>
            </w:r>
          </w:p>
        </w:tc>
        <w:tc>
          <w:tcPr>
            <w:tcW w:w="4644" w:type="dxa"/>
          </w:tcPr>
          <w:p w:rsidR="00083C3F" w:rsidRDefault="00E1215B">
            <w:pPr>
              <w:pStyle w:val="Figure"/>
              <w:rPr>
                <w:noProof/>
              </w:rPr>
            </w:pPr>
            <w:r>
              <w:rPr>
                <w:noProof/>
                <w:lang w:eastAsia="en-GB"/>
              </w:rPr>
              <w:drawing>
                <wp:inline distT="0" distB="0" distL="0" distR="0" wp14:anchorId="2BA7AA87" wp14:editId="5A45D0D0">
                  <wp:extent cx="2700068" cy="2344933"/>
                  <wp:effectExtent l="0" t="0" r="5080" b="0"/>
                  <wp:docPr id="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61487" cy="2398274"/>
                          </a:xfrm>
                          <a:prstGeom prst="rect">
                            <a:avLst/>
                          </a:prstGeom>
                          <a:noFill/>
                        </pic:spPr>
                      </pic:pic>
                    </a:graphicData>
                  </a:graphic>
                </wp:inline>
              </w:drawing>
            </w:r>
          </w:p>
        </w:tc>
      </w:tr>
      <w:tr w:rsidR="00083C3F">
        <w:trPr>
          <w:trHeight w:val="238"/>
        </w:trPr>
        <w:tc>
          <w:tcPr>
            <w:tcW w:w="9288" w:type="dxa"/>
            <w:gridSpan w:val="2"/>
          </w:tcPr>
          <w:p w:rsidR="00083C3F" w:rsidRDefault="00E1215B">
            <w:pPr>
              <w:pStyle w:val="Source"/>
              <w:rPr>
                <w:noProof/>
              </w:rPr>
            </w:pPr>
            <w:r>
              <w:rPr>
                <w:noProof/>
              </w:rPr>
              <w:t>Source – 2016 ECMI Statistical Package, S&amp;P Global Financial Literacy Survey</w:t>
            </w:r>
          </w:p>
        </w:tc>
      </w:tr>
    </w:tbl>
    <w:p w:rsidR="00083C3F" w:rsidRDefault="00E1215B">
      <w:pPr>
        <w:spacing w:before="200"/>
        <w:rPr>
          <w:noProof/>
        </w:rPr>
      </w:pPr>
      <w:r>
        <w:rPr>
          <w:rFonts w:cstheme="minorHAnsi"/>
          <w:noProof/>
        </w:rPr>
        <w:t xml:space="preserve">The graphs </w:t>
      </w:r>
      <w:r>
        <w:rPr>
          <w:rFonts w:cstheme="minorHAnsi"/>
          <w:noProof/>
        </w:rPr>
        <w:t>broadly confirm the positive relationship between market capitalisation and financial literacy. A more sophisticated (and perhaps competitive) financial system tends to have a higher share of financially literate investors. Great care should be taken thoug</w:t>
      </w:r>
      <w:r>
        <w:rPr>
          <w:rFonts w:cstheme="minorHAnsi"/>
          <w:noProof/>
        </w:rPr>
        <w:t>h when analysing the impact of financial literacy to avoid any direction in the causal relationship. Causality probably goes in both directions, as more developed and competitive capital markets foster transparency and so interest in improving financial li</w:t>
      </w:r>
      <w:r>
        <w:rPr>
          <w:rFonts w:cstheme="minorHAnsi"/>
          <w:noProof/>
        </w:rPr>
        <w:t xml:space="preserve">teracy. In addition, market capitalisation does not take into account the participations rates of domestic versus foreign investors. It is thus uncertain to what extent the financial literacy in a country is responsible for a higher market capitalisation, </w:t>
      </w:r>
      <w:r>
        <w:rPr>
          <w:rFonts w:cstheme="minorHAnsi"/>
          <w:noProof/>
        </w:rPr>
        <w:t>as a certain share of investment inflows will be due to cross-border investments. For this reason, Luxembourg and Ireland are not included in the analysis, as their market capitalisation is strongly driven by cross-border investments and listings. Furtherm</w:t>
      </w:r>
      <w:r>
        <w:rPr>
          <w:rFonts w:cstheme="minorHAnsi"/>
          <w:noProof/>
        </w:rPr>
        <w:t>ore, m</w:t>
      </w:r>
      <w:r>
        <w:rPr>
          <w:noProof/>
        </w:rPr>
        <w:t>easurement of financial literacy are very sensitive to the wording of survey questions (</w:t>
      </w:r>
      <w:r>
        <w:rPr>
          <w:noProof/>
          <w:color w:val="000000" w:themeColor="text1"/>
        </w:rPr>
        <w:t>Van Rooij, Lusardi, Alessie 2007)</w:t>
      </w:r>
      <w:r>
        <w:rPr>
          <w:rStyle w:val="FootnoteReference"/>
          <w:noProof/>
        </w:rPr>
        <w:t xml:space="preserve"> </w:t>
      </w:r>
      <w:r>
        <w:rPr>
          <w:noProof/>
        </w:rPr>
        <w:t xml:space="preserve">and will be also impacted by the population of the survey. </w:t>
      </w:r>
    </w:p>
    <w:p w:rsidR="00083C3F" w:rsidRDefault="00E1215B">
      <w:pPr>
        <w:rPr>
          <w:noProof/>
        </w:rPr>
      </w:pPr>
      <w:r>
        <w:rPr>
          <w:noProof/>
        </w:rPr>
        <w:t>In sum, financial literacy may positively affect the long term parti</w:t>
      </w:r>
      <w:r>
        <w:rPr>
          <w:noProof/>
        </w:rPr>
        <w:t>cipation rate of investors in financial markets, while, for individual investors, financial literacy will contribute to more sound investment decisions and adequate processing of financial information.</w:t>
      </w:r>
    </w:p>
    <w:p w:rsidR="00083C3F" w:rsidRDefault="00E1215B">
      <w:pPr>
        <w:pStyle w:val="Heading4"/>
        <w:rPr>
          <w:noProof/>
        </w:rPr>
      </w:pPr>
      <w:r>
        <w:rPr>
          <w:noProof/>
        </w:rPr>
        <w:t>Trust and financial advice</w:t>
      </w:r>
    </w:p>
    <w:p w:rsidR="00083C3F" w:rsidRDefault="00E1215B">
      <w:pPr>
        <w:spacing w:before="200"/>
        <w:rPr>
          <w:noProof/>
        </w:rPr>
      </w:pPr>
      <w:r>
        <w:rPr>
          <w:noProof/>
        </w:rPr>
        <w:t xml:space="preserve">As mentioned above, retail </w:t>
      </w:r>
      <w:r>
        <w:rPr>
          <w:noProof/>
        </w:rPr>
        <w:t>investors are faced with complex investment decisions and they often lack the financial knowledge or do not possess all relevant information to make sensible decisions. Investors could try to improve their financial decision-making by increasing their fina</w:t>
      </w:r>
      <w:r>
        <w:rPr>
          <w:noProof/>
        </w:rPr>
        <w:t>ncial literacy or by seeking financial advice. Regulation and the provision of default options could simplify the decision framework as well. Most empirical studies support the notion that financial literacy and financial advice complement each other. In a</w:t>
      </w:r>
      <w:r>
        <w:rPr>
          <w:noProof/>
        </w:rPr>
        <w:t>ny case, the participation of retail investors in financial markets will also depends on their trust in the financial system and on their personalised trust in financial advisers</w:t>
      </w:r>
      <w:r>
        <w:rPr>
          <w:rStyle w:val="FootnoteReference"/>
          <w:noProof/>
        </w:rPr>
        <w:footnoteReference w:id="75"/>
      </w:r>
      <w:r>
        <w:rPr>
          <w:noProof/>
        </w:rPr>
        <w:t>. Regarding aggregate trust, empirical evidence suggests that trust in the fi</w:t>
      </w:r>
      <w:r>
        <w:rPr>
          <w:noProof/>
        </w:rPr>
        <w:t>nancial system has a positive effect on stock market participation (Guiso, Sapienza &amp; Zingales 2008; Pasini &amp; Georgiakis 2009). Global trust in banks and the financial system, however, declined significantly in the aftermath of the financial crisis, althou</w:t>
      </w:r>
      <w:r>
        <w:rPr>
          <w:noProof/>
        </w:rPr>
        <w:t>gh it has been slowly recovering in the recent past (Edelman Trust Barometer 2016).</w:t>
      </w:r>
      <w:r>
        <w:rPr>
          <w:rStyle w:val="FootnoteReference"/>
          <w:noProof/>
        </w:rPr>
        <w:t xml:space="preserve"> </w:t>
      </w:r>
    </w:p>
    <w:p w:rsidR="00083C3F" w:rsidRDefault="00E1215B">
      <w:pPr>
        <w:spacing w:before="200"/>
        <w:rPr>
          <w:noProof/>
        </w:rPr>
      </w:pPr>
      <w:r>
        <w:rPr>
          <w:noProof/>
        </w:rPr>
        <w:t>In contrast with the low levels of global trust, most investors trust their financial adviser, although the extent to which financial advice improves retail investment dec</w:t>
      </w:r>
      <w:r>
        <w:rPr>
          <w:noProof/>
        </w:rPr>
        <w:t>isions has been vigorously questioned (Calcagno, Monticone 2015; Hoechle et al. 2014; Bhattacharya et al. 2012). On the one hand, investment advice and the delegation of portfolio decisions is economically sensible given that it may lead to economies of sc</w:t>
      </w:r>
      <w:r>
        <w:rPr>
          <w:noProof/>
        </w:rPr>
        <w:t>ale in information acquisition and portfolio management. Given the low levels of financial literacy, financial advisers are also likely to be more knowledgeable about investments. On the other hand, investment advice is costly and financial advice is somet</w:t>
      </w:r>
      <w:r>
        <w:rPr>
          <w:noProof/>
        </w:rPr>
        <w:t>imes perceived as being too expensive (Burke &amp; Hung 2015). Retail investors are also confronted with information asymmetries: the quality of the advice cannot be ascertained in advance and the relation between adviser and advisee may be troubled by possibl</w:t>
      </w:r>
      <w:r>
        <w:rPr>
          <w:noProof/>
        </w:rPr>
        <w:t xml:space="preserve">e conflicts of interest. Advice might, for instance, be biased where financial advisers also act as sellers of financial products or where remuneration policies provide an incentive for selling high commission products, independently of the quality of the </w:t>
      </w:r>
      <w:r>
        <w:rPr>
          <w:noProof/>
        </w:rPr>
        <w:t xml:space="preserve">investment product. </w:t>
      </w:r>
    </w:p>
    <w:p w:rsidR="00083C3F" w:rsidRDefault="00E1215B">
      <w:pPr>
        <w:spacing w:before="200"/>
        <w:rPr>
          <w:noProof/>
        </w:rPr>
      </w:pPr>
      <w:r>
        <w:rPr>
          <w:noProof/>
        </w:rPr>
        <w:t>Overall, the market of financial advice seems to be imperfect. Most empirical evidence confirms that financial advice might be skewed, does not attenuate investors' biases and hurts retail investors' investment performance. In addition</w:t>
      </w:r>
      <w:r>
        <w:rPr>
          <w:noProof/>
        </w:rPr>
        <w:t>, there are also demand side factors that contribute to the inefficiency of the market for retail advice. Investors with low levels of financial literacy are less likely to consult a financial adviser (Calcagno and Monticone 2015). Hence, those who could p</w:t>
      </w:r>
      <w:r>
        <w:rPr>
          <w:noProof/>
        </w:rPr>
        <w:t>rofit the most from financial advice rarely rely on it. This phenomenon is reinforced by the fact that advisers give more information to knowledgeable investors, providing an incentive for financially literate investors to consult them. Furthermore, invest</w:t>
      </w:r>
      <w:r>
        <w:rPr>
          <w:noProof/>
        </w:rPr>
        <w:t>ors are reluctant to take free and unbiased advice, which seems to indicate that measures taken to increase the good functioning of the market for financial advice should not only look at market failures on the supply side but should also analyse demand si</w:t>
      </w:r>
      <w:r>
        <w:rPr>
          <w:noProof/>
        </w:rPr>
        <w:t xml:space="preserve">de factors. </w:t>
      </w:r>
    </w:p>
    <w:tbl>
      <w:tblPr>
        <w:tblW w:w="0" w:type="auto"/>
        <w:tblLook w:val="04A0" w:firstRow="1" w:lastRow="0" w:firstColumn="1" w:lastColumn="0" w:noHBand="0" w:noVBand="1"/>
      </w:tblPr>
      <w:tblGrid>
        <w:gridCol w:w="9288"/>
      </w:tblGrid>
      <w:tr w:rsidR="00083C3F">
        <w:tc>
          <w:tcPr>
            <w:tcW w:w="9288" w:type="dxa"/>
            <w:tcBorders>
              <w:top w:val="nil"/>
              <w:left w:val="nil"/>
              <w:bottom w:val="nil"/>
              <w:right w:val="nil"/>
            </w:tcBorders>
            <w:shd w:val="clear" w:color="auto" w:fill="548DD4" w:themeFill="text2" w:themeFillTint="99"/>
          </w:tcPr>
          <w:p w:rsidR="00083C3F" w:rsidRDefault="00E1215B">
            <w:pPr>
              <w:pStyle w:val="Box"/>
              <w:spacing w:before="0" w:after="0"/>
              <w:rPr>
                <w:noProof/>
              </w:rPr>
            </w:pPr>
            <w:r>
              <w:rPr>
                <w:noProof/>
              </w:rPr>
              <w:t>Options to foster a more 'equity-oriented' investment culture</w:t>
            </w:r>
          </w:p>
        </w:tc>
      </w:tr>
      <w:tr w:rsidR="00083C3F">
        <w:tc>
          <w:tcPr>
            <w:tcW w:w="9288" w:type="dxa"/>
            <w:tcBorders>
              <w:top w:val="nil"/>
              <w:left w:val="nil"/>
              <w:bottom w:val="nil"/>
              <w:right w:val="nil"/>
            </w:tcBorders>
            <w:shd w:val="clear" w:color="auto" w:fill="B8CCE4" w:themeFill="accent1" w:themeFillTint="66"/>
          </w:tcPr>
          <w:p w:rsidR="00083C3F" w:rsidRDefault="00E1215B">
            <w:pPr>
              <w:pStyle w:val="Heading4"/>
              <w:keepNext w:val="0"/>
              <w:keepLines w:val="0"/>
              <w:rPr>
                <w:noProof/>
              </w:rPr>
            </w:pPr>
            <w:r>
              <w:rPr>
                <w:noProof/>
              </w:rPr>
              <w:t>Investment Savings Account</w:t>
            </w:r>
          </w:p>
          <w:p w:rsidR="00083C3F" w:rsidRDefault="00E1215B">
            <w:pPr>
              <w:rPr>
                <w:noProof/>
              </w:rPr>
            </w:pPr>
            <w:r>
              <w:rPr>
                <w:noProof/>
              </w:rPr>
              <w:t xml:space="preserve">An Investment Savings Account is a new form of account offered to retail investors in an increasing number of Member States which aims to facilitate </w:t>
            </w:r>
            <w:r>
              <w:rPr>
                <w:noProof/>
              </w:rPr>
              <w:t>trading in financial instruments. Unlike an ordinary securities account, you pay no capital gains tax on your transactions. Capital gains tax has been replaced by an annual standardised tax and, as with an endowment, you do not report your purchases or sal</w:t>
            </w:r>
            <w:r>
              <w:rPr>
                <w:noProof/>
              </w:rPr>
              <w:t>es in your tax return.</w:t>
            </w:r>
          </w:p>
          <w:p w:rsidR="00083C3F" w:rsidRDefault="00E1215B">
            <w:pPr>
              <w:rPr>
                <w:noProof/>
              </w:rPr>
            </w:pPr>
            <w:r>
              <w:rPr>
                <w:noProof/>
              </w:rPr>
              <w:t>Unlike an endowment, you own the assets in an Investment Savings Account, which means that you have the right to attend and vote at shareholder meetings. Furthermore, you can offset capital losses in your tax return against standardi</w:t>
            </w:r>
            <w:r>
              <w:rPr>
                <w:noProof/>
              </w:rPr>
              <w:t>sed income in the account.</w:t>
            </w:r>
          </w:p>
          <w:p w:rsidR="00083C3F" w:rsidRDefault="00E1215B">
            <w:pPr>
              <w:rPr>
                <w:noProof/>
              </w:rPr>
            </w:pPr>
            <w:r>
              <w:rPr>
                <w:noProof/>
              </w:rPr>
              <w:t>Assets that are stored and/or deposited in an investment savings account are subject to the provisions of the corresponding deposit guarantee scheme. The guarantee takes effect if an institution goes bankrupt or when the Financia</w:t>
            </w:r>
            <w:r>
              <w:rPr>
                <w:noProof/>
              </w:rPr>
              <w:t xml:space="preserve">l Supervisory Authority so decides. The deposit guarantee reimburses capital and accrued interest up to a maximum amount equivalent to EUR 100 000 per person and per institution.  </w:t>
            </w:r>
          </w:p>
          <w:p w:rsidR="00083C3F" w:rsidRDefault="00E1215B">
            <w:pPr>
              <w:rPr>
                <w:noProof/>
              </w:rPr>
            </w:pPr>
            <w:r>
              <w:rPr>
                <w:noProof/>
              </w:rPr>
              <w:t>There are normally limitations as to the securities that can be purchased v</w:t>
            </w:r>
            <w:r>
              <w:rPr>
                <w:noProof/>
              </w:rPr>
              <w:t>ia an Investment Savings Account. These accounts usually limit investment to financial instruments that are admitted to trading on a regulated market (or an equivalent market outside the EEA), instruments traded on a trading platform and units in investmen</w:t>
            </w:r>
            <w:r>
              <w:rPr>
                <w:noProof/>
              </w:rPr>
              <w:t xml:space="preserve">t funds.  </w:t>
            </w:r>
          </w:p>
          <w:p w:rsidR="00083C3F" w:rsidRDefault="00E1215B">
            <w:pPr>
              <w:rPr>
                <w:noProof/>
              </w:rPr>
            </w:pPr>
            <w:r>
              <w:rPr>
                <w:noProof/>
              </w:rPr>
              <w:t xml:space="preserve">Nonetheless, these accounts appear to be an attractive new option for retail investors seeking to gain greater exposure to capital markets. An annual standardised tax and deposit guarantees facilitate both increased investor convenience as well </w:t>
            </w:r>
            <w:r>
              <w:rPr>
                <w:noProof/>
              </w:rPr>
              <w:t>as consumer trust. These accounts may thus prove to be an effective means to encourage households to shift financial assets away from deposits towards capital market investments which should ultimately generate higher returns for them while providing incre</w:t>
            </w:r>
            <w:r>
              <w:rPr>
                <w:noProof/>
              </w:rPr>
              <w:t xml:space="preserve">ased funding to the economy. </w:t>
            </w:r>
          </w:p>
          <w:p w:rsidR="00083C3F" w:rsidRDefault="00E1215B">
            <w:pPr>
              <w:pStyle w:val="Heading4"/>
              <w:keepNext w:val="0"/>
              <w:keepLines w:val="0"/>
              <w:rPr>
                <w:noProof/>
              </w:rPr>
            </w:pPr>
            <w:bookmarkStart w:id="247" w:name="_Toc479599453"/>
            <w:r>
              <w:rPr>
                <w:noProof/>
              </w:rPr>
              <w:t>Employee share Ownership</w:t>
            </w:r>
            <w:bookmarkEnd w:id="247"/>
            <w:r>
              <w:rPr>
                <w:noProof/>
              </w:rPr>
              <w:t xml:space="preserve"> </w:t>
            </w:r>
          </w:p>
          <w:p w:rsidR="00083C3F" w:rsidRDefault="00E1215B">
            <w:pPr>
              <w:rPr>
                <w:noProof/>
              </w:rPr>
            </w:pPr>
            <w:r>
              <w:rPr>
                <w:noProof/>
              </w:rPr>
              <w:t>Research shows that companies partly or entirely owned by their employees are more profitable, create more jobs and pay more taxes than their competitors without employee ownership. At the macroeconom</w:t>
            </w:r>
            <w:r>
              <w:rPr>
                <w:noProof/>
              </w:rPr>
              <w:t>ic level, employee financial participation (EFP) leads to higher productivity and, therefore, higher competitiveness and growth as well as strategic stabilisation of ownership. At the company level, it can contribute to solving problems such as absenteeism</w:t>
            </w:r>
            <w:r>
              <w:rPr>
                <w:noProof/>
              </w:rPr>
              <w:t>, labour turnover and the retention of key employees, as well as business succession and funding, especially in SMEs and micro-enterprises.</w:t>
            </w:r>
          </w:p>
          <w:p w:rsidR="00083C3F" w:rsidRDefault="00E1215B">
            <w:pPr>
              <w:rPr>
                <w:noProof/>
              </w:rPr>
            </w:pPr>
            <w:r>
              <w:rPr>
                <w:noProof/>
              </w:rPr>
              <w:t>Currently, about 65% of firms in the EU do not provide any form of financial participation to their employees. At th</w:t>
            </w:r>
            <w:r>
              <w:rPr>
                <w:noProof/>
              </w:rPr>
              <w:t>e same time, the latest analysis of the ECS estimates that around 300 000 firms across the entire EU8 could be potential candidates for the introduction of EFP. Employee share ownership schemes are much less frequently used in Europe than, in the U.S for e</w:t>
            </w:r>
            <w:r>
              <w:rPr>
                <w:noProof/>
              </w:rPr>
              <w:t>xample. The underdeveloped use of such schemes is partly due to cultural differences and company mentality but also arises from other factors. In particular, there are barriers for cross-border plans, which arise from (i) differences in regulatory density,</w:t>
            </w:r>
            <w:r>
              <w:rPr>
                <w:noProof/>
              </w:rPr>
              <w:t xml:space="preserve"> application and legislative requirements of national legal frameworks and (ii) differences in the fiscal treatment of existing schemes. </w:t>
            </w:r>
          </w:p>
        </w:tc>
      </w:tr>
    </w:tbl>
    <w:p w:rsidR="00083C3F" w:rsidRDefault="00E1215B">
      <w:pPr>
        <w:pStyle w:val="Heading2"/>
        <w:rPr>
          <w:noProof/>
        </w:rPr>
      </w:pPr>
      <w:bookmarkStart w:id="248" w:name="_Toc479611928"/>
      <w:bookmarkStart w:id="249" w:name="_Toc481140415"/>
      <w:bookmarkStart w:id="250" w:name="_Toc482710987"/>
      <w:bookmarkStart w:id="251" w:name="_Toc482715309"/>
      <w:r>
        <w:rPr>
          <w:noProof/>
        </w:rPr>
        <w:t>General policy implications</w:t>
      </w:r>
      <w:bookmarkEnd w:id="248"/>
      <w:bookmarkEnd w:id="249"/>
      <w:bookmarkEnd w:id="250"/>
      <w:bookmarkEnd w:id="251"/>
    </w:p>
    <w:p w:rsidR="00083C3F" w:rsidRDefault="00E1215B">
      <w:pPr>
        <w:rPr>
          <w:noProof/>
        </w:rPr>
      </w:pPr>
      <w:r>
        <w:rPr>
          <w:noProof/>
        </w:rPr>
        <w:t>Households' participation in capital markets has been increasing in recent years, but par</w:t>
      </w:r>
      <w:r>
        <w:rPr>
          <w:noProof/>
        </w:rPr>
        <w:t>ticipation is far from optimal. While the EU has one of the highest savings rates in the world, which generally facilitates availability of funding for the economy, these savings are excessively held in cash or deposits. Retail capital markets services are</w:t>
      </w:r>
      <w:r>
        <w:rPr>
          <w:noProof/>
        </w:rPr>
        <w:t xml:space="preserve"> also barely developed on a cross-border basis, reducing opportunities and incentives to hold assets cross-border (with beneficial effects for private risk sharing, discussed in Chapter 1).</w:t>
      </w:r>
    </w:p>
    <w:p w:rsidR="00083C3F" w:rsidRDefault="00E1215B">
      <w:pPr>
        <w:rPr>
          <w:noProof/>
        </w:rPr>
      </w:pPr>
      <w:r>
        <w:rPr>
          <w:noProof/>
        </w:rPr>
        <w:t>The following considerations may be relevant in order to facilitat</w:t>
      </w:r>
      <w:r>
        <w:rPr>
          <w:noProof/>
        </w:rPr>
        <w:t xml:space="preserve">e retail investors' engagement in capital markets: </w:t>
      </w:r>
    </w:p>
    <w:p w:rsidR="00083C3F" w:rsidRDefault="00E1215B">
      <w:pPr>
        <w:pStyle w:val="ListParagraph"/>
        <w:numPr>
          <w:ilvl w:val="0"/>
          <w:numId w:val="61"/>
        </w:numPr>
        <w:rPr>
          <w:noProof/>
        </w:rPr>
      </w:pPr>
      <w:r>
        <w:rPr>
          <w:noProof/>
        </w:rPr>
        <w:t xml:space="preserve">Addressing </w:t>
      </w:r>
      <w:r>
        <w:rPr>
          <w:b/>
          <w:noProof/>
        </w:rPr>
        <w:t>transparency</w:t>
      </w:r>
      <w:r>
        <w:rPr>
          <w:noProof/>
        </w:rPr>
        <w:t xml:space="preserve"> issues via actions, such as improved reporting of market-wide cost and performance indicators for the principal categories and subcategories of packaged long-term retail and pensio</w:t>
      </w:r>
      <w:r>
        <w:rPr>
          <w:noProof/>
        </w:rPr>
        <w:t xml:space="preserve">n products. This transparency may need to be underpinned by market infrastructure or systems to ensure that mandated disclosures can be used by intermediaries and investors to inform product selection and direct investment flows to lowest-cost/highest net </w:t>
      </w:r>
      <w:r>
        <w:rPr>
          <w:noProof/>
        </w:rPr>
        <w:t>return solutions.</w:t>
      </w:r>
    </w:p>
    <w:p w:rsidR="00083C3F" w:rsidRDefault="00E1215B">
      <w:pPr>
        <w:pStyle w:val="ListParagraph"/>
        <w:numPr>
          <w:ilvl w:val="0"/>
          <w:numId w:val="60"/>
        </w:numPr>
        <w:rPr>
          <w:noProof/>
        </w:rPr>
      </w:pPr>
      <w:r>
        <w:rPr>
          <w:noProof/>
        </w:rPr>
        <w:t xml:space="preserve">Tackling the need for </w:t>
      </w:r>
      <w:r>
        <w:rPr>
          <w:b/>
          <w:noProof/>
        </w:rPr>
        <w:t>increased competition</w:t>
      </w:r>
      <w:r>
        <w:rPr>
          <w:noProof/>
        </w:rPr>
        <w:t xml:space="preserve"> across EU Member States by reducing, and where possible eliminating, the remaining barriers to cross border provision of retail financial services and products. This will require increased harmonisation to avoid competition impeding gold-plating as well a</w:t>
      </w:r>
      <w:r>
        <w:rPr>
          <w:noProof/>
        </w:rPr>
        <w:t xml:space="preserve">s improved coordination of national supervisory approaches. Together with measures to enhance transparency, including on national regulatory requirements, this will lower market entry costs and increase competitive pressures in the market. </w:t>
      </w:r>
    </w:p>
    <w:p w:rsidR="00083C3F" w:rsidRDefault="00E1215B">
      <w:pPr>
        <w:pStyle w:val="ListParagraph"/>
        <w:rPr>
          <w:noProof/>
        </w:rPr>
      </w:pPr>
      <w:r>
        <w:rPr>
          <w:noProof/>
        </w:rPr>
        <w:t xml:space="preserve">Addressing </w:t>
      </w:r>
      <w:r>
        <w:rPr>
          <w:b/>
          <w:noProof/>
        </w:rPr>
        <w:t>beha</w:t>
      </w:r>
      <w:r>
        <w:rPr>
          <w:b/>
          <w:noProof/>
        </w:rPr>
        <w:t>vioural biases and financial illiteracy</w:t>
      </w:r>
      <w:r>
        <w:rPr>
          <w:noProof/>
        </w:rPr>
        <w:t xml:space="preserve"> amongst retail investors. Taking into account the complexity of financial education, some policies can stimulate investors to increase their financial literacy. For example, the experience in some Member States has s</w:t>
      </w:r>
      <w:r>
        <w:rPr>
          <w:noProof/>
        </w:rPr>
        <w:t>hown that investment savings accounts (ISA) can contribute to a high level of retail investor engagement with capital market products, via easier access to investment products such as equities, corporate bonds and investment funds. Employee share ownership</w:t>
      </w:r>
      <w:r>
        <w:rPr>
          <w:noProof/>
        </w:rPr>
        <w:t xml:space="preserve"> (ESO) schemes provide an opportunity for beneficiaries to get familiar with capital markets, giving a first insight into equity investment. National retail investment schemes foster investments into SME growth markets and contribute to increase financial </w:t>
      </w:r>
      <w:r>
        <w:rPr>
          <w:noProof/>
        </w:rPr>
        <w:t>literacy in a pragmatic manner. Moreover, a more competitive financial industry can promote best practices that may attract investors' curiosity to learn more about capital markets and financial investments more broadly.</w:t>
      </w:r>
    </w:p>
    <w:p w:rsidR="00083C3F" w:rsidRDefault="00E1215B">
      <w:pPr>
        <w:pStyle w:val="Heading2"/>
        <w:rPr>
          <w:noProof/>
        </w:rPr>
      </w:pPr>
      <w:bookmarkStart w:id="252" w:name="_Toc481140416"/>
      <w:bookmarkStart w:id="253" w:name="_Toc482710988"/>
      <w:bookmarkStart w:id="254" w:name="_Toc482715310"/>
      <w:r>
        <w:rPr>
          <w:noProof/>
        </w:rPr>
        <w:t>Key indicators</w:t>
      </w:r>
      <w:bookmarkEnd w:id="252"/>
      <w:bookmarkEnd w:id="253"/>
      <w:bookmarkEnd w:id="254"/>
      <w:r>
        <w:rPr>
          <w:rStyle w:val="FootnoteReference"/>
          <w:noProof/>
        </w:rPr>
        <w:footnoteReference w:id="76"/>
      </w:r>
      <w:r>
        <w:rPr>
          <w:noProof/>
        </w:rPr>
        <w:t xml:space="preserve"> </w:t>
      </w:r>
    </w:p>
    <w:p w:rsidR="00083C3F" w:rsidRDefault="00E1215B">
      <w:pPr>
        <w:pStyle w:val="Heading4"/>
        <w:rPr>
          <w:noProof/>
        </w:rPr>
      </w:pPr>
      <w:r>
        <w:rPr>
          <w:noProof/>
        </w:rPr>
        <w:t xml:space="preserve">Retail investors' </w:t>
      </w:r>
      <w:r>
        <w:rPr>
          <w:noProof/>
        </w:rPr>
        <w:t>financial structure and propensity to save</w:t>
      </w:r>
    </w:p>
    <w:tbl>
      <w:tblPr>
        <w:tblStyle w:val="TableGrid24"/>
        <w:tblW w:w="9412" w:type="dxa"/>
        <w:tblCellMar>
          <w:top w:w="28" w:type="dxa"/>
          <w:left w:w="57" w:type="dxa"/>
          <w:bottom w:w="28" w:type="dxa"/>
          <w:right w:w="57" w:type="dxa"/>
        </w:tblCellMar>
        <w:tblLook w:val="04A0" w:firstRow="1" w:lastRow="0" w:firstColumn="1" w:lastColumn="0" w:noHBand="0" w:noVBand="1"/>
      </w:tblPr>
      <w:tblGrid>
        <w:gridCol w:w="4309"/>
        <w:gridCol w:w="1701"/>
        <w:gridCol w:w="1701"/>
        <w:gridCol w:w="1701"/>
      </w:tblGrid>
      <w:tr w:rsidR="00083C3F">
        <w:tc>
          <w:tcPr>
            <w:tcW w:w="4309" w:type="dxa"/>
          </w:tcPr>
          <w:p w:rsidR="00083C3F" w:rsidRDefault="00083C3F">
            <w:pPr>
              <w:keepNext/>
              <w:spacing w:after="0"/>
              <w:jc w:val="left"/>
              <w:rPr>
                <w:rFonts w:cs="Times New Roman"/>
                <w:b/>
                <w:noProof/>
              </w:rPr>
            </w:pPr>
          </w:p>
          <w:p w:rsidR="00083C3F" w:rsidRDefault="00E1215B">
            <w:pPr>
              <w:keepNext/>
              <w:spacing w:after="0"/>
              <w:jc w:val="center"/>
              <w:rPr>
                <w:rFonts w:cs="Times New Roman"/>
                <w:noProof/>
              </w:rPr>
            </w:pPr>
            <w:r>
              <w:rPr>
                <w:rFonts w:cs="Times New Roman"/>
                <w:b/>
                <w:noProof/>
              </w:rPr>
              <w:t>Indicator</w:t>
            </w:r>
          </w:p>
        </w:tc>
        <w:tc>
          <w:tcPr>
            <w:tcW w:w="1701" w:type="dxa"/>
          </w:tcPr>
          <w:p w:rsidR="00083C3F" w:rsidRDefault="00E1215B">
            <w:pPr>
              <w:keepNext/>
              <w:spacing w:after="0"/>
              <w:jc w:val="center"/>
              <w:rPr>
                <w:rFonts w:cs="Times New Roman"/>
                <w:b/>
                <w:noProof/>
              </w:rPr>
            </w:pPr>
            <w:r>
              <w:rPr>
                <w:rFonts w:cs="Times New Roman"/>
                <w:b/>
                <w:noProof/>
              </w:rPr>
              <w:t>Last 5-year average</w:t>
            </w:r>
          </w:p>
        </w:tc>
        <w:tc>
          <w:tcPr>
            <w:tcW w:w="1701" w:type="dxa"/>
            <w:vAlign w:val="center"/>
          </w:tcPr>
          <w:p w:rsidR="00083C3F" w:rsidRDefault="00E1215B">
            <w:pPr>
              <w:keepNext/>
              <w:spacing w:after="0"/>
              <w:jc w:val="center"/>
              <w:rPr>
                <w:rFonts w:cs="Times New Roman"/>
                <w:noProof/>
              </w:rPr>
            </w:pPr>
            <w:r>
              <w:rPr>
                <w:rFonts w:cs="Times New Roman"/>
                <w:b/>
                <w:noProof/>
              </w:rPr>
              <w:t xml:space="preserve">Latest observation </w:t>
            </w:r>
          </w:p>
        </w:tc>
        <w:tc>
          <w:tcPr>
            <w:tcW w:w="1701" w:type="dxa"/>
            <w:vAlign w:val="center"/>
          </w:tcPr>
          <w:p w:rsidR="00083C3F" w:rsidRDefault="00E1215B">
            <w:pPr>
              <w:keepNext/>
              <w:spacing w:after="0"/>
              <w:jc w:val="center"/>
              <w:rPr>
                <w:rFonts w:cs="Times New Roman"/>
                <w:b/>
                <w:noProof/>
              </w:rPr>
            </w:pPr>
            <w:r>
              <w:rPr>
                <w:rFonts w:cs="Times New Roman"/>
                <w:b/>
                <w:noProof/>
              </w:rPr>
              <w:t>Value</w:t>
            </w:r>
          </w:p>
        </w:tc>
      </w:tr>
      <w:tr w:rsidR="00083C3F">
        <w:tc>
          <w:tcPr>
            <w:tcW w:w="4309" w:type="dxa"/>
          </w:tcPr>
          <w:p w:rsidR="00083C3F" w:rsidRDefault="00E1215B">
            <w:pPr>
              <w:keepNext/>
              <w:spacing w:after="0"/>
              <w:jc w:val="left"/>
              <w:rPr>
                <w:rFonts w:cs="Times New Roman"/>
                <w:noProof/>
              </w:rPr>
            </w:pPr>
            <w:r>
              <w:rPr>
                <w:rFonts w:cs="Times New Roman"/>
                <w:noProof/>
              </w:rPr>
              <w:t>Saving rates (%</w:t>
            </w:r>
            <w:r>
              <w:rPr>
                <w:noProof/>
              </w:rPr>
              <w:t xml:space="preserve"> of GDP</w:t>
            </w:r>
            <w:r>
              <w:rPr>
                <w:rFonts w:cs="Times New Roman"/>
                <w:noProof/>
              </w:rPr>
              <w:t xml:space="preserve">) </w:t>
            </w:r>
          </w:p>
        </w:tc>
        <w:tc>
          <w:tcPr>
            <w:tcW w:w="1701" w:type="dxa"/>
          </w:tcPr>
          <w:p w:rsidR="00083C3F" w:rsidRDefault="00E1215B">
            <w:pPr>
              <w:keepNext/>
              <w:spacing w:after="0"/>
              <w:jc w:val="center"/>
              <w:rPr>
                <w:rFonts w:cs="Times New Roman"/>
                <w:noProof/>
              </w:rPr>
            </w:pPr>
            <w:r>
              <w:rPr>
                <w:rFonts w:cs="Times New Roman"/>
                <w:noProof/>
              </w:rPr>
              <w:t>10.69%</w:t>
            </w:r>
          </w:p>
        </w:tc>
        <w:tc>
          <w:tcPr>
            <w:tcW w:w="1701" w:type="dxa"/>
          </w:tcPr>
          <w:p w:rsidR="00083C3F" w:rsidRDefault="00E1215B">
            <w:pPr>
              <w:keepNext/>
              <w:spacing w:after="0"/>
              <w:jc w:val="center"/>
              <w:rPr>
                <w:rFonts w:cs="Times New Roman"/>
                <w:noProof/>
              </w:rPr>
            </w:pPr>
            <w:r>
              <w:rPr>
                <w:rFonts w:cs="Times New Roman"/>
                <w:noProof/>
              </w:rPr>
              <w:t>2016</w:t>
            </w:r>
          </w:p>
        </w:tc>
        <w:tc>
          <w:tcPr>
            <w:tcW w:w="1701" w:type="dxa"/>
          </w:tcPr>
          <w:p w:rsidR="00083C3F" w:rsidRDefault="00E1215B">
            <w:pPr>
              <w:keepNext/>
              <w:spacing w:after="0"/>
              <w:jc w:val="center"/>
              <w:rPr>
                <w:rFonts w:cs="Times New Roman"/>
                <w:noProof/>
              </w:rPr>
            </w:pPr>
            <w:r>
              <w:rPr>
                <w:rFonts w:cs="Times New Roman"/>
                <w:noProof/>
              </w:rPr>
              <w:t>10.3%</w:t>
            </w:r>
          </w:p>
        </w:tc>
      </w:tr>
      <w:tr w:rsidR="00083C3F">
        <w:tc>
          <w:tcPr>
            <w:tcW w:w="4309" w:type="dxa"/>
          </w:tcPr>
          <w:p w:rsidR="00083C3F" w:rsidRDefault="00E1215B">
            <w:pPr>
              <w:keepNext/>
              <w:spacing w:after="0"/>
              <w:jc w:val="left"/>
              <w:rPr>
                <w:rFonts w:cs="Times New Roman"/>
                <w:noProof/>
              </w:rPr>
            </w:pPr>
            <w:r>
              <w:rPr>
                <w:rFonts w:cs="Times New Roman"/>
                <w:noProof/>
              </w:rPr>
              <w:t>Households financial assets (EUR billion and % of GDP)</w:t>
            </w:r>
          </w:p>
        </w:tc>
        <w:tc>
          <w:tcPr>
            <w:tcW w:w="1701" w:type="dxa"/>
          </w:tcPr>
          <w:p w:rsidR="00083C3F" w:rsidRDefault="00E1215B">
            <w:pPr>
              <w:keepNext/>
              <w:spacing w:after="0"/>
              <w:jc w:val="center"/>
              <w:rPr>
                <w:rFonts w:cs="Times New Roman"/>
                <w:noProof/>
              </w:rPr>
            </w:pPr>
            <w:r>
              <w:rPr>
                <w:rFonts w:cs="Times New Roman"/>
                <w:noProof/>
              </w:rPr>
              <w:t>EUR 30 990 billion</w:t>
            </w:r>
          </w:p>
          <w:p w:rsidR="00083C3F" w:rsidRDefault="00E1215B">
            <w:pPr>
              <w:keepNext/>
              <w:spacing w:after="0"/>
              <w:jc w:val="center"/>
              <w:rPr>
                <w:rFonts w:cs="Times New Roman"/>
                <w:noProof/>
                <w:highlight w:val="yellow"/>
              </w:rPr>
            </w:pPr>
            <w:r>
              <w:rPr>
                <w:rFonts w:cs="Times New Roman"/>
                <w:noProof/>
              </w:rPr>
              <w:t>(217%)</w:t>
            </w:r>
          </w:p>
        </w:tc>
        <w:tc>
          <w:tcPr>
            <w:tcW w:w="1701" w:type="dxa"/>
          </w:tcPr>
          <w:p w:rsidR="00083C3F" w:rsidRDefault="00E1215B">
            <w:pPr>
              <w:keepNext/>
              <w:spacing w:after="0"/>
              <w:jc w:val="center"/>
              <w:rPr>
                <w:rFonts w:cs="Times New Roman"/>
                <w:noProof/>
              </w:rPr>
            </w:pPr>
            <w:r>
              <w:rPr>
                <w:rFonts w:cs="Times New Roman"/>
                <w:noProof/>
              </w:rPr>
              <w:t>2016</w:t>
            </w:r>
          </w:p>
        </w:tc>
        <w:tc>
          <w:tcPr>
            <w:tcW w:w="1701" w:type="dxa"/>
          </w:tcPr>
          <w:p w:rsidR="00083C3F" w:rsidRDefault="00E1215B">
            <w:pPr>
              <w:keepNext/>
              <w:spacing w:after="0"/>
              <w:jc w:val="center"/>
              <w:rPr>
                <w:rFonts w:cs="Times New Roman"/>
                <w:noProof/>
              </w:rPr>
            </w:pPr>
            <w:r>
              <w:rPr>
                <w:rFonts w:cs="Times New Roman"/>
                <w:noProof/>
              </w:rPr>
              <w:t>EUR 33 344 billion (225%)</w:t>
            </w:r>
          </w:p>
        </w:tc>
      </w:tr>
      <w:tr w:rsidR="00083C3F">
        <w:tc>
          <w:tcPr>
            <w:tcW w:w="4309" w:type="dxa"/>
          </w:tcPr>
          <w:p w:rsidR="00083C3F" w:rsidRDefault="00E1215B">
            <w:pPr>
              <w:keepNext/>
              <w:spacing w:after="0"/>
              <w:jc w:val="left"/>
              <w:rPr>
                <w:noProof/>
                <w:color w:val="000000" w:themeColor="text1"/>
              </w:rPr>
            </w:pPr>
            <w:r>
              <w:rPr>
                <w:noProof/>
                <w:color w:val="000000" w:themeColor="text1"/>
              </w:rPr>
              <w:t xml:space="preserve">Equity (% of total financial assets)  </w:t>
            </w:r>
          </w:p>
        </w:tc>
        <w:tc>
          <w:tcPr>
            <w:tcW w:w="1701" w:type="dxa"/>
          </w:tcPr>
          <w:p w:rsidR="00083C3F" w:rsidRDefault="00E1215B">
            <w:pPr>
              <w:keepNext/>
              <w:jc w:val="center"/>
              <w:rPr>
                <w:rFonts w:cs="Times New Roman"/>
                <w:noProof/>
              </w:rPr>
            </w:pPr>
            <w:r>
              <w:rPr>
                <w:rFonts w:cs="Times New Roman"/>
                <w:noProof/>
              </w:rPr>
              <w:t>16.6%</w:t>
            </w:r>
          </w:p>
          <w:p w:rsidR="00083C3F" w:rsidRDefault="00E1215B">
            <w:pPr>
              <w:keepNext/>
              <w:jc w:val="center"/>
              <w:rPr>
                <w:rFonts w:cs="Times New Roman"/>
                <w:noProof/>
              </w:rPr>
            </w:pPr>
            <w:r>
              <w:rPr>
                <w:rFonts w:cs="Times New Roman"/>
                <w:noProof/>
              </w:rPr>
              <w:t>(2013-2016)</w:t>
            </w:r>
          </w:p>
        </w:tc>
        <w:tc>
          <w:tcPr>
            <w:tcW w:w="1701" w:type="dxa"/>
          </w:tcPr>
          <w:p w:rsidR="00083C3F" w:rsidRDefault="00E1215B">
            <w:pPr>
              <w:keepNext/>
              <w:spacing w:after="0"/>
              <w:jc w:val="center"/>
              <w:rPr>
                <w:rFonts w:cs="Times New Roman"/>
                <w:noProof/>
              </w:rPr>
            </w:pPr>
            <w:r>
              <w:rPr>
                <w:rFonts w:cs="Times New Roman"/>
                <w:noProof/>
              </w:rPr>
              <w:t>Q3 2016</w:t>
            </w:r>
          </w:p>
        </w:tc>
        <w:tc>
          <w:tcPr>
            <w:tcW w:w="1701" w:type="dxa"/>
          </w:tcPr>
          <w:p w:rsidR="00083C3F" w:rsidRDefault="00E1215B">
            <w:pPr>
              <w:keepNext/>
              <w:spacing w:after="0"/>
              <w:jc w:val="center"/>
              <w:rPr>
                <w:rFonts w:cs="Times New Roman"/>
                <w:noProof/>
              </w:rPr>
            </w:pPr>
            <w:r>
              <w:rPr>
                <w:rFonts w:cs="Times New Roman"/>
                <w:noProof/>
              </w:rPr>
              <w:t>16.1%</w:t>
            </w:r>
          </w:p>
        </w:tc>
      </w:tr>
      <w:tr w:rsidR="00083C3F">
        <w:tc>
          <w:tcPr>
            <w:tcW w:w="4309" w:type="dxa"/>
          </w:tcPr>
          <w:p w:rsidR="00083C3F" w:rsidRDefault="00E1215B">
            <w:pPr>
              <w:keepNext/>
              <w:spacing w:after="0"/>
              <w:jc w:val="left"/>
              <w:rPr>
                <w:noProof/>
                <w:color w:val="000000" w:themeColor="text1"/>
              </w:rPr>
            </w:pPr>
            <w:r>
              <w:rPr>
                <w:noProof/>
                <w:color w:val="000000" w:themeColor="text1"/>
              </w:rPr>
              <w:t xml:space="preserve">Investment fund shares/ units (% of total financial assets)  </w:t>
            </w:r>
          </w:p>
          <w:p w:rsidR="00083C3F" w:rsidRDefault="00083C3F">
            <w:pPr>
              <w:keepNext/>
              <w:spacing w:after="0"/>
              <w:jc w:val="left"/>
              <w:rPr>
                <w:noProof/>
                <w:color w:val="000000" w:themeColor="text1"/>
              </w:rPr>
            </w:pPr>
          </w:p>
        </w:tc>
        <w:tc>
          <w:tcPr>
            <w:tcW w:w="1701" w:type="dxa"/>
          </w:tcPr>
          <w:p w:rsidR="00083C3F" w:rsidRDefault="00E1215B">
            <w:pPr>
              <w:keepNext/>
              <w:jc w:val="center"/>
              <w:rPr>
                <w:rFonts w:cs="Times New Roman"/>
                <w:noProof/>
              </w:rPr>
            </w:pPr>
            <w:r>
              <w:rPr>
                <w:rFonts w:cs="Times New Roman"/>
                <w:noProof/>
              </w:rPr>
              <w:t>6.6%</w:t>
            </w:r>
          </w:p>
          <w:p w:rsidR="00083C3F" w:rsidRDefault="00E1215B">
            <w:pPr>
              <w:keepNext/>
              <w:jc w:val="center"/>
              <w:rPr>
                <w:rFonts w:cs="Times New Roman"/>
                <w:noProof/>
              </w:rPr>
            </w:pPr>
            <w:r>
              <w:rPr>
                <w:rFonts w:cs="Times New Roman"/>
                <w:noProof/>
              </w:rPr>
              <w:t>(2013-2016)</w:t>
            </w:r>
          </w:p>
        </w:tc>
        <w:tc>
          <w:tcPr>
            <w:tcW w:w="1701" w:type="dxa"/>
          </w:tcPr>
          <w:p w:rsidR="00083C3F" w:rsidRDefault="00E1215B">
            <w:pPr>
              <w:keepNext/>
              <w:spacing w:after="0"/>
              <w:jc w:val="center"/>
              <w:rPr>
                <w:rFonts w:cs="Times New Roman"/>
                <w:noProof/>
              </w:rPr>
            </w:pPr>
            <w:r>
              <w:rPr>
                <w:rFonts w:cs="Times New Roman"/>
                <w:noProof/>
              </w:rPr>
              <w:t>Q3 2016</w:t>
            </w:r>
          </w:p>
        </w:tc>
        <w:tc>
          <w:tcPr>
            <w:tcW w:w="1701" w:type="dxa"/>
          </w:tcPr>
          <w:p w:rsidR="00083C3F" w:rsidRDefault="00E1215B">
            <w:pPr>
              <w:keepNext/>
              <w:spacing w:after="0"/>
              <w:jc w:val="center"/>
              <w:rPr>
                <w:rFonts w:cs="Times New Roman"/>
                <w:noProof/>
              </w:rPr>
            </w:pPr>
            <w:r>
              <w:rPr>
                <w:rFonts w:cs="Times New Roman"/>
                <w:noProof/>
              </w:rPr>
              <w:t>6.8%</w:t>
            </w:r>
          </w:p>
        </w:tc>
      </w:tr>
      <w:tr w:rsidR="00083C3F">
        <w:tc>
          <w:tcPr>
            <w:tcW w:w="4309" w:type="dxa"/>
          </w:tcPr>
          <w:p w:rsidR="00083C3F" w:rsidRDefault="00E1215B">
            <w:pPr>
              <w:keepNext/>
              <w:spacing w:after="0"/>
              <w:jc w:val="left"/>
              <w:rPr>
                <w:noProof/>
                <w:color w:val="000000" w:themeColor="text1"/>
              </w:rPr>
            </w:pPr>
            <w:r>
              <w:rPr>
                <w:noProof/>
                <w:color w:val="000000" w:themeColor="text1"/>
              </w:rPr>
              <w:t xml:space="preserve">Debt securities (% of total financial assets)  </w:t>
            </w:r>
          </w:p>
          <w:p w:rsidR="00083C3F" w:rsidRDefault="00083C3F">
            <w:pPr>
              <w:keepNext/>
              <w:spacing w:after="0"/>
              <w:jc w:val="left"/>
              <w:rPr>
                <w:noProof/>
                <w:color w:val="000000" w:themeColor="text1"/>
              </w:rPr>
            </w:pPr>
          </w:p>
        </w:tc>
        <w:tc>
          <w:tcPr>
            <w:tcW w:w="1701" w:type="dxa"/>
          </w:tcPr>
          <w:p w:rsidR="00083C3F" w:rsidRDefault="00E1215B">
            <w:pPr>
              <w:keepNext/>
              <w:jc w:val="center"/>
              <w:rPr>
                <w:rFonts w:cs="Times New Roman"/>
                <w:noProof/>
              </w:rPr>
            </w:pPr>
            <w:r>
              <w:rPr>
                <w:rFonts w:cs="Times New Roman"/>
                <w:noProof/>
              </w:rPr>
              <w:t>3.7%</w:t>
            </w:r>
          </w:p>
          <w:p w:rsidR="00083C3F" w:rsidRDefault="00E1215B">
            <w:pPr>
              <w:keepNext/>
              <w:jc w:val="center"/>
              <w:rPr>
                <w:rFonts w:cs="Times New Roman"/>
                <w:noProof/>
              </w:rPr>
            </w:pPr>
            <w:r>
              <w:rPr>
                <w:rFonts w:cs="Times New Roman"/>
                <w:noProof/>
              </w:rPr>
              <w:t>(2013-2016)</w:t>
            </w:r>
          </w:p>
        </w:tc>
        <w:tc>
          <w:tcPr>
            <w:tcW w:w="1701" w:type="dxa"/>
          </w:tcPr>
          <w:p w:rsidR="00083C3F" w:rsidRDefault="00E1215B">
            <w:pPr>
              <w:keepNext/>
              <w:spacing w:after="0"/>
              <w:jc w:val="center"/>
              <w:rPr>
                <w:rFonts w:cs="Times New Roman"/>
                <w:noProof/>
              </w:rPr>
            </w:pPr>
            <w:r>
              <w:rPr>
                <w:rFonts w:cs="Times New Roman"/>
                <w:noProof/>
              </w:rPr>
              <w:t>Q3 2016</w:t>
            </w:r>
          </w:p>
        </w:tc>
        <w:tc>
          <w:tcPr>
            <w:tcW w:w="1701" w:type="dxa"/>
          </w:tcPr>
          <w:p w:rsidR="00083C3F" w:rsidRDefault="00E1215B">
            <w:pPr>
              <w:keepNext/>
              <w:spacing w:after="0"/>
              <w:jc w:val="center"/>
              <w:rPr>
                <w:rFonts w:cs="Times New Roman"/>
                <w:noProof/>
              </w:rPr>
            </w:pPr>
            <w:r>
              <w:rPr>
                <w:rFonts w:cs="Times New Roman"/>
                <w:noProof/>
              </w:rPr>
              <w:t>2.8%</w:t>
            </w:r>
          </w:p>
        </w:tc>
      </w:tr>
      <w:tr w:rsidR="00083C3F">
        <w:tc>
          <w:tcPr>
            <w:tcW w:w="4309" w:type="dxa"/>
          </w:tcPr>
          <w:p w:rsidR="00083C3F" w:rsidRDefault="00E1215B">
            <w:pPr>
              <w:spacing w:after="0"/>
              <w:jc w:val="left"/>
              <w:rPr>
                <w:rFonts w:cs="Times New Roman"/>
                <w:noProof/>
              </w:rPr>
            </w:pPr>
            <w:r>
              <w:rPr>
                <w:rFonts w:cs="Times New Roman"/>
                <w:noProof/>
              </w:rPr>
              <w:t xml:space="preserve">Share of financial assets other than currency and deposits (EUR billion </w:t>
            </w:r>
            <w:r>
              <w:rPr>
                <w:noProof/>
              </w:rPr>
              <w:t xml:space="preserve">and </w:t>
            </w:r>
            <w:r>
              <w:rPr>
                <w:rFonts w:cs="Times New Roman"/>
                <w:noProof/>
              </w:rPr>
              <w:t xml:space="preserve">% total </w:t>
            </w:r>
            <w:r>
              <w:rPr>
                <w:noProof/>
                <w:color w:val="000000" w:themeColor="text1"/>
              </w:rPr>
              <w:t>financial assets</w:t>
            </w:r>
            <w:r>
              <w:rPr>
                <w:rFonts w:cs="Times New Roman"/>
                <w:noProof/>
              </w:rPr>
              <w:t>)</w:t>
            </w:r>
          </w:p>
        </w:tc>
        <w:tc>
          <w:tcPr>
            <w:tcW w:w="1701" w:type="dxa"/>
          </w:tcPr>
          <w:p w:rsidR="00083C3F" w:rsidRDefault="00E1215B">
            <w:pPr>
              <w:spacing w:after="0"/>
              <w:jc w:val="center"/>
              <w:rPr>
                <w:rFonts w:cs="Times New Roman"/>
                <w:noProof/>
              </w:rPr>
            </w:pPr>
            <w:r>
              <w:rPr>
                <w:rFonts w:cs="Times New Roman"/>
                <w:noProof/>
              </w:rPr>
              <w:t>EUR 21 539 billion</w:t>
            </w:r>
          </w:p>
          <w:p w:rsidR="00083C3F" w:rsidRDefault="00E1215B">
            <w:pPr>
              <w:jc w:val="center"/>
              <w:rPr>
                <w:rFonts w:cs="Times New Roman"/>
                <w:noProof/>
              </w:rPr>
            </w:pPr>
            <w:r>
              <w:rPr>
                <w:rFonts w:cs="Times New Roman"/>
                <w:noProof/>
              </w:rPr>
              <w:t>(69.5%)</w:t>
            </w:r>
          </w:p>
          <w:p w:rsidR="00083C3F" w:rsidRDefault="00E1215B">
            <w:pPr>
              <w:spacing w:after="0"/>
              <w:jc w:val="center"/>
              <w:rPr>
                <w:rFonts w:cs="Times New Roman"/>
                <w:noProof/>
                <w:highlight w:val="yellow"/>
              </w:rPr>
            </w:pPr>
            <w:r>
              <w:rPr>
                <w:rFonts w:cs="Times New Roman"/>
                <w:noProof/>
              </w:rPr>
              <w:t>(2013-2016)</w:t>
            </w:r>
          </w:p>
        </w:tc>
        <w:tc>
          <w:tcPr>
            <w:tcW w:w="1701" w:type="dxa"/>
          </w:tcPr>
          <w:p w:rsidR="00083C3F" w:rsidRDefault="00E1215B">
            <w:pPr>
              <w:spacing w:after="0"/>
              <w:jc w:val="center"/>
              <w:rPr>
                <w:rFonts w:cs="Times New Roman"/>
                <w:noProof/>
              </w:rPr>
            </w:pPr>
            <w:r>
              <w:rPr>
                <w:rFonts w:cs="Times New Roman"/>
                <w:noProof/>
              </w:rPr>
              <w:t xml:space="preserve">Q3 2016 </w:t>
            </w:r>
          </w:p>
        </w:tc>
        <w:tc>
          <w:tcPr>
            <w:tcW w:w="1701" w:type="dxa"/>
          </w:tcPr>
          <w:p w:rsidR="00083C3F" w:rsidRDefault="00E1215B">
            <w:pPr>
              <w:spacing w:after="0"/>
              <w:jc w:val="center"/>
              <w:rPr>
                <w:rFonts w:cs="Times New Roman"/>
                <w:noProof/>
              </w:rPr>
            </w:pPr>
            <w:r>
              <w:rPr>
                <w:rFonts w:cs="Times New Roman"/>
                <w:noProof/>
              </w:rPr>
              <w:t>EUR 23 106 billion (69.2%)</w:t>
            </w:r>
          </w:p>
        </w:tc>
      </w:tr>
    </w:tbl>
    <w:p w:rsidR="00083C3F" w:rsidRDefault="00E1215B">
      <w:pPr>
        <w:rPr>
          <w:rFonts w:eastAsiaTheme="majorEastAsia" w:cstheme="majorBidi"/>
          <w:b/>
          <w:bCs/>
          <w:noProof/>
          <w:sz w:val="28"/>
          <w:szCs w:val="28"/>
        </w:rPr>
      </w:pPr>
      <w:r>
        <w:rPr>
          <w:noProof/>
        </w:rPr>
        <w:br w:type="page"/>
      </w:r>
    </w:p>
    <w:p w:rsidR="00083C3F" w:rsidRDefault="00E1215B">
      <w:pPr>
        <w:pStyle w:val="Heading1"/>
        <w:numPr>
          <w:ilvl w:val="0"/>
          <w:numId w:val="0"/>
        </w:numPr>
        <w:rPr>
          <w:noProof/>
        </w:rPr>
      </w:pPr>
      <w:bookmarkStart w:id="255" w:name="_Toc479614361"/>
      <w:bookmarkStart w:id="256" w:name="_Toc482710989"/>
      <w:bookmarkStart w:id="257" w:name="_Toc482715311"/>
      <w:bookmarkStart w:id="258" w:name="_Toc481140417"/>
      <w:r>
        <w:rPr>
          <w:noProof/>
        </w:rPr>
        <w:t>References</w:t>
      </w:r>
      <w:bookmarkEnd w:id="255"/>
      <w:bookmarkEnd w:id="256"/>
      <w:bookmarkEnd w:id="257"/>
      <w:r>
        <w:rPr>
          <w:noProof/>
        </w:rPr>
        <w:t xml:space="preserve"> </w:t>
      </w:r>
      <w:bookmarkEnd w:id="258"/>
    </w:p>
    <w:p w:rsidR="00083C3F" w:rsidRDefault="00E1215B">
      <w:pPr>
        <w:pStyle w:val="Heading4"/>
        <w:rPr>
          <w:noProof/>
        </w:rPr>
      </w:pPr>
      <w:r>
        <w:rPr>
          <w:noProof/>
        </w:rPr>
        <w:t>Chapter 1</w:t>
      </w:r>
    </w:p>
    <w:p w:rsidR="00083C3F" w:rsidRDefault="00E1215B">
      <w:pPr>
        <w:rPr>
          <w:noProof/>
        </w:rPr>
      </w:pPr>
      <w:r>
        <w:rPr>
          <w:noProof/>
        </w:rPr>
        <w:t xml:space="preserve">Agrawal, A., Catalini, C. and Goldfarb, A., (2015), </w:t>
      </w:r>
      <w:r>
        <w:rPr>
          <w:noProof/>
        </w:rPr>
        <w:t>'Crowdfunding: Geography, social networks, and the timing of investment decisions', Journal of Economics &amp; Management Strategy, 24(2), pp.253-274.</w:t>
      </w:r>
    </w:p>
    <w:p w:rsidR="00083C3F" w:rsidRDefault="00E1215B">
      <w:pPr>
        <w:rPr>
          <w:noProof/>
        </w:rPr>
      </w:pPr>
      <w:r>
        <w:rPr>
          <w:noProof/>
        </w:rPr>
        <w:t>Asdrubali, P., B. E. Sorensen and O. Yosha (1996), “Channels of Interstate Risk Sharing: US 1963-1990”, Quart</w:t>
      </w:r>
      <w:r>
        <w:rPr>
          <w:noProof/>
        </w:rPr>
        <w:t>erly Journal of Economics, 111(4), pp. 1081-1110, November.</w:t>
      </w:r>
    </w:p>
    <w:p w:rsidR="00083C3F" w:rsidRDefault="00E1215B">
      <w:pPr>
        <w:rPr>
          <w:noProof/>
        </w:rPr>
      </w:pPr>
      <w:r>
        <w:rPr>
          <w:noProof/>
        </w:rPr>
        <w:t>Balli, F., Kalemli</w:t>
      </w:r>
      <w:r>
        <w:rPr>
          <w:rFonts w:ascii="Cambria Math" w:hAnsi="Cambria Math" w:cs="Cambria Math"/>
          <w:noProof/>
        </w:rPr>
        <w:t>‐</w:t>
      </w:r>
      <w:r>
        <w:rPr>
          <w:noProof/>
        </w:rPr>
        <w:t>Ozcan, S., and S</w:t>
      </w:r>
      <w:r>
        <w:rPr>
          <w:rFonts w:cs="Times New Roman"/>
          <w:noProof/>
        </w:rPr>
        <w:t>ø</w:t>
      </w:r>
      <w:r>
        <w:rPr>
          <w:noProof/>
        </w:rPr>
        <w:t xml:space="preserve">rensen, B. E. (2012), </w:t>
      </w:r>
      <w:r>
        <w:rPr>
          <w:rFonts w:cs="Times New Roman"/>
          <w:noProof/>
        </w:rPr>
        <w:t>“</w:t>
      </w:r>
      <w:r>
        <w:rPr>
          <w:noProof/>
        </w:rPr>
        <w:t>Risk sharing through capital gains</w:t>
      </w:r>
      <w:r>
        <w:rPr>
          <w:rFonts w:cs="Times New Roman"/>
          <w:noProof/>
        </w:rPr>
        <w:t>”</w:t>
      </w:r>
      <w:r>
        <w:rPr>
          <w:noProof/>
        </w:rPr>
        <w:t>, Canadian Journal of Economics/Revue canadienne d'économique, 45(2), pp. 472-492.</w:t>
      </w:r>
    </w:p>
    <w:p w:rsidR="00083C3F" w:rsidRDefault="00E1215B">
      <w:pPr>
        <w:rPr>
          <w:noProof/>
        </w:rPr>
      </w:pPr>
      <w:r>
        <w:rPr>
          <w:noProof/>
        </w:rPr>
        <w:t>Boubakri, N., Guedh</w:t>
      </w:r>
      <w:r>
        <w:rPr>
          <w:noProof/>
        </w:rPr>
        <w:t>ami, O. and Saffar, W. (2016), 'Geographic location, foreign ownership, and cost of equity capital: Evidence from privatization', Journal of Corporate Finance, 38, pp.363-381.</w:t>
      </w:r>
    </w:p>
    <w:p w:rsidR="00083C3F" w:rsidRDefault="00E1215B">
      <w:pPr>
        <w:rPr>
          <w:noProof/>
        </w:rPr>
      </w:pPr>
      <w:r>
        <w:rPr>
          <w:noProof/>
        </w:rPr>
        <w:t>Bruegel (2016), 'Analysis of developments in EU capital flows in the global cont</w:t>
      </w:r>
      <w:r>
        <w:rPr>
          <w:noProof/>
        </w:rPr>
        <w:t>ext – Third annual report', Final Report Bruegel No 2016.3919, commissioned by the European Commission.</w:t>
      </w:r>
    </w:p>
    <w:p w:rsidR="00083C3F" w:rsidRDefault="00E1215B">
      <w:pPr>
        <w:rPr>
          <w:noProof/>
        </w:rPr>
      </w:pPr>
      <w:r>
        <w:rPr>
          <w:noProof/>
        </w:rPr>
        <w:t xml:space="preserve">Colombo, M.G., D’Adda, D. and Quas, A. (2016), 'The geography of Venture Capital: looking at the demand side', Preliminary draft. </w:t>
      </w:r>
    </w:p>
    <w:p w:rsidR="00083C3F" w:rsidRDefault="00E1215B">
      <w:pPr>
        <w:rPr>
          <w:noProof/>
        </w:rPr>
      </w:pPr>
      <w:r>
        <w:rPr>
          <w:noProof/>
        </w:rPr>
        <w:t>European Commission (</w:t>
      </w:r>
      <w:r>
        <w:rPr>
          <w:noProof/>
        </w:rPr>
        <w:t xml:space="preserve">2015), </w:t>
      </w:r>
      <w:r>
        <w:rPr>
          <w:b/>
          <w:bCs/>
          <w:i/>
          <w:iCs/>
          <w:noProof/>
        </w:rPr>
        <w:t>'</w:t>
      </w:r>
      <w:r>
        <w:rPr>
          <w:noProof/>
        </w:rPr>
        <w:t>Completing Europe’s Economic and Monetary Union</w:t>
      </w:r>
      <w:r>
        <w:rPr>
          <w:b/>
          <w:bCs/>
          <w:i/>
          <w:iCs/>
          <w:noProof/>
        </w:rPr>
        <w:t>'</w:t>
      </w:r>
      <w:r>
        <w:rPr>
          <w:noProof/>
        </w:rPr>
        <w:t>, The Five</w:t>
      </w:r>
      <w:r>
        <w:rPr>
          <w:b/>
          <w:bCs/>
          <w:i/>
          <w:iCs/>
          <w:noProof/>
        </w:rPr>
        <w:t xml:space="preserve"> </w:t>
      </w:r>
      <w:r>
        <w:rPr>
          <w:noProof/>
        </w:rPr>
        <w:t xml:space="preserve">Presidents Report, June, available at </w:t>
      </w:r>
      <w:hyperlink r:id="rId94" w:history="1">
        <w:r>
          <w:rPr>
            <w:rStyle w:val="Hyperlink"/>
            <w:noProof/>
          </w:rPr>
          <w:t>http://ec.europa.eu/priorities/economic-monetaryu</w:t>
        </w:r>
        <w:r>
          <w:rPr>
            <w:rStyle w:val="Hyperlink"/>
            <w:noProof/>
          </w:rPr>
          <w:t>nion/docs/5-presidents-report_en.pdf</w:t>
        </w:r>
      </w:hyperlink>
      <w:r>
        <w:rPr>
          <w:noProof/>
        </w:rPr>
        <w:t>.</w:t>
      </w:r>
    </w:p>
    <w:p w:rsidR="00083C3F" w:rsidRDefault="00E1215B">
      <w:pPr>
        <w:rPr>
          <w:noProof/>
        </w:rPr>
      </w:pPr>
      <w:r>
        <w:rPr>
          <w:noProof/>
        </w:rPr>
        <w:t xml:space="preserve">European Commission (2017), Winter Forecast </w:t>
      </w:r>
      <w:hyperlink r:id="rId95" w:history="1">
        <w:r>
          <w:rPr>
            <w:rStyle w:val="Hyperlink"/>
            <w:noProof/>
          </w:rPr>
          <w:t>https://ec.europa.eu/info/publications/economy-finance/europe</w:t>
        </w:r>
        <w:r>
          <w:rPr>
            <w:rStyle w:val="Hyperlink"/>
            <w:noProof/>
          </w:rPr>
          <w:t>an-economic-forecast-winter-2017_en</w:t>
        </w:r>
      </w:hyperlink>
      <w:r>
        <w:rPr>
          <w:noProof/>
        </w:rPr>
        <w:t xml:space="preserve"> </w:t>
      </w:r>
    </w:p>
    <w:p w:rsidR="00083C3F" w:rsidRDefault="00E1215B">
      <w:pPr>
        <w:rPr>
          <w:noProof/>
        </w:rPr>
      </w:pPr>
      <w:r>
        <w:rPr>
          <w:noProof/>
        </w:rPr>
        <w:t>European Systemic Risk Board (2014), 'Is European Overbanked', Reports of the Advisory Scientific Committee, N. 4, June.</w:t>
      </w:r>
    </w:p>
    <w:p w:rsidR="00083C3F" w:rsidRDefault="00E1215B">
      <w:pPr>
        <w:rPr>
          <w:noProof/>
        </w:rPr>
      </w:pPr>
      <w:r>
        <w:rPr>
          <w:noProof/>
        </w:rPr>
        <w:t xml:space="preserve">Klagge, B. and Martin, R. (2005), 'Decentralized versus centralized financial systems: is there a </w:t>
      </w:r>
      <w:r>
        <w:rPr>
          <w:noProof/>
        </w:rPr>
        <w:t>case for local capital markets?', Journal of Economic Geography, 5(4), pp.387-421.</w:t>
      </w:r>
    </w:p>
    <w:p w:rsidR="00083C3F" w:rsidRDefault="00E1215B">
      <w:pPr>
        <w:rPr>
          <w:noProof/>
        </w:rPr>
      </w:pPr>
      <w:r>
        <w:rPr>
          <w:noProof/>
        </w:rPr>
        <w:t>Monti, M. (2010), 'A New Strategy for the Single Market. At the Service of Europe's Economy and Society', Report of the President of the European Commission, 9</w:t>
      </w:r>
      <w:r>
        <w:rPr>
          <w:noProof/>
          <w:vertAlign w:val="superscript"/>
        </w:rPr>
        <w:t>th</w:t>
      </w:r>
      <w:r>
        <w:rPr>
          <w:noProof/>
        </w:rPr>
        <w:t xml:space="preserve"> May.</w:t>
      </w:r>
    </w:p>
    <w:p w:rsidR="00083C3F" w:rsidRDefault="00E1215B">
      <w:pPr>
        <w:rPr>
          <w:noProof/>
        </w:rPr>
      </w:pPr>
      <w:r>
        <w:rPr>
          <w:noProof/>
        </w:rPr>
        <w:t>Nardo,</w:t>
      </w:r>
      <w:r>
        <w:rPr>
          <w:noProof/>
        </w:rPr>
        <w:t xml:space="preserve"> M., N. Ndacyayisenga, E. Papanagiotou, E. Rossi, E. Ossol, (2017), Measures and drivers of Financial Integration in Europe; European Commission, Joint Research Centre, Report EUR-28469EN.</w:t>
      </w:r>
    </w:p>
    <w:p w:rsidR="00083C3F" w:rsidRDefault="00E1215B">
      <w:pPr>
        <w:rPr>
          <w:noProof/>
        </w:rPr>
      </w:pPr>
      <w:r>
        <w:rPr>
          <w:noProof/>
        </w:rPr>
        <w:t xml:space="preserve">Pandit, N.R., G.A.S., Cook, G.M.P., Swann (2002), 'A comparison of </w:t>
      </w:r>
      <w:r>
        <w:rPr>
          <w:noProof/>
        </w:rPr>
        <w:t>clustering dynamics in the British broadcasting and financial services industries', International Journal of the Economics of Business, 9(2), pp.195-224.</w:t>
      </w:r>
    </w:p>
    <w:p w:rsidR="00083C3F" w:rsidRDefault="00E1215B">
      <w:pPr>
        <w:rPr>
          <w:noProof/>
        </w:rPr>
      </w:pPr>
      <w:r>
        <w:rPr>
          <w:noProof/>
        </w:rPr>
        <w:t>Poncela, P., F. Pericoli, A.R. Manca and M. Nardo (2016), Risk sharing in Europe, JRC Science for Poli</w:t>
      </w:r>
      <w:r>
        <w:rPr>
          <w:noProof/>
        </w:rPr>
        <w:t>cy Report, EUR 28284 EN, doi:10.2791/174718</w:t>
      </w:r>
    </w:p>
    <w:p w:rsidR="00083C3F" w:rsidRDefault="00E1215B">
      <w:pPr>
        <w:rPr>
          <w:noProof/>
        </w:rPr>
      </w:pPr>
      <w:r>
        <w:rPr>
          <w:noProof/>
        </w:rPr>
        <w:t>Schoenmaker, D. and Wagner, W. (2011), 'The impact of cross-border banking on financial stability',  Tinbergen Institute Discussion Paper, No. 11-054/2/DSF18.</w:t>
      </w:r>
    </w:p>
    <w:p w:rsidR="00083C3F" w:rsidRDefault="00E1215B">
      <w:pPr>
        <w:rPr>
          <w:noProof/>
        </w:rPr>
      </w:pPr>
      <w:r>
        <w:rPr>
          <w:noProof/>
        </w:rPr>
        <w:t xml:space="preserve">Valiante, D. (2016), </w:t>
      </w:r>
      <w:r>
        <w:rPr>
          <w:i/>
          <w:noProof/>
        </w:rPr>
        <w:t xml:space="preserve">Europe's Untapped Capital </w:t>
      </w:r>
      <w:r>
        <w:rPr>
          <w:i/>
          <w:noProof/>
        </w:rPr>
        <w:t>Market: Rethinking financial integration after the crisis,</w:t>
      </w:r>
      <w:r>
        <w:rPr>
          <w:noProof/>
        </w:rPr>
        <w:t xml:space="preserve"> CEPS Paperback, London: Rowman &amp; Littlefield International.</w:t>
      </w:r>
    </w:p>
    <w:p w:rsidR="00083C3F" w:rsidRDefault="00E1215B">
      <w:pPr>
        <w:pStyle w:val="Heading4"/>
        <w:rPr>
          <w:noProof/>
        </w:rPr>
      </w:pPr>
      <w:r>
        <w:rPr>
          <w:noProof/>
        </w:rPr>
        <w:t>Chapter 2</w:t>
      </w:r>
    </w:p>
    <w:p w:rsidR="00083C3F" w:rsidRDefault="00E1215B">
      <w:pPr>
        <w:rPr>
          <w:rFonts w:cs="Times New Roman"/>
          <w:noProof/>
          <w:szCs w:val="24"/>
        </w:rPr>
      </w:pPr>
      <w:r>
        <w:rPr>
          <w:rFonts w:cs="Times New Roman"/>
          <w:noProof/>
          <w:szCs w:val="24"/>
        </w:rPr>
        <w:t>Adrian, T., Colla, P., &amp; Song Shin, H. (2013). Which financial frictions? Parsing the evidence from the financial crisis of 200</w:t>
      </w:r>
      <w:r>
        <w:rPr>
          <w:rFonts w:cs="Times New Roman"/>
          <w:noProof/>
          <w:szCs w:val="24"/>
        </w:rPr>
        <w:t>7 to 2009. NBER Macroeconomics Annual, 27(1), 159-214.</w:t>
      </w:r>
    </w:p>
    <w:p w:rsidR="00083C3F" w:rsidRDefault="00E1215B">
      <w:pPr>
        <w:rPr>
          <w:noProof/>
        </w:rPr>
      </w:pPr>
      <w:r>
        <w:rPr>
          <w:noProof/>
        </w:rPr>
        <w:t xml:space="preserve">AFME (2017), 'The shortage of Risk Capital for Europe's High Growth Businesses', </w:t>
      </w:r>
      <w:hyperlink r:id="rId96" w:history="1">
        <w:r>
          <w:rPr>
            <w:rStyle w:val="Hyperlink"/>
            <w:noProof/>
          </w:rPr>
          <w:t>https://www.afme.eu/glo</w:t>
        </w:r>
        <w:r>
          <w:rPr>
            <w:rStyle w:val="Hyperlink"/>
            <w:noProof/>
          </w:rPr>
          <w:t>balassets/downloads/publications/afme-highgrowth-2017.pdf</w:t>
        </w:r>
      </w:hyperlink>
      <w:r>
        <w:rPr>
          <w:noProof/>
        </w:rPr>
        <w:t xml:space="preserve">   </w:t>
      </w:r>
    </w:p>
    <w:p w:rsidR="00083C3F" w:rsidRDefault="00E1215B">
      <w:pPr>
        <w:rPr>
          <w:noProof/>
        </w:rPr>
      </w:pPr>
      <w:r>
        <w:rPr>
          <w:noProof/>
        </w:rPr>
        <w:t>Aghion, P., S. Bond, A. Klemm, I. Martinescu (2004), Technology and Financial Structure: Are Innovative Firms Different. The Journal of the European Economic Association 277.</w:t>
      </w:r>
    </w:p>
    <w:p w:rsidR="00083C3F" w:rsidRDefault="00E1215B">
      <w:pPr>
        <w:rPr>
          <w:noProof/>
        </w:rPr>
      </w:pPr>
      <w:r>
        <w:rPr>
          <w:noProof/>
        </w:rPr>
        <w:t xml:space="preserve">Berger, A. N., G.F. </w:t>
      </w:r>
      <w:r>
        <w:rPr>
          <w:noProof/>
        </w:rPr>
        <w:t>Udell (1998), The Economics of Small Business Finance: The Roles of Private Equity and Debt Markets in the Financial Growth Cycle. The Journal of Banking &amp; Finance 22(6): 613-673.</w:t>
      </w:r>
    </w:p>
    <w:p w:rsidR="00083C3F" w:rsidRDefault="00E1215B">
      <w:pPr>
        <w:rPr>
          <w:noProof/>
        </w:rPr>
      </w:pPr>
      <w:r>
        <w:rPr>
          <w:noProof/>
        </w:rPr>
        <w:t xml:space="preserve">British Business Bank (2016), </w:t>
      </w:r>
      <w:hyperlink r:id="rId97" w:history="1">
        <w:r>
          <w:rPr>
            <w:noProof/>
          </w:rPr>
          <w:t>Small Business Finance Markets Report</w:t>
        </w:r>
      </w:hyperlink>
      <w:r>
        <w:rPr>
          <w:noProof/>
        </w:rPr>
        <w:t xml:space="preserve"> </w:t>
      </w:r>
      <w:hyperlink r:id="rId98" w:history="1">
        <w:r>
          <w:rPr>
            <w:rStyle w:val="Hyperlink"/>
            <w:noProof/>
          </w:rPr>
          <w:t>http</w:t>
        </w:r>
        <w:r>
          <w:rPr>
            <w:rStyle w:val="Hyperlink"/>
            <w:noProof/>
          </w:rPr>
          <w:t>://british-business-bank.co.uk/wp-content/uploads/2017/02/BBB-SBFM-REPORT-2016-17-web.pdf</w:t>
        </w:r>
      </w:hyperlink>
      <w:r>
        <w:rPr>
          <w:noProof/>
        </w:rPr>
        <w:t xml:space="preserve"> </w:t>
      </w:r>
    </w:p>
    <w:p w:rsidR="00083C3F" w:rsidRDefault="00E1215B">
      <w:pPr>
        <w:rPr>
          <w:noProof/>
        </w:rPr>
      </w:pPr>
      <w:r>
        <w:rPr>
          <w:noProof/>
        </w:rPr>
        <w:t xml:space="preserve">Business Angels Europe (2016), The European Business Angel Market </w:t>
      </w:r>
      <w:hyperlink r:id="rId99" w:history="1">
        <w:r>
          <w:rPr>
            <w:rStyle w:val="Hyperlink"/>
            <w:noProof/>
          </w:rPr>
          <w:t>http://www.businessangelseurope.com/Knowledge%20Centre/Research%20%20Data/BAE,%20The%20European%20Business%20Angel%20Market.pdf</w:t>
        </w:r>
      </w:hyperlink>
      <w:r>
        <w:rPr>
          <w:noProof/>
        </w:rPr>
        <w:t xml:space="preserve"> </w:t>
      </w:r>
    </w:p>
    <w:p w:rsidR="00083C3F" w:rsidRDefault="00E1215B">
      <w:pPr>
        <w:rPr>
          <w:rFonts w:cs="Times New Roman"/>
          <w:noProof/>
          <w:szCs w:val="24"/>
        </w:rPr>
      </w:pPr>
      <w:r>
        <w:rPr>
          <w:rFonts w:cs="Times New Roman"/>
          <w:noProof/>
          <w:szCs w:val="24"/>
          <w:lang w:val="it-IT"/>
        </w:rPr>
        <w:t xml:space="preserve">Cariboni J., Hallak I., &amp; Rancan M. (2017). </w:t>
      </w:r>
      <w:r>
        <w:rPr>
          <w:rFonts w:cs="Times New Roman"/>
          <w:noProof/>
          <w:szCs w:val="24"/>
        </w:rPr>
        <w:t>European Bond Issuers JRC Technical re</w:t>
      </w:r>
      <w:r>
        <w:rPr>
          <w:rFonts w:cs="Times New Roman"/>
          <w:noProof/>
          <w:szCs w:val="24"/>
        </w:rPr>
        <w:t>port.</w:t>
      </w:r>
    </w:p>
    <w:p w:rsidR="00083C3F" w:rsidRDefault="00E1215B">
      <w:pPr>
        <w:rPr>
          <w:noProof/>
        </w:rPr>
      </w:pPr>
      <w:r>
        <w:rPr>
          <w:noProof/>
        </w:rPr>
        <w:t>Dang, T. V., G. Gorton, B. Holmström, G. Ordoñez (2017), Banks as Secret Keepers, American Economic Review 107(4): 1005-1029.</w:t>
      </w:r>
    </w:p>
    <w:p w:rsidR="00083C3F" w:rsidRDefault="00E1215B">
      <w:pPr>
        <w:rPr>
          <w:noProof/>
        </w:rPr>
      </w:pPr>
      <w:r>
        <w:rPr>
          <w:noProof/>
        </w:rPr>
        <w:t>Dealogic (2016), The European Private Placement Market', March 2016</w:t>
      </w:r>
    </w:p>
    <w:p w:rsidR="00083C3F" w:rsidRDefault="00E1215B">
      <w:pPr>
        <w:rPr>
          <w:noProof/>
        </w:rPr>
      </w:pPr>
      <w:r>
        <w:rPr>
          <w:noProof/>
        </w:rPr>
        <w:t>Diamond, D. W. (1984), 'Financial Intermediation and Del</w:t>
      </w:r>
      <w:r>
        <w:rPr>
          <w:noProof/>
        </w:rPr>
        <w:t>egated Monitoring', The Review of Economic Studies 51(3) 393-414.</w:t>
      </w:r>
    </w:p>
    <w:p w:rsidR="00083C3F" w:rsidRDefault="00E1215B">
      <w:pPr>
        <w:rPr>
          <w:noProof/>
        </w:rPr>
      </w:pPr>
      <w:r>
        <w:rPr>
          <w:noProof/>
        </w:rPr>
        <w:t xml:space="preserve">European Trade Association for Business Angels, Seed Funds, and other Early Stage Market Players (EBAN)(2016) European Early Stage Market Statistics 2015. </w:t>
      </w:r>
      <w:hyperlink r:id="rId100" w:history="1">
        <w:r>
          <w:rPr>
            <w:rStyle w:val="Hyperlink"/>
            <w:noProof/>
          </w:rPr>
          <w:t>http://www.eban.org/wp-content/uploads/2016/06/Early-Stage-Market-Statistics-2015.pdf</w:t>
        </w:r>
      </w:hyperlink>
    </w:p>
    <w:p w:rsidR="00083C3F" w:rsidRDefault="00E1215B">
      <w:pPr>
        <w:rPr>
          <w:noProof/>
        </w:rPr>
      </w:pPr>
      <w:r>
        <w:rPr>
          <w:noProof/>
        </w:rPr>
        <w:t xml:space="preserve">European Central Bank (2016), Survey on the access to finance of enterprises (SAFE) </w:t>
      </w:r>
      <w:hyperlink r:id="rId101" w:history="1">
        <w:r>
          <w:rPr>
            <w:rStyle w:val="Hyperlink"/>
            <w:noProof/>
          </w:rPr>
          <w:t>https://www.ecb.europa.eu/pub/pdf/other/accesstofinancesmallmediumsizedenterprises201611.en.pdf?862f53698b8f84e198d67572453c4465</w:t>
        </w:r>
      </w:hyperlink>
      <w:r>
        <w:rPr>
          <w:noProof/>
        </w:rPr>
        <w:t xml:space="preserve"> </w:t>
      </w:r>
    </w:p>
    <w:p w:rsidR="00083C3F" w:rsidRDefault="00E1215B">
      <w:pPr>
        <w:rPr>
          <w:noProof/>
        </w:rPr>
      </w:pPr>
      <w:r>
        <w:rPr>
          <w:noProof/>
        </w:rPr>
        <w:t xml:space="preserve">European Central Bank (2015), Economic Bulletin Issue 4 / 2015 </w:t>
      </w:r>
      <w:hyperlink r:id="rId102" w:history="1">
        <w:r>
          <w:rPr>
            <w:rStyle w:val="Hyperlink"/>
            <w:noProof/>
          </w:rPr>
          <w:t>https://www.ecb.europa.eu/pub/pdf/ecbu/eb201504.en.pdf</w:t>
        </w:r>
      </w:hyperlink>
      <w:r>
        <w:rPr>
          <w:noProof/>
        </w:rPr>
        <w:t xml:space="preserve"> </w:t>
      </w:r>
    </w:p>
    <w:p w:rsidR="00083C3F" w:rsidRDefault="00E1215B">
      <w:pPr>
        <w:rPr>
          <w:noProof/>
        </w:rPr>
      </w:pPr>
      <w:r>
        <w:rPr>
          <w:noProof/>
        </w:rPr>
        <w:t>European Commission (2015), Economic Analysis Accompanying the Act</w:t>
      </w:r>
      <w:r>
        <w:rPr>
          <w:noProof/>
        </w:rPr>
        <w:t xml:space="preserve">ion Plan on Building a Capital Markets, Staff Working Document </w:t>
      </w:r>
    </w:p>
    <w:p w:rsidR="00083C3F" w:rsidRDefault="00E1215B">
      <w:pPr>
        <w:rPr>
          <w:noProof/>
        </w:rPr>
      </w:pPr>
      <w:r>
        <w:rPr>
          <w:noProof/>
        </w:rPr>
        <w:t xml:space="preserve">European Commission (2016), Innobarometer </w:t>
      </w:r>
      <w:hyperlink r:id="rId103" w:history="1">
        <w:r>
          <w:rPr>
            <w:rStyle w:val="Hyperlink"/>
            <w:noProof/>
          </w:rPr>
          <w:t>http://ec.europa.eu/growth/industry/innovation/facts-figures/innobarometer_en</w:t>
        </w:r>
      </w:hyperlink>
      <w:r>
        <w:rPr>
          <w:noProof/>
        </w:rPr>
        <w:t xml:space="preserve"> </w:t>
      </w:r>
    </w:p>
    <w:p w:rsidR="00083C3F" w:rsidRDefault="00E1215B">
      <w:pPr>
        <w:rPr>
          <w:noProof/>
        </w:rPr>
      </w:pPr>
      <w:r>
        <w:rPr>
          <w:noProof/>
        </w:rPr>
        <w:t>Gilson R. J. (2010), 'Locating Innovation: The Endogeneity of Technology, Organizational Structure, and Financial Contracting', The Columbia Law Review 110(3): 885-917.</w:t>
      </w:r>
    </w:p>
    <w:p w:rsidR="00083C3F" w:rsidRDefault="00E1215B">
      <w:pPr>
        <w:rPr>
          <w:noProof/>
        </w:rPr>
      </w:pPr>
      <w:r>
        <w:rPr>
          <w:noProof/>
        </w:rPr>
        <w:t>Gompers,</w:t>
      </w:r>
      <w:r>
        <w:rPr>
          <w:noProof/>
        </w:rPr>
        <w:t xml:space="preserve"> P. A., J. Lerner (1999), The Venture Capital Cycle, MIT Press. </w:t>
      </w:r>
    </w:p>
    <w:p w:rsidR="00083C3F" w:rsidRDefault="00E1215B">
      <w:pPr>
        <w:rPr>
          <w:noProof/>
          <w:lang w:val="fr-BE"/>
        </w:rPr>
      </w:pPr>
      <w:r>
        <w:rPr>
          <w:noProof/>
          <w:lang w:val="fr-BE"/>
        </w:rPr>
        <w:t xml:space="preserve">Invest Europe (2017) </w:t>
      </w:r>
      <w:hyperlink r:id="rId104" w:history="1">
        <w:r>
          <w:rPr>
            <w:rStyle w:val="Hyperlink"/>
            <w:noProof/>
            <w:lang w:val="fr-BE"/>
          </w:rPr>
          <w:t>http://www.investeurope.eu/research/</w:t>
        </w:r>
      </w:hyperlink>
      <w:r>
        <w:rPr>
          <w:noProof/>
          <w:lang w:val="fr-BE"/>
        </w:rPr>
        <w:t xml:space="preserve"> </w:t>
      </w:r>
    </w:p>
    <w:p w:rsidR="00083C3F" w:rsidRDefault="00E1215B">
      <w:pPr>
        <w:rPr>
          <w:noProof/>
        </w:rPr>
      </w:pPr>
      <w:r>
        <w:rPr>
          <w:noProof/>
        </w:rPr>
        <w:t xml:space="preserve">Kaplan, S.N., P. Strömberg (2003), Financial Contracting Theory Meets the Real </w:t>
      </w:r>
      <w:r>
        <w:rPr>
          <w:noProof/>
        </w:rPr>
        <w:t>World: An Empirical Analysis of Venture Capital Contracts. The Review of Financial Studies 70 (2): 281-315.</w:t>
      </w:r>
    </w:p>
    <w:p w:rsidR="00083C3F" w:rsidRDefault="00E1215B">
      <w:pPr>
        <w:rPr>
          <w:noProof/>
        </w:rPr>
      </w:pPr>
      <w:r>
        <w:rPr>
          <w:noProof/>
        </w:rPr>
        <w:t>Kerr, R. K., J. Lerner and A. Schoar (2011), The Consequences of Entrepreneurial Finance: Evidence from Angel Financings. The Review of Financial St</w:t>
      </w:r>
      <w:r>
        <w:rPr>
          <w:noProof/>
        </w:rPr>
        <w:t>udies 27(1): 20-55.</w:t>
      </w:r>
    </w:p>
    <w:p w:rsidR="00083C3F" w:rsidRDefault="00E1215B">
      <w:pPr>
        <w:rPr>
          <w:noProof/>
        </w:rPr>
      </w:pPr>
      <w:r>
        <w:rPr>
          <w:noProof/>
        </w:rPr>
        <w:t xml:space="preserve">KPMG (2016) Venture Pulse, Q4’16, Global Analysis of Venture Funding </w:t>
      </w:r>
      <w:hyperlink r:id="rId105" w:history="1">
        <w:r>
          <w:rPr>
            <w:rStyle w:val="Hyperlink"/>
            <w:noProof/>
          </w:rPr>
          <w:t>https://assets.kpmg.com/content/dam/kpmg/xx/pdf/2017/01/ventur</w:t>
        </w:r>
        <w:r>
          <w:rPr>
            <w:rStyle w:val="Hyperlink"/>
            <w:noProof/>
          </w:rPr>
          <w:t>e-pulse-q4-2016-report.pdf</w:t>
        </w:r>
      </w:hyperlink>
      <w:r>
        <w:rPr>
          <w:noProof/>
        </w:rPr>
        <w:t xml:space="preserve"> </w:t>
      </w:r>
    </w:p>
    <w:p w:rsidR="00083C3F" w:rsidRDefault="00E1215B">
      <w:pPr>
        <w:rPr>
          <w:noProof/>
        </w:rPr>
      </w:pPr>
      <w:r>
        <w:rPr>
          <w:noProof/>
        </w:rPr>
        <w:t>Leland, H. E., D. H. Pyle (1977) Informational Asymmetries, Financial Structure, and Financial Intermediation.  The Journal of Finance 32(2): 371-387.</w:t>
      </w:r>
    </w:p>
    <w:p w:rsidR="00083C3F" w:rsidRDefault="00E1215B">
      <w:pPr>
        <w:rPr>
          <w:noProof/>
        </w:rPr>
      </w:pPr>
      <w:r>
        <w:rPr>
          <w:noProof/>
        </w:rPr>
        <w:t>Lerner, J. (1995) Venture Capitalists and the Oversight of Private Firms. The</w:t>
      </w:r>
      <w:r>
        <w:rPr>
          <w:noProof/>
        </w:rPr>
        <w:t xml:space="preserve"> Journal of Finance 50(1): 301-318.</w:t>
      </w:r>
    </w:p>
    <w:p w:rsidR="00083C3F" w:rsidRDefault="00E1215B">
      <w:pPr>
        <w:rPr>
          <w:noProof/>
        </w:rPr>
      </w:pPr>
      <w:r>
        <w:rPr>
          <w:noProof/>
        </w:rPr>
        <w:t xml:space="preserve">Mach, Carter, and Slattery (2014) Peer-to-peer lending to small businesses. FEDS working paper 2014-10. </w:t>
      </w:r>
    </w:p>
    <w:p w:rsidR="00083C3F" w:rsidRDefault="00E1215B">
      <w:pPr>
        <w:rPr>
          <w:noProof/>
        </w:rPr>
      </w:pPr>
      <w:r>
        <w:rPr>
          <w:noProof/>
        </w:rPr>
        <w:t>Martin R., P. Sunley, D.Turner (2002) Taking Risks in Regions: The Geographical Anatomy of Europe's Emerging Ventur</w:t>
      </w:r>
      <w:r>
        <w:rPr>
          <w:noProof/>
        </w:rPr>
        <w:t>e Capital Market. The Journal of Economic Geography 2(2):121–50.</w:t>
      </w:r>
    </w:p>
    <w:p w:rsidR="00083C3F" w:rsidRDefault="00E1215B">
      <w:pPr>
        <w:rPr>
          <w:noProof/>
        </w:rPr>
      </w:pPr>
      <w:r>
        <w:rPr>
          <w:noProof/>
        </w:rPr>
        <w:t>McKinsey (2015) Supply-chain finance: The emergence of a new competitive landscape, McKinsey on payments 8(22).</w:t>
      </w:r>
    </w:p>
    <w:p w:rsidR="00083C3F" w:rsidRDefault="00E1215B">
      <w:pPr>
        <w:rPr>
          <w:noProof/>
        </w:rPr>
      </w:pPr>
      <w:r>
        <w:rPr>
          <w:noProof/>
        </w:rPr>
        <w:t xml:space="preserve">OECD (2016) Financing SMEs and Entrepreneurs 2016 </w:t>
      </w:r>
      <w:hyperlink r:id="rId106" w:history="1">
        <w:r>
          <w:rPr>
            <w:rStyle w:val="Hyperlink"/>
            <w:noProof/>
          </w:rPr>
          <w:t>https://www.oecd.org/cfe/smes/SME-Scoreboard-2016-Highlights.pdf</w:t>
        </w:r>
      </w:hyperlink>
      <w:r>
        <w:rPr>
          <w:noProof/>
        </w:rPr>
        <w:t xml:space="preserve"> </w:t>
      </w:r>
    </w:p>
    <w:p w:rsidR="00083C3F" w:rsidRDefault="00E1215B">
      <w:pPr>
        <w:rPr>
          <w:noProof/>
        </w:rPr>
      </w:pPr>
      <w:r>
        <w:rPr>
          <w:noProof/>
        </w:rPr>
        <w:t>Robb, A. M., D.T. Robinson (2014) The Capital Structure Decisions of New Firms. The Review of Financial Studies</w:t>
      </w:r>
      <w:r>
        <w:rPr>
          <w:noProof/>
        </w:rPr>
        <w:t xml:space="preserve"> 27 (1): 153-179.</w:t>
      </w:r>
    </w:p>
    <w:p w:rsidR="00083C3F" w:rsidRDefault="00E1215B">
      <w:pPr>
        <w:rPr>
          <w:noProof/>
        </w:rPr>
      </w:pPr>
      <w:r>
        <w:rPr>
          <w:noProof/>
        </w:rPr>
        <w:t>Schmalz, M. C., D. A. Sraer, D. Thesmar (2017) Housing Collateral and Entrepreneurship. The Journal of Finance 72(1): 99-132.</w:t>
      </w:r>
    </w:p>
    <w:p w:rsidR="00083C3F" w:rsidRDefault="00E1215B">
      <w:pPr>
        <w:rPr>
          <w:noProof/>
        </w:rPr>
      </w:pPr>
      <w:r>
        <w:rPr>
          <w:noProof/>
        </w:rPr>
        <w:t xml:space="preserve">Scope Ratings (2017) Corporate Schuldschein Market: Demand Bright, Pricing Tight </w:t>
      </w:r>
      <w:hyperlink r:id="rId107" w:history="1">
        <w:r>
          <w:rPr>
            <w:rStyle w:val="Hyperlink"/>
            <w:noProof/>
          </w:rPr>
          <w:t>https://www.scoperatings.com/research/details?ID=153337&amp;lC=EN</w:t>
        </w:r>
      </w:hyperlink>
      <w:r>
        <w:rPr>
          <w:noProof/>
        </w:rPr>
        <w:t xml:space="preserve"> </w:t>
      </w:r>
    </w:p>
    <w:p w:rsidR="00083C3F" w:rsidRDefault="00E1215B">
      <w:pPr>
        <w:rPr>
          <w:noProof/>
        </w:rPr>
      </w:pPr>
      <w:r>
        <w:rPr>
          <w:noProof/>
        </w:rPr>
        <w:t xml:space="preserve">Union. Brussels, 30.9.2015, SWD(2015) 183 final. </w:t>
      </w:r>
      <w:hyperlink r:id="rId108" w:history="1">
        <w:r>
          <w:rPr>
            <w:rStyle w:val="Hyperlink"/>
            <w:noProof/>
          </w:rPr>
          <w:t>http://ec.europa.eu/finance/capital-</w:t>
        </w:r>
      </w:hyperlink>
      <w:r>
        <w:rPr>
          <w:rStyle w:val="Hyperlink"/>
          <w:noProof/>
        </w:rPr>
        <w:t>marketsu</w:t>
      </w:r>
      <w:r>
        <w:rPr>
          <w:rStyle w:val="Hyperlink"/>
          <w:noProof/>
        </w:rPr>
        <w:t xml:space="preserve">nion/docs/building-cmu-economic-analysis_en.pdf </w:t>
      </w:r>
      <w:r>
        <w:rPr>
          <w:noProof/>
        </w:rPr>
        <w:t xml:space="preserve">  </w:t>
      </w:r>
    </w:p>
    <w:p w:rsidR="00083C3F" w:rsidRDefault="00E1215B">
      <w:pPr>
        <w:jc w:val="left"/>
        <w:rPr>
          <w:noProof/>
        </w:rPr>
      </w:pPr>
      <w:r>
        <w:rPr>
          <w:noProof/>
        </w:rPr>
        <w:t xml:space="preserve">University of Cambridge Centre for Alternative Finance (2016) Sustaining Momentum – The 2nd European Alternative Finance Industry Report. </w:t>
      </w:r>
      <w:hyperlink r:id="rId109" w:history="1">
        <w:r>
          <w:rPr>
            <w:rStyle w:val="Hyperlink"/>
            <w:noProof/>
          </w:rPr>
          <w:t>https://assets.kpmg.com/content/dam/kpmg/xx/pdf/2016/09/sustaining-momentum.pdf</w:t>
        </w:r>
      </w:hyperlink>
      <w:r>
        <w:rPr>
          <w:noProof/>
        </w:rPr>
        <w:t xml:space="preserve"> </w:t>
      </w:r>
    </w:p>
    <w:p w:rsidR="00083C3F" w:rsidRDefault="00E1215B">
      <w:pPr>
        <w:pStyle w:val="Heading4"/>
        <w:rPr>
          <w:noProof/>
        </w:rPr>
      </w:pPr>
      <w:r>
        <w:rPr>
          <w:noProof/>
        </w:rPr>
        <w:t>Chapter 3</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Bancel, F., &amp; Mittoo, U. R. (2009). Why do European firms go public? </w:t>
      </w:r>
      <w:r>
        <w:rPr>
          <w:rFonts w:ascii="Times New Roman" w:hAnsi="Times New Roman" w:cs="Times New Roman"/>
          <w:i/>
          <w:lang w:val="en-GB"/>
        </w:rPr>
        <w:t>European Financial Management, 15</w:t>
      </w:r>
      <w:r>
        <w:rPr>
          <w:rFonts w:ascii="Times New Roman" w:hAnsi="Times New Roman" w:cs="Times New Roman"/>
          <w:lang w:val="en-GB"/>
        </w:rPr>
        <w:t xml:space="preserve">(4), 844-884.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Brau, J. C., &amp;</w:t>
      </w:r>
      <w:r>
        <w:rPr>
          <w:rFonts w:ascii="Times New Roman" w:hAnsi="Times New Roman" w:cs="Times New Roman"/>
          <w:lang w:val="en-GB"/>
        </w:rPr>
        <w:t xml:space="preserve"> Fawcett, S. E. (2006). Initial public offerings: An analysis of theory and practice. </w:t>
      </w:r>
      <w:r>
        <w:rPr>
          <w:rFonts w:ascii="Times New Roman" w:hAnsi="Times New Roman" w:cs="Times New Roman"/>
          <w:i/>
          <w:lang w:val="en-GB"/>
        </w:rPr>
        <w:t>The Journal of Finance, 61</w:t>
      </w:r>
      <w:r>
        <w:rPr>
          <w:rFonts w:ascii="Times New Roman" w:hAnsi="Times New Roman" w:cs="Times New Roman"/>
          <w:lang w:val="en-GB"/>
        </w:rPr>
        <w:t xml:space="preserve">(1), 399-436.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Casey, E., &amp; O'Toole, C. M. (2014). Bank lending constraints, trade credit and alternative financing during the financial crisis:</w:t>
      </w:r>
      <w:r>
        <w:rPr>
          <w:rFonts w:ascii="Times New Roman" w:hAnsi="Times New Roman" w:cs="Times New Roman"/>
          <w:lang w:val="en-GB"/>
        </w:rPr>
        <w:t xml:space="preserve"> Evidence from European SMEs. </w:t>
      </w:r>
      <w:r>
        <w:rPr>
          <w:rFonts w:ascii="Times New Roman" w:hAnsi="Times New Roman" w:cs="Times New Roman"/>
          <w:i/>
          <w:lang w:val="en-GB"/>
        </w:rPr>
        <w:t>Journal of Corporate Finance, 27</w:t>
      </w:r>
      <w:r>
        <w:rPr>
          <w:rFonts w:ascii="Times New Roman" w:hAnsi="Times New Roman" w:cs="Times New Roman"/>
          <w:lang w:val="en-GB"/>
        </w:rPr>
        <w:t xml:space="preserve">, 173-193.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Celikyurt, U., Sevilir, M., &amp; Shivdasani, A. (2010). Going public to acquire? The acquisition motive in IPOs. </w:t>
      </w:r>
      <w:r>
        <w:rPr>
          <w:rFonts w:ascii="Times New Roman" w:hAnsi="Times New Roman" w:cs="Times New Roman"/>
          <w:i/>
          <w:lang w:val="en-GB"/>
        </w:rPr>
        <w:t>Journal of Financial Economics, 96</w:t>
      </w:r>
      <w:r>
        <w:rPr>
          <w:rFonts w:ascii="Times New Roman" w:hAnsi="Times New Roman" w:cs="Times New Roman"/>
          <w:lang w:val="en-GB"/>
        </w:rPr>
        <w:t xml:space="preserve">(3), 345-363. </w:t>
      </w:r>
    </w:p>
    <w:p w:rsidR="00083C3F" w:rsidRDefault="00E1215B">
      <w:pPr>
        <w:pStyle w:val="EndNoteBibliography"/>
        <w:spacing w:after="120"/>
        <w:jc w:val="both"/>
        <w:rPr>
          <w:rFonts w:cs="Times New Roman"/>
          <w:lang w:val="en-GB"/>
        </w:rPr>
      </w:pPr>
      <w:r>
        <w:rPr>
          <w:rFonts w:ascii="Times New Roman" w:hAnsi="Times New Roman" w:cs="Times New Roman"/>
          <w:lang w:val="en-GB"/>
        </w:rPr>
        <w:t>Campolongo F., Cariboni</w:t>
      </w:r>
      <w:r>
        <w:rPr>
          <w:rFonts w:ascii="Times New Roman" w:hAnsi="Times New Roman" w:cs="Times New Roman"/>
          <w:lang w:val="en-GB"/>
        </w:rPr>
        <w:t xml:space="preserve"> J., Hallak I., &amp; Rancan M. (2016). Cash holdings and debt issuance. Working paper. European Commission Joint Research Center.</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Cournède, B., Denk, O., &amp; Hoeller, P. (2015). Finance and inclusive growth </w:t>
      </w:r>
      <w:r>
        <w:rPr>
          <w:rFonts w:ascii="Times New Roman" w:hAnsi="Times New Roman" w:cs="Times New Roman"/>
          <w:i/>
          <w:lang w:val="en-GB"/>
        </w:rPr>
        <w:t>OECD Economic Policy Paper, 14</w:t>
      </w:r>
      <w:r>
        <w:rPr>
          <w:rFonts w:ascii="Times New Roman" w:hAnsi="Times New Roman" w:cs="Times New Roman"/>
          <w:lang w:val="en-GB"/>
        </w:rPr>
        <w:t>. https://papers.ssrn.co</w:t>
      </w:r>
      <w:r>
        <w:rPr>
          <w:rFonts w:ascii="Times New Roman" w:hAnsi="Times New Roman" w:cs="Times New Roman"/>
          <w:lang w:val="en-GB"/>
        </w:rPr>
        <w:t>m/sol3/papers.cfm?abstract_id=2649801</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Denis, D. J., &amp; Mihov, V. T. (2003). The choice among bank debt, non-bank private debt, and public debt: evidence from new corporate borrowings. </w:t>
      </w:r>
      <w:r>
        <w:rPr>
          <w:rFonts w:ascii="Times New Roman" w:hAnsi="Times New Roman" w:cs="Times New Roman"/>
          <w:i/>
          <w:lang w:val="en-GB"/>
        </w:rPr>
        <w:t>Journal of Financial Economics, 70</w:t>
      </w:r>
      <w:r>
        <w:rPr>
          <w:rFonts w:ascii="Times New Roman" w:hAnsi="Times New Roman" w:cs="Times New Roman"/>
          <w:lang w:val="en-GB"/>
        </w:rPr>
        <w:t xml:space="preserve">(1), 3-28.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lang w:val="en-GB"/>
        </w:rPr>
        <w:t>Didier, T., Levine, R., &amp; S</w:t>
      </w:r>
      <w:r>
        <w:rPr>
          <w:rFonts w:ascii="Times New Roman" w:hAnsi="Times New Roman"/>
          <w:lang w:val="en-GB"/>
        </w:rPr>
        <w:t xml:space="preserve">chmukler, S. L. (2014). </w:t>
      </w:r>
      <w:r>
        <w:rPr>
          <w:rFonts w:ascii="Times New Roman" w:hAnsi="Times New Roman" w:cs="Times New Roman"/>
          <w:lang w:val="en-GB"/>
        </w:rPr>
        <w:t xml:space="preserve">Capital Market Financing, Firm Growth, Firm Size Distribution. </w:t>
      </w:r>
      <w:r>
        <w:rPr>
          <w:rFonts w:ascii="Times New Roman" w:hAnsi="Times New Roman" w:cs="Times New Roman"/>
          <w:i/>
          <w:lang w:val="en-GB"/>
        </w:rPr>
        <w:t>National Bureau of Economic Research Working Paper Series, 20336</w:t>
      </w:r>
      <w:r>
        <w:rPr>
          <w:rFonts w:ascii="Times New Roman" w:hAnsi="Times New Roman" w:cs="Times New Roman"/>
          <w:lang w:val="en-GB"/>
        </w:rPr>
        <w:t>. doi:10.3386/w20336</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Dittmar, A. K., &amp; Dittmar, R. F. (2008). The timing of financing decisions: An exami</w:t>
      </w:r>
      <w:r>
        <w:rPr>
          <w:rFonts w:ascii="Times New Roman" w:hAnsi="Times New Roman" w:cs="Times New Roman"/>
          <w:lang w:val="en-GB"/>
        </w:rPr>
        <w:t xml:space="preserve">nation of the correlation in financing waves. </w:t>
      </w:r>
      <w:r>
        <w:rPr>
          <w:rFonts w:ascii="Times New Roman" w:hAnsi="Times New Roman" w:cs="Times New Roman"/>
          <w:i/>
          <w:lang w:val="en-GB"/>
        </w:rPr>
        <w:t>Journal of Financial Economics, 90</w:t>
      </w:r>
      <w:r>
        <w:rPr>
          <w:rFonts w:ascii="Times New Roman" w:hAnsi="Times New Roman" w:cs="Times New Roman"/>
          <w:lang w:val="en-GB"/>
        </w:rPr>
        <w:t xml:space="preserve">(1), 59-83.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ECB (2016), </w:t>
      </w:r>
      <w:r>
        <w:rPr>
          <w:rFonts w:ascii="Times New Roman" w:hAnsi="Times New Roman" w:cs="Times New Roman"/>
          <w:i/>
          <w:lang w:val="en-GB"/>
        </w:rPr>
        <w:t>Survey on the Access to Finance of Enterprises in the euro area</w:t>
      </w:r>
      <w:r>
        <w:rPr>
          <w:rFonts w:ascii="Times New Roman" w:hAnsi="Times New Roman" w:cs="Times New Roman"/>
          <w:lang w:val="en-GB"/>
        </w:rPr>
        <w:t>. https://www.ecb.europa.eu/stats/ecb_surveys/safe/html/index.en.html</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ECSIP (2013), Stud</w:t>
      </w:r>
      <w:r>
        <w:rPr>
          <w:rFonts w:ascii="Times New Roman" w:hAnsi="Times New Roman" w:cs="Times New Roman"/>
          <w:lang w:val="en-GB"/>
        </w:rPr>
        <w:t xml:space="preserve">y on support services for SMEs in international business </w:t>
      </w:r>
      <w:r>
        <w:rPr>
          <w:rFonts w:ascii="Times New Roman" w:hAnsi="Times New Roman" w:cs="Times New Roman"/>
          <w:i/>
          <w:lang w:val="en-GB"/>
        </w:rPr>
        <w:t>ECSIP Consortium, Rotterdam</w:t>
      </w:r>
      <w:r>
        <w:rPr>
          <w:rFonts w:ascii="Times New Roman" w:hAnsi="Times New Roman" w:cs="Times New Roman"/>
          <w:lang w:val="en-GB"/>
        </w:rPr>
        <w:t>. https://www.immoss.ro/usr/imagini/2013/2001/2029/1565-sme-supp-serv.pdf</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Eurostat. (2013). </w:t>
      </w:r>
      <w:r>
        <w:rPr>
          <w:rFonts w:ascii="Times New Roman" w:hAnsi="Times New Roman" w:cs="Times New Roman"/>
          <w:i/>
          <w:lang w:val="en-GB"/>
        </w:rPr>
        <w:t>European system of accounts: ESA 2010</w:t>
      </w:r>
      <w:r>
        <w:rPr>
          <w:rFonts w:ascii="Times New Roman" w:hAnsi="Times New Roman" w:cs="Times New Roman"/>
          <w:lang w:val="en-GB"/>
        </w:rPr>
        <w:t>, European Commission. http://ec.europa.eu/</w:t>
      </w:r>
      <w:r>
        <w:rPr>
          <w:rFonts w:ascii="Times New Roman" w:hAnsi="Times New Roman" w:cs="Times New Roman"/>
          <w:lang w:val="en-GB"/>
        </w:rPr>
        <w:t>eurostat/documents/3859598/5925693/KS-02-13-269-EN.PDF/44cd9d01-bc64-40e5-bd40-d17df0c69334</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de-DE"/>
        </w:rPr>
        <w:t xml:space="preserve">Erel, I., Julio, B., Kim, W., &amp; Weisbach, M. S. (2012). </w:t>
      </w:r>
      <w:r>
        <w:rPr>
          <w:rFonts w:ascii="Times New Roman" w:hAnsi="Times New Roman" w:cs="Times New Roman"/>
          <w:lang w:val="en-GB"/>
        </w:rPr>
        <w:t xml:space="preserve">Macroeconomic conditions and capital raising. </w:t>
      </w:r>
      <w:r>
        <w:rPr>
          <w:rFonts w:ascii="Times New Roman" w:hAnsi="Times New Roman" w:cs="Times New Roman"/>
          <w:i/>
          <w:lang w:val="en-GB"/>
        </w:rPr>
        <w:t>Review of Financial Studies, 25</w:t>
      </w:r>
      <w:r>
        <w:rPr>
          <w:rFonts w:ascii="Times New Roman" w:hAnsi="Times New Roman" w:cs="Times New Roman"/>
          <w:lang w:val="en-GB"/>
        </w:rPr>
        <w:t xml:space="preserve">(2), 341-376.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Ferrando, A., &amp; </w:t>
      </w:r>
      <w:r>
        <w:rPr>
          <w:rFonts w:ascii="Times New Roman" w:hAnsi="Times New Roman" w:cs="Times New Roman"/>
          <w:lang w:val="en-GB"/>
        </w:rPr>
        <w:t xml:space="preserve">Mulier, K. (2015). The real effects of credit constraints: Evidence from discouraged borrowers in the euro area. </w:t>
      </w:r>
      <w:r>
        <w:rPr>
          <w:rFonts w:ascii="Times New Roman" w:hAnsi="Times New Roman" w:cs="Times New Roman"/>
          <w:i/>
          <w:lang w:val="en-GB"/>
        </w:rPr>
        <w:t>ECB Working Paper Series 1842</w:t>
      </w:r>
      <w:r>
        <w:rPr>
          <w:rFonts w:ascii="Times New Roman" w:hAnsi="Times New Roman" w:cs="Times New Roman"/>
          <w:lang w:val="en-GB"/>
        </w:rPr>
        <w:t>. https://www.ecb.europa.eu/pub/pdf/scpwps/ecbwp1842.en.pdf?619f3288440cf4d1d463ebed036ddca7</w:t>
      </w:r>
    </w:p>
    <w:p w:rsidR="00083C3F" w:rsidRDefault="00E1215B">
      <w:pPr>
        <w:pStyle w:val="EndNoteBibliography"/>
        <w:rPr>
          <w:rFonts w:ascii="Times New Roman" w:hAnsi="Times New Roman" w:cs="Times New Roman"/>
          <w:lang w:val="en-GB"/>
        </w:rPr>
      </w:pPr>
      <w:r>
        <w:rPr>
          <w:rFonts w:ascii="Times New Roman" w:hAnsi="Times New Roman" w:cs="Times New Roman"/>
          <w:lang w:val="en-GB"/>
        </w:rPr>
        <w:t>FESE (Federation of t</w:t>
      </w:r>
      <w:r>
        <w:rPr>
          <w:rFonts w:ascii="Times New Roman" w:hAnsi="Times New Roman" w:cs="Times New Roman"/>
          <w:lang w:val="en-GB"/>
        </w:rPr>
        <w:t xml:space="preserve">he European Securities Exchanges). 2015. </w:t>
      </w:r>
      <w:r>
        <w:rPr>
          <w:rFonts w:ascii="Times New Roman" w:hAnsi="Times New Roman" w:cs="Times New Roman"/>
          <w:i/>
          <w:lang w:val="en-GB"/>
        </w:rPr>
        <w:t>EU IPO Report: Rebuilding IPOs in Europe. Creating jobs and growth in European capital markets.</w:t>
      </w:r>
      <w:r>
        <w:rPr>
          <w:rFonts w:ascii="Times New Roman" w:hAnsi="Times New Roman" w:cs="Times New Roman"/>
          <w:lang w:val="en-GB"/>
        </w:rPr>
        <w:t xml:space="preserve"> European IPO Task Force, 23 March.</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it-IT"/>
        </w:rPr>
        <w:t xml:space="preserve">Gozzi, J. C., Levine, R., Peria, M. S. M., &amp; Schmukler, S. L. (2012). </w:t>
      </w:r>
      <w:r>
        <w:rPr>
          <w:rFonts w:ascii="Times New Roman" w:hAnsi="Times New Roman" w:cs="Times New Roman"/>
          <w:lang w:val="en-GB"/>
        </w:rPr>
        <w:t xml:space="preserve">How firms use </w:t>
      </w:r>
      <w:r>
        <w:rPr>
          <w:rFonts w:ascii="Times New Roman" w:hAnsi="Times New Roman" w:cs="Times New Roman"/>
          <w:lang w:val="en-GB"/>
        </w:rPr>
        <w:t xml:space="preserve">domestic and international corporate bond markets. </w:t>
      </w:r>
      <w:r>
        <w:rPr>
          <w:rFonts w:ascii="Times New Roman" w:hAnsi="Times New Roman" w:cs="Times New Roman"/>
          <w:i/>
          <w:lang w:val="en-GB"/>
        </w:rPr>
        <w:t>National Bureau of Economic Research Working Paper, 17763</w:t>
      </w:r>
      <w:r>
        <w:rPr>
          <w:rFonts w:ascii="Times New Roman" w:hAnsi="Times New Roman" w:cs="Times New Roman"/>
          <w:lang w:val="en-GB"/>
        </w:rPr>
        <w:t xml:space="preserve">. </w:t>
      </w:r>
      <w:r>
        <w:rPr>
          <w:rFonts w:ascii="Times New Roman" w:hAnsi="Times New Roman" w:cs="Times New Roman"/>
          <w:iCs/>
          <w:lang w:val="en-GB"/>
        </w:rPr>
        <w:t>www.nber.org/papers/w17763</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Hale, G., &amp; Santos, J. A. (2008). The decision to first enter the public bond market: The role of firm reputation, fund</w:t>
      </w:r>
      <w:r>
        <w:rPr>
          <w:rFonts w:ascii="Times New Roman" w:hAnsi="Times New Roman" w:cs="Times New Roman"/>
          <w:lang w:val="en-GB"/>
        </w:rPr>
        <w:t xml:space="preserve">ing choices, and bank relationships. </w:t>
      </w:r>
      <w:r>
        <w:rPr>
          <w:rFonts w:ascii="Times New Roman" w:hAnsi="Times New Roman" w:cs="Times New Roman"/>
          <w:i/>
          <w:lang w:val="en-GB"/>
        </w:rPr>
        <w:t>Journal of Banking &amp; Finance, 32</w:t>
      </w:r>
      <w:r>
        <w:rPr>
          <w:rFonts w:ascii="Times New Roman" w:hAnsi="Times New Roman" w:cs="Times New Roman"/>
          <w:lang w:val="en-GB"/>
        </w:rPr>
        <w:t xml:space="preserve">(9), 1928-1940.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Harwood, A., &amp; Konidaris, T. (2015). SME exchanges in emerging market economies: a stocktaking of development practices. </w:t>
      </w:r>
      <w:r>
        <w:rPr>
          <w:rFonts w:ascii="Times New Roman" w:hAnsi="Times New Roman" w:cs="Times New Roman"/>
          <w:i/>
          <w:lang w:val="en-GB"/>
        </w:rPr>
        <w:t>World Bank Policy Research Working Paper 7160</w:t>
      </w:r>
      <w:r>
        <w:rPr>
          <w:rFonts w:ascii="Times New Roman" w:hAnsi="Times New Roman" w:cs="Times New Roman"/>
          <w:lang w:val="en-GB"/>
        </w:rPr>
        <w:t xml:space="preserve">, 42.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Helwege, J., Pirinsky, C., &amp; Stulz, R. M. (2007). Why do firms become widely held? An analysis of the dynamics of corporate ownership. </w:t>
      </w:r>
      <w:r>
        <w:rPr>
          <w:rFonts w:ascii="Times New Roman" w:hAnsi="Times New Roman" w:cs="Times New Roman"/>
          <w:i/>
          <w:lang w:val="en-GB"/>
        </w:rPr>
        <w:t>Journal of Finance, 62</w:t>
      </w:r>
      <w:r>
        <w:rPr>
          <w:rFonts w:ascii="Times New Roman" w:hAnsi="Times New Roman" w:cs="Times New Roman"/>
          <w:lang w:val="en-GB"/>
        </w:rPr>
        <w:t xml:space="preserve">(3), 995-1028.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La Porta, R., Lopez-de-Silanes, F., Shleifer, A., &amp; Vishny, R. W. (1997). Le</w:t>
      </w:r>
      <w:r>
        <w:rPr>
          <w:rFonts w:ascii="Times New Roman" w:hAnsi="Times New Roman" w:cs="Times New Roman"/>
          <w:lang w:val="en-GB"/>
        </w:rPr>
        <w:t xml:space="preserve">gal determinants of external finance. </w:t>
      </w:r>
      <w:r>
        <w:rPr>
          <w:rFonts w:ascii="Times New Roman" w:hAnsi="Times New Roman" w:cs="Times New Roman"/>
          <w:i/>
          <w:lang w:val="en-GB"/>
        </w:rPr>
        <w:t>Journal of Finance</w:t>
      </w:r>
      <w:r>
        <w:rPr>
          <w:rFonts w:ascii="Times New Roman" w:hAnsi="Times New Roman" w:cs="Times New Roman"/>
          <w:lang w:val="en-GB"/>
        </w:rPr>
        <w:t xml:space="preserve">, 1131-1150.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Leuz, C., Triantis, A., &amp; Wang, T. Y. (2008). Why do firms go dark? Causes and economic consequences of voluntary SEC deregistrations. </w:t>
      </w:r>
      <w:r>
        <w:rPr>
          <w:rFonts w:ascii="Times New Roman" w:hAnsi="Times New Roman" w:cs="Times New Roman"/>
          <w:i/>
          <w:lang w:val="en-GB"/>
        </w:rPr>
        <w:t>Journal of Accounting and Economics, 45</w:t>
      </w:r>
      <w:r>
        <w:rPr>
          <w:rFonts w:ascii="Times New Roman" w:hAnsi="Times New Roman" w:cs="Times New Roman"/>
          <w:lang w:val="en-GB"/>
        </w:rPr>
        <w:t xml:space="preserve">(2), 181-208.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Marosi, A., &amp; Massoud, N. (2007). Why do firms go dark? </w:t>
      </w:r>
      <w:r>
        <w:rPr>
          <w:rFonts w:ascii="Times New Roman" w:hAnsi="Times New Roman" w:cs="Times New Roman"/>
          <w:i/>
          <w:lang w:val="en-GB"/>
        </w:rPr>
        <w:t>Journal of Financial and Quantitative Analysis, 42</w:t>
      </w:r>
      <w:r>
        <w:rPr>
          <w:rFonts w:ascii="Times New Roman" w:hAnsi="Times New Roman" w:cs="Times New Roman"/>
          <w:lang w:val="en-GB"/>
        </w:rPr>
        <w:t xml:space="preserve">(02), 421-442.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Martinez, I., &amp; Serve, S. (2016). Reasons for delisting and consequences: A literature review and research agenda. </w:t>
      </w:r>
      <w:r>
        <w:rPr>
          <w:rFonts w:ascii="Times New Roman" w:hAnsi="Times New Roman" w:cs="Times New Roman"/>
          <w:i/>
          <w:lang w:val="en-GB"/>
        </w:rPr>
        <w:t>Jour</w:t>
      </w:r>
      <w:r>
        <w:rPr>
          <w:rFonts w:ascii="Times New Roman" w:hAnsi="Times New Roman" w:cs="Times New Roman"/>
          <w:i/>
          <w:lang w:val="en-GB"/>
        </w:rPr>
        <w:t>nal of Economic Surveys</w:t>
      </w:r>
      <w:r>
        <w:rPr>
          <w:rFonts w:ascii="Times New Roman" w:hAnsi="Times New Roman" w:cs="Times New Roman"/>
          <w:lang w:val="en-GB"/>
        </w:rPr>
        <w:t>.</w:t>
      </w:r>
      <w:r>
        <w:rPr>
          <w:rFonts w:ascii="Times New Roman" w:hAnsi="Times New Roman" w:cs="Times New Roman"/>
          <w:i/>
          <w:lang w:val="en-GB"/>
        </w:rPr>
        <w:t xml:space="preserve"> </w:t>
      </w:r>
      <w:r>
        <w:rPr>
          <w:rFonts w:ascii="Times New Roman" w:hAnsi="Times New Roman" w:cs="Times New Roman"/>
          <w:lang w:val="en-GB"/>
        </w:rPr>
        <w:t xml:space="preserve">doi:10.1111/joes.12170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Masiak, C., Moritz, A., &amp; Lange, D. (2017). </w:t>
      </w:r>
      <w:r>
        <w:rPr>
          <w:rFonts w:ascii="Times New Roman" w:hAnsi="Times New Roman" w:cs="Times New Roman"/>
          <w:i/>
          <w:lang w:val="en-GB"/>
        </w:rPr>
        <w:t>Financing Patterns of European SMEs Revisited: An Updated Empirical  Taxonomy and Determinants of SME Financing Clusters</w:t>
      </w:r>
      <w:r>
        <w:rPr>
          <w:rFonts w:ascii="Times New Roman" w:hAnsi="Times New Roman" w:cs="Times New Roman"/>
          <w:lang w:val="en-GB"/>
        </w:rPr>
        <w:t>. http://www.eif.org/news_centre/publicatio</w:t>
      </w:r>
      <w:r>
        <w:rPr>
          <w:rFonts w:ascii="Times New Roman" w:hAnsi="Times New Roman" w:cs="Times New Roman"/>
          <w:lang w:val="en-GB"/>
        </w:rPr>
        <w:t>ns/eif_wp_40.pdf</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fi-FI"/>
        </w:rPr>
        <w:t xml:space="preserve">Mizen, P., Tsoukalas, J. D., &amp; Tsoukas, S. (2009). </w:t>
      </w:r>
      <w:r>
        <w:rPr>
          <w:rFonts w:ascii="Times New Roman" w:hAnsi="Times New Roman" w:cs="Times New Roman"/>
          <w:i/>
          <w:lang w:val="en-GB"/>
        </w:rPr>
        <w:t>How Does Reputation Influence a Firm's Decision to Issue Corporate Bonds? New Evidence From Initial and Seasoned Public Debt Offerings</w:t>
      </w:r>
      <w:r>
        <w:rPr>
          <w:rFonts w:ascii="Times New Roman" w:hAnsi="Times New Roman" w:cs="Times New Roman"/>
          <w:lang w:val="en-GB"/>
        </w:rPr>
        <w:t xml:space="preserve">.  http://dx.doi.org/10.2139/ssrn.1108532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it-IT"/>
        </w:rPr>
        <w:t>Modigliani,</w:t>
      </w:r>
      <w:r>
        <w:rPr>
          <w:rFonts w:ascii="Times New Roman" w:hAnsi="Times New Roman" w:cs="Times New Roman"/>
          <w:lang w:val="it-IT"/>
        </w:rPr>
        <w:t xml:space="preserve"> F., &amp; Miller, M. H. (1958). </w:t>
      </w:r>
      <w:r>
        <w:rPr>
          <w:rFonts w:ascii="Times New Roman" w:hAnsi="Times New Roman" w:cs="Times New Roman"/>
          <w:lang w:val="en-GB"/>
        </w:rPr>
        <w:t xml:space="preserve">The cost of capital, corporation finance and the theory of investment. </w:t>
      </w:r>
      <w:r>
        <w:rPr>
          <w:rFonts w:ascii="Times New Roman" w:hAnsi="Times New Roman" w:cs="Times New Roman"/>
          <w:i/>
          <w:lang w:val="en-GB"/>
        </w:rPr>
        <w:t>The American Economic Review</w:t>
      </w:r>
      <w:r>
        <w:rPr>
          <w:rFonts w:ascii="Times New Roman" w:hAnsi="Times New Roman" w:cs="Times New Roman"/>
          <w:lang w:val="en-GB"/>
        </w:rPr>
        <w:t xml:space="preserve">, 261-297.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Modigliani, F., &amp; Miller, M. H. (1963). Corporate income taxes and the cost of capital: a correction. </w:t>
      </w:r>
      <w:r>
        <w:rPr>
          <w:rFonts w:ascii="Times New Roman" w:hAnsi="Times New Roman" w:cs="Times New Roman"/>
          <w:i/>
          <w:lang w:val="en-GB"/>
        </w:rPr>
        <w:t>The American E</w:t>
      </w:r>
      <w:r>
        <w:rPr>
          <w:rFonts w:ascii="Times New Roman" w:hAnsi="Times New Roman" w:cs="Times New Roman"/>
          <w:i/>
          <w:lang w:val="en-GB"/>
        </w:rPr>
        <w:t>conomic Review, 53</w:t>
      </w:r>
      <w:r>
        <w:rPr>
          <w:rFonts w:ascii="Times New Roman" w:hAnsi="Times New Roman" w:cs="Times New Roman"/>
          <w:lang w:val="en-GB"/>
        </w:rPr>
        <w:t xml:space="preserve">(3), 433-443.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Myers, S. C. (1984). The capital structure puzzle. </w:t>
      </w:r>
      <w:r>
        <w:rPr>
          <w:rFonts w:ascii="Times New Roman" w:hAnsi="Times New Roman" w:cs="Times New Roman"/>
          <w:i/>
          <w:lang w:val="en-GB"/>
        </w:rPr>
        <w:t>The Journal of Finance, 39</w:t>
      </w:r>
      <w:r>
        <w:rPr>
          <w:rFonts w:ascii="Times New Roman" w:hAnsi="Times New Roman" w:cs="Times New Roman"/>
          <w:lang w:val="en-GB"/>
        </w:rPr>
        <w:t xml:space="preserve">(3), 574-592.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lang w:val="en-GB"/>
        </w:rPr>
        <w:t xml:space="preserve">Myers, S. C., &amp; Majluf, N. S. (1984). </w:t>
      </w:r>
      <w:r>
        <w:rPr>
          <w:rFonts w:ascii="Times New Roman" w:hAnsi="Times New Roman" w:cs="Times New Roman"/>
          <w:lang w:val="en-GB"/>
        </w:rPr>
        <w:t>Corporate financing and investment decisions when firms have information that investors do no</w:t>
      </w:r>
      <w:r>
        <w:rPr>
          <w:rFonts w:ascii="Times New Roman" w:hAnsi="Times New Roman" w:cs="Times New Roman"/>
          <w:lang w:val="en-GB"/>
        </w:rPr>
        <w:t xml:space="preserve">t have. </w:t>
      </w:r>
      <w:r>
        <w:rPr>
          <w:rFonts w:ascii="Times New Roman" w:hAnsi="Times New Roman" w:cs="Times New Roman"/>
          <w:i/>
          <w:lang w:val="en-GB"/>
        </w:rPr>
        <w:t>Journal of Financial Economics, 13</w:t>
      </w:r>
      <w:r>
        <w:rPr>
          <w:rFonts w:ascii="Times New Roman" w:hAnsi="Times New Roman" w:cs="Times New Roman"/>
          <w:lang w:val="en-GB"/>
        </w:rPr>
        <w:t xml:space="preserve">(2), 187-221.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OECD (2015a). </w:t>
      </w:r>
      <w:r>
        <w:rPr>
          <w:rFonts w:ascii="Times New Roman" w:hAnsi="Times New Roman" w:cs="Times New Roman"/>
          <w:i/>
          <w:lang w:val="en-GB"/>
        </w:rPr>
        <w:t xml:space="preserve">Growth companies, acces to capital markets and corporate </w:t>
      </w:r>
      <w:r>
        <w:rPr>
          <w:rFonts w:ascii="Times New Roman" w:hAnsi="Times New Roman" w:cs="Times New Roman"/>
          <w:lang w:val="en-GB"/>
        </w:rPr>
        <w:t>governance. OECD report to G20 Finance Ministers and Central Bank Governors. http://www.oecd.org/g20/topics/framework-strong-sus</w:t>
      </w:r>
      <w:r>
        <w:rPr>
          <w:rFonts w:ascii="Times New Roman" w:hAnsi="Times New Roman" w:cs="Times New Roman"/>
          <w:lang w:val="en-GB"/>
        </w:rPr>
        <w:t>tainable-balanced-growth/OECD-Growth-Companies-Access-to-Capital-Markets-and-Corporate-Governance.pdf</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OECD (2015b). </w:t>
      </w:r>
      <w:r>
        <w:rPr>
          <w:rFonts w:ascii="Times New Roman" w:hAnsi="Times New Roman" w:cs="Times New Roman"/>
          <w:i/>
          <w:lang w:val="en-GB"/>
        </w:rPr>
        <w:t>Opportunities and constraints of market-based financing for SMEs</w:t>
      </w:r>
      <w:r>
        <w:rPr>
          <w:rFonts w:ascii="Times New Roman" w:hAnsi="Times New Roman" w:cs="Times New Roman"/>
          <w:lang w:val="en-GB"/>
        </w:rPr>
        <w:t>.</w:t>
      </w:r>
      <w:r>
        <w:rPr>
          <w:rFonts w:ascii="Times New Roman" w:hAnsi="Times New Roman" w:cs="Times New Roman"/>
          <w:i/>
          <w:lang w:val="en-GB"/>
        </w:rPr>
        <w:t xml:space="preserve"> </w:t>
      </w:r>
      <w:r>
        <w:rPr>
          <w:rFonts w:ascii="Times New Roman" w:hAnsi="Times New Roman" w:cs="Times New Roman"/>
          <w:lang w:val="en-GB"/>
        </w:rPr>
        <w:t>OECD report to G20 Finance Ministers and Central Bank Governors. https://w</w:t>
      </w:r>
      <w:r>
        <w:rPr>
          <w:rFonts w:ascii="Times New Roman" w:hAnsi="Times New Roman" w:cs="Times New Roman"/>
          <w:lang w:val="en-GB"/>
        </w:rPr>
        <w:t>ww.oecd.org/finance/financial-markets/Opportunities-and-Constraints-of-Market-based-Financing-for-SMEs.pdf</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OECD (2016). Changing business models of stock exchanges and stock market fragmentation. </w:t>
      </w:r>
      <w:r>
        <w:rPr>
          <w:rFonts w:ascii="Times New Roman" w:hAnsi="Times New Roman" w:cs="Times New Roman"/>
          <w:i/>
          <w:lang w:val="en-GB"/>
        </w:rPr>
        <w:t xml:space="preserve">OECD Business and Finance Outlook 2016. </w:t>
      </w:r>
      <w:r>
        <w:rPr>
          <w:rFonts w:ascii="Times New Roman" w:hAnsi="Times New Roman" w:cs="Times New Roman"/>
          <w:lang w:val="en-GB"/>
        </w:rPr>
        <w:t>Paris: OECD Publishi</w:t>
      </w:r>
      <w:r>
        <w:rPr>
          <w:rFonts w:ascii="Times New Roman" w:hAnsi="Times New Roman" w:cs="Times New Roman"/>
          <w:lang w:val="en-GB"/>
        </w:rPr>
        <w:t>ng.</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lang w:val="en-GB"/>
        </w:rPr>
        <w:t xml:space="preserve">Pagano, M., Panetta, F., &amp; Zingales, L. (1998). </w:t>
      </w:r>
      <w:r>
        <w:rPr>
          <w:rFonts w:ascii="Times New Roman" w:hAnsi="Times New Roman" w:cs="Times New Roman"/>
          <w:lang w:val="en-GB"/>
        </w:rPr>
        <w:t xml:space="preserve">Why do companies go public? An empirical analysis. </w:t>
      </w:r>
      <w:r>
        <w:rPr>
          <w:rFonts w:ascii="Times New Roman" w:hAnsi="Times New Roman" w:cs="Times New Roman"/>
          <w:i/>
          <w:lang w:val="en-GB"/>
        </w:rPr>
        <w:t>The Journal of Finance, 53</w:t>
      </w:r>
      <w:r>
        <w:rPr>
          <w:rFonts w:ascii="Times New Roman" w:hAnsi="Times New Roman" w:cs="Times New Roman"/>
          <w:lang w:val="en-GB"/>
        </w:rPr>
        <w:t xml:space="preserve">(1), 27-64.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Ritter, J. R., Signori, A., &amp; Vismara, S. (2013). </w:t>
      </w:r>
      <w:r>
        <w:rPr>
          <w:rFonts w:ascii="Times New Roman" w:hAnsi="Times New Roman" w:cs="Times New Roman"/>
          <w:i/>
          <w:lang w:val="en-GB"/>
        </w:rPr>
        <w:t xml:space="preserve">Economies of Scope and IPO Activity in Europe </w:t>
      </w:r>
      <w:r>
        <w:rPr>
          <w:rFonts w:ascii="Times New Roman" w:hAnsi="Times New Roman" w:cs="Times New Roman"/>
          <w:lang w:val="en-GB"/>
        </w:rPr>
        <w:t>http://dx.doi.org/</w:t>
      </w:r>
      <w:r>
        <w:rPr>
          <w:rFonts w:ascii="Times New Roman" w:hAnsi="Times New Roman" w:cs="Times New Roman"/>
          <w:lang w:val="en-GB"/>
        </w:rPr>
        <w:t>10.2139/ssrn.2169966</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it-IT"/>
        </w:rPr>
        <w:t xml:space="preserve">Rose, P., &amp; Solomon, S. D. (2016). </w:t>
      </w:r>
      <w:r>
        <w:rPr>
          <w:rFonts w:ascii="Times New Roman" w:hAnsi="Times New Roman" w:cs="Times New Roman"/>
          <w:lang w:val="en-GB"/>
        </w:rPr>
        <w:t xml:space="preserve">Where Have All the IPOs Gone: The Hard Life of the Small IPO. </w:t>
      </w:r>
      <w:r>
        <w:rPr>
          <w:rFonts w:ascii="Times New Roman" w:hAnsi="Times New Roman" w:cs="Times New Roman"/>
          <w:i/>
          <w:lang w:val="en-GB"/>
        </w:rPr>
        <w:t>Harvard Business Law Review, 6</w:t>
      </w:r>
      <w:r>
        <w:rPr>
          <w:rFonts w:ascii="Times New Roman" w:hAnsi="Times New Roman" w:cs="Times New Roman"/>
          <w:lang w:val="en-GB"/>
        </w:rPr>
        <w:t xml:space="preserve">, 83.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Weild, D., &amp; Kim, E. (2009). </w:t>
      </w:r>
      <w:r>
        <w:rPr>
          <w:rFonts w:ascii="Times New Roman" w:hAnsi="Times New Roman" w:cs="Times New Roman"/>
          <w:i/>
          <w:lang w:val="en-GB"/>
        </w:rPr>
        <w:t>A wake-up call for America</w:t>
      </w:r>
      <w:r>
        <w:rPr>
          <w:rFonts w:ascii="Times New Roman" w:hAnsi="Times New Roman" w:cs="Times New Roman"/>
          <w:lang w:val="en-GB"/>
        </w:rPr>
        <w:t xml:space="preserve"> (Grant Thornton Capital Market Series). http://www.academia.edu/download/40004488/A_wake-up_call_for_corporate_America20151114-19276-1ilkq07.pdf</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Wright, W., &amp; Bax, L. (2016). </w:t>
      </w:r>
      <w:r>
        <w:rPr>
          <w:rFonts w:ascii="Times New Roman" w:hAnsi="Times New Roman" w:cs="Times New Roman"/>
          <w:i/>
          <w:lang w:val="en-GB"/>
        </w:rPr>
        <w:t>What do EU capital markets look like post-Brexit?</w:t>
      </w:r>
      <w:r>
        <w:rPr>
          <w:rFonts w:ascii="Times New Roman" w:hAnsi="Times New Roman" w:cs="Times New Roman"/>
          <w:lang w:val="en-GB"/>
        </w:rPr>
        <w:t xml:space="preserve"> New Financial. http://newfinan</w:t>
      </w:r>
      <w:r>
        <w:rPr>
          <w:rFonts w:ascii="Times New Roman" w:hAnsi="Times New Roman" w:cs="Times New Roman"/>
          <w:lang w:val="en-GB"/>
        </w:rPr>
        <w:t>cial.eu/wp-content/uploads/2016/09/2016.09-What-do-EU-capital-markets-look-like-post-Brexit-a-report-by-New-Financial.pdf</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 xml:space="preserve">Wright, W., Driving growth: Making the case for bigger and better capita markets in Europe. (2014). </w:t>
      </w:r>
      <w:r>
        <w:rPr>
          <w:rFonts w:ascii="Times New Roman" w:hAnsi="Times New Roman" w:cs="Times New Roman"/>
          <w:i/>
          <w:lang w:val="en-GB"/>
        </w:rPr>
        <w:t>Driving growth: Making the case fo</w:t>
      </w:r>
      <w:r>
        <w:rPr>
          <w:rFonts w:ascii="Times New Roman" w:hAnsi="Times New Roman" w:cs="Times New Roman"/>
          <w:i/>
          <w:lang w:val="en-GB"/>
        </w:rPr>
        <w:t>r bigger and better capital markets in Europe</w:t>
      </w:r>
      <w:r>
        <w:rPr>
          <w:rFonts w:ascii="Times New Roman" w:hAnsi="Times New Roman" w:cs="Times New Roman"/>
          <w:lang w:val="en-GB"/>
        </w:rPr>
        <w:t>. New Financial. newfinancial.eu/driving-growth-case-bigger-better-capital-markets/</w:t>
      </w:r>
    </w:p>
    <w:p w:rsidR="00083C3F" w:rsidRDefault="00E1215B">
      <w:pPr>
        <w:pStyle w:val="EndNoteBibliography"/>
        <w:spacing w:after="120"/>
        <w:rPr>
          <w:rFonts w:ascii="Times New Roman" w:hAnsi="Times New Roman" w:cs="Times New Roman"/>
          <w:lang w:val="en-GB"/>
        </w:rPr>
      </w:pPr>
      <w:r>
        <w:rPr>
          <w:rFonts w:ascii="Times New Roman" w:hAnsi="Times New Roman" w:cs="Times New Roman"/>
          <w:lang w:val="en-GB"/>
        </w:rPr>
        <w:t xml:space="preserve">World Federation of Exchanges (FESE). (2016). </w:t>
      </w:r>
      <w:r>
        <w:rPr>
          <w:rFonts w:ascii="Times New Roman" w:hAnsi="Times New Roman" w:cs="Times New Roman"/>
          <w:i/>
          <w:lang w:val="en-GB"/>
        </w:rPr>
        <w:t>WFE Report on SME Exchanges</w:t>
      </w:r>
      <w:r>
        <w:rPr>
          <w:rFonts w:ascii="Times New Roman" w:hAnsi="Times New Roman" w:cs="Times New Roman"/>
          <w:lang w:val="en-GB"/>
        </w:rPr>
        <w:t xml:space="preserve">. </w:t>
      </w:r>
    </w:p>
    <w:p w:rsidR="00083C3F" w:rsidRDefault="00E1215B">
      <w:pPr>
        <w:pStyle w:val="EndNoteBibliography"/>
        <w:spacing w:after="120"/>
        <w:jc w:val="both"/>
        <w:rPr>
          <w:rFonts w:ascii="Times New Roman" w:hAnsi="Times New Roman" w:cs="Times New Roman"/>
          <w:lang w:val="en-GB"/>
        </w:rPr>
      </w:pPr>
      <w:r>
        <w:rPr>
          <w:rFonts w:ascii="Times New Roman" w:hAnsi="Times New Roman" w:cs="Times New Roman"/>
          <w:lang w:val="en-GB"/>
        </w:rPr>
        <w:t>Zingales, L. (1995). Insider ownership and the deci</w:t>
      </w:r>
      <w:r>
        <w:rPr>
          <w:rFonts w:ascii="Times New Roman" w:hAnsi="Times New Roman" w:cs="Times New Roman"/>
          <w:lang w:val="en-GB"/>
        </w:rPr>
        <w:t xml:space="preserve">sion to go public. </w:t>
      </w:r>
      <w:r>
        <w:rPr>
          <w:rFonts w:ascii="Times New Roman" w:hAnsi="Times New Roman" w:cs="Times New Roman"/>
          <w:i/>
          <w:lang w:val="en-GB"/>
        </w:rPr>
        <w:t>The Review of Economic Studies, 62</w:t>
      </w:r>
      <w:r>
        <w:rPr>
          <w:rFonts w:ascii="Times New Roman" w:hAnsi="Times New Roman" w:cs="Times New Roman"/>
          <w:lang w:val="en-GB"/>
        </w:rPr>
        <w:t xml:space="preserve">(3), 425-448. </w:t>
      </w:r>
    </w:p>
    <w:p w:rsidR="00083C3F" w:rsidRDefault="00E1215B">
      <w:pPr>
        <w:pStyle w:val="Heading4"/>
        <w:rPr>
          <w:noProof/>
        </w:rPr>
      </w:pPr>
      <w:r>
        <w:rPr>
          <w:noProof/>
        </w:rPr>
        <w:t>Chapter 4</w:t>
      </w:r>
    </w:p>
    <w:p w:rsidR="00083C3F" w:rsidRDefault="00E1215B">
      <w:pPr>
        <w:rPr>
          <w:noProof/>
        </w:rPr>
      </w:pPr>
      <w:r>
        <w:rPr>
          <w:noProof/>
        </w:rPr>
        <w:t>Association for Financial Markets in Europe (2016), Securitisation Data Report Q4 2016, https://www.afme.eu/en/reports/Statistics/afme-securitisation-data-report-q4-2016/</w:t>
      </w:r>
    </w:p>
    <w:p w:rsidR="00083C3F" w:rsidRDefault="00E1215B">
      <w:pPr>
        <w:rPr>
          <w:noProof/>
        </w:rPr>
      </w:pPr>
      <w:r>
        <w:rPr>
          <w:noProof/>
        </w:rPr>
        <w:t>Europea</w:t>
      </w:r>
      <w:r>
        <w:rPr>
          <w:noProof/>
        </w:rPr>
        <w:t xml:space="preserve">n Banking Authority (2016) Report on Covered Bonds, Recommendations on Harmonisation of Covered Bond Frameworks in the EU, December 2016. </w:t>
      </w:r>
      <w:hyperlink r:id="rId110" w:history="1">
        <w:r>
          <w:rPr>
            <w:rStyle w:val="Hyperlink"/>
            <w:rFonts w:cs="Times New Roman"/>
            <w:noProof/>
            <w:sz w:val="20"/>
            <w:szCs w:val="20"/>
          </w:rPr>
          <w:t>htt</w:t>
        </w:r>
        <w:r>
          <w:rPr>
            <w:rStyle w:val="Hyperlink"/>
            <w:rFonts w:cs="Times New Roman"/>
            <w:noProof/>
            <w:sz w:val="20"/>
            <w:szCs w:val="20"/>
          </w:rPr>
          <w:t>ps://www.eba.europa.eu/documents/10180/1699643/EBA+Report+on+Covered+Bonds+(EBA-Op-2016-23).pdf</w:t>
        </w:r>
      </w:hyperlink>
    </w:p>
    <w:p w:rsidR="00083C3F" w:rsidRDefault="00E1215B">
      <w:pPr>
        <w:rPr>
          <w:noProof/>
        </w:rPr>
      </w:pPr>
      <w:r>
        <w:rPr>
          <w:noProof/>
        </w:rPr>
        <w:t>European Banking Authority (2016) Report on the Dynamics and Drivers of Non-Performing Exposures in the EU Banking Sector, 22 July 2016. https://www.eba.europa.</w:t>
      </w:r>
      <w:r>
        <w:rPr>
          <w:noProof/>
        </w:rPr>
        <w:t>eu/documents/10180/1360107/EBA+Report+on+NPLs.pdf</w:t>
      </w:r>
    </w:p>
    <w:p w:rsidR="00083C3F" w:rsidRDefault="00E1215B">
      <w:pPr>
        <w:rPr>
          <w:noProof/>
        </w:rPr>
      </w:pPr>
      <w:r>
        <w:rPr>
          <w:noProof/>
        </w:rPr>
        <w:t>PWC (2016) Summary of 7th annual European Bank Restructuring Conference, March 2016. http://www.pwc.co.uk/services/transaction-services/insights/european-bank-restructuring-conference-2016-summary.html</w:t>
      </w:r>
    </w:p>
    <w:p w:rsidR="00083C3F" w:rsidRDefault="00E1215B">
      <w:pPr>
        <w:pStyle w:val="Heading4"/>
        <w:rPr>
          <w:noProof/>
        </w:rPr>
      </w:pPr>
      <w:r>
        <w:rPr>
          <w:noProof/>
        </w:rPr>
        <w:t>Chap</w:t>
      </w:r>
      <w:r>
        <w:rPr>
          <w:noProof/>
        </w:rPr>
        <w:t>ter 5</w:t>
      </w:r>
    </w:p>
    <w:p w:rsidR="00083C3F" w:rsidRDefault="00E1215B">
      <w:pPr>
        <w:rPr>
          <w:noProof/>
        </w:rPr>
      </w:pPr>
      <w:r>
        <w:rPr>
          <w:noProof/>
        </w:rPr>
        <w:t>Della Croce, R. (2011) Pension Funds Investment in Infrastructure: Policy Actions, OECD Working Papers on Finance, Insurance and Private Pensions, No. 13, OECD Publishing.</w:t>
      </w:r>
    </w:p>
    <w:p w:rsidR="00083C3F" w:rsidRDefault="00E1215B">
      <w:pPr>
        <w:rPr>
          <w:noProof/>
        </w:rPr>
      </w:pPr>
      <w:r>
        <w:rPr>
          <w:noProof/>
        </w:rPr>
        <w:t>Della Croce, R., J. Yermo (2013) Institutional investors and infrastructure fi</w:t>
      </w:r>
      <w:r>
        <w:rPr>
          <w:noProof/>
        </w:rPr>
        <w:t>nancing”, OECD Working Papers on Finance, Insurance and Private Pensions, No.36, OECD Publishing.</w:t>
      </w:r>
    </w:p>
    <w:p w:rsidR="00083C3F" w:rsidRDefault="00E1215B">
      <w:pPr>
        <w:rPr>
          <w:noProof/>
        </w:rPr>
      </w:pPr>
      <w:r>
        <w:rPr>
          <w:noProof/>
        </w:rPr>
        <w:t>Ehlers, T. (2014) Understanding the challenges for infrastructure finance.  BIS Working Papers No 454.</w:t>
      </w:r>
    </w:p>
    <w:p w:rsidR="00083C3F" w:rsidRDefault="00E1215B">
      <w:pPr>
        <w:rPr>
          <w:noProof/>
        </w:rPr>
      </w:pPr>
      <w:r>
        <w:rPr>
          <w:noProof/>
        </w:rPr>
        <w:t xml:space="preserve">European Commission (2017) </w:t>
      </w:r>
      <w:hyperlink r:id="rId111" w:history="1">
        <w:r>
          <w:rPr>
            <w:noProof/>
          </w:rPr>
          <w:t>Ageing report</w:t>
        </w:r>
      </w:hyperlink>
      <w:r>
        <w:rPr>
          <w:noProof/>
        </w:rPr>
        <w:t xml:space="preserve">. </w:t>
      </w:r>
      <w:hyperlink r:id="rId112" w:history="1">
        <w:r>
          <w:rPr>
            <w:rStyle w:val="Hyperlink"/>
            <w:noProof/>
          </w:rPr>
          <w:t>http://ec.europa.eu/economy_finance/graphs/2015-05-12_ageing_</w:t>
        </w:r>
        <w:r>
          <w:rPr>
            <w:rStyle w:val="Hyperlink"/>
            <w:noProof/>
          </w:rPr>
          <w:t>report_en.htm</w:t>
        </w:r>
      </w:hyperlink>
      <w:r>
        <w:rPr>
          <w:noProof/>
        </w:rPr>
        <w:t xml:space="preserve"> </w:t>
      </w:r>
    </w:p>
    <w:p w:rsidR="00083C3F" w:rsidRDefault="00E1215B">
      <w:pPr>
        <w:rPr>
          <w:noProof/>
        </w:rPr>
      </w:pPr>
      <w:r>
        <w:rPr>
          <w:noProof/>
        </w:rPr>
        <w:t xml:space="preserve">European Insurance (2016) European Insurance in Figures, 2015 data. </w:t>
      </w:r>
      <w:hyperlink r:id="rId113" w:history="1">
        <w:r>
          <w:rPr>
            <w:rStyle w:val="Hyperlink"/>
            <w:noProof/>
          </w:rPr>
          <w:t>https://www.insuranceeurope.eu/european-insurance-figures-2015-data</w:t>
        </w:r>
      </w:hyperlink>
      <w:r>
        <w:rPr>
          <w:noProof/>
        </w:rPr>
        <w:t xml:space="preserve"> </w:t>
      </w:r>
    </w:p>
    <w:p w:rsidR="00083C3F" w:rsidRDefault="00E1215B">
      <w:pPr>
        <w:rPr>
          <w:noProof/>
        </w:rPr>
      </w:pPr>
      <w:r>
        <w:rPr>
          <w:noProof/>
        </w:rPr>
        <w:t xml:space="preserve">McKinsey (2016) </w:t>
      </w:r>
      <w:hyperlink r:id="rId114" w:history="1">
        <w:r>
          <w:rPr>
            <w:noProof/>
          </w:rPr>
          <w:t>From big to great: The world’s leading institutional investors forge ahead</w:t>
        </w:r>
      </w:hyperlink>
      <w:r>
        <w:rPr>
          <w:noProof/>
        </w:rPr>
        <w:t xml:space="preserve">. </w:t>
      </w:r>
      <w:hyperlink r:id="rId115" w:history="1">
        <w:r>
          <w:rPr>
            <w:rStyle w:val="Hyperlink"/>
            <w:noProof/>
          </w:rPr>
          <w:t>http://www.mckinsey.com/industries/private-equity-and-principal-investors/our-insights/from-big-to-great-the-worlds-leading-institutional-investors-forge-ahead</w:t>
        </w:r>
      </w:hyperlink>
    </w:p>
    <w:p w:rsidR="00083C3F" w:rsidRDefault="00E1215B">
      <w:pPr>
        <w:rPr>
          <w:noProof/>
        </w:rPr>
      </w:pPr>
      <w:r>
        <w:rPr>
          <w:noProof/>
        </w:rPr>
        <w:t>Monk, A.H., R. Sharma (2015) Capitalisin</w:t>
      </w:r>
      <w:r>
        <w:rPr>
          <w:noProof/>
        </w:rPr>
        <w:t xml:space="preserve">g on Institutional Co-Investment Platforms. </w:t>
      </w:r>
      <w:hyperlink r:id="rId116" w:history="1">
        <w:r>
          <w:rPr>
            <w:rStyle w:val="Hyperlink"/>
            <w:noProof/>
          </w:rPr>
          <w:t>https://ssrn.com/abstract=264189</w:t>
        </w:r>
      </w:hyperlink>
      <w:r>
        <w:rPr>
          <w:noProof/>
        </w:rPr>
        <w:t xml:space="preserve"> .</w:t>
      </w:r>
    </w:p>
    <w:p w:rsidR="00083C3F" w:rsidRDefault="00E1215B">
      <w:pPr>
        <w:rPr>
          <w:noProof/>
        </w:rPr>
      </w:pPr>
      <w:r>
        <w:rPr>
          <w:noProof/>
        </w:rPr>
        <w:t xml:space="preserve">OECD (2015a) Annual Survey of Large Pension Funds and Public Pension Reserve Funds, Report on Pension Funds' Long-Term Investments. </w:t>
      </w:r>
      <w:hyperlink r:id="rId117" w:history="1">
        <w:r>
          <w:rPr>
            <w:rStyle w:val="Hyperlink"/>
            <w:noProof/>
          </w:rPr>
          <w:t>http://www.oecd.org/finance/priv</w:t>
        </w:r>
        <w:r>
          <w:rPr>
            <w:rStyle w:val="Hyperlink"/>
            <w:noProof/>
          </w:rPr>
          <w:t>ate-pensions/survey-large-pension-funds.htm</w:t>
        </w:r>
      </w:hyperlink>
      <w:r>
        <w:rPr>
          <w:noProof/>
        </w:rPr>
        <w:t xml:space="preserve"> </w:t>
      </w:r>
    </w:p>
    <w:p w:rsidR="00083C3F" w:rsidRDefault="00E1215B">
      <w:pPr>
        <w:rPr>
          <w:noProof/>
        </w:rPr>
      </w:pPr>
      <w:r>
        <w:rPr>
          <w:noProof/>
        </w:rPr>
        <w:t xml:space="preserve">OECD (2015b) Addressing Data Gaps in Long-Term Investment: An Agenda for Research. </w:t>
      </w:r>
      <w:hyperlink r:id="rId118" w:history="1">
        <w:r>
          <w:rPr>
            <w:rStyle w:val="Hyperlink"/>
            <w:noProof/>
          </w:rPr>
          <w:t>h</w:t>
        </w:r>
        <w:r>
          <w:rPr>
            <w:rStyle w:val="Hyperlink"/>
            <w:noProof/>
          </w:rPr>
          <w:t>ttps://www.oecd.org/finance/private-pensions/Addressing-Data-Gaps-in-Long-Term-Investment-Research-Agenda.pdf</w:t>
        </w:r>
      </w:hyperlink>
      <w:r>
        <w:rPr>
          <w:noProof/>
        </w:rPr>
        <w:t xml:space="preserve"> </w:t>
      </w:r>
    </w:p>
    <w:p w:rsidR="00083C3F" w:rsidRDefault="00E1215B">
      <w:pPr>
        <w:rPr>
          <w:noProof/>
        </w:rPr>
      </w:pPr>
      <w:r>
        <w:rPr>
          <w:noProof/>
        </w:rPr>
        <w:t xml:space="preserve">OECD (2016) </w:t>
      </w:r>
      <w:hyperlink r:id="rId119" w:history="1">
        <w:r>
          <w:rPr>
            <w:noProof/>
          </w:rPr>
          <w:t>Business and finance outlook</w:t>
        </w:r>
      </w:hyperlink>
      <w:r>
        <w:rPr>
          <w:noProof/>
        </w:rPr>
        <w:t xml:space="preserve">. </w:t>
      </w:r>
      <w:hyperlink r:id="rId120" w:history="1">
        <w:r>
          <w:rPr>
            <w:rStyle w:val="Hyperlink"/>
            <w:noProof/>
          </w:rPr>
          <w:t>http://www.oecd.org/daf/oecd-business-and-finance-outlook-2016-9789264257573-en.htm</w:t>
        </w:r>
      </w:hyperlink>
      <w:r>
        <w:rPr>
          <w:noProof/>
        </w:rPr>
        <w:t xml:space="preserve"> </w:t>
      </w:r>
    </w:p>
    <w:p w:rsidR="00083C3F" w:rsidRDefault="00E1215B">
      <w:pPr>
        <w:rPr>
          <w:noProof/>
        </w:rPr>
      </w:pPr>
      <w:r>
        <w:rPr>
          <w:noProof/>
        </w:rPr>
        <w:t xml:space="preserve">PWC (2016) European Institutional Investors. </w:t>
      </w:r>
      <w:hyperlink r:id="rId121" w:history="1">
        <w:r>
          <w:rPr>
            <w:rStyle w:val="Hyperlink"/>
            <w:noProof/>
          </w:rPr>
          <w:t>https://www.pwc.lu/en/asset-management/docs/pwc-european-institutional-investors.pdf</w:t>
        </w:r>
      </w:hyperlink>
      <w:r>
        <w:rPr>
          <w:noProof/>
        </w:rPr>
        <w:t xml:space="preserve"> </w:t>
      </w:r>
    </w:p>
    <w:p w:rsidR="00083C3F" w:rsidRDefault="00E1215B">
      <w:pPr>
        <w:rPr>
          <w:noProof/>
          <w:lang w:val="fr-BE"/>
        </w:rPr>
      </w:pPr>
      <w:r>
        <w:rPr>
          <w:noProof/>
        </w:rPr>
        <w:t xml:space="preserve">World Bank (2016) Government Objectives: Benefits and Risks of PPPs. </w:t>
      </w:r>
      <w:hyperlink r:id="rId122" w:history="1">
        <w:r>
          <w:rPr>
            <w:rStyle w:val="Hyperlink"/>
            <w:noProof/>
            <w:lang w:val="fr-BE"/>
          </w:rPr>
          <w:t>http://ppp.worldbank.org/public-private-partnership/overview/ppp-objectives</w:t>
        </w:r>
      </w:hyperlink>
      <w:r>
        <w:rPr>
          <w:noProof/>
          <w:lang w:val="fr-BE"/>
        </w:rPr>
        <w:t xml:space="preserve"> </w:t>
      </w:r>
    </w:p>
    <w:p w:rsidR="00083C3F" w:rsidRDefault="00E1215B">
      <w:pPr>
        <w:pStyle w:val="Heading4"/>
        <w:rPr>
          <w:noProof/>
          <w:lang w:val="fr-BE"/>
        </w:rPr>
      </w:pPr>
      <w:r>
        <w:rPr>
          <w:noProof/>
          <w:lang w:val="fr-BE"/>
        </w:rPr>
        <w:t>Chapter 6</w:t>
      </w:r>
    </w:p>
    <w:p w:rsidR="00083C3F" w:rsidRDefault="00E1215B">
      <w:pPr>
        <w:rPr>
          <w:noProof/>
          <w:lang w:val="fr-BE"/>
        </w:rPr>
      </w:pPr>
      <w:r>
        <w:rPr>
          <w:noProof/>
          <w:lang w:val="fr-BE"/>
        </w:rPr>
        <w:t xml:space="preserve">Abreu, M., &amp; Mendes, V. (2010). 'Financial literacy and portfolio diversification'. Quantitative Finance, </w:t>
      </w:r>
      <w:r>
        <w:rPr>
          <w:noProof/>
          <w:lang w:val="fr-BE"/>
        </w:rPr>
        <w:t>Volume 10(5), 515-528.</w:t>
      </w:r>
    </w:p>
    <w:p w:rsidR="00083C3F" w:rsidRDefault="00E1215B">
      <w:pPr>
        <w:rPr>
          <w:noProof/>
          <w:color w:val="000000" w:themeColor="text1"/>
        </w:rPr>
      </w:pPr>
      <w:r>
        <w:rPr>
          <w:noProof/>
          <w:color w:val="000000" w:themeColor="text1"/>
          <w:lang w:val="fr-BE"/>
        </w:rPr>
        <w:t xml:space="preserve">Akerlof, G.A. (1970). 'The Market for "Lemons": Quality Uncertainty and the Market Mechanism. </w:t>
      </w:r>
      <w:r>
        <w:rPr>
          <w:noProof/>
          <w:color w:val="000000" w:themeColor="text1"/>
        </w:rPr>
        <w:t xml:space="preserve">The Quarterly Journal of Economics, Volume 84(3), 488-500, August. </w:t>
      </w:r>
    </w:p>
    <w:p w:rsidR="00083C3F" w:rsidRDefault="00E1215B">
      <w:pPr>
        <w:rPr>
          <w:noProof/>
          <w:color w:val="000000" w:themeColor="text1"/>
        </w:rPr>
      </w:pPr>
      <w:r>
        <w:rPr>
          <w:noProof/>
          <w:color w:val="000000" w:themeColor="text1"/>
        </w:rPr>
        <w:t>Bhattacharya, U., Hackethal, A., K</w:t>
      </w:r>
      <w:r>
        <w:rPr>
          <w:rFonts w:cs="Times New Roman"/>
          <w:noProof/>
          <w:color w:val="000000" w:themeColor="text1"/>
        </w:rPr>
        <w:t>ä</w:t>
      </w:r>
      <w:r>
        <w:rPr>
          <w:noProof/>
          <w:color w:val="000000" w:themeColor="text1"/>
        </w:rPr>
        <w:t>sler, S., Loos, B., Meyer, S. (2012)</w:t>
      </w:r>
      <w:r>
        <w:rPr>
          <w:noProof/>
          <w:color w:val="000000" w:themeColor="text1"/>
        </w:rPr>
        <w:t>. 'Is Unbiased Financial Advice to Retail Investors Sufficient? Answers from a Large Field Study'. Review Financial Studies , Volume 25(4), 975-1032.</w:t>
      </w:r>
    </w:p>
    <w:p w:rsidR="00083C3F" w:rsidRDefault="00E1215B">
      <w:pPr>
        <w:rPr>
          <w:noProof/>
        </w:rPr>
      </w:pPr>
      <w:r>
        <w:rPr>
          <w:noProof/>
        </w:rPr>
        <w:t xml:space="preserve">Benartzi, S., &amp; Thaler, R.H. (1999). 'Risk aversion or myopia? Choices in repeated gambles and retirement </w:t>
      </w:r>
      <w:r>
        <w:rPr>
          <w:noProof/>
        </w:rPr>
        <w:t>investments'. Management Science, Volume 45(3), 364-381.</w:t>
      </w:r>
    </w:p>
    <w:p w:rsidR="00083C3F" w:rsidRDefault="00E1215B">
      <w:pPr>
        <w:rPr>
          <w:noProof/>
          <w:color w:val="000000" w:themeColor="text1"/>
        </w:rPr>
      </w:pPr>
      <w:r>
        <w:rPr>
          <w:noProof/>
          <w:color w:val="000000" w:themeColor="text1"/>
        </w:rPr>
        <w:t>Benink, H. &amp; Llewellyn, D.T. (1995). ‘Systemic Stability and Competitive Neutrality Issues in the International Regulation of Banking and Securities’. Journal of Financial Services Research, Volume 9</w:t>
      </w:r>
      <w:r>
        <w:rPr>
          <w:noProof/>
          <w:color w:val="000000" w:themeColor="text1"/>
        </w:rPr>
        <w:t xml:space="preserve">(3/4), 393-407, January. </w:t>
      </w:r>
    </w:p>
    <w:p w:rsidR="00083C3F" w:rsidRDefault="00E1215B">
      <w:pPr>
        <w:rPr>
          <w:noProof/>
          <w:color w:val="000000" w:themeColor="text1"/>
        </w:rPr>
      </w:pPr>
      <w:r>
        <w:rPr>
          <w:noProof/>
          <w:color w:val="000000" w:themeColor="text1"/>
        </w:rPr>
        <w:t>Bernheim, D. D. (1998). 'Financial illiteracy, education, and retirement saving. In O. S. Mitchell &amp; S. J. Schieber (Eds.), Living with Defined Contribution Pensions'. Philadelphia: University of Pennsylvania Press.</w:t>
      </w:r>
    </w:p>
    <w:p w:rsidR="00083C3F" w:rsidRDefault="00E1215B">
      <w:pPr>
        <w:rPr>
          <w:noProof/>
          <w:lang w:val="fr-BE"/>
        </w:rPr>
      </w:pPr>
      <w:r>
        <w:rPr>
          <w:noProof/>
        </w:rPr>
        <w:t>Bradfield D.J.</w:t>
      </w:r>
      <w:r>
        <w:rPr>
          <w:noProof/>
        </w:rPr>
        <w:t xml:space="preserve"> (1993). 'An Explanation for the Weak Evidence in Support of the Systematic Risk-Return Relationship'. </w:t>
      </w:r>
      <w:r>
        <w:rPr>
          <w:noProof/>
          <w:lang w:val="fr-BE"/>
        </w:rPr>
        <w:t>Heidelberg: Physica-Verlag HD.</w:t>
      </w:r>
    </w:p>
    <w:p w:rsidR="00083C3F" w:rsidRDefault="00E1215B">
      <w:pPr>
        <w:rPr>
          <w:noProof/>
          <w:color w:val="000000" w:themeColor="text1"/>
          <w:lang w:val="fr-BE"/>
        </w:rPr>
      </w:pPr>
      <w:r>
        <w:rPr>
          <w:noProof/>
          <w:color w:val="000000" w:themeColor="text1"/>
          <w:lang w:val="fr-BE"/>
        </w:rPr>
        <w:t xml:space="preserve">Bureau Européen des Unions de Consommateurs (BEUC) (2015) – Savings accounts in Europe: A dormant market?, available at </w:t>
      </w:r>
      <w:hyperlink r:id="rId123" w:history="1">
        <w:r>
          <w:rPr>
            <w:rStyle w:val="Hyperlink"/>
            <w:noProof/>
            <w:lang w:val="fr-BE"/>
          </w:rPr>
          <w:t>http://www.beuc.eu/publications/beuc-x-2015-101_savings_accounts_in_eu-a_dormant_market-study.pdf</w:t>
        </w:r>
      </w:hyperlink>
      <w:r>
        <w:rPr>
          <w:noProof/>
          <w:color w:val="000000" w:themeColor="text1"/>
          <w:lang w:val="fr-BE"/>
        </w:rPr>
        <w:t xml:space="preserve">  </w:t>
      </w:r>
    </w:p>
    <w:p w:rsidR="00083C3F" w:rsidRDefault="00E1215B">
      <w:pPr>
        <w:rPr>
          <w:noProof/>
          <w:color w:val="000000" w:themeColor="text1"/>
        </w:rPr>
      </w:pPr>
      <w:r>
        <w:rPr>
          <w:noProof/>
        </w:rPr>
        <w:t>Burke, J., &amp; Hung, A.A. (2015). 'Trust and F</w:t>
      </w:r>
      <w:r>
        <w:rPr>
          <w:noProof/>
        </w:rPr>
        <w:t xml:space="preserve">inancial Advice'. </w:t>
      </w:r>
      <w:r>
        <w:rPr>
          <w:noProof/>
          <w:color w:val="000000" w:themeColor="text1"/>
        </w:rPr>
        <w:t xml:space="preserve">RAND Working Paper Series WR- 1075. </w:t>
      </w:r>
    </w:p>
    <w:p w:rsidR="00083C3F" w:rsidRDefault="00E1215B">
      <w:pPr>
        <w:rPr>
          <w:noProof/>
          <w:color w:val="000000" w:themeColor="text1"/>
        </w:rPr>
      </w:pPr>
      <w:r>
        <w:rPr>
          <w:noProof/>
          <w:color w:val="000000" w:themeColor="text1"/>
        </w:rPr>
        <w:t xml:space="preserve">Calcagno, R., &amp; Monticone, C. (2015). 'Financial literacy and the demand for financial advice'. Journal of Banking &amp; Finance, Volume 50, Pages 363–380., January 2015  </w:t>
      </w:r>
    </w:p>
    <w:p w:rsidR="00083C3F" w:rsidRDefault="00E1215B">
      <w:pPr>
        <w:rPr>
          <w:noProof/>
        </w:rPr>
      </w:pPr>
      <w:r>
        <w:rPr>
          <w:noProof/>
        </w:rPr>
        <w:t>Campbell, J.Y. (2006). 'Household</w:t>
      </w:r>
      <w:r>
        <w:rPr>
          <w:noProof/>
        </w:rPr>
        <w:t xml:space="preserve"> finance'. The Journal of Finance, Volume 61(4), 1553-1604.</w:t>
      </w:r>
    </w:p>
    <w:p w:rsidR="00083C3F" w:rsidRDefault="00E1215B">
      <w:pPr>
        <w:rPr>
          <w:noProof/>
        </w:rPr>
      </w:pPr>
      <w:r>
        <w:rPr>
          <w:noProof/>
        </w:rPr>
        <w:t xml:space="preserve">Chakrabarty, A &amp; Ennew, C.T. (2007). 'The Distribution of Bank Services: A Review of Research and Key Trends', University of Nottingham - Financial Services Research Forum, November. </w:t>
      </w:r>
    </w:p>
    <w:p w:rsidR="00083C3F" w:rsidRDefault="00E1215B">
      <w:pPr>
        <w:rPr>
          <w:rStyle w:val="Hyperlink"/>
          <w:noProof/>
        </w:rPr>
      </w:pPr>
      <w:r>
        <w:rPr>
          <w:noProof/>
          <w:color w:val="000000" w:themeColor="text1"/>
        </w:rPr>
        <w:t>De Nederland</w:t>
      </w:r>
      <w:r>
        <w:rPr>
          <w:noProof/>
          <w:color w:val="000000" w:themeColor="text1"/>
        </w:rPr>
        <w:t xml:space="preserve">sche Bank (DNB) (2015) – </w:t>
      </w:r>
      <w:r>
        <w:rPr>
          <w:noProof/>
        </w:rPr>
        <w:t>Working Paper No. 490 / December 2015 'Banking products: you can take them with you, so why don’t you?'</w:t>
      </w:r>
      <w:r>
        <w:rPr>
          <w:noProof/>
          <w:color w:val="000000" w:themeColor="text1"/>
        </w:rPr>
        <w:t xml:space="preserve">, available at </w:t>
      </w:r>
      <w:hyperlink r:id="rId124" w:history="1">
        <w:r>
          <w:rPr>
            <w:rStyle w:val="Hyperlink"/>
            <w:noProof/>
          </w:rPr>
          <w:t>http://www.dnb.nl/binaries/Work</w:t>
        </w:r>
        <w:r>
          <w:rPr>
            <w:rStyle w:val="Hyperlink"/>
            <w:noProof/>
          </w:rPr>
          <w:t>ing%20paper%20490_tcm46-335348.pdf</w:t>
        </w:r>
      </w:hyperlink>
    </w:p>
    <w:p w:rsidR="00083C3F" w:rsidRDefault="00E1215B">
      <w:pPr>
        <w:rPr>
          <w:noProof/>
        </w:rPr>
      </w:pPr>
      <w:r>
        <w:rPr>
          <w:noProof/>
        </w:rPr>
        <w:t xml:space="preserve">Edelman (2016) – Edelman Trust Barometer 2016, </w:t>
      </w:r>
      <w:r>
        <w:rPr>
          <w:noProof/>
          <w:color w:val="000000" w:themeColor="text1"/>
        </w:rPr>
        <w:t>available at</w:t>
      </w:r>
      <w:r>
        <w:rPr>
          <w:noProof/>
        </w:rPr>
        <w:t xml:space="preserve"> </w:t>
      </w:r>
      <w:hyperlink r:id="rId125" w:history="1">
        <w:r>
          <w:rPr>
            <w:rStyle w:val="Hyperlink"/>
            <w:noProof/>
          </w:rPr>
          <w:t>http://www.edelman.com/insights/intellectual-property/2016-ed</w:t>
        </w:r>
        <w:r>
          <w:rPr>
            <w:rStyle w:val="Hyperlink"/>
            <w:noProof/>
          </w:rPr>
          <w:t>elman-trust-barometer/</w:t>
        </w:r>
      </w:hyperlink>
      <w:r>
        <w:rPr>
          <w:noProof/>
          <w:color w:val="000000" w:themeColor="text1"/>
        </w:rPr>
        <w:t xml:space="preserve"> </w:t>
      </w:r>
    </w:p>
    <w:p w:rsidR="00083C3F" w:rsidRDefault="00E1215B">
      <w:pPr>
        <w:rPr>
          <w:noProof/>
        </w:rPr>
      </w:pPr>
      <w:r>
        <w:rPr>
          <w:noProof/>
        </w:rPr>
        <w:t xml:space="preserve">European Consumer Centre Germany (EVZ) (2014) - The European Single Insurance Market - Cross-border insurance contracts: conclusion or exclusion?, </w:t>
      </w:r>
      <w:r>
        <w:rPr>
          <w:noProof/>
          <w:color w:val="000000" w:themeColor="text1"/>
        </w:rPr>
        <w:t>available at</w:t>
      </w:r>
      <w:r>
        <w:rPr>
          <w:noProof/>
        </w:rPr>
        <w:t xml:space="preserve"> </w:t>
      </w:r>
      <w:hyperlink r:id="rId126" w:history="1">
        <w:r>
          <w:rPr>
            <w:rStyle w:val="Hyperlink"/>
            <w:noProof/>
          </w:rPr>
          <w:t>https://www.evz.de/fileadmin/user_upload/eu-verbraucher/PDF/Berichte/Resume_final_EN.pdf</w:t>
        </w:r>
      </w:hyperlink>
      <w:r>
        <w:rPr>
          <w:noProof/>
        </w:rPr>
        <w:t xml:space="preserve"> </w:t>
      </w:r>
    </w:p>
    <w:p w:rsidR="00083C3F" w:rsidRDefault="00E1215B">
      <w:pPr>
        <w:rPr>
          <w:noProof/>
        </w:rPr>
      </w:pPr>
      <w:r>
        <w:rPr>
          <w:noProof/>
        </w:rPr>
        <w:t>European Fund and Asset Management Association (EFAMA) (October 2016) - EFAMA response to the Commission Consultation Document on CMU</w:t>
      </w:r>
      <w:r>
        <w:rPr>
          <w:noProof/>
        </w:rPr>
        <w:t xml:space="preserve"> action on cross-border distribution of funds, available at </w:t>
      </w:r>
      <w:hyperlink r:id="rId127" w:history="1">
        <w:r>
          <w:rPr>
            <w:rStyle w:val="Hyperlink"/>
            <w:noProof/>
          </w:rPr>
          <w:t>https://www.efama.org/Publications/Public/AIFMD/EFAMA_response_cross-border_CP.pdf</w:t>
        </w:r>
      </w:hyperlink>
      <w:r>
        <w:rPr>
          <w:noProof/>
        </w:rPr>
        <w:t xml:space="preserve"> </w:t>
      </w:r>
    </w:p>
    <w:p w:rsidR="00083C3F" w:rsidRDefault="00E1215B">
      <w:pPr>
        <w:rPr>
          <w:noProof/>
        </w:rPr>
      </w:pPr>
      <w:r>
        <w:rPr>
          <w:noProof/>
        </w:rPr>
        <w:t>European Secu</w:t>
      </w:r>
      <w:r>
        <w:rPr>
          <w:noProof/>
        </w:rPr>
        <w:t xml:space="preserve">rities Markets Authority (ESMA) (February 2016) – Statement: Supervisory work on potential closet index tracking, </w:t>
      </w:r>
      <w:r>
        <w:rPr>
          <w:noProof/>
          <w:color w:val="000000" w:themeColor="text1"/>
        </w:rPr>
        <w:t>available at</w:t>
      </w:r>
      <w:r>
        <w:rPr>
          <w:noProof/>
        </w:rPr>
        <w:t xml:space="preserve"> </w:t>
      </w:r>
      <w:hyperlink r:id="rId128" w:history="1">
        <w:r>
          <w:rPr>
            <w:rStyle w:val="Hyperlink"/>
            <w:noProof/>
          </w:rPr>
          <w:t>https://www.esma.europa.eu/sites/default/files/library/2016-165_public_statement_-_supervisory_work_on_potential_closet_index_tracking.pdf</w:t>
        </w:r>
      </w:hyperlink>
      <w:r>
        <w:rPr>
          <w:noProof/>
        </w:rPr>
        <w:t xml:space="preserve"> </w:t>
      </w:r>
    </w:p>
    <w:p w:rsidR="00083C3F" w:rsidRDefault="00E1215B">
      <w:pPr>
        <w:rPr>
          <w:noProof/>
        </w:rPr>
      </w:pPr>
      <w:r>
        <w:rPr>
          <w:noProof/>
        </w:rPr>
        <w:t>Fama, E.F. (1970). 'Efficient Capital Markets: A Review of Theory and Empirical Work'. Jou</w:t>
      </w:r>
      <w:r>
        <w:rPr>
          <w:noProof/>
        </w:rPr>
        <w:t xml:space="preserve">rnal of Finance, Volume 25(2), 383-417, May.  </w:t>
      </w:r>
    </w:p>
    <w:p w:rsidR="00083C3F" w:rsidRDefault="00E1215B">
      <w:pPr>
        <w:rPr>
          <w:noProof/>
        </w:rPr>
      </w:pPr>
      <w:r>
        <w:rPr>
          <w:noProof/>
        </w:rPr>
        <w:t xml:space="preserve">Financial Services User Group (FSUG) (2015)  - Retail Financial Market Integration, </w:t>
      </w:r>
      <w:r>
        <w:rPr>
          <w:noProof/>
          <w:color w:val="000000" w:themeColor="text1"/>
        </w:rPr>
        <w:t>available at</w:t>
      </w:r>
      <w:r>
        <w:rPr>
          <w:noProof/>
        </w:rPr>
        <w:t xml:space="preserve"> </w:t>
      </w:r>
      <w:hyperlink r:id="rId129" w:history="1">
        <w:r>
          <w:rPr>
            <w:rStyle w:val="Hyperlink"/>
            <w:noProof/>
          </w:rPr>
          <w:t>https://ec.europa.eu/info/file/46858/download_en?token=bzfLtsnI</w:t>
        </w:r>
      </w:hyperlink>
      <w:r>
        <w:rPr>
          <w:noProof/>
        </w:rPr>
        <w:t>.</w:t>
      </w:r>
    </w:p>
    <w:p w:rsidR="00083C3F" w:rsidRDefault="00E1215B">
      <w:pPr>
        <w:rPr>
          <w:noProof/>
          <w:lang w:val="da-DK"/>
        </w:rPr>
      </w:pPr>
      <w:r>
        <w:rPr>
          <w:noProof/>
          <w:lang w:val="da-DK"/>
        </w:rPr>
        <w:t xml:space="preserve">Finanstilsynet (2104) - 3 ud af 10 investeringsforeninger er skabspassive, available at </w:t>
      </w:r>
      <w:hyperlink r:id="rId130" w:history="1">
        <w:r>
          <w:rPr>
            <w:rStyle w:val="Hyperlink"/>
            <w:noProof/>
            <w:lang w:val="da-DK"/>
          </w:rPr>
          <w:t>https://www.finanstilsynet.dk/da/Nyheder-og-Presse/Pressemeddelelser/Arkiv/Presse-2014/Markedsudvikling-invest</w:t>
        </w:r>
        <w:r>
          <w:rPr>
            <w:rStyle w:val="Hyperlink"/>
            <w:noProof/>
            <w:lang w:val="da-DK"/>
          </w:rPr>
          <w:t>eringsforeninger-2013</w:t>
        </w:r>
      </w:hyperlink>
      <w:r>
        <w:rPr>
          <w:noProof/>
          <w:lang w:val="da-DK"/>
        </w:rPr>
        <w:t xml:space="preserve">. </w:t>
      </w:r>
    </w:p>
    <w:p w:rsidR="00083C3F" w:rsidRDefault="00E1215B">
      <w:pPr>
        <w:rPr>
          <w:b/>
          <w:noProof/>
        </w:rPr>
      </w:pPr>
      <w:r>
        <w:rPr>
          <w:noProof/>
        </w:rPr>
        <w:t>Gough, O. (2005) 'Independent Financial Advisers – Why they remain the strongest Distribution Route for Pensions'. The Service Industries Journal. Volume 25(5), 709-720.</w:t>
      </w:r>
    </w:p>
    <w:p w:rsidR="00083C3F" w:rsidRDefault="00E1215B">
      <w:pPr>
        <w:rPr>
          <w:noProof/>
          <w:color w:val="000000" w:themeColor="text1"/>
        </w:rPr>
      </w:pPr>
      <w:r>
        <w:rPr>
          <w:noProof/>
          <w:color w:val="000000" w:themeColor="text1"/>
        </w:rPr>
        <w:t xml:space="preserve">Guiso, L., Sapienza, S., &amp; Zingales, L. (2008). 'Trusting the </w:t>
      </w:r>
      <w:r>
        <w:rPr>
          <w:noProof/>
          <w:color w:val="000000" w:themeColor="text1"/>
        </w:rPr>
        <w:t xml:space="preserve">Stock Market'. Journal of Finance, Vol (6), 2557-2600. </w:t>
      </w:r>
    </w:p>
    <w:p w:rsidR="00083C3F" w:rsidRDefault="00E1215B">
      <w:pPr>
        <w:rPr>
          <w:noProof/>
          <w:color w:val="000000" w:themeColor="text1"/>
        </w:rPr>
      </w:pPr>
      <w:r>
        <w:rPr>
          <w:noProof/>
          <w:color w:val="000000" w:themeColor="text1"/>
        </w:rPr>
        <w:t>Hoechle, D., Ruenzi, S. &amp; Schmid, N. (2014). 'The Impact of Financial Advice on Trade Performance and Behavioral Biases'., University of St. Gallen Working Papers on Finance  No. 1419., Revised Decemb</w:t>
      </w:r>
      <w:r>
        <w:rPr>
          <w:noProof/>
          <w:color w:val="000000" w:themeColor="text1"/>
        </w:rPr>
        <w:t>er 2015.</w:t>
      </w:r>
    </w:p>
    <w:p w:rsidR="00083C3F" w:rsidRDefault="00E1215B">
      <w:pPr>
        <w:rPr>
          <w:noProof/>
        </w:rPr>
      </w:pPr>
      <w:r>
        <w:rPr>
          <w:noProof/>
        </w:rPr>
        <w:t>Huston, S.J. (2012). 'Financial literacy and the cost of borrowing'. International Journal of Consumer Studies, Volume 36(5), 566-572.</w:t>
      </w:r>
    </w:p>
    <w:p w:rsidR="00083C3F" w:rsidRDefault="00E1215B">
      <w:pPr>
        <w:rPr>
          <w:noProof/>
          <w:color w:val="000000" w:themeColor="text1"/>
        </w:rPr>
      </w:pPr>
      <w:r>
        <w:rPr>
          <w:noProof/>
          <w:color w:val="000000" w:themeColor="text1"/>
        </w:rPr>
        <w:t xml:space="preserve">Insurance Europe (November 2015) – European Motor Insurance Markets, available at </w:t>
      </w:r>
      <w:hyperlink r:id="rId131" w:history="1">
        <w:r>
          <w:rPr>
            <w:rStyle w:val="Hyperlink"/>
            <w:noProof/>
          </w:rPr>
          <w:t>https://www.insuranceeurope.eu/sites/default/files/attachments/European%20motor%20insurance%20markets.pdf</w:t>
        </w:r>
      </w:hyperlink>
      <w:r>
        <w:rPr>
          <w:noProof/>
          <w:color w:val="000000" w:themeColor="text1"/>
        </w:rPr>
        <w:t xml:space="preserve"> </w:t>
      </w:r>
    </w:p>
    <w:p w:rsidR="00083C3F" w:rsidRDefault="00E1215B">
      <w:pPr>
        <w:rPr>
          <w:noProof/>
        </w:rPr>
      </w:pPr>
      <w:r>
        <w:rPr>
          <w:noProof/>
          <w:lang w:val="it-IT"/>
        </w:rPr>
        <w:t xml:space="preserve">Klapper, L., Lusardi, A., &amp; Panos, G. A. (2013). </w:t>
      </w:r>
      <w:r>
        <w:rPr>
          <w:noProof/>
        </w:rPr>
        <w:t>'Financi</w:t>
      </w:r>
      <w:r>
        <w:rPr>
          <w:noProof/>
        </w:rPr>
        <w:t>al literacy and its consequences: Evidence from Russia during the financial crisis'. Journal of Banking &amp; Finance, 37(10), 3904-3923.</w:t>
      </w:r>
    </w:p>
    <w:p w:rsidR="00083C3F" w:rsidRDefault="00E1215B">
      <w:pPr>
        <w:rPr>
          <w:noProof/>
        </w:rPr>
      </w:pPr>
      <w:r>
        <w:rPr>
          <w:noProof/>
        </w:rPr>
        <w:t>Lusardi, A., &amp; Mitchell, O.S. (2009). 'How ordinary consumers make complex economic decisions: Financial literacy and reti</w:t>
      </w:r>
      <w:r>
        <w:rPr>
          <w:noProof/>
        </w:rPr>
        <w:t>rement readiness'. National Bureau of Economic Research Working Paper Series, No. 15350</w:t>
      </w:r>
    </w:p>
    <w:p w:rsidR="00083C3F" w:rsidRDefault="00E1215B">
      <w:pPr>
        <w:rPr>
          <w:noProof/>
        </w:rPr>
      </w:pPr>
      <w:r>
        <w:rPr>
          <w:noProof/>
        </w:rPr>
        <w:t>Lusardi, A., &amp; Mitchell, O. S. (2011). 'Financial literacy around the world: an overview'. Journal of Pension Economics and Finance, 10(4), 497-508.</w:t>
      </w:r>
    </w:p>
    <w:p w:rsidR="00083C3F" w:rsidRDefault="00E1215B">
      <w:pPr>
        <w:rPr>
          <w:noProof/>
        </w:rPr>
      </w:pPr>
      <w:r>
        <w:rPr>
          <w:noProof/>
        </w:rPr>
        <w:t>Lusardi, A., &amp; Sche</w:t>
      </w:r>
      <w:r>
        <w:rPr>
          <w:noProof/>
        </w:rPr>
        <w:t>resberg, C.d.B. (2013). 'Financial literacy and high-cost borrowing in the US'. National Bureau of Economic Research Working Paper Series, No. 18969.</w:t>
      </w:r>
    </w:p>
    <w:p w:rsidR="00083C3F" w:rsidRDefault="00E1215B">
      <w:pPr>
        <w:rPr>
          <w:noProof/>
        </w:rPr>
      </w:pPr>
      <w:r>
        <w:rPr>
          <w:noProof/>
        </w:rPr>
        <w:t>Lusardi, A., &amp; Tufano, P. (2009). 'Debt literacy, financial experiences, and overindebtedness'. Journal of</w:t>
      </w:r>
      <w:r>
        <w:rPr>
          <w:noProof/>
        </w:rPr>
        <w:t xml:space="preserve"> Pension Economics and Finance, Cambridge University Press, Volume 14(04), pages 332-368, October.</w:t>
      </w:r>
    </w:p>
    <w:p w:rsidR="00083C3F" w:rsidRDefault="00E1215B">
      <w:pPr>
        <w:rPr>
          <w:noProof/>
        </w:rPr>
      </w:pPr>
      <w:r>
        <w:rPr>
          <w:noProof/>
        </w:rPr>
        <w:t xml:space="preserve">Morningstar (2016) - Active Share in European Equity Funds: The Activeness of Large-Cap European Fund Managers through the Lens of Active Share, </w:t>
      </w:r>
      <w:r>
        <w:rPr>
          <w:noProof/>
          <w:color w:val="000000" w:themeColor="text1"/>
        </w:rPr>
        <w:t>available at</w:t>
      </w:r>
      <w:r>
        <w:rPr>
          <w:noProof/>
          <w:color w:val="000000" w:themeColor="text1"/>
        </w:rPr>
        <w:t xml:space="preserve"> </w:t>
      </w:r>
      <w:hyperlink r:id="rId132" w:history="1">
        <w:r>
          <w:rPr>
            <w:rStyle w:val="Hyperlink"/>
            <w:noProof/>
          </w:rPr>
          <w:t>https://media.morningstar.com/uk%5CMEDIA%5CManager_Research%5CActiveShareinEuropeanEquityFunds.pdf</w:t>
        </w:r>
      </w:hyperlink>
      <w:r>
        <w:rPr>
          <w:noProof/>
        </w:rPr>
        <w:t xml:space="preserve"> </w:t>
      </w:r>
    </w:p>
    <w:p w:rsidR="00083C3F" w:rsidRDefault="00E1215B">
      <w:pPr>
        <w:rPr>
          <w:noProof/>
          <w:color w:val="000000" w:themeColor="text1"/>
        </w:rPr>
      </w:pPr>
      <w:r>
        <w:rPr>
          <w:noProof/>
          <w:color w:val="000000" w:themeColor="text1"/>
        </w:rPr>
        <w:t>Organisation for Economic Co-operation a</w:t>
      </w:r>
      <w:r>
        <w:rPr>
          <w:noProof/>
          <w:color w:val="000000" w:themeColor="text1"/>
        </w:rPr>
        <w:t xml:space="preserve">nd Development (OECD) Data – Household financial assets, available at </w:t>
      </w:r>
      <w:hyperlink r:id="rId133" w:history="1">
        <w:r>
          <w:rPr>
            <w:rStyle w:val="Hyperlink"/>
            <w:noProof/>
          </w:rPr>
          <w:t>https://data.oecd.org/hha/household-financial-assets.htm</w:t>
        </w:r>
      </w:hyperlink>
      <w:r>
        <w:rPr>
          <w:noProof/>
          <w:color w:val="000000" w:themeColor="text1"/>
        </w:rPr>
        <w:t xml:space="preserve"> </w:t>
      </w:r>
    </w:p>
    <w:p w:rsidR="00083C3F" w:rsidRDefault="00E1215B">
      <w:pPr>
        <w:rPr>
          <w:noProof/>
          <w:color w:val="000000" w:themeColor="text1"/>
        </w:rPr>
      </w:pPr>
      <w:r>
        <w:rPr>
          <w:noProof/>
          <w:color w:val="000000" w:themeColor="text1"/>
        </w:rPr>
        <w:t>Pasini, G., &amp; Georgarakos, D. (2009). 'Trust, Sociabili</w:t>
      </w:r>
      <w:r>
        <w:rPr>
          <w:noProof/>
          <w:color w:val="000000" w:themeColor="text1"/>
        </w:rPr>
        <w:t xml:space="preserve">ty and Stock Market Participation'. Netspar Discussion Paper 04/2009-015. </w:t>
      </w:r>
    </w:p>
    <w:p w:rsidR="00083C3F" w:rsidRDefault="00E1215B">
      <w:pPr>
        <w:rPr>
          <w:noProof/>
        </w:rPr>
      </w:pPr>
      <w:r>
        <w:rPr>
          <w:noProof/>
        </w:rPr>
        <w:t xml:space="preserve">S&amp;P Dow Jones Indices (2016) – SPIVA Europe Scorecard Year-End 2015, available at </w:t>
      </w:r>
      <w:hyperlink r:id="rId134" w:history="1">
        <w:r>
          <w:rPr>
            <w:rStyle w:val="Hyperlink"/>
            <w:noProof/>
          </w:rPr>
          <w:t>http://us.sp</w:t>
        </w:r>
        <w:r>
          <w:rPr>
            <w:rStyle w:val="Hyperlink"/>
            <w:noProof/>
          </w:rPr>
          <w:t>indices.com/documents/spiva/spiva-europe-year-end-2015.pdf</w:t>
        </w:r>
      </w:hyperlink>
      <w:r>
        <w:rPr>
          <w:noProof/>
        </w:rPr>
        <w:t xml:space="preserve"> </w:t>
      </w:r>
    </w:p>
    <w:p w:rsidR="00083C3F" w:rsidRDefault="00E1215B">
      <w:pPr>
        <w:rPr>
          <w:noProof/>
        </w:rPr>
      </w:pPr>
      <w:r>
        <w:rPr>
          <w:noProof/>
        </w:rPr>
        <w:t xml:space="preserve">Spencer, P.D. (2000). 'The Structure and Regulation of Financial Markets'. Oxford: Oxford University Press. </w:t>
      </w:r>
    </w:p>
    <w:p w:rsidR="00083C3F" w:rsidRDefault="00E1215B">
      <w:pPr>
        <w:rPr>
          <w:noProof/>
        </w:rPr>
      </w:pPr>
      <w:r>
        <w:rPr>
          <w:noProof/>
        </w:rPr>
        <w:t>Stango, V., &amp; Zinman, J. (2009). 'Exponential growth bias and household finance'. The J</w:t>
      </w:r>
      <w:r>
        <w:rPr>
          <w:noProof/>
        </w:rPr>
        <w:t>ournal of Finance, 64(6), 2807-2849.</w:t>
      </w:r>
    </w:p>
    <w:p w:rsidR="00083C3F" w:rsidRDefault="00E1215B">
      <w:pPr>
        <w:rPr>
          <w:noProof/>
          <w:color w:val="000000" w:themeColor="text1"/>
        </w:rPr>
      </w:pPr>
      <w:r>
        <w:rPr>
          <w:noProof/>
          <w:color w:val="000000" w:themeColor="text1"/>
        </w:rPr>
        <w:t xml:space="preserve">Taffler, R. (2014). Emotional Finance: Theory and Application. Warwick Business School Working Paper. Version 14 October 2014 </w:t>
      </w:r>
    </w:p>
    <w:p w:rsidR="00083C3F" w:rsidRDefault="00E1215B">
      <w:pPr>
        <w:rPr>
          <w:noProof/>
          <w:color w:val="000000" w:themeColor="text1"/>
        </w:rPr>
      </w:pPr>
      <w:r>
        <w:rPr>
          <w:noProof/>
          <w:color w:val="000000" w:themeColor="text1"/>
        </w:rPr>
        <w:t xml:space="preserve">The Boston Consulting Group (2011) – "Customer-centricity survey", results available at </w:t>
      </w:r>
      <w:hyperlink r:id="rId135" w:history="1">
        <w:r>
          <w:rPr>
            <w:rStyle w:val="Hyperlink"/>
            <w:noProof/>
          </w:rPr>
          <w:t>https://www.bcgperspectives.com/content/articles/financial_institutions_sales_channels_distribution_2020/?chapter=2</w:t>
        </w:r>
      </w:hyperlink>
      <w:r>
        <w:rPr>
          <w:noProof/>
          <w:color w:val="000000" w:themeColor="text1"/>
        </w:rPr>
        <w:t xml:space="preserve"> </w:t>
      </w:r>
    </w:p>
    <w:p w:rsidR="00083C3F" w:rsidRDefault="00E1215B">
      <w:pPr>
        <w:rPr>
          <w:noProof/>
          <w:color w:val="000000" w:themeColor="text1"/>
        </w:rPr>
      </w:pPr>
      <w:r>
        <w:rPr>
          <w:noProof/>
          <w:color w:val="000000" w:themeColor="text1"/>
        </w:rPr>
        <w:t xml:space="preserve">The Boston Consulting Group (2013) – "Distribution 2020: The Next Big Journey for Retail Banks", available at </w:t>
      </w:r>
      <w:hyperlink r:id="rId136" w:history="1">
        <w:r>
          <w:rPr>
            <w:rStyle w:val="Hyperlink"/>
            <w:noProof/>
          </w:rPr>
          <w:t>https://www.bc</w:t>
        </w:r>
        <w:r>
          <w:rPr>
            <w:rStyle w:val="Hyperlink"/>
            <w:noProof/>
          </w:rPr>
          <w:t>gperspectives.com/content/articles/financial_institutions_sales_channels_distribution_2020/?chapter=2</w:t>
        </w:r>
      </w:hyperlink>
    </w:p>
    <w:p w:rsidR="00083C3F" w:rsidRDefault="00E1215B">
      <w:pPr>
        <w:rPr>
          <w:noProof/>
        </w:rPr>
      </w:pPr>
      <w:r>
        <w:rPr>
          <w:noProof/>
          <w:lang w:val="nl-NL"/>
        </w:rPr>
        <w:t xml:space="preserve">Van Rooij, M.C., Lusardi, A., &amp; Alessie, R. (2007). </w:t>
      </w:r>
      <w:r>
        <w:rPr>
          <w:noProof/>
        </w:rPr>
        <w:t>'Financial Literacy and Stock Market Participation'. National Bureau of Economic Research Working Pape</w:t>
      </w:r>
      <w:r>
        <w:rPr>
          <w:noProof/>
        </w:rPr>
        <w:t>r Series, No. 13565.</w:t>
      </w:r>
    </w:p>
    <w:p w:rsidR="00083C3F" w:rsidRDefault="00E1215B">
      <w:pPr>
        <w:rPr>
          <w:noProof/>
        </w:rPr>
      </w:pPr>
      <w:r>
        <w:rPr>
          <w:noProof/>
        </w:rPr>
        <w:t>Van Rooij, M., Lusardi, A., &amp; Alessie, R. (2011). 'Financial literacy and stock market participation'. Journal of Financial Economics, 101(2), 449-472.</w:t>
      </w:r>
    </w:p>
    <w:p w:rsidR="00083C3F" w:rsidRDefault="00E1215B">
      <w:pPr>
        <w:rPr>
          <w:noProof/>
        </w:rPr>
      </w:pPr>
      <w:r>
        <w:rPr>
          <w:noProof/>
        </w:rPr>
        <w:t>Van Rooij, M.C., Lusardi, A., &amp; Alessie, R. (2012). 'Financial Literacy, Retirement</w:t>
      </w:r>
      <w:r>
        <w:rPr>
          <w:noProof/>
        </w:rPr>
        <w:t xml:space="preserve"> Planning and Household Wealth'. The Economic Journal, Volume 122(560), 449-478.</w:t>
      </w:r>
    </w:p>
    <w:p w:rsidR="00083C3F" w:rsidRDefault="00E1215B">
      <w:pPr>
        <w:rPr>
          <w:noProof/>
          <w:color w:val="000000" w:themeColor="text1"/>
        </w:rPr>
      </w:pPr>
      <w:r>
        <w:rPr>
          <w:noProof/>
          <w:color w:val="000000" w:themeColor="text1"/>
        </w:rPr>
        <w:t>Von Gaudecker, H.-M. (2015). 'How does household portfolio diversification vary with financial literacy and financial advice?'. The Journal of Finance, Volume 70(2), 489-507.</w:t>
      </w:r>
    </w:p>
    <w:p w:rsidR="00083C3F" w:rsidRDefault="00E1215B">
      <w:pPr>
        <w:rPr>
          <w:noProof/>
          <w:color w:val="000000" w:themeColor="text1"/>
        </w:rPr>
      </w:pPr>
      <w:r>
        <w:rPr>
          <w:noProof/>
        </w:rPr>
        <w:t>Webb, K.L. &amp; Hogan, J.E. (2002). 'Hybrid channel conflict: Causes and effects on channel performance'. Journal of Business and Industrial Marketing, Volume 17(5), 338–356.</w:t>
      </w:r>
    </w:p>
    <w:p w:rsidR="00083C3F" w:rsidRDefault="00083C3F">
      <w:pPr>
        <w:rPr>
          <w:noProof/>
        </w:rPr>
      </w:pPr>
    </w:p>
    <w:sectPr w:rsidR="00083C3F">
      <w:headerReference w:type="even" r:id="rId137"/>
      <w:headerReference w:type="default" r:id="rId138"/>
      <w:footerReference w:type="even" r:id="rId139"/>
      <w:footerReference w:type="default" r:id="rId140"/>
      <w:headerReference w:type="first" r:id="rId141"/>
      <w:footerReference w:type="first" r:id="rId142"/>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A33D33" w15:done="0"/>
  <w15:commentEx w15:paraId="351438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C3F" w:rsidRDefault="00E1215B">
      <w:pPr>
        <w:spacing w:after="0"/>
      </w:pPr>
      <w:r>
        <w:separator/>
      </w:r>
    </w:p>
  </w:endnote>
  <w:endnote w:type="continuationSeparator" w:id="0">
    <w:p w:rsidR="00083C3F" w:rsidRDefault="00E1215B">
      <w:pPr>
        <w:spacing w:after="0"/>
      </w:pPr>
      <w:r>
        <w:continuationSeparator/>
      </w:r>
    </w:p>
  </w:endnote>
  <w:endnote w:type="continuationNotice" w:id="1">
    <w:p w:rsidR="00083C3F" w:rsidRDefault="00083C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5B" w:rsidRPr="00E1215B" w:rsidRDefault="00E1215B" w:rsidP="00E121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43778"/>
      <w:docPartObj>
        <w:docPartGallery w:val="Page Numbers (Bottom of Page)"/>
        <w:docPartUnique/>
      </w:docPartObj>
    </w:sdtPr>
    <w:sdtEndPr>
      <w:rPr>
        <w:noProof/>
      </w:rPr>
    </w:sdtEndPr>
    <w:sdtContent>
      <w:p w:rsidR="00083C3F" w:rsidRDefault="00E1215B">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083C3F" w:rsidRDefault="00083C3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25495"/>
      <w:docPartObj>
        <w:docPartGallery w:val="Page Numbers (Bottom of Page)"/>
        <w:docPartUnique/>
      </w:docPartObj>
    </w:sdtPr>
    <w:sdtEndPr>
      <w:rPr>
        <w:noProof/>
      </w:rPr>
    </w:sdtEndPr>
    <w:sdtContent>
      <w:p w:rsidR="00083C3F" w:rsidRDefault="00E1215B">
        <w:pPr>
          <w:pStyle w:val="Footer"/>
          <w:jc w:val="right"/>
        </w:pPr>
        <w:r>
          <w:fldChar w:fldCharType="begin"/>
        </w:r>
        <w:r>
          <w:instrText xml:space="preserve"> PAGE   \* MERGEFORMAT </w:instrText>
        </w:r>
        <w:r>
          <w:fldChar w:fldCharType="separate"/>
        </w:r>
        <w:r>
          <w:rPr>
            <w:noProof/>
          </w:rPr>
          <w:t>97</w:t>
        </w:r>
        <w:r>
          <w:rPr>
            <w:noProof/>
          </w:rPr>
          <w:fldChar w:fldCharType="end"/>
        </w:r>
      </w:p>
    </w:sdtContent>
  </w:sdt>
  <w:p w:rsidR="00083C3F" w:rsidRDefault="00083C3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5B" w:rsidRPr="00E1215B" w:rsidRDefault="00E1215B" w:rsidP="00E1215B">
    <w:pPr>
      <w:pStyle w:val="FooterCoverPage"/>
      <w:rPr>
        <w:rFonts w:ascii="Arial" w:hAnsi="Arial" w:cs="Arial"/>
        <w:b/>
        <w:sz w:val="48"/>
      </w:rPr>
    </w:pPr>
    <w:r w:rsidRPr="00E1215B">
      <w:rPr>
        <w:rFonts w:ascii="Arial" w:hAnsi="Arial" w:cs="Arial"/>
        <w:b/>
        <w:sz w:val="48"/>
      </w:rPr>
      <w:t>EN</w:t>
    </w:r>
    <w:r w:rsidRPr="00E1215B">
      <w:rPr>
        <w:rFonts w:ascii="Arial" w:hAnsi="Arial" w:cs="Arial"/>
        <w:b/>
        <w:sz w:val="48"/>
      </w:rPr>
      <w:tab/>
    </w:r>
    <w:r w:rsidRPr="00E1215B">
      <w:rPr>
        <w:rFonts w:ascii="Arial" w:hAnsi="Arial" w:cs="Arial"/>
        <w:b/>
        <w:sz w:val="48"/>
      </w:rPr>
      <w:tab/>
    </w:r>
    <w:fldSimple w:instr=" DOCVARIABLE &quot;LW_Confidence&quot; \* MERGEFORMAT ">
      <w:r>
        <w:t xml:space="preserve"> </w:t>
      </w:r>
    </w:fldSimple>
    <w:r w:rsidRPr="00E1215B">
      <w:tab/>
    </w:r>
    <w:r w:rsidRPr="00E1215B">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5B" w:rsidRPr="00E1215B" w:rsidRDefault="00E1215B" w:rsidP="00E1215B">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52570"/>
      <w:docPartObj>
        <w:docPartGallery w:val="Page Numbers (Bottom of Page)"/>
        <w:docPartUnique/>
      </w:docPartObj>
    </w:sdtPr>
    <w:sdtEndPr>
      <w:rPr>
        <w:noProof/>
      </w:rPr>
    </w:sdtEndPr>
    <w:sdtContent>
      <w:p w:rsidR="00083C3F" w:rsidRDefault="00E121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83C3F" w:rsidRDefault="00083C3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237559"/>
      <w:docPartObj>
        <w:docPartGallery w:val="Page Numbers (Bottom of Page)"/>
        <w:docPartUnique/>
      </w:docPartObj>
    </w:sdtPr>
    <w:sdtEndPr>
      <w:rPr>
        <w:noProof/>
      </w:rPr>
    </w:sdtEndPr>
    <w:sdtContent>
      <w:p w:rsidR="00083C3F" w:rsidRDefault="00E1215B">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083C3F" w:rsidRDefault="00083C3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C3F" w:rsidRDefault="00E1215B">
      <w:pPr>
        <w:spacing w:after="0"/>
      </w:pPr>
      <w:r>
        <w:separator/>
      </w:r>
    </w:p>
  </w:footnote>
  <w:footnote w:type="continuationSeparator" w:id="0">
    <w:p w:rsidR="00083C3F" w:rsidRDefault="00E1215B">
      <w:pPr>
        <w:spacing w:after="0"/>
      </w:pPr>
      <w:r>
        <w:continuationSeparator/>
      </w:r>
    </w:p>
  </w:footnote>
  <w:footnote w:type="continuationNotice" w:id="1">
    <w:p w:rsidR="00083C3F" w:rsidRDefault="00083C3F">
      <w:pPr>
        <w:spacing w:after="0"/>
      </w:pPr>
    </w:p>
  </w:footnote>
  <w:footnote w:id="2">
    <w:p w:rsidR="00083C3F" w:rsidRDefault="00E1215B">
      <w:pPr>
        <w:pStyle w:val="FootnoteText"/>
      </w:pPr>
      <w:r>
        <w:rPr>
          <w:rStyle w:val="FootnoteReference"/>
        </w:rPr>
        <w:footnoteRef/>
      </w:r>
      <w:r>
        <w:t xml:space="preserve"> The Economic and Financial Stability and Integration Review (EFSIR) released in April 2016 presented a set of indicators to help analyse the relevant trends in capital markets' development relevant to the objectives of the CMU Action Plan. Compared to the</w:t>
      </w:r>
      <w:r>
        <w:t xml:space="preserve"> work undertaken in 2016 EFSIR, only a few indicators have changed by new indicators found to be fitter for the purpose.</w:t>
      </w:r>
    </w:p>
  </w:footnote>
  <w:footnote w:id="3">
    <w:p w:rsidR="00083C3F" w:rsidRDefault="00E1215B">
      <w:pPr>
        <w:pStyle w:val="FootnoteText"/>
      </w:pPr>
      <w:r>
        <w:rPr>
          <w:rStyle w:val="FootnoteReference"/>
        </w:rPr>
        <w:footnoteRef/>
      </w:r>
      <w:r>
        <w:t xml:space="preserve"> The use of key indicators should not necessarily be interpreted as an attempt to establish a causal relationship between the indicato</w:t>
      </w:r>
      <w:r>
        <w:t>rs and the CMU actions.</w:t>
      </w:r>
    </w:p>
  </w:footnote>
  <w:footnote w:id="4">
    <w:p w:rsidR="00083C3F" w:rsidRDefault="00E1215B">
      <w:pPr>
        <w:pStyle w:val="FootnoteText"/>
      </w:pPr>
      <w:r>
        <w:rPr>
          <w:rStyle w:val="FootnoteReference"/>
        </w:rPr>
        <w:footnoteRef/>
      </w:r>
      <w:r>
        <w:t xml:space="preserve"> For a summary of key indicators, please see the end section in Chapter 5.</w:t>
      </w:r>
    </w:p>
  </w:footnote>
  <w:footnote w:id="5">
    <w:p w:rsidR="00083C3F" w:rsidRDefault="00E1215B">
      <w:pPr>
        <w:pStyle w:val="FootnoteText"/>
      </w:pPr>
      <w:r>
        <w:rPr>
          <w:rStyle w:val="FootnoteReference"/>
        </w:rPr>
        <w:footnoteRef/>
      </w:r>
      <w:r>
        <w:t xml:space="preserve"> The index is equal to one, if the domestic portfolio is perfectly geographically diversified and lower than one otherwise. Portfolio theory suggests that </w:t>
      </w:r>
      <w:r>
        <w:t>a country should optimally allocate its investments abroad according to the “importance” of the partner country, importance being measured as the proportion of this country’s assets in the combined pool of assets of all the foreign countries considered. Th</w:t>
      </w:r>
      <w:r>
        <w:t xml:space="preserve">is diversification index is based on Schoenmaker and Wagner (2011). </w:t>
      </w:r>
    </w:p>
    <w:p w:rsidR="00083C3F" w:rsidRDefault="00083C3F">
      <w:pPr>
        <w:pStyle w:val="FootnoteText"/>
      </w:pPr>
    </w:p>
  </w:footnote>
  <w:footnote w:id="6">
    <w:p w:rsidR="00083C3F" w:rsidRDefault="00E1215B">
      <w:pPr>
        <w:pStyle w:val="FootnoteText"/>
      </w:pPr>
      <w:r>
        <w:rPr>
          <w:rStyle w:val="FootnoteReference"/>
        </w:rPr>
        <w:footnoteRef/>
      </w:r>
      <w:r>
        <w:t xml:space="preserve"> The price-based indicator is a measure of financial integration based on the sensitivity of domestic European stock and bond markets to global, US or European drivers. It measures the </w:t>
      </w:r>
      <w:r>
        <w:t>domestic returns' co-movement with global factors across the EU. The closer the indicator is to 1, the greater integration can be seen in the market. The indicator is estimated via a Principal Component Analysis. Data for bond markets is the yield of gener</w:t>
      </w:r>
      <w:r>
        <w:t>ic benchmark sovereign bonds with maturity 10 years, while we use local stock indexes for equity markets. For more details about the estimation procedure, please see Nardo et al. (2017).</w:t>
      </w:r>
    </w:p>
  </w:footnote>
  <w:footnote w:id="7">
    <w:p w:rsidR="00083C3F" w:rsidRDefault="00E1215B">
      <w:pPr>
        <w:pStyle w:val="FootnoteText"/>
      </w:pPr>
      <w:r>
        <w:rPr>
          <w:rStyle w:val="FootnoteReference"/>
        </w:rPr>
        <w:footnoteRef/>
      </w:r>
      <w:r>
        <w:t xml:space="preserve"> This indicator is a weighted average of all EU Member States (excep</w:t>
      </w:r>
      <w:r>
        <w:t>t Croatia, for which we do not have sufficient data) and measures the extent to which domestic equity/bonds, held by EU residents in their country, are overweighing their domestic investment portfolio (i.e. holding a proportion of domestic assets that is h</w:t>
      </w:r>
      <w:r>
        <w:t xml:space="preserve">igher than the relative importance of local equity and bond markets over the total in the EU). The higher the value of the indicator the more home bias is observed (i.e. 1 being that the entire portfolio is invested within the domestic country of the EU). </w:t>
      </w:r>
      <w:r>
        <w:t xml:space="preserve">This measure follows the methodology developed in Bruegel (2016). </w:t>
      </w:r>
    </w:p>
  </w:footnote>
  <w:footnote w:id="8">
    <w:p w:rsidR="00083C3F" w:rsidRDefault="00E1215B">
      <w:pPr>
        <w:pStyle w:val="FootnoteText"/>
      </w:pPr>
      <w:r>
        <w:rPr>
          <w:rStyle w:val="FootnoteReference"/>
        </w:rPr>
        <w:footnoteRef/>
      </w:r>
      <w:r>
        <w:t xml:space="preserve"> In the US, for the period 1964-1990, public intervention is worth 13% of the absorption capacity in case of a shock, compared to a 23% contribution from credit and 39% from capital market</w:t>
      </w:r>
      <w:r>
        <w:t>s. Geographical and portfolio diversification ultimately stabilises the financial system. For a more extensive discussion and literature review, please see Valiante (2016). A recent estimation for OECD industrialised countries (Poncela et al. 2016, data ra</w:t>
      </w:r>
      <w:r>
        <w:t>nge 1999-2014) shows an absorption capacity of around 24% for the saving channel, negligible for the public intervention and around 4% for cross border credit and capital markets. It is also important to note that capital gains on cross-border capital mark</w:t>
      </w:r>
      <w:r>
        <w:t>ets transactions are not capture by this methodology in the international factor income (cross-border credit and capital markets), but in the saving channel (see Balli et al. 2012).</w:t>
      </w:r>
    </w:p>
  </w:footnote>
  <w:footnote w:id="9">
    <w:p w:rsidR="00083C3F" w:rsidRDefault="00E1215B">
      <w:pPr>
        <w:pStyle w:val="FootnoteText"/>
      </w:pPr>
      <w:r>
        <w:rPr>
          <w:rStyle w:val="FootnoteReference"/>
        </w:rPr>
        <w:footnoteRef/>
      </w:r>
      <w:r>
        <w:t xml:space="preserve"> Also called 'international factor income'. Net factor income is the port</w:t>
      </w:r>
      <w:r>
        <w:t>ion of the Gross National Income coming from cross-border investments (essentially interests and dividends), but it does not include income from capital gains (see the European System of Accounts ESA2010). According to the methodology developed by Asdrubal</w:t>
      </w:r>
      <w:r>
        <w:t>i et al. 1996, this link absorbs the most of asymmetric shocks to GDP among the available channels.</w:t>
      </w:r>
    </w:p>
  </w:footnote>
  <w:footnote w:id="10">
    <w:p w:rsidR="00083C3F" w:rsidRDefault="00E1215B">
      <w:pPr>
        <w:pStyle w:val="FootnoteText"/>
      </w:pPr>
      <w:r>
        <w:rPr>
          <w:rStyle w:val="FootnoteReference"/>
        </w:rPr>
        <w:footnoteRef/>
      </w:r>
      <w:r>
        <w:t>Our analysis, not reported in the SWD, suggests that geographical risk diversification is negatively correlated with home bias within the EU, as confirmati</w:t>
      </w:r>
      <w:r>
        <w:t>on that intra-EU flows move together with diversification.</w:t>
      </w:r>
    </w:p>
  </w:footnote>
  <w:footnote w:id="11">
    <w:p w:rsidR="00083C3F" w:rsidRDefault="00E1215B">
      <w:pPr>
        <w:pStyle w:val="FootnoteText"/>
      </w:pPr>
      <w:r>
        <w:rPr>
          <w:rStyle w:val="FootnoteReference"/>
        </w:rPr>
        <w:footnoteRef/>
      </w:r>
      <w:r>
        <w:t xml:space="preserve"> Informal investigations into the supervisory practices of National Competent Authorities (NCAs) in defined areas of intervention.</w:t>
      </w:r>
    </w:p>
  </w:footnote>
  <w:footnote w:id="12">
    <w:p w:rsidR="00083C3F" w:rsidRDefault="00E1215B">
      <w:pPr>
        <w:pStyle w:val="FootnoteText"/>
      </w:pPr>
      <w:r>
        <w:rPr>
          <w:rStyle w:val="FootnoteReference"/>
        </w:rPr>
        <w:footnoteRef/>
      </w:r>
      <w:r>
        <w:t xml:space="preserve"> Since 2015, ESMA only conducted five peer-reviews and there are</w:t>
      </w:r>
      <w:r>
        <w:t xml:space="preserve"> only two ongoing peer-reviews in the first quarter of 2017. These reviews cover limited areas of EU rules implementation. No 'Breach of Union law' procedure (under article 17, Regulation n. 1093/2010) has been formally launched by ESMA since its inception</w:t>
      </w:r>
      <w:r>
        <w:t>.</w:t>
      </w:r>
    </w:p>
  </w:footnote>
  <w:footnote w:id="13">
    <w:p w:rsidR="00083C3F" w:rsidRDefault="00E1215B">
      <w:pPr>
        <w:pStyle w:val="FootnoteText"/>
      </w:pPr>
      <w:r>
        <w:rPr>
          <w:rStyle w:val="FootnoteReference"/>
        </w:rPr>
        <w:footnoteRef/>
      </w:r>
      <w:r>
        <w:t xml:space="preserve"> EU, unless indicated otherwise.</w:t>
      </w:r>
    </w:p>
  </w:footnote>
  <w:footnote w:id="14">
    <w:p w:rsidR="00083C3F" w:rsidRDefault="00E1215B">
      <w:pPr>
        <w:pStyle w:val="FootnoteText"/>
      </w:pPr>
      <w:r>
        <w:rPr>
          <w:rStyle w:val="FootnoteReference"/>
        </w:rPr>
        <w:footnoteRef/>
      </w:r>
      <w:r>
        <w:t xml:space="preserve"> For a discussion on the respective advantages/disadvantages of debt and equity in the financial structure, we refer to the European Commission Staff Working Document SWD(2015) 183.</w:t>
      </w:r>
    </w:p>
  </w:footnote>
  <w:footnote w:id="15">
    <w:p w:rsidR="00083C3F" w:rsidRDefault="00E1215B">
      <w:pPr>
        <w:pStyle w:val="FootnoteText"/>
      </w:pPr>
      <w:r>
        <w:rPr>
          <w:rStyle w:val="FootnoteReference"/>
        </w:rPr>
        <w:footnoteRef/>
      </w:r>
      <w:r>
        <w:t xml:space="preserve"> An alternative view is provided by Dang et al (2017) stating that the allocation of projects between banks and financial markets does not rely on any comparative advantage that banks may have in evaluating and overseeing its assets. The key distinction be</w:t>
      </w:r>
      <w:r>
        <w:t xml:space="preserve">tween banks and capital markets is the way the two institutions </w:t>
      </w:r>
      <w:r>
        <w:rPr>
          <w:i/>
        </w:rPr>
        <w:t>process</w:t>
      </w:r>
      <w:r>
        <w:t xml:space="preserve"> the information.</w:t>
      </w:r>
    </w:p>
  </w:footnote>
  <w:footnote w:id="16">
    <w:p w:rsidR="00083C3F" w:rsidRDefault="00E1215B">
      <w:pPr>
        <w:pStyle w:val="FootnoteText"/>
      </w:pPr>
      <w:r>
        <w:rPr>
          <w:rStyle w:val="FootnoteReference"/>
        </w:rPr>
        <w:footnoteRef/>
      </w:r>
      <w:r>
        <w:t xml:space="preserve"> See Chapter 3 for the assessment of information barriers for bigger firms' decision to access public markets.  </w:t>
      </w:r>
    </w:p>
  </w:footnote>
  <w:footnote w:id="17">
    <w:p w:rsidR="00083C3F" w:rsidRDefault="00E1215B">
      <w:pPr>
        <w:pStyle w:val="FootnoteText"/>
      </w:pPr>
      <w:r>
        <w:rPr>
          <w:rStyle w:val="FootnoteReference"/>
        </w:rPr>
        <w:footnoteRef/>
      </w:r>
      <w:r>
        <w:t xml:space="preserve"> http://ec.europa.eu/research/participants/portal/de</w:t>
      </w:r>
      <w:r>
        <w:t>sktop/en/opportunities/h2020/topics/altfi-01-2017.html</w:t>
      </w:r>
    </w:p>
  </w:footnote>
  <w:footnote w:id="18">
    <w:p w:rsidR="00083C3F" w:rsidRDefault="00E1215B">
      <w:pPr>
        <w:pStyle w:val="FootnoteText"/>
      </w:pPr>
      <w:r>
        <w:rPr>
          <w:rStyle w:val="FootnoteReference"/>
        </w:rPr>
        <w:footnoteRef/>
      </w:r>
      <w:r>
        <w:t xml:space="preserve"> UK, Germany, France, Sweden, the Netherlands, Spain, Austria and Finland.</w:t>
      </w:r>
    </w:p>
  </w:footnote>
  <w:footnote w:id="19">
    <w:p w:rsidR="00083C3F" w:rsidRDefault="00E1215B">
      <w:pPr>
        <w:pStyle w:val="FootnoteText"/>
      </w:pPr>
      <w:r>
        <w:rPr>
          <w:rStyle w:val="FootnoteReference"/>
        </w:rPr>
        <w:footnoteRef/>
      </w:r>
      <w:r>
        <w:t xml:space="preserve"> EU, unless indicated otherwise.</w:t>
      </w:r>
    </w:p>
  </w:footnote>
  <w:footnote w:id="20">
    <w:p w:rsidR="00083C3F" w:rsidRDefault="00E1215B">
      <w:pPr>
        <w:pStyle w:val="FootnoteText"/>
      </w:pPr>
      <w:r>
        <w:rPr>
          <w:rStyle w:val="FootnoteReference"/>
        </w:rPr>
        <w:footnoteRef/>
      </w:r>
      <w:r>
        <w:t xml:space="preserve"> Last 3-year average</w:t>
      </w:r>
    </w:p>
  </w:footnote>
  <w:footnote w:id="21">
    <w:p w:rsidR="00083C3F" w:rsidRDefault="00E1215B">
      <w:pPr>
        <w:pStyle w:val="FootnoteText"/>
      </w:pPr>
      <w:r>
        <w:rPr>
          <w:rStyle w:val="FootnoteReference"/>
        </w:rPr>
        <w:footnoteRef/>
      </w:r>
      <w:r>
        <w:t xml:space="preserve"> Access to public markets is more relevant for firms that are in the later stages of their life cycle. See Chapter 2 for details on the funding accelerator model and financing options during the prelisting phase. In view of the well-developed European bank</w:t>
      </w:r>
      <w:r>
        <w:t xml:space="preserve"> lending system, bank-based and market-based financing largely complement each other. (See Chapter 2 as well).</w:t>
      </w:r>
    </w:p>
  </w:footnote>
  <w:footnote w:id="22">
    <w:p w:rsidR="00083C3F" w:rsidRDefault="00E1215B">
      <w:pPr>
        <w:pStyle w:val="FootnoteText"/>
      </w:pPr>
      <w:r>
        <w:rPr>
          <w:rStyle w:val="FootnoteReference"/>
        </w:rPr>
        <w:footnoteRef/>
      </w:r>
      <w:r>
        <w:t xml:space="preserve"> The financing mix of SMEs also differs from the one observed for large firms.</w:t>
      </w:r>
    </w:p>
  </w:footnote>
  <w:footnote w:id="23">
    <w:p w:rsidR="00083C3F" w:rsidRDefault="00E1215B">
      <w:pPr>
        <w:pStyle w:val="FootnoteText"/>
      </w:pPr>
      <w:r>
        <w:rPr>
          <w:rStyle w:val="FootnoteReference"/>
        </w:rPr>
        <w:footnoteRef/>
      </w:r>
      <w:r>
        <w:t xml:space="preserve"> See Chapter 6 for details.</w:t>
      </w:r>
    </w:p>
  </w:footnote>
  <w:footnote w:id="24">
    <w:p w:rsidR="00083C3F" w:rsidRDefault="00E1215B">
      <w:pPr>
        <w:pStyle w:val="FootnoteText"/>
      </w:pPr>
      <w:r>
        <w:rPr>
          <w:rStyle w:val="FootnoteReference"/>
        </w:rPr>
        <w:footnoteRef/>
      </w:r>
      <w:r>
        <w:t xml:space="preserve"> The </w:t>
      </w:r>
      <w:r>
        <w:rPr>
          <w:i/>
        </w:rPr>
        <w:t xml:space="preserve">Loans </w:t>
      </w:r>
      <w:r>
        <w:t>category is comprised of</w:t>
      </w:r>
      <w:r>
        <w:t xml:space="preserve"> domestic loans by MFIs and other loans which includes </w:t>
      </w:r>
      <w:r>
        <w:rPr>
          <w:lang w:eastAsia="en-GB"/>
        </w:rPr>
        <w:t xml:space="preserve">cross-border loans by MFIs. </w:t>
      </w:r>
      <w:r>
        <w:rPr>
          <w:rFonts w:cs="Times New Roman"/>
          <w:i/>
          <w:szCs w:val="18"/>
        </w:rPr>
        <w:t>Listed equity</w:t>
      </w:r>
      <w:r>
        <w:rPr>
          <w:rFonts w:cs="Times New Roman"/>
          <w:szCs w:val="18"/>
        </w:rPr>
        <w:t xml:space="preserve"> refers to equity securities listed on a recognized exchange or any other form of secondary market. </w:t>
      </w:r>
      <w:r>
        <w:rPr>
          <w:rFonts w:cs="Times New Roman"/>
          <w:i/>
          <w:szCs w:val="18"/>
        </w:rPr>
        <w:t>Unlisted &amp; other equity</w:t>
      </w:r>
      <w:r>
        <w:rPr>
          <w:rFonts w:cs="Times New Roman"/>
          <w:color w:val="000000"/>
          <w:szCs w:val="18"/>
        </w:rPr>
        <w:t xml:space="preserve"> comprises all forms of equity other </w:t>
      </w:r>
      <w:r>
        <w:rPr>
          <w:rFonts w:cs="Times New Roman"/>
          <w:color w:val="000000"/>
          <w:szCs w:val="18"/>
        </w:rPr>
        <w:t xml:space="preserve">than those classified as listed equity. </w:t>
      </w:r>
      <w:r>
        <w:rPr>
          <w:rFonts w:cs="Times New Roman"/>
          <w:i/>
          <w:szCs w:val="18"/>
        </w:rPr>
        <w:t>U</w:t>
      </w:r>
      <w:r>
        <w:rPr>
          <w:rFonts w:cs="Times New Roman"/>
          <w:i/>
          <w:color w:val="000000"/>
          <w:szCs w:val="18"/>
        </w:rPr>
        <w:t>nlisted shares</w:t>
      </w:r>
      <w:r>
        <w:rPr>
          <w:rFonts w:cs="Times New Roman"/>
          <w:color w:val="000000"/>
          <w:szCs w:val="18"/>
        </w:rPr>
        <w:t xml:space="preserve"> are equity securities not listed on an exchange and include shares issued by unlisted limited liability companies as follows: </w:t>
      </w:r>
      <w:r>
        <w:rPr>
          <w:rFonts w:cs="Times New Roman"/>
          <w:szCs w:val="18"/>
        </w:rPr>
        <w:t xml:space="preserve">(a) capital shares; (b) redeemed shares whose capital has been repaid but </w:t>
      </w:r>
      <w:r>
        <w:rPr>
          <w:rFonts w:cs="Times New Roman"/>
          <w:szCs w:val="18"/>
        </w:rPr>
        <w:t xml:space="preserve">which are retained by holders; (c) dividend shares, also called founders’ shares, profits shares, and dividend shares, which are not part of the registered capital. (d) Participating preference shares or stocks. </w:t>
      </w:r>
      <w:r>
        <w:rPr>
          <w:rFonts w:cs="Times New Roman"/>
          <w:i/>
          <w:color w:val="000000"/>
          <w:szCs w:val="18"/>
        </w:rPr>
        <w:t>Other equity</w:t>
      </w:r>
      <w:r>
        <w:rPr>
          <w:rFonts w:cs="Times New Roman"/>
          <w:color w:val="000000"/>
          <w:szCs w:val="18"/>
        </w:rPr>
        <w:t xml:space="preserve"> includes: (a) all forms of equi</w:t>
      </w:r>
      <w:r>
        <w:rPr>
          <w:rFonts w:cs="Times New Roman"/>
          <w:color w:val="000000"/>
          <w:szCs w:val="18"/>
        </w:rPr>
        <w:t>ty in corporations which are not shares; (b) investment by general government in the capital of public corporations whose capital is not divided into shares and which by virtue of special legislation are recognised as independent legal entities; (c) invest</w:t>
      </w:r>
      <w:r>
        <w:rPr>
          <w:rFonts w:cs="Times New Roman"/>
          <w:color w:val="000000"/>
          <w:szCs w:val="18"/>
        </w:rPr>
        <w:t>ment by general government in the capital of the central bank; (d) government investments in the capital of international and supranational organisations, with the exception of the IMF, even if these are legally constituted as corporations with share capit</w:t>
      </w:r>
      <w:r>
        <w:rPr>
          <w:rFonts w:cs="Times New Roman"/>
          <w:color w:val="000000"/>
          <w:szCs w:val="18"/>
        </w:rPr>
        <w:t xml:space="preserve">al (e.g. the European Investment Bank); </w:t>
      </w:r>
      <w:r>
        <w:rPr>
          <w:rFonts w:cs="Times New Roman"/>
          <w:szCs w:val="18"/>
        </w:rPr>
        <w:t xml:space="preserve">(e) the financial resources of the ECB contributed by the national central banks; (f) capital invested in financial and non-financial quasi-corporations. (g) the financial claims that non-resident units have against </w:t>
      </w:r>
      <w:r>
        <w:rPr>
          <w:rFonts w:cs="Times New Roman"/>
          <w:szCs w:val="18"/>
        </w:rPr>
        <w:t>notional resident units and vice versa. See Eurostat (2013) for further details.</w:t>
      </w:r>
    </w:p>
  </w:footnote>
  <w:footnote w:id="25">
    <w:p w:rsidR="00083C3F" w:rsidRDefault="00E1215B">
      <w:pPr>
        <w:pStyle w:val="FootnoteText"/>
      </w:pPr>
      <w:r>
        <w:rPr>
          <w:rStyle w:val="FootnoteReference"/>
        </w:rPr>
        <w:footnoteRef/>
      </w:r>
      <w:r>
        <w:t xml:space="preserve"> See also Chapter 2 for further details. </w:t>
      </w:r>
    </w:p>
  </w:footnote>
  <w:footnote w:id="26">
    <w:p w:rsidR="00083C3F" w:rsidRDefault="00E1215B">
      <w:pPr>
        <w:pStyle w:val="FootnoteText"/>
      </w:pPr>
      <w:r>
        <w:rPr>
          <w:rStyle w:val="FootnoteReference"/>
        </w:rPr>
        <w:footnoteRef/>
      </w:r>
      <w:r>
        <w:t xml:space="preserve"> Based on hierarchical cluster analysis they identify 7 groups of SMEs: debt-financed SMEs; internally-financed SMEs mixed-financed</w:t>
      </w:r>
      <w:r>
        <w:t xml:space="preserve"> SMEs with focus on other loans; mixed-financed SMEs focus retained earnings or sale of assets; state- subsidised SMEs; trade-financed SMEs; and asset-based financed SMEs.</w:t>
      </w:r>
    </w:p>
  </w:footnote>
  <w:footnote w:id="27">
    <w:p w:rsidR="00083C3F" w:rsidRDefault="00E1215B">
      <w:pPr>
        <w:pStyle w:val="FootnoteText"/>
      </w:pPr>
      <w:r>
        <w:rPr>
          <w:rStyle w:val="FootnoteReference"/>
        </w:rPr>
        <w:footnoteRef/>
      </w:r>
      <w:r>
        <w:t xml:space="preserve"> Contrary to previous studies, they did not study IPOs alone but analysed IPOs and </w:t>
      </w:r>
      <w:r>
        <w:t>share repurchases (i.e. opposing transaction to IPO) together. Based on this analysis, Ditmar &amp; Ditmar (2008) show that both are correlated and that the increased volume for both transactions is not driven by overvaluation.</w:t>
      </w:r>
    </w:p>
  </w:footnote>
  <w:footnote w:id="28">
    <w:p w:rsidR="00083C3F" w:rsidRDefault="00E1215B">
      <w:pPr>
        <w:pStyle w:val="FootnoteText"/>
      </w:pPr>
      <w:r>
        <w:rPr>
          <w:rStyle w:val="FootnoteReference"/>
        </w:rPr>
        <w:footnoteRef/>
      </w:r>
      <w:r>
        <w:t xml:space="preserve"> IPO firms experience not only </w:t>
      </w:r>
      <w:r>
        <w:t>lower interest rates but also less credit concentration after the IPO.</w:t>
      </w:r>
    </w:p>
  </w:footnote>
  <w:footnote w:id="29">
    <w:p w:rsidR="00083C3F" w:rsidRDefault="00E1215B">
      <w:pPr>
        <w:pStyle w:val="FootnoteText"/>
      </w:pPr>
      <w:r>
        <w:rPr>
          <w:rStyle w:val="FootnoteReference"/>
        </w:rPr>
        <w:footnoteRef/>
      </w:r>
      <w:r>
        <w:t xml:space="preserve"> Increased compliance costs following the introduction of the Sarbanes–Oxley Act (SOX) is one of the main determinants of delisting in the US (Marosi &amp; Massoud 2007, Leuz et al. 2008).</w:t>
      </w:r>
      <w:r>
        <w:t xml:space="preserve"> See Martinez &amp; Serve (2016) for an overview of delisting motives. </w:t>
      </w:r>
      <w:r>
        <w:tab/>
      </w:r>
    </w:p>
  </w:footnote>
  <w:footnote w:id="30">
    <w:p w:rsidR="00083C3F" w:rsidRDefault="00E1215B">
      <w:pPr>
        <w:pStyle w:val="FootnoteText"/>
      </w:pPr>
      <w:r>
        <w:rPr>
          <w:rStyle w:val="FootnoteReference"/>
        </w:rPr>
        <w:footnoteRef/>
      </w:r>
      <w:r>
        <w:t xml:space="preserve"> The legal system will also affect overall IPO activity. La Porta (1997) shows that firms' reliance on external capital increases with the level of investor protection. Hence, lack of ha</w:t>
      </w:r>
      <w:r>
        <w:t>rmonization of legal requirements will explain to some extent cross-country differences in external funding and IPO activity.</w:t>
      </w:r>
    </w:p>
  </w:footnote>
  <w:footnote w:id="31">
    <w:p w:rsidR="00083C3F" w:rsidRDefault="00E1215B">
      <w:pPr>
        <w:pStyle w:val="FootnoteText"/>
      </w:pPr>
      <w:r>
        <w:rPr>
          <w:rStyle w:val="FootnoteReference"/>
        </w:rPr>
        <w:footnoteRef/>
      </w:r>
      <w:r>
        <w:t xml:space="preserve"> Within five years of an IPO, only 55% of small capitalization companies remain listed on a public exchange, compared to 61% and </w:t>
      </w:r>
      <w:r>
        <w:t>67% for middle and large capitalization companies, respectively.</w:t>
      </w:r>
    </w:p>
  </w:footnote>
  <w:footnote w:id="32">
    <w:p w:rsidR="00083C3F" w:rsidRDefault="00E1215B">
      <w:pPr>
        <w:pStyle w:val="FootnoteText"/>
      </w:pPr>
      <w:r>
        <w:rPr>
          <w:rStyle w:val="FootnoteReference"/>
        </w:rPr>
        <w:footnoteRef/>
      </w:r>
      <w:r>
        <w:t xml:space="preserve"> Less stringent measures should still assure high quality information. This can for example be achieved by requiring the same disclosure content as on the main exchange but reduce the number</w:t>
      </w:r>
      <w:r>
        <w:t xml:space="preserve"> of disclosure moments WFE (2016). </w:t>
      </w:r>
    </w:p>
  </w:footnote>
  <w:footnote w:id="33">
    <w:p w:rsidR="00083C3F" w:rsidRDefault="00E1215B">
      <w:pPr>
        <w:pStyle w:val="FootnoteText"/>
      </w:pPr>
      <w:r>
        <w:rPr>
          <w:rStyle w:val="FootnoteReference"/>
        </w:rPr>
        <w:footnoteRef/>
      </w:r>
      <w:r>
        <w:t xml:space="preserve"> Rose &amp; Solomon (2016) also stress the importance to foster investor demand for small IPOs to revive the SME IPO market.</w:t>
      </w:r>
    </w:p>
  </w:footnote>
  <w:footnote w:id="34">
    <w:p w:rsidR="00083C3F" w:rsidRDefault="00E1215B">
      <w:pPr>
        <w:pStyle w:val="FootnoteText"/>
      </w:pPr>
      <w:r>
        <w:rPr>
          <w:rStyle w:val="FootnoteReference"/>
        </w:rPr>
        <w:footnoteRef/>
      </w:r>
      <w:r>
        <w:t xml:space="preserve"> Note that financial education of SMEs might also be important to raise their awareness of market</w:t>
      </w:r>
      <w:r>
        <w:t xml:space="preserve">-based financing opportunities. </w:t>
      </w:r>
    </w:p>
  </w:footnote>
  <w:footnote w:id="35">
    <w:p w:rsidR="00083C3F" w:rsidRDefault="00E1215B">
      <w:pPr>
        <w:pStyle w:val="FootnoteText"/>
        <w:rPr>
          <w:rFonts w:cs="Times New Roman"/>
          <w:color w:val="000000"/>
          <w:sz w:val="24"/>
          <w:szCs w:val="24"/>
        </w:rPr>
      </w:pPr>
      <w:r>
        <w:rPr>
          <w:rStyle w:val="FootnoteReference"/>
        </w:rPr>
        <w:footnoteRef/>
      </w:r>
      <w:r>
        <w:t xml:space="preserve"> See OECD (2015) for the importance of market makers, and Harwood &amp; Konidaris (2015) for examples of market-maker models.</w:t>
      </w:r>
    </w:p>
  </w:footnote>
  <w:footnote w:id="36">
    <w:p w:rsidR="00083C3F" w:rsidRDefault="00E1215B">
      <w:pPr>
        <w:pStyle w:val="FootnoteText"/>
      </w:pPr>
      <w:r>
        <w:rPr>
          <w:rStyle w:val="FootnoteReference"/>
        </w:rPr>
        <w:footnoteRef/>
      </w:r>
      <w:r>
        <w:t xml:space="preserve"> In line with the reputational model (Diamond 1991), both firms with high and low reputation enter the public bond market quicker than firms with an intermediate reputation. Hale (2008) finds corroborating evidence for this theory.</w:t>
      </w:r>
    </w:p>
  </w:footnote>
  <w:footnote w:id="37">
    <w:p w:rsidR="00083C3F" w:rsidRDefault="00E1215B">
      <w:pPr>
        <w:pStyle w:val="FootnoteText"/>
      </w:pPr>
      <w:r>
        <w:rPr>
          <w:rStyle w:val="FootnoteReference"/>
        </w:rPr>
        <w:footnoteRef/>
      </w:r>
      <w:r>
        <w:t xml:space="preserve"> A similar pattern is d</w:t>
      </w:r>
      <w:r>
        <w:t xml:space="preserve">ocumented for other types of external finance, with public equity issuances and private loans do not significantly decline during downturns for investment-grade borrowers while they do for noninvestment-grade borrowers (Erel et al. 2011). </w:t>
      </w:r>
    </w:p>
  </w:footnote>
  <w:footnote w:id="38">
    <w:p w:rsidR="00083C3F" w:rsidRDefault="00E1215B">
      <w:pPr>
        <w:pStyle w:val="FootnoteText"/>
      </w:pPr>
      <w:r>
        <w:rPr>
          <w:rStyle w:val="FootnoteReference"/>
        </w:rPr>
        <w:footnoteRef/>
      </w:r>
      <w:r>
        <w:t xml:space="preserve"> In response to</w:t>
      </w:r>
      <w:r>
        <w:t xml:space="preserve"> the crisis, policy measures - such as stricter bank prudential rules, tighter limits on hedging requirements, and a push for greater transparency - were put in place to make the financial system more resilient which, in turn, might potentially negatively </w:t>
      </w:r>
      <w:r>
        <w:t>affect liquidity.  Given that different liquidity metrics point to different directions, existing studies are inconclusive.</w:t>
      </w:r>
    </w:p>
  </w:footnote>
  <w:footnote w:id="39">
    <w:p w:rsidR="00083C3F" w:rsidRDefault="00E1215B">
      <w:pPr>
        <w:pStyle w:val="FootnoteText"/>
      </w:pPr>
      <w:r>
        <w:rPr>
          <w:rStyle w:val="FootnoteReference"/>
        </w:rPr>
        <w:footnoteRef/>
      </w:r>
      <w:r>
        <w:t xml:space="preserve"> EU, unless indicated otherwise.</w:t>
      </w:r>
    </w:p>
  </w:footnote>
  <w:footnote w:id="40">
    <w:p w:rsidR="00083C3F" w:rsidRDefault="00E1215B">
      <w:pPr>
        <w:pStyle w:val="FootnoteText"/>
      </w:pPr>
      <w:r>
        <w:rPr>
          <w:rStyle w:val="FootnoteReference"/>
        </w:rPr>
        <w:footnoteRef/>
      </w:r>
      <w:r>
        <w:t xml:space="preserve"> A typical example of securitization is a mortgage-backed security but other loans, such as SME l</w:t>
      </w:r>
      <w:r>
        <w:t>oans, could also get securitised.</w:t>
      </w:r>
    </w:p>
  </w:footnote>
  <w:footnote w:id="41">
    <w:p w:rsidR="00083C3F" w:rsidRDefault="00E1215B">
      <w:pPr>
        <w:pStyle w:val="FootnoteText"/>
        <w:rPr>
          <w:rFonts w:cs="Times New Roman"/>
          <w:sz w:val="20"/>
        </w:rPr>
      </w:pPr>
      <w:r>
        <w:rPr>
          <w:rStyle w:val="FootnoteReference"/>
          <w:rFonts w:cs="Times New Roman"/>
        </w:rPr>
        <w:footnoteRef/>
      </w:r>
      <w:r>
        <w:rPr>
          <w:rFonts w:cs="Times New Roman"/>
          <w:sz w:val="20"/>
        </w:rPr>
        <w:t xml:space="preserve"> </w:t>
      </w:r>
      <w:r>
        <w:t xml:space="preserve">European securitised products have proven remarkably safe during the crisis, generating near-zero losses. Illustrating this, default rates of AAA EU RMBS products never really exceeded 0.1% while the rate was 16% in the </w:t>
      </w:r>
      <w:r>
        <w:t>US. For riskier (BBB-rated) products, EU securitisation also performed very well, with worst-performing classes defaulting in 0.2% of the cases at the height of the crisis as compared to the default rate of 62% in the US.</w:t>
      </w:r>
    </w:p>
  </w:footnote>
  <w:footnote w:id="42">
    <w:p w:rsidR="00083C3F" w:rsidRDefault="00E1215B">
      <w:pPr>
        <w:pStyle w:val="FootnoteText"/>
      </w:pPr>
      <w:r>
        <w:rPr>
          <w:rStyle w:val="FootnoteReference"/>
        </w:rPr>
        <w:footnoteRef/>
      </w:r>
      <w:r>
        <w:t xml:space="preserve"> Credit rating agencies typically</w:t>
      </w:r>
      <w:r>
        <w:t xml:space="preserve"> require 3-5 years of financial performance and credit history when rating a securitised product</w:t>
      </w:r>
    </w:p>
  </w:footnote>
  <w:footnote w:id="43">
    <w:p w:rsidR="00083C3F" w:rsidRDefault="00E1215B">
      <w:pPr>
        <w:pStyle w:val="FootnoteText"/>
      </w:pPr>
      <w:r>
        <w:rPr>
          <w:rStyle w:val="FootnoteReference"/>
        </w:rPr>
        <w:footnoteRef/>
      </w:r>
      <w:r>
        <w:t xml:space="preserve"> RMBS stands for residential mortgage backed securities; WBS/PFI stands for whole business securities/project finance initiatives; ABS stands for asset-backed</w:t>
      </w:r>
      <w:r>
        <w:t xml:space="preserve"> securities; CDO stands for collateralised debt obligations; CMBS stands for commercial mortgage backed securities.</w:t>
      </w:r>
    </w:p>
  </w:footnote>
  <w:footnote w:id="44">
    <w:p w:rsidR="00083C3F" w:rsidRDefault="00E1215B">
      <w:pPr>
        <w:pStyle w:val="FootnoteText"/>
      </w:pPr>
      <w:r>
        <w:rPr>
          <w:rStyle w:val="FootnoteReference"/>
        </w:rPr>
        <w:footnoteRef/>
      </w:r>
      <w:r>
        <w:t xml:space="preserve"> In most Member States, eligible assets for inclusion in the cover pool are prescribed by legislation and are usually mortgages and private</w:t>
      </w:r>
      <w:r>
        <w:t xml:space="preserve"> sector obligations.</w:t>
      </w:r>
    </w:p>
  </w:footnote>
  <w:footnote w:id="45">
    <w:p w:rsidR="00083C3F" w:rsidRDefault="00E1215B">
      <w:pPr>
        <w:pStyle w:val="FootnoteText"/>
      </w:pPr>
      <w:r>
        <w:rPr>
          <w:rStyle w:val="FootnoteReference"/>
        </w:rPr>
        <w:footnoteRef/>
      </w:r>
      <w:r>
        <w:t xml:space="preserve"> Covered bonds are in general medium-term financial products, with an average maturity of around 5-7 years for the new issues, and 70% maturing within 7 years. In a search for higher yields, maturity has risen somewhat in the past few</w:t>
      </w:r>
      <w:r>
        <w:t xml:space="preserve"> years.</w:t>
      </w:r>
    </w:p>
  </w:footnote>
  <w:footnote w:id="46">
    <w:p w:rsidR="00083C3F" w:rsidRDefault="00E1215B">
      <w:pPr>
        <w:pStyle w:val="FootnoteText"/>
      </w:pPr>
      <w:r>
        <w:rPr>
          <w:rStyle w:val="FootnoteReference"/>
        </w:rPr>
        <w:footnoteRef/>
      </w:r>
      <w:r>
        <w:t xml:space="preserve"> NPLs weigh significantly on banks profitability as NPLs force banks to raise provisioning, lowering net income, while these NPLs at the same time usually do not generate income streams or at least less than performing assets. They further tie up </w:t>
      </w:r>
      <w:r>
        <w:t>more capital, due to higher risk weights on impaired assets; capital which could be used to finance new projects. NPLs thus raise the risk profile of the banks involved, translating into higher funding costs for banks, and forcing banks to propose higher l</w:t>
      </w:r>
      <w:r>
        <w:t xml:space="preserve">ending rates and reduce lending volumes. </w:t>
      </w:r>
    </w:p>
  </w:footnote>
  <w:footnote w:id="47">
    <w:p w:rsidR="00083C3F" w:rsidRDefault="00E1215B">
      <w:pPr>
        <w:pStyle w:val="FootnoteText"/>
      </w:pPr>
      <w:r>
        <w:rPr>
          <w:rStyle w:val="FootnoteReference"/>
        </w:rPr>
        <w:footnoteRef/>
      </w:r>
      <w:r>
        <w:t xml:space="preserve"> Several studies demonstrated that NPLs hamper the economic recovery prospects for the European economy.</w:t>
      </w:r>
    </w:p>
  </w:footnote>
  <w:footnote w:id="48">
    <w:p w:rsidR="00083C3F" w:rsidRDefault="00E1215B">
      <w:pPr>
        <w:pStyle w:val="FootnoteText"/>
      </w:pPr>
      <w:r>
        <w:rPr>
          <w:rStyle w:val="FootnoteReference"/>
        </w:rPr>
        <w:footnoteRef/>
      </w:r>
      <w:r>
        <w:t xml:space="preserve"> EBA Report on NPLs. </w:t>
      </w:r>
    </w:p>
  </w:footnote>
  <w:footnote w:id="49">
    <w:p w:rsidR="00083C3F" w:rsidRDefault="00E1215B">
      <w:pPr>
        <w:pStyle w:val="FootnoteText"/>
      </w:pPr>
      <w:r>
        <w:t xml:space="preserve">re businesses (in terms of asset class or geography) and to shed performing assets </w:t>
      </w:r>
      <w:r>
        <w:t>which consume too much risk-weighted regulatory capital.</w:t>
      </w:r>
    </w:p>
  </w:footnote>
  <w:footnote w:id="50">
    <w:p w:rsidR="00083C3F" w:rsidRDefault="00083C3F">
      <w:pPr>
        <w:pStyle w:val="FootnoteText"/>
        <w:rPr>
          <w:highlight w:val="green"/>
        </w:rPr>
      </w:pPr>
    </w:p>
  </w:footnote>
  <w:footnote w:id="51">
    <w:p w:rsidR="00083C3F" w:rsidRDefault="00E1215B">
      <w:pPr>
        <w:pStyle w:val="FootnoteText"/>
      </w:pPr>
      <w:r>
        <w:rPr>
          <w:rStyle w:val="FootnoteReference"/>
        </w:rPr>
        <w:footnoteRef/>
      </w:r>
      <w:r>
        <w:t xml:space="preserve"> Increased banks regulation (SSM) and capital requirements (Basel III, IFRS9) continue to stimulate divesture. Besides, also financial markets spur banks to place stricter focus on core businesses </w:t>
      </w:r>
      <w:r>
        <w:t>(in terms of asset class or geography) and to shed performing assets which consume too much risk-weighted regulatory capital.</w:t>
      </w:r>
    </w:p>
  </w:footnote>
  <w:footnote w:id="52">
    <w:p w:rsidR="00083C3F" w:rsidRDefault="00E1215B">
      <w:pPr>
        <w:pStyle w:val="FootnoteText"/>
        <w:rPr>
          <w:highlight w:val="green"/>
        </w:rPr>
      </w:pPr>
      <w:r>
        <w:rPr>
          <w:rStyle w:val="FootnoteReference"/>
        </w:rPr>
        <w:footnoteRef/>
      </w:r>
      <w:r>
        <w:t xml:space="preserve"> According to PWC, 7th annual European Bank Restructuring Conference, March 2016.</w:t>
      </w:r>
    </w:p>
  </w:footnote>
  <w:footnote w:id="53">
    <w:p w:rsidR="00083C3F" w:rsidRDefault="00E1215B">
      <w:pPr>
        <w:pStyle w:val="FootnoteText"/>
      </w:pPr>
      <w:r>
        <w:rPr>
          <w:rStyle w:val="FootnoteReference"/>
        </w:rPr>
        <w:footnoteRef/>
      </w:r>
      <w:r>
        <w:t xml:space="preserve"> EU, unless indicated otherwise.</w:t>
      </w:r>
    </w:p>
  </w:footnote>
  <w:footnote w:id="54">
    <w:p w:rsidR="00083C3F" w:rsidRDefault="00E1215B">
      <w:pPr>
        <w:pStyle w:val="FootnoteText"/>
      </w:pPr>
      <w:r>
        <w:rPr>
          <w:rStyle w:val="FootnoteReference"/>
        </w:rPr>
        <w:footnoteRef/>
      </w:r>
      <w:r>
        <w:t xml:space="preserve"> Solvency II</w:t>
      </w:r>
      <w:r>
        <w:t xml:space="preserve"> harmonised reporting will soon provide clarity on actual investments, e.g. through funds and taking into account unit-linked products.</w:t>
      </w:r>
    </w:p>
  </w:footnote>
  <w:footnote w:id="55">
    <w:p w:rsidR="00083C3F" w:rsidRDefault="00E1215B">
      <w:pPr>
        <w:pStyle w:val="FootnoteText"/>
      </w:pPr>
      <w:r>
        <w:rPr>
          <w:rStyle w:val="FootnoteReference"/>
        </w:rPr>
        <w:footnoteRef/>
      </w:r>
      <w:r>
        <w:t xml:space="preserve"> energy distribution networks, storage, power generation, water, sewage, waste</w:t>
      </w:r>
    </w:p>
  </w:footnote>
  <w:footnote w:id="56">
    <w:p w:rsidR="00083C3F" w:rsidRDefault="00E1215B">
      <w:pPr>
        <w:pStyle w:val="FootnoteText"/>
      </w:pPr>
      <w:r>
        <w:rPr>
          <w:rStyle w:val="FootnoteReference"/>
        </w:rPr>
        <w:footnoteRef/>
      </w:r>
      <w:r>
        <w:t xml:space="preserve"> </w:t>
      </w:r>
      <w:r>
        <w:rPr>
          <w:rFonts w:cs="Times New Roman"/>
        </w:rPr>
        <w:t xml:space="preserve">The Commission put forward next steps </w:t>
      </w:r>
      <w:r>
        <w:rPr>
          <w:rFonts w:cs="Times New Roman"/>
        </w:rPr>
        <w:t>to this end in the Communication on "Clean Energy for All" (November 2016).</w:t>
      </w:r>
    </w:p>
  </w:footnote>
  <w:footnote w:id="57">
    <w:p w:rsidR="00083C3F" w:rsidRDefault="00E1215B">
      <w:pPr>
        <w:pStyle w:val="FootnoteText"/>
      </w:pPr>
      <w:r>
        <w:rPr>
          <w:rStyle w:val="FootnoteReference"/>
        </w:rPr>
        <w:footnoteRef/>
      </w:r>
      <w:r>
        <w:t xml:space="preserve"> The Market Stability Reserve implemented as of 2019 will reduce the auction automatically and in a gradual manner. As part of the ongoing co-decision on the ETS, proposals such a</w:t>
      </w:r>
      <w:r>
        <w:t>s those included in the position adopted recently by the European Parliament and the […] Council to temporarily double the feeding rate of this reserve would further strengthen the ETS and the ability of the Market Stability Reserve to reduce the oversuppl</w:t>
      </w:r>
      <w:r>
        <w:t>y on the market and make it more robust against future changes in demand, regardless of whether these reflect economic factors or policy developments.</w:t>
      </w:r>
    </w:p>
  </w:footnote>
  <w:footnote w:id="58">
    <w:p w:rsidR="00083C3F" w:rsidRDefault="00E1215B">
      <w:pPr>
        <w:pStyle w:val="FootnoteText"/>
      </w:pPr>
      <w:r>
        <w:rPr>
          <w:rStyle w:val="FootnoteReference"/>
        </w:rPr>
        <w:footnoteRef/>
      </w:r>
      <w:r>
        <w:t xml:space="preserve"> EU, unless indicated otherwise.</w:t>
      </w:r>
    </w:p>
  </w:footnote>
  <w:footnote w:id="59">
    <w:p w:rsidR="00083C3F" w:rsidRDefault="00E1215B">
      <w:pPr>
        <w:pStyle w:val="FootnoteText"/>
      </w:pPr>
      <w:r>
        <w:rPr>
          <w:rStyle w:val="FootnoteReference"/>
        </w:rPr>
        <w:footnoteRef/>
      </w:r>
      <w:r>
        <w:t xml:space="preserve"> Last 6-year average</w:t>
      </w:r>
    </w:p>
  </w:footnote>
  <w:footnote w:id="60">
    <w:p w:rsidR="00083C3F" w:rsidRDefault="00E1215B">
      <w:pPr>
        <w:pStyle w:val="FootnoteText"/>
      </w:pPr>
      <w:r>
        <w:rPr>
          <w:rStyle w:val="FootnoteReference"/>
        </w:rPr>
        <w:footnoteRef/>
      </w:r>
      <w:r>
        <w:t xml:space="preserve"> At the end of October 2016, excess reserves and</w:t>
      </w:r>
      <w:r>
        <w:t xml:space="preserve"> deposit facilities subject to negative interest rates in the Eurozone amounted to 1047 billion euros, representing an annual gross cost of 4.2 billion euros for commercial banks. This cost may, however, be offset to some extent by the capital gains realis</w:t>
      </w:r>
      <w:r>
        <w:t>ed by selling securities to the ECB.</w:t>
      </w:r>
    </w:p>
  </w:footnote>
  <w:footnote w:id="61">
    <w:p w:rsidR="00083C3F" w:rsidRDefault="00E1215B">
      <w:pPr>
        <w:pStyle w:val="FootnoteText"/>
      </w:pPr>
      <w:r>
        <w:rPr>
          <w:rStyle w:val="FootnoteReference"/>
        </w:rPr>
        <w:footnoteRef/>
      </w:r>
      <w:r>
        <w:t xml:space="preserve"> See for example: BCG customer centricity study 2011 showing that proximity still drives about 30% of new customer acquisition in retail banking (France - 28%, Germany – 39%, United Kingdom – 26%)</w:t>
      </w:r>
    </w:p>
  </w:footnote>
  <w:footnote w:id="62">
    <w:p w:rsidR="00083C3F" w:rsidRDefault="00E1215B">
      <w:pPr>
        <w:pStyle w:val="FootnoteText"/>
      </w:pPr>
      <w:r>
        <w:rPr>
          <w:rStyle w:val="FootnoteReference"/>
        </w:rPr>
        <w:footnoteRef/>
      </w:r>
      <w:r>
        <w:t xml:space="preserve"> Current market size </w:t>
      </w:r>
      <w:r>
        <w:rPr>
          <w:rFonts w:cs="Times New Roman"/>
          <w:bCs/>
        </w:rPr>
        <w:t xml:space="preserve">estimated at around EUR 0.7 trillion based on Commission figures </w:t>
      </w:r>
    </w:p>
  </w:footnote>
  <w:footnote w:id="63">
    <w:p w:rsidR="00083C3F" w:rsidRDefault="00E1215B">
      <w:pPr>
        <w:pStyle w:val="FootnoteText"/>
      </w:pPr>
      <w:r>
        <w:rPr>
          <w:rStyle w:val="FootnoteReference"/>
        </w:rPr>
        <w:footnoteRef/>
      </w:r>
      <w:r>
        <w:t xml:space="preserve"> See for example Akerlof 1970.</w:t>
      </w:r>
    </w:p>
  </w:footnote>
  <w:footnote w:id="64">
    <w:p w:rsidR="00083C3F" w:rsidRDefault="00E1215B">
      <w:pPr>
        <w:pStyle w:val="FootnoteText"/>
      </w:pPr>
      <w:r>
        <w:rPr>
          <w:rStyle w:val="FootnoteReference"/>
        </w:rPr>
        <w:footnoteRef/>
      </w:r>
      <w:r>
        <w:t xml:space="preserve"> Many financial products and services (if not all of them) are typically called 'credence goods', because their quality cannot be fully </w:t>
      </w:r>
      <w:r>
        <w:t>assessed even after using them. This is the case of products that have a strong idiosyncratic nature. For instance, the quality of financial advice is difficult to evaluate, as there is no benchmark to compare with (only with proxies). Advice is individual</w:t>
      </w:r>
      <w:r>
        <w:t xml:space="preserve"> and relies on current and expected circumstances, which can in the future evolve in an infinite set of scenarios. As future scenarios are infinite, then, it is difficult to build a benchmark, but only provide general indications.</w:t>
      </w:r>
    </w:p>
  </w:footnote>
  <w:footnote w:id="65">
    <w:p w:rsidR="00083C3F" w:rsidRDefault="00E1215B">
      <w:pPr>
        <w:pStyle w:val="FootnoteText"/>
      </w:pPr>
      <w:r>
        <w:rPr>
          <w:rStyle w:val="FootnoteReference"/>
        </w:rPr>
        <w:footnoteRef/>
      </w:r>
      <w:r>
        <w:t xml:space="preserve"> There will be other fac</w:t>
      </w:r>
      <w:r>
        <w:t xml:space="preserve">tors affecting the decision of consumers (e.g. taste and preference, customer loyalty) but price and quality usually remain the most important factors, especially in the long-run </w:t>
      </w:r>
    </w:p>
  </w:footnote>
  <w:footnote w:id="66">
    <w:p w:rsidR="00083C3F" w:rsidRDefault="00E1215B">
      <w:pPr>
        <w:pStyle w:val="FootnoteText"/>
      </w:pPr>
      <w:r>
        <w:rPr>
          <w:rStyle w:val="FootnoteReference"/>
        </w:rPr>
        <w:footnoteRef/>
      </w:r>
      <w:r>
        <w:t xml:space="preserve"> As demonstrated in the following sub-section, even a full analysis of all </w:t>
      </w:r>
      <w:r>
        <w:t xml:space="preserve">offers may not improve the quality of services received given market opacity and conflicts of interest on the side of suppliers. </w:t>
      </w:r>
    </w:p>
  </w:footnote>
  <w:footnote w:id="67">
    <w:p w:rsidR="00083C3F" w:rsidRDefault="00E1215B">
      <w:pPr>
        <w:pStyle w:val="FootnoteText"/>
      </w:pPr>
      <w:r>
        <w:rPr>
          <w:rStyle w:val="FootnoteReference"/>
        </w:rPr>
        <w:footnoteRef/>
      </w:r>
      <w:r>
        <w:t xml:space="preserve"> There may be situations where the investor is pursing goals other than maximising returns. Examples include investments in s</w:t>
      </w:r>
      <w:r>
        <w:t xml:space="preserve">ocial or ecological projects, which may carry higher risks and/or lower expected returns than other available investments.  </w:t>
      </w:r>
    </w:p>
  </w:footnote>
  <w:footnote w:id="68">
    <w:p w:rsidR="00083C3F" w:rsidRDefault="00E1215B">
      <w:pPr>
        <w:pStyle w:val="FootnoteText"/>
      </w:pPr>
      <w:r>
        <w:rPr>
          <w:rStyle w:val="FootnoteReference"/>
        </w:rPr>
        <w:footnoteRef/>
      </w:r>
      <w:r>
        <w:t xml:space="preserve"> Some researchers doubt the existence of this trade-off, pointing out that the statistical evidence in support of the hypothesis i</w:t>
      </w:r>
      <w:r>
        <w:t>s weak. Most studies supporting this motion stem from tests applying the Fama-McBeth methodology, or variations thereof. There is little evidence, however, for the statistical power of this methodology, especially in the analysis of short time periods – Se</w:t>
      </w:r>
      <w:r>
        <w:t xml:space="preserve">e </w:t>
      </w:r>
      <w:r>
        <w:rPr>
          <w:rStyle w:val="authorname"/>
        </w:rPr>
        <w:t>Bradfield</w:t>
      </w:r>
      <w:r>
        <w:t xml:space="preserve"> 1993 </w:t>
      </w:r>
    </w:p>
  </w:footnote>
  <w:footnote w:id="69">
    <w:p w:rsidR="00083C3F" w:rsidRDefault="00E1215B">
      <w:pPr>
        <w:pStyle w:val="FootnoteText"/>
      </w:pPr>
      <w:r>
        <w:rPr>
          <w:rStyle w:val="FootnoteReference"/>
        </w:rPr>
        <w:footnoteRef/>
      </w:r>
      <w:r>
        <w:t xml:space="preserve"> Examples include (i) </w:t>
      </w:r>
      <w:r>
        <w:rPr>
          <w:rStyle w:val="renderedqtext"/>
        </w:rPr>
        <w:t xml:space="preserve">complete information (ii) perfect ability to process information (iii) aligned incentives </w:t>
      </w:r>
    </w:p>
  </w:footnote>
  <w:footnote w:id="70">
    <w:p w:rsidR="00083C3F" w:rsidRDefault="00E1215B">
      <w:pPr>
        <w:pStyle w:val="FootnoteText"/>
      </w:pPr>
      <w:r>
        <w:rPr>
          <w:rStyle w:val="FootnoteReference"/>
        </w:rPr>
        <w:footnoteRef/>
      </w:r>
      <w:r>
        <w:t xml:space="preserve"> Note that certain new ETFs are not truly passive anymore and do not necessarily reflect a respective benchmark (e.g. 'smar</w:t>
      </w:r>
      <w:r>
        <w:t xml:space="preserve">t beta' ETFs)   </w:t>
      </w:r>
    </w:p>
  </w:footnote>
  <w:footnote w:id="71">
    <w:p w:rsidR="00083C3F" w:rsidRDefault="00E1215B">
      <w:pPr>
        <w:pStyle w:val="FootnoteText"/>
      </w:pPr>
      <w:r>
        <w:rPr>
          <w:rStyle w:val="FootnoteReference"/>
        </w:rPr>
        <w:footnoteRef/>
      </w:r>
      <w:r>
        <w:t xml:space="preserve"> It should be noted that there are potential regulatory concerns regarding ETFs with illiquid underlying assets, such as bond ETFs, given issues such as a liquidity mismatch which go beyond the scope of this document </w:t>
      </w:r>
    </w:p>
  </w:footnote>
  <w:footnote w:id="72">
    <w:p w:rsidR="00083C3F" w:rsidRDefault="00E1215B">
      <w:pPr>
        <w:pStyle w:val="FootnoteText"/>
      </w:pPr>
      <w:r>
        <w:rPr>
          <w:rStyle w:val="FootnoteReference"/>
        </w:rPr>
        <w:footnoteRef/>
      </w:r>
      <w:r>
        <w:t xml:space="preserve"> Investors exhibit </w:t>
      </w:r>
      <w:r>
        <w:t>regret avoidance if they fear that their decision will be wrong in hindsight and try to avoid such negative consequences.</w:t>
      </w:r>
    </w:p>
  </w:footnote>
  <w:footnote w:id="73">
    <w:p w:rsidR="00083C3F" w:rsidRDefault="00E1215B">
      <w:pPr>
        <w:pStyle w:val="FootnoteText"/>
      </w:pPr>
      <w:r>
        <w:rPr>
          <w:rStyle w:val="FootnoteReference"/>
        </w:rPr>
        <w:footnoteRef/>
      </w:r>
      <w:r>
        <w:t xml:space="preserve"> </w:t>
      </w:r>
      <w:r>
        <w:rPr>
          <w:rFonts w:cstheme="minorHAnsi"/>
        </w:rPr>
        <w:t>For Europe, a recent OECD report on Financial Education in Europe identifies the following key elements that provide a rationale for</w:t>
      </w:r>
      <w:r>
        <w:rPr>
          <w:rFonts w:cstheme="minorHAnsi"/>
        </w:rPr>
        <w:t xml:space="preserve"> financial education in Europe </w:t>
      </w:r>
      <w:r>
        <w:rPr>
          <w:rFonts w:cstheme="minorHAnsi"/>
        </w:rPr>
        <w:fldChar w:fldCharType="begin"/>
      </w:r>
      <w:r>
        <w:rPr>
          <w:rFonts w:cstheme="minorHAnsi"/>
        </w:rPr>
        <w:instrText xml:space="preserve"> ADDIN EN.CITE &lt;EndNote&gt;&lt;Cite ExcludeYear="1"&gt;&lt;Author&gt;OECD&lt;/Author&gt;&lt;Year&gt;2016&lt;/Year&gt;&lt;RecNum&gt;2548&lt;/RecNum&gt;&lt;DisplayText&gt;(OECD)&lt;/DisplayText&gt;&lt;record&gt;&lt;rec-number&gt;2548&lt;/rec-number&gt;&lt;foreign-keys&gt;&lt;key app="EN" db-id="5zxafretjwa2dce</w:instrText>
      </w:r>
      <w:r>
        <w:rPr>
          <w:rFonts w:cstheme="minorHAnsi"/>
        </w:rPr>
        <w:instrText>5e52pra2dzfrsrsf05zps" timestamp="1461750978"&gt;2548&lt;/key&gt;&lt;/foreign-keys&gt;&lt;ref-type name="Book"&gt;6&lt;/ref-type&gt;&lt;contributors&gt;&lt;authors&gt;&lt;author&gt;OECD&lt;/author&gt;&lt;/authors&gt;&lt;/contributors&gt;&lt;titles&gt;&lt;title&gt;Financial Education in Europe&lt;/title&gt;&lt;/titles&gt;&lt;dates&gt;&lt;year&gt;2016&lt;/ye</w:instrText>
      </w:r>
      <w:r>
        <w:rPr>
          <w:rFonts w:cstheme="minorHAnsi"/>
        </w:rPr>
        <w:instrText>ar&gt;&lt;/dates&gt;&lt;publisher&gt;OECD Publishing&lt;/publisher&gt;&lt;urls&gt;&lt;related-urls&gt;&lt;url&gt;/content/book/9789264254855-en&lt;/url&gt;&lt;url&gt;http://dx.doi.org/10.1787/9789264254855-en&lt;/url&gt;&lt;/related-urls&gt;&lt;/urls&gt;&lt;/record&gt;&lt;/Cite&gt;&lt;/EndNote&gt;</w:instrText>
      </w:r>
      <w:r>
        <w:rPr>
          <w:rFonts w:cstheme="minorHAnsi"/>
        </w:rPr>
        <w:fldChar w:fldCharType="separate"/>
      </w:r>
      <w:r>
        <w:rPr>
          <w:rFonts w:cstheme="minorHAnsi"/>
          <w:noProof/>
        </w:rPr>
        <w:t>(OECD)</w:t>
      </w:r>
      <w:r>
        <w:rPr>
          <w:rFonts w:cstheme="minorHAnsi"/>
        </w:rPr>
        <w:fldChar w:fldCharType="end"/>
      </w:r>
      <w:r>
        <w:rPr>
          <w:rFonts w:cstheme="minorHAnsi"/>
        </w:rPr>
        <w:t>: population ageing and accompanying</w:t>
      </w:r>
      <w:r>
        <w:rPr>
          <w:rFonts w:cstheme="minorHAnsi"/>
        </w:rPr>
        <w:t xml:space="preserve"> pension reforms; high leverage of households; growing complexity of financial marketplace; financial exclusion in a number of European countries and generally low level of financial literacy.</w:t>
      </w:r>
    </w:p>
  </w:footnote>
  <w:footnote w:id="74">
    <w:p w:rsidR="00083C3F" w:rsidRDefault="00E1215B">
      <w:pPr>
        <w:pStyle w:val="FootnoteText"/>
      </w:pPr>
      <w:r>
        <w:rPr>
          <w:rStyle w:val="FootnoteReference"/>
          <w:rFonts w:cs="Times New Roman"/>
        </w:rPr>
        <w:footnoteRef/>
      </w:r>
      <w:r>
        <w:t xml:space="preserve"> The survey measures the following four concepts of financial </w:t>
      </w:r>
      <w:r>
        <w:t>decision-making: basic numeracy, interest compounding, inflation, and risk diversification. A person is defined as financially literate when he or she correctly answers at least three out of the four financial concepts.</w:t>
      </w:r>
    </w:p>
  </w:footnote>
  <w:footnote w:id="75">
    <w:p w:rsidR="00083C3F" w:rsidRDefault="00E1215B">
      <w:pPr>
        <w:pStyle w:val="FootnoteText"/>
      </w:pPr>
      <w:r>
        <w:rPr>
          <w:rStyle w:val="FootnoteReference"/>
        </w:rPr>
        <w:footnoteRef/>
      </w:r>
      <w:r>
        <w:t xml:space="preserve"> Note that most empirical studies s</w:t>
      </w:r>
      <w:r>
        <w:t>upport the notion that financial literacy and financial advice are complementary.</w:t>
      </w:r>
    </w:p>
  </w:footnote>
  <w:footnote w:id="76">
    <w:p w:rsidR="00083C3F" w:rsidRDefault="00E1215B">
      <w:pPr>
        <w:pStyle w:val="FootnoteText"/>
      </w:pPr>
      <w:r>
        <w:rPr>
          <w:rStyle w:val="FootnoteReference"/>
        </w:rPr>
        <w:footnoteRef/>
      </w:r>
      <w:r>
        <w:t xml:space="preserve"> EU, unless otherwise 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5B" w:rsidRPr="00E1215B" w:rsidRDefault="00E1215B" w:rsidP="00E121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5B" w:rsidRPr="00E1215B" w:rsidRDefault="00E1215B" w:rsidP="00E1215B">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5B" w:rsidRPr="00E1215B" w:rsidRDefault="00E1215B" w:rsidP="00E1215B">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3F" w:rsidRDefault="00083C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86826"/>
    <w:multiLevelType w:val="hybridMultilevel"/>
    <w:tmpl w:val="7A708238"/>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12247"/>
    <w:multiLevelType w:val="hybridMultilevel"/>
    <w:tmpl w:val="82687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81F2D89"/>
    <w:multiLevelType w:val="hybridMultilevel"/>
    <w:tmpl w:val="3224EF7E"/>
    <w:lvl w:ilvl="0" w:tplc="7AB6FF0C">
      <w:start w:val="1"/>
      <w:numFmt w:val="decimal"/>
      <w:lvlText w:val="%1."/>
      <w:lvlJc w:val="left"/>
      <w:pPr>
        <w:ind w:left="720" w:hanging="360"/>
      </w:pPr>
      <w:rPr>
        <w:rFonts w:asciiTheme="minorHAnsi" w:hAnsiTheme="minorHAnsi"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607FDC"/>
    <w:multiLevelType w:val="hybridMultilevel"/>
    <w:tmpl w:val="6E5090F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9F6D2B"/>
    <w:multiLevelType w:val="hybridMultilevel"/>
    <w:tmpl w:val="C15EB304"/>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8D3432"/>
    <w:multiLevelType w:val="hybridMultilevel"/>
    <w:tmpl w:val="1B04E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10A23D3D"/>
    <w:multiLevelType w:val="hybridMultilevel"/>
    <w:tmpl w:val="338CC948"/>
    <w:lvl w:ilvl="0" w:tplc="52E6CAD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DE6856"/>
    <w:multiLevelType w:val="hybridMultilevel"/>
    <w:tmpl w:val="E7EE4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4FE1A54"/>
    <w:multiLevelType w:val="hybridMultilevel"/>
    <w:tmpl w:val="694ADA76"/>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5C0FE6"/>
    <w:multiLevelType w:val="hybridMultilevel"/>
    <w:tmpl w:val="2160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FEF3E23"/>
    <w:multiLevelType w:val="hybridMultilevel"/>
    <w:tmpl w:val="18FCC2C6"/>
    <w:lvl w:ilvl="0" w:tplc="BE6009E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D72DD6"/>
    <w:multiLevelType w:val="hybridMultilevel"/>
    <w:tmpl w:val="2A542F9C"/>
    <w:lvl w:ilvl="0" w:tplc="CE8A3AC6">
      <w:start w:val="1"/>
      <w:numFmt w:val="decimal"/>
      <w:pStyle w:val="Box"/>
      <w:lvlText w:val="Bo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103368"/>
    <w:multiLevelType w:val="hybridMultilevel"/>
    <w:tmpl w:val="A5D6790A"/>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6F7607"/>
    <w:multiLevelType w:val="multilevel"/>
    <w:tmpl w:val="800CE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D21C34"/>
    <w:multiLevelType w:val="hybridMultilevel"/>
    <w:tmpl w:val="3FE0C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5D4325"/>
    <w:multiLevelType w:val="hybridMultilevel"/>
    <w:tmpl w:val="34C4C4D4"/>
    <w:lvl w:ilvl="0" w:tplc="90882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A24549"/>
    <w:multiLevelType w:val="hybridMultilevel"/>
    <w:tmpl w:val="6CCAEFAE"/>
    <w:lvl w:ilvl="0" w:tplc="99281FB6">
      <w:start w:val="1"/>
      <w:numFmt w:val="bullet"/>
      <w:lvlText w:val="-"/>
      <w:lvlJc w:val="left"/>
      <w:pPr>
        <w:ind w:left="771" w:hanging="360"/>
      </w:pPr>
      <w:rPr>
        <w:rFonts w:ascii="Times New Roman" w:hAnsi="Times New Roman" w:cs="Times New Roman"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nsid w:val="3C14041F"/>
    <w:multiLevelType w:val="hybridMultilevel"/>
    <w:tmpl w:val="9CC84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3C1C3822"/>
    <w:multiLevelType w:val="hybridMultilevel"/>
    <w:tmpl w:val="2D208F44"/>
    <w:lvl w:ilvl="0" w:tplc="B99AF336">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7440C0"/>
    <w:multiLevelType w:val="hybridMultilevel"/>
    <w:tmpl w:val="847E4A78"/>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06197A"/>
    <w:multiLevelType w:val="multilevel"/>
    <w:tmpl w:val="CBDA1E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41A10990"/>
    <w:multiLevelType w:val="hybridMultilevel"/>
    <w:tmpl w:val="215E63E8"/>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DF7206"/>
    <w:multiLevelType w:val="hybridMultilevel"/>
    <w:tmpl w:val="54EAFA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6F03D9"/>
    <w:multiLevelType w:val="hybridMultilevel"/>
    <w:tmpl w:val="B8C4C178"/>
    <w:lvl w:ilvl="0" w:tplc="C4B4A1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040281"/>
    <w:multiLevelType w:val="hybridMultilevel"/>
    <w:tmpl w:val="535A33A8"/>
    <w:lvl w:ilvl="0" w:tplc="0809000F">
      <w:start w:val="1"/>
      <w:numFmt w:val="decimal"/>
      <w:lvlText w:val="%1."/>
      <w:lvlJc w:val="left"/>
      <w:pPr>
        <w:ind w:left="720" w:hanging="360"/>
      </w:pPr>
    </w:lvl>
    <w:lvl w:ilvl="1" w:tplc="51B047D8">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347B5B"/>
    <w:multiLevelType w:val="hybridMultilevel"/>
    <w:tmpl w:val="4E5A23DE"/>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D02D8B"/>
    <w:multiLevelType w:val="hybridMultilevel"/>
    <w:tmpl w:val="66A68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9">
    <w:nsid w:val="585D2C07"/>
    <w:multiLevelType w:val="hybridMultilevel"/>
    <w:tmpl w:val="ADF663C8"/>
    <w:lvl w:ilvl="0" w:tplc="9606008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55F2F26"/>
    <w:multiLevelType w:val="hybridMultilevel"/>
    <w:tmpl w:val="C91CC13E"/>
    <w:lvl w:ilvl="0" w:tplc="BB7E8B1A">
      <w:numFmt w:val="bullet"/>
      <w:lvlText w:val="-"/>
      <w:lvlJc w:val="left"/>
      <w:pPr>
        <w:ind w:left="720" w:hanging="360"/>
      </w:pPr>
      <w:rPr>
        <w:rFonts w:ascii="Calibri" w:eastAsiaTheme="minorHAns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E85F9D"/>
    <w:multiLevelType w:val="hybridMultilevel"/>
    <w:tmpl w:val="21F6617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nsid w:val="6C221C78"/>
    <w:multiLevelType w:val="hybridMultilevel"/>
    <w:tmpl w:val="9B08F6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CB11B30"/>
    <w:multiLevelType w:val="hybridMultilevel"/>
    <w:tmpl w:val="324CDE90"/>
    <w:lvl w:ilvl="0" w:tplc="E72ABE7C">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244361"/>
    <w:multiLevelType w:val="hybridMultilevel"/>
    <w:tmpl w:val="4C6E9F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C50C8A"/>
    <w:multiLevelType w:val="hybridMultilevel"/>
    <w:tmpl w:val="7E0AD674"/>
    <w:lvl w:ilvl="0" w:tplc="99281F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B53A49"/>
    <w:multiLevelType w:val="hybridMultilevel"/>
    <w:tmpl w:val="8FF05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41464C6"/>
    <w:multiLevelType w:val="hybridMultilevel"/>
    <w:tmpl w:val="BCE07B44"/>
    <w:lvl w:ilvl="0" w:tplc="5156A702">
      <w:start w:val="1"/>
      <w:numFmt w:val="decimal"/>
      <w:lvlText w:val="%1."/>
      <w:lvlJc w:val="left"/>
      <w:pPr>
        <w:ind w:left="720" w:hanging="360"/>
      </w:pPr>
    </w:lvl>
    <w:lvl w:ilvl="1" w:tplc="570E4FE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F2460E"/>
    <w:multiLevelType w:val="hybridMultilevel"/>
    <w:tmpl w:val="A03C9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9345E1"/>
    <w:multiLevelType w:val="hybridMultilevel"/>
    <w:tmpl w:val="0A5E0836"/>
    <w:lvl w:ilvl="0" w:tplc="908827DE">
      <w:start w:val="1"/>
      <w:numFmt w:val="decimal"/>
      <w:lvlText w:val="%1."/>
      <w:lvlJc w:val="left"/>
      <w:pPr>
        <w:ind w:left="1080" w:hanging="360"/>
      </w:pPr>
      <w:rPr>
        <w:rFonts w:hint="default"/>
      </w:rPr>
    </w:lvl>
    <w:lvl w:ilvl="1" w:tplc="45F68582">
      <w:numFmt w:val="bullet"/>
      <w:lvlText w:val="•"/>
      <w:lvlJc w:val="left"/>
      <w:pPr>
        <w:ind w:left="1950" w:hanging="510"/>
      </w:pPr>
      <w:rPr>
        <w:rFonts w:ascii="Calibri" w:eastAsiaTheme="minorHAnsi" w:hAnsi="Calibri"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
  </w:num>
  <w:num w:numId="3">
    <w:abstractNumId w:val="16"/>
  </w:num>
  <w:num w:numId="4">
    <w:abstractNumId w:val="40"/>
  </w:num>
  <w:num w:numId="5">
    <w:abstractNumId w:val="14"/>
  </w:num>
  <w:num w:numId="6">
    <w:abstractNumId w:val="28"/>
  </w:num>
  <w:num w:numId="7">
    <w:abstractNumId w:val="9"/>
  </w:num>
  <w:num w:numId="8">
    <w:abstractNumId w:val="32"/>
  </w:num>
  <w:num w:numId="9">
    <w:abstractNumId w:val="12"/>
  </w:num>
  <w:num w:numId="10">
    <w:abstractNumId w:val="38"/>
  </w:num>
  <w:num w:numId="11">
    <w:abstractNumId w:val="8"/>
  </w:num>
  <w:num w:numId="12">
    <w:abstractNumId w:val="31"/>
  </w:num>
  <w:num w:numId="13">
    <w:abstractNumId w:val="3"/>
  </w:num>
  <w:num w:numId="14">
    <w:abstractNumId w:val="4"/>
  </w:num>
  <w:num w:numId="15">
    <w:abstractNumId w:val="19"/>
  </w:num>
  <w:num w:numId="16">
    <w:abstractNumId w:val="6"/>
  </w:num>
  <w:num w:numId="17">
    <w:abstractNumId w:val="13"/>
  </w:num>
  <w:num w:numId="18">
    <w:abstractNumId w:val="5"/>
  </w:num>
  <w:num w:numId="19">
    <w:abstractNumId w:val="18"/>
  </w:num>
  <w:num w:numId="20">
    <w:abstractNumId w:val="7"/>
  </w:num>
  <w:num w:numId="21">
    <w:abstractNumId w:val="1"/>
  </w:num>
  <w:num w:numId="22">
    <w:abstractNumId w:val="1"/>
  </w:num>
  <w:num w:numId="23">
    <w:abstractNumId w:val="11"/>
  </w:num>
  <w:num w:numId="24">
    <w:abstractNumId w:val="6"/>
  </w:num>
  <w:num w:numId="25">
    <w:abstractNumId w:val="6"/>
  </w:num>
  <w:num w:numId="26">
    <w:abstractNumId w:val="27"/>
  </w:num>
  <w:num w:numId="27">
    <w:abstractNumId w:val="35"/>
  </w:num>
  <w:num w:numId="28">
    <w:abstractNumId w:val="34"/>
  </w:num>
  <w:num w:numId="29">
    <w:abstractNumId w:val="11"/>
    <w:lvlOverride w:ilvl="0">
      <w:startOverride w:val="1"/>
    </w:lvlOverride>
  </w:num>
  <w:num w:numId="30">
    <w:abstractNumId w:val="23"/>
  </w:num>
  <w:num w:numId="31">
    <w:abstractNumId w:val="0"/>
  </w:num>
  <w:num w:numId="32">
    <w:abstractNumId w:val="36"/>
  </w:num>
  <w:num w:numId="33">
    <w:abstractNumId w:val="22"/>
  </w:num>
  <w:num w:numId="34">
    <w:abstractNumId w:val="26"/>
  </w:num>
  <w:num w:numId="35">
    <w:abstractNumId w:val="24"/>
  </w:num>
  <w:num w:numId="36">
    <w:abstractNumId w:val="17"/>
  </w:num>
  <w:num w:numId="37">
    <w:abstractNumId w:val="20"/>
  </w:num>
  <w:num w:numId="38">
    <w:abstractNumId w:val="2"/>
    <w:lvlOverride w:ilvl="0">
      <w:startOverride w:val="1"/>
    </w:lvlOverride>
  </w:num>
  <w:num w:numId="39">
    <w:abstractNumId w:val="33"/>
  </w:num>
  <w:num w:numId="40">
    <w:abstractNumId w:val="37"/>
  </w:num>
  <w:num w:numId="41">
    <w:abstractNumId w:val="25"/>
  </w:num>
  <w:num w:numId="42">
    <w:abstractNumId w:val="15"/>
  </w:num>
  <w:num w:numId="43">
    <w:abstractNumId w:val="3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21"/>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num>
  <w:num w:numId="50">
    <w:abstractNumId w:val="38"/>
    <w:lvlOverride w:ilvl="0">
      <w:startOverride w:val="1"/>
    </w:lvlOverride>
  </w:num>
  <w:num w:numId="51">
    <w:abstractNumId w:val="38"/>
    <w:lvlOverride w:ilvl="0">
      <w:startOverride w:val="1"/>
    </w:lvlOverride>
  </w:num>
  <w:num w:numId="52">
    <w:abstractNumId w:val="38"/>
    <w:lvlOverride w:ilvl="0">
      <w:startOverride w:val="1"/>
    </w:lvlOverride>
  </w:num>
  <w:num w:numId="53">
    <w:abstractNumId w:val="38"/>
    <w:lvlOverride w:ilvl="0">
      <w:startOverride w:val="1"/>
    </w:lvlOverride>
  </w:num>
  <w:num w:numId="54">
    <w:abstractNumId w:val="29"/>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num>
  <w:num w:numId="58">
    <w:abstractNumId w:val="38"/>
    <w:lvlOverride w:ilvl="0">
      <w:startOverride w:val="1"/>
    </w:lvlOverride>
  </w:num>
  <w:num w:numId="59">
    <w:abstractNumId w:val="39"/>
  </w:num>
  <w:num w:numId="60">
    <w:abstractNumId w:val="19"/>
    <w:lvlOverride w:ilvl="0">
      <w:startOverride w:val="1"/>
    </w:lvlOverride>
  </w:num>
  <w:num w:numId="61">
    <w:abstractNumId w:val="19"/>
    <w:lvlOverride w:ilvl="0">
      <w:startOverride w:val="1"/>
    </w:lvlOverride>
  </w:num>
  <w:num w:numId="62">
    <w:abstractNumId w:val="19"/>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10"/>
  <w:drawingGridHorizontalSpacing w:val="110"/>
  <w:drawingGridVerticalSpacing w:val="299"/>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4D3DC952CD6C4ECB8116FA25F6C3743E"/>
    <w:docVar w:name="LW_CROSSREFERENCE" w:val="{COM(2017) 292 final}_x000b_{SWD(2017) 225 final}"/>
    <w:docVar w:name="LW_DocType" w:val="NORMAL"/>
    <w:docVar w:name="LW_EMISSION" w:val="8.6.2017"/>
    <w:docVar w:name="LW_EMISSION_ISODATE" w:val="2017-06-08"/>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the Mid-Term Review of the Capital Markets Union Action Plan"/>
    <w:docVar w:name="LW_PART_NBR" w:val="1"/>
    <w:docVar w:name="LW_PART_NBR_TOTAL" w:val="1"/>
    <w:docVar w:name="LW_REF.INST.NEW" w:val="SWD"/>
    <w:docVar w:name="LW_REF.INST.NEW_ADOPTED" w:val="final"/>
    <w:docVar w:name="LW_REF.INST.NEW_TEXT" w:val="(2017) 224"/>
    <w:docVar w:name="LW_REF.INTERNE" w:val="&lt;UNUSED&gt;"/>
    <w:docVar w:name="LW_SUPERTITRE" w:val="&lt;UNUSED&gt;"/>
    <w:docVar w:name="LW_TITRE.OBJ.CP" w:val="Economic Analysis"/>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083C3F"/>
    <w:rsid w:val="00083C3F"/>
    <w:rsid w:val="00E1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rPr>
  </w:style>
  <w:style w:type="paragraph" w:styleId="Heading1">
    <w:name w:val="heading 1"/>
    <w:basedOn w:val="Normal"/>
    <w:next w:val="Normal"/>
    <w:link w:val="Heading1Char"/>
    <w:uiPriority w:val="9"/>
    <w:qFormat/>
    <w:pPr>
      <w:keepNext/>
      <w:keepLines/>
      <w:pageBreakBefore/>
      <w:numPr>
        <w:numId w:val="1"/>
      </w:numPr>
      <w:spacing w:before="360" w:after="240"/>
      <w:ind w:left="431" w:hanging="431"/>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pPr>
      <w:keepNext/>
      <w:keepLines/>
      <w:numPr>
        <w:ilvl w:val="1"/>
        <w:numId w:val="1"/>
      </w:numPr>
      <w:autoSpaceDE w:val="0"/>
      <w:autoSpaceDN w:val="0"/>
      <w:adjustRightInd w:val="0"/>
      <w:ind w:left="862" w:hanging="578"/>
      <w:jc w:val="left"/>
      <w:outlineLvl w:val="1"/>
    </w:pPr>
    <w:rPr>
      <w:rFonts w:eastAsia="Times New Roman" w:cstheme="majorBidi"/>
      <w:b/>
      <w:bCs/>
      <w:sz w:val="26"/>
      <w:szCs w:val="26"/>
    </w:rPr>
  </w:style>
  <w:style w:type="paragraph" w:styleId="Heading3">
    <w:name w:val="heading 3"/>
    <w:basedOn w:val="Normal"/>
    <w:next w:val="Normal"/>
    <w:link w:val="Heading3Char"/>
    <w:autoRedefine/>
    <w:uiPriority w:val="9"/>
    <w:unhideWhenUsed/>
    <w:qFormat/>
    <w:pPr>
      <w:keepNext/>
      <w:keepLines/>
      <w:numPr>
        <w:ilvl w:val="2"/>
        <w:numId w:val="1"/>
      </w:numPr>
      <w:spacing w:before="240" w:after="240"/>
      <w:ind w:left="1287"/>
      <w:outlineLvl w:val="2"/>
    </w:pPr>
    <w:rPr>
      <w:rFonts w:eastAsiaTheme="majorEastAsia" w:cstheme="majorBidi"/>
      <w:b/>
      <w:bCs/>
    </w:rPr>
  </w:style>
  <w:style w:type="paragraph" w:styleId="Heading4">
    <w:name w:val="heading 4"/>
    <w:basedOn w:val="Normal"/>
    <w:next w:val="Normal"/>
    <w:link w:val="Heading4Char"/>
    <w:uiPriority w:val="9"/>
    <w:unhideWhenUsed/>
    <w:qFormat/>
    <w:pPr>
      <w:keepNext/>
      <w:keepLines/>
      <w:spacing w:before="240" w:after="240"/>
      <w:ind w:left="737"/>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heme="majorEastAsia" w:cstheme="majorBidi"/>
      <w:b/>
      <w:bCs/>
      <w:sz w:val="28"/>
      <w:szCs w:val="28"/>
    </w:rPr>
  </w:style>
  <w:style w:type="character" w:customStyle="1" w:styleId="Heading2Char">
    <w:name w:val="Heading 2 Char"/>
    <w:basedOn w:val="DefaultParagraphFont"/>
    <w:link w:val="Heading2"/>
    <w:uiPriority w:val="9"/>
    <w:rPr>
      <w:rFonts w:ascii="Times New Roman" w:eastAsia="Times New Roman" w:hAnsi="Times New Roman" w:cstheme="majorBidi"/>
      <w:b/>
      <w:bCs/>
      <w:sz w:val="26"/>
      <w:szCs w:val="26"/>
    </w:rPr>
  </w:style>
  <w:style w:type="character" w:customStyle="1" w:styleId="Heading3Char">
    <w:name w:val="Heading 3 Char"/>
    <w:basedOn w:val="DefaultParagraphFont"/>
    <w:link w:val="Heading3"/>
    <w:uiPriority w:val="9"/>
    <w:rPr>
      <w:rFonts w:eastAsiaTheme="majorEastAsia" w:cstheme="majorBidi"/>
      <w:b/>
      <w:bCs/>
    </w:rPr>
  </w:style>
  <w:style w:type="character" w:customStyle="1" w:styleId="Heading4Char">
    <w:name w:val="Heading 4 Char"/>
    <w:basedOn w:val="DefaultParagraphFont"/>
    <w:link w:val="Heading4"/>
    <w:uiPriority w:val="9"/>
    <w:rPr>
      <w:rFonts w:ascii="Times New Roman" w:eastAsiaTheme="majorEastAsia" w:hAnsi="Times New Roman" w:cstheme="majorBidi"/>
      <w:b/>
      <w:bCs/>
      <w:i/>
      <w:iCs/>
      <w:color w:val="000000" w:themeColor="tex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autoRedefine/>
    <w:uiPriority w:val="34"/>
    <w:qFormat/>
    <w:pPr>
      <w:numPr>
        <w:numId w:val="15"/>
      </w:numPr>
      <w:contextualSpacing/>
    </w:pPr>
    <w:rPr>
      <w:rFonts w:cs="Times New Roman"/>
      <w:szCs w:val="24"/>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locked/>
    <w:rPr>
      <w:rFonts w:ascii="Times New Roman" w:hAnsi="Times New Roman" w:cs="Times New Roman"/>
      <w:szCs w:val="24"/>
    </w:rPr>
  </w:style>
  <w:style w:type="paragraph" w:styleId="FootnoteText">
    <w:name w:val="footnote text"/>
    <w:aliases w:val="Footnote Text Char1,Footnote Text Char2 Char,Footnote Text Char1 Char Char,Footnote Text Char2 Char Char Char,Footnote Text Char1 Char Char Char Char,Footnote Text Char2 Char Char Char Char Char,Fußnote,Footnote Text Char Char Char,lábléc"/>
    <w:basedOn w:val="Normal"/>
    <w:link w:val="FootnoteTextChar"/>
    <w:uiPriority w:val="99"/>
    <w:unhideWhenUsed/>
    <w:qFormat/>
    <w:pPr>
      <w:spacing w:after="0"/>
    </w:pPr>
    <w:rPr>
      <w:sz w:val="18"/>
      <w:szCs w:val="20"/>
    </w:rPr>
  </w:style>
  <w:style w:type="character" w:customStyle="1" w:styleId="FootnoteTextChar">
    <w:name w:val="Footnote Text Char"/>
    <w:aliases w:val="Footnote Text Char1 Char,Footnote Text Char2 Char Char,Footnote Text Char1 Char Char Char,Footnote Text Char2 Char Char Char Char,Footnote Text Char1 Char Char Char Char Char,Footnote Text Char2 Char Char Char Char Char Char"/>
    <w:basedOn w:val="DefaultParagraphFont"/>
    <w:link w:val="FootnoteText"/>
    <w:uiPriority w:val="99"/>
    <w:rPr>
      <w:sz w:val="18"/>
      <w:szCs w:val="20"/>
    </w:rPr>
  </w:style>
  <w:style w:type="character" w:styleId="FootnoteReference">
    <w:name w:val="footnote reference"/>
    <w:aliases w:val="Char1,Ref,de nota al pie,Footnote,Footnote Reference Number,Footnote Reference_LVL6,Footnote Reference_LVL61,Footnote Reference_LVL62,Footnote Reference_LVL63,Footnote Reference_LVL64, Char1,Footnote symbol,Fußnotenzeichen3,Char,Ch,C"/>
    <w:basedOn w:val="DefaultParagraphFont"/>
    <w:link w:val="16Point"/>
    <w:uiPriority w:val="99"/>
    <w:unhideWhenUsed/>
    <w:qFormat/>
    <w:rPr>
      <w:vertAlign w:val="superscript"/>
    </w:rPr>
  </w:style>
  <w:style w:type="paragraph" w:customStyle="1" w:styleId="16Point">
    <w:name w:val="16 Point"/>
    <w:aliases w:val="Superscript 6 Point,Times 10 Point,Exposant 3 Point,Footnote reference number,Odwołanie przypisu,number,SUPERS,footnote ref,2001+ Fußnotenzeichen, Exposant 3 Point,Footnote number,EN Footnote Reference,note TESI,Voetnootverwijzing,fr,FR,FR1"/>
    <w:basedOn w:val="Normal"/>
    <w:link w:val="FootnoteReference"/>
    <w:uiPriority w:val="99"/>
    <w:pPr>
      <w:spacing w:after="160" w:line="240" w:lineRule="exact"/>
    </w:pPr>
    <w:rPr>
      <w:vertAlign w:val="superscri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1">
    <w:name w:val="toc 1"/>
    <w:basedOn w:val="Normal"/>
    <w:next w:val="Normal"/>
    <w:autoRedefine/>
    <w:uiPriority w:val="39"/>
    <w:unhideWhenUsed/>
    <w:qFormat/>
    <w:pPr>
      <w:tabs>
        <w:tab w:val="right" w:leader="dot" w:pos="9060"/>
      </w:tabs>
      <w:spacing w:after="100"/>
    </w:pPr>
  </w:style>
  <w:style w:type="paragraph" w:styleId="TOC2">
    <w:name w:val="toc 2"/>
    <w:basedOn w:val="Normal"/>
    <w:next w:val="Normal"/>
    <w:autoRedefine/>
    <w:uiPriority w:val="39"/>
    <w:unhideWhenUsed/>
    <w:qFormat/>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DocumentMap">
    <w:name w:val="Document Map"/>
    <w:basedOn w:val="Normal"/>
    <w:link w:val="DocumentMapChar"/>
    <w:uiPriority w:val="99"/>
    <w:semiHidden/>
    <w:unhideWhenUsed/>
    <w:pPr>
      <w:spacing w:after="0"/>
    </w:pPr>
    <w:rPr>
      <w:rFonts w:cs="Times New Roman"/>
      <w:sz w:val="24"/>
      <w:szCs w:val="24"/>
    </w:rPr>
  </w:style>
  <w:style w:type="character" w:customStyle="1" w:styleId="DocumentMapChar">
    <w:name w:val="Document Map Char"/>
    <w:basedOn w:val="DefaultParagraphFont"/>
    <w:link w:val="DocumentMap"/>
    <w:uiPriority w:val="99"/>
    <w:semiHidden/>
    <w:rPr>
      <w:rFonts w:ascii="Times New Roman" w:hAnsi="Times New Roman" w:cs="Times New Roman"/>
      <w:sz w:val="24"/>
      <w:szCs w:val="24"/>
    </w:rPr>
  </w:style>
  <w:style w:type="paragraph" w:styleId="Caption">
    <w:name w:val="caption"/>
    <w:basedOn w:val="Normal"/>
    <w:next w:val="Normal"/>
    <w:autoRedefine/>
    <w:uiPriority w:val="35"/>
    <w:unhideWhenUsed/>
    <w:qFormat/>
    <w:pPr>
      <w:keepNext/>
      <w:keepLines/>
      <w:spacing w:before="120"/>
    </w:pPr>
    <w:rPr>
      <w:i/>
      <w:iCs/>
      <w:noProof/>
      <w:color w:val="000000" w:themeColor="text1"/>
      <w:sz w:val="20"/>
      <w:szCs w:val="18"/>
    </w:rPr>
  </w:style>
  <w:style w:type="paragraph" w:customStyle="1" w:styleId="4thlevel">
    <w:name w:val="4th level"/>
    <w:basedOn w:val="Heading4"/>
    <w:link w:val="4thlevelChar"/>
    <w:qFormat/>
    <w:pPr>
      <w:spacing w:before="120" w:after="120"/>
      <w:ind w:left="0"/>
    </w:pPr>
    <w:rPr>
      <w:color w:val="365F91" w:themeColor="accent1" w:themeShade="BF"/>
    </w:rPr>
  </w:style>
  <w:style w:type="character" w:customStyle="1" w:styleId="4thlevelChar">
    <w:name w:val="4th level Char"/>
    <w:basedOn w:val="Heading4Char"/>
    <w:link w:val="4thlevel"/>
    <w:rPr>
      <w:rFonts w:ascii="Times New Roman" w:eastAsiaTheme="majorEastAsia" w:hAnsi="Times New Roman" w:cstheme="majorBidi"/>
      <w:b/>
      <w:bCs/>
      <w:i/>
      <w:iCs/>
      <w:color w:val="365F91" w:themeColor="accent1" w:themeShade="BF"/>
    </w:rPr>
  </w:style>
  <w:style w:type="paragraph" w:customStyle="1" w:styleId="Style1">
    <w:name w:val="Style1"/>
    <w:basedOn w:val="Caption"/>
    <w:qFormat/>
    <w:rPr>
      <w:b/>
    </w:rPr>
  </w:style>
  <w:style w:type="paragraph" w:styleId="TOC3">
    <w:name w:val="toc 3"/>
    <w:basedOn w:val="Normal"/>
    <w:next w:val="Normal"/>
    <w:autoRedefine/>
    <w:uiPriority w:val="39"/>
    <w:unhideWhenUsed/>
    <w:qFormat/>
    <w:pPr>
      <w:spacing w:after="100"/>
      <w:ind w:left="440"/>
    </w:pPr>
  </w:style>
  <w:style w:type="paragraph" w:customStyle="1" w:styleId="Source">
    <w:name w:val="Source"/>
    <w:basedOn w:val="Normal"/>
    <w:qFormat/>
    <w:pPr>
      <w:keepLines/>
      <w:spacing w:after="240"/>
    </w:pPr>
    <w:rPr>
      <w:i/>
      <w:sz w:val="18"/>
    </w:rPr>
  </w:style>
  <w:style w:type="paragraph" w:customStyle="1" w:styleId="Figure">
    <w:name w:val="Figure"/>
    <w:basedOn w:val="Normal"/>
    <w:qFormat/>
    <w:pPr>
      <w:keepNext/>
      <w:keepLines/>
      <w:spacing w:after="0"/>
      <w:jc w:val="center"/>
    </w:pPr>
  </w:style>
  <w:style w:type="paragraph" w:styleId="NormalWeb">
    <w:name w:val="Normal (Web)"/>
    <w:basedOn w:val="Normal"/>
    <w:uiPriority w:val="99"/>
    <w:unhideWhenUsed/>
    <w:pPr>
      <w:spacing w:before="100" w:beforeAutospacing="1" w:after="100" w:afterAutospacing="1"/>
      <w:jc w:val="left"/>
    </w:pPr>
    <w:rPr>
      <w:rFonts w:eastAsiaTheme="minorEastAsia" w:cs="Times New Roman"/>
      <w:sz w:val="24"/>
      <w:szCs w:val="24"/>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default">
    <w:name w:val="default"/>
    <w:basedOn w:val="Normal"/>
    <w:pPr>
      <w:spacing w:before="100" w:beforeAutospacing="1" w:after="100" w:afterAutospacing="1"/>
      <w:jc w:val="left"/>
    </w:pPr>
    <w:rPr>
      <w:rFonts w:eastAsiaTheme="minorEastAsia" w:cs="Times New Roman"/>
      <w:sz w:val="24"/>
      <w:szCs w:val="24"/>
      <w:lang w:eastAsia="en-GB"/>
    </w:r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0">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style>
  <w:style w:type="paragraph" w:customStyle="1" w:styleId="Text1">
    <w:name w:val="Text 1"/>
    <w:basedOn w:val="Normal"/>
    <w:pPr>
      <w:spacing w:after="240"/>
      <w:ind w:left="482"/>
    </w:pPr>
    <w:rPr>
      <w:rFonts w:eastAsia="Times New Roman" w:cs="Times New Roman"/>
      <w:sz w:val="24"/>
      <w:szCs w:val="20"/>
    </w:rPr>
  </w:style>
  <w:style w:type="paragraph" w:styleId="ListBullet">
    <w:name w:val="List Bullet"/>
    <w:basedOn w:val="Normal"/>
    <w:pPr>
      <w:numPr>
        <w:numId w:val="6"/>
      </w:numPr>
      <w:spacing w:after="240"/>
    </w:pPr>
    <w:rPr>
      <w:rFonts w:eastAsia="Times New Roman" w:cs="Times New Roman"/>
      <w:sz w:val="24"/>
      <w:szCs w:val="20"/>
    </w:rPr>
  </w:style>
  <w:style w:type="paragraph" w:customStyle="1" w:styleId="ChartTitle">
    <w:name w:val="Chart Title"/>
    <w:basedOn w:val="Normal"/>
    <w:next w:val="Normal"/>
    <w:link w:val="ChartTitleChar"/>
    <w:uiPriority w:val="2"/>
    <w:qFormat/>
    <w:pPr>
      <w:keepNext/>
      <w:spacing w:after="0"/>
      <w:jc w:val="center"/>
    </w:pPr>
    <w:rPr>
      <w:rFonts w:ascii="Arial" w:eastAsia="Calibri" w:hAnsi="Arial" w:cs="Times New Roman"/>
      <w:color w:val="EE8032"/>
      <w:sz w:val="16"/>
      <w:szCs w:val="16"/>
    </w:rPr>
  </w:style>
  <w:style w:type="character" w:customStyle="1" w:styleId="ChartTitleChar">
    <w:name w:val="Chart Title Char"/>
    <w:link w:val="ChartTitle"/>
    <w:uiPriority w:val="2"/>
    <w:rPr>
      <w:rFonts w:ascii="Arial" w:eastAsia="Calibri" w:hAnsi="Arial" w:cs="Times New Roman"/>
      <w:color w:val="EE8032"/>
      <w:sz w:val="16"/>
      <w:szCs w:val="16"/>
    </w:rPr>
  </w:style>
  <w:style w:type="paragraph" w:customStyle="1" w:styleId="ChartSource">
    <w:name w:val="Chart Source"/>
    <w:basedOn w:val="Normal"/>
    <w:next w:val="Normal"/>
    <w:link w:val="ChartSourceChar"/>
    <w:uiPriority w:val="3"/>
    <w:qFormat/>
    <w:pPr>
      <w:spacing w:after="0"/>
    </w:pPr>
    <w:rPr>
      <w:rFonts w:eastAsia="Calibri" w:cs="Times New Roman"/>
      <w:sz w:val="12"/>
    </w:rPr>
  </w:style>
  <w:style w:type="character" w:customStyle="1" w:styleId="ChartSourceChar">
    <w:name w:val="Chart Source Char"/>
    <w:link w:val="ChartSource"/>
    <w:uiPriority w:val="3"/>
    <w:rPr>
      <w:rFonts w:ascii="Times New Roman" w:eastAsia="Calibri" w:hAnsi="Times New Roman" w:cs="Times New Roman"/>
      <w:sz w:val="12"/>
    </w:rPr>
  </w:style>
  <w:style w:type="paragraph" w:customStyle="1" w:styleId="Chartnotes">
    <w:name w:val="Chart notes"/>
    <w:basedOn w:val="Normal"/>
    <w:link w:val="ChartnotesChar"/>
    <w:qFormat/>
    <w:pPr>
      <w:spacing w:after="240"/>
      <w:jc w:val="left"/>
    </w:pPr>
    <w:rPr>
      <w:rFonts w:eastAsia="Calibri" w:cs="Times New Roman"/>
      <w:sz w:val="17"/>
      <w:szCs w:val="18"/>
      <w:lang w:eastAsia="en-GB"/>
    </w:rPr>
  </w:style>
  <w:style w:type="character" w:customStyle="1" w:styleId="ChartnotesChar">
    <w:name w:val="Chart notes Char"/>
    <w:basedOn w:val="DefaultParagraphFont"/>
    <w:link w:val="Chartnotes"/>
    <w:rPr>
      <w:rFonts w:ascii="Times New Roman" w:eastAsia="Calibri" w:hAnsi="Times New Roman" w:cs="Times New Roman"/>
      <w:sz w:val="17"/>
      <w:szCs w:val="18"/>
      <w:lang w:eastAsia="en-GB"/>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x">
    <w:name w:val="Box"/>
    <w:basedOn w:val="Normal"/>
    <w:qFormat/>
    <w:pPr>
      <w:keepNext/>
      <w:numPr>
        <w:numId w:val="9"/>
      </w:numPr>
      <w:shd w:val="clear" w:color="auto" w:fill="548DD4" w:themeFill="text2" w:themeFillTint="99"/>
      <w:spacing w:before="120"/>
      <w:ind w:left="170" w:hanging="170"/>
    </w:pPr>
    <w:rPr>
      <w:rFonts w:cs="Times New Roman"/>
      <w:b/>
      <w:color w:val="FFFFFF" w:themeColor="background1"/>
      <w:sz w:val="23"/>
      <w:szCs w:val="23"/>
    </w:rPr>
  </w:style>
  <w:style w:type="character" w:customStyle="1" w:styleId="fllklgongn">
    <w:name w:val="fllklgongn"/>
    <w:basedOn w:val="DefaultParagraphFont"/>
  </w:style>
  <w:style w:type="character" w:customStyle="1" w:styleId="ehownivgfy">
    <w:name w:val="ehownivgfy"/>
    <w:basedOn w:val="DefaultParagraphFont"/>
  </w:style>
  <w:style w:type="character" w:customStyle="1" w:styleId="authorname">
    <w:name w:val="authorname"/>
    <w:basedOn w:val="DefaultParagraphFont"/>
  </w:style>
  <w:style w:type="character" w:customStyle="1" w:styleId="puldpiqzwo">
    <w:name w:val="puldpiqzwo"/>
    <w:basedOn w:val="DefaultParagraphFont"/>
  </w:style>
  <w:style w:type="character" w:customStyle="1" w:styleId="wbvawujplm">
    <w:name w:val="wbvawujplm"/>
    <w:basedOn w:val="DefaultParagraphFont"/>
  </w:style>
  <w:style w:type="character" w:customStyle="1" w:styleId="obzyzjsang">
    <w:name w:val="obzyzjsang"/>
    <w:basedOn w:val="DefaultParagraphFont"/>
  </w:style>
  <w:style w:type="character" w:customStyle="1" w:styleId="renderedqtext">
    <w:name w:val="rendered_qtext"/>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semiHidden/>
    <w:unhideWhenUsed/>
    <w:qFormat/>
    <w:pPr>
      <w:pageBreakBefore w:val="0"/>
      <w:numPr>
        <w:numId w:val="0"/>
      </w:numPr>
      <w:spacing w:before="480" w:after="0"/>
      <w:jc w:val="left"/>
      <w:outlineLvl w:val="9"/>
    </w:pPr>
    <w:rPr>
      <w:rFonts w:asciiTheme="majorHAnsi" w:hAnsiTheme="majorHAnsi"/>
      <w:color w:val="365F91" w:themeColor="accent1" w:themeShade="BF"/>
      <w:lang w:val="en-US" w:eastAsia="ja-JP"/>
    </w:rPr>
  </w:style>
  <w:style w:type="paragraph" w:styleId="Revision">
    <w:name w:val="Revision"/>
    <w:hidden/>
    <w:uiPriority w:val="99"/>
    <w:semiHidden/>
    <w:pPr>
      <w:spacing w:after="0" w:line="240" w:lineRule="auto"/>
    </w:pPr>
  </w:style>
  <w:style w:type="table" w:customStyle="1" w:styleId="TableGrid15">
    <w:name w:val="Table Grid1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Dash1">
    <w:name w:val="List Dash 1"/>
    <w:basedOn w:val="Normal"/>
    <w:pPr>
      <w:numPr>
        <w:numId w:val="43"/>
      </w:numPr>
      <w:spacing w:after="240"/>
    </w:pPr>
    <w:rPr>
      <w:rFonts w:eastAsia="Times New Roman" w:cs="Times New Roman"/>
      <w:sz w:val="24"/>
      <w:szCs w:val="20"/>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harttitle0">
    <w:name w:val="Chart title"/>
    <w:basedOn w:val="Normal"/>
    <w:link w:val="CharttitleChar0"/>
    <w:qFormat/>
    <w:pPr>
      <w:keepNext/>
      <w:spacing w:after="30"/>
      <w:ind w:left="1134" w:hanging="1134"/>
      <w:jc w:val="left"/>
    </w:pPr>
    <w:rPr>
      <w:rFonts w:eastAsia="Calibri" w:cs="Times New Roman"/>
      <w:b/>
      <w:sz w:val="20"/>
      <w:szCs w:val="20"/>
      <w:lang w:eastAsia="en-GB"/>
    </w:rPr>
  </w:style>
  <w:style w:type="character" w:customStyle="1" w:styleId="CharttitleChar0">
    <w:name w:val="Chart title Char"/>
    <w:basedOn w:val="DefaultParagraphFont"/>
    <w:link w:val="Charttitle0"/>
    <w:rPr>
      <w:rFonts w:ascii="Times New Roman" w:eastAsia="Calibri" w:hAnsi="Times New Roman" w:cs="Times New Roman"/>
      <w:b/>
      <w:sz w:val="20"/>
      <w:szCs w:val="20"/>
      <w:lang w:eastAsia="en-GB"/>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pPr>
      <w:spacing w:after="200"/>
      <w:jc w:val="left"/>
    </w:pPr>
    <w:rPr>
      <w:rFonts w:ascii="Calibri" w:hAnsi="Calibri" w:cs="Calibri"/>
      <w:noProof/>
      <w:lang w:val="en-US"/>
    </w:rPr>
  </w:style>
  <w:style w:type="character" w:customStyle="1" w:styleId="EndNoteBibliographyChar">
    <w:name w:val="EndNote Bibliography Char"/>
    <w:basedOn w:val="DefaultParagraphFont"/>
    <w:link w:val="EndNoteBibliography"/>
    <w:rPr>
      <w:rFonts w:ascii="Calibri" w:hAnsi="Calibri" w:cs="Calibri"/>
      <w:noProof/>
      <w:lang w:val="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heme="majorEastAsia" w:cstheme="majorBidi"/>
      <w:bCs/>
      <w:color w:val="365F91" w:themeColor="accent1" w:themeShade="BF"/>
      <w:sz w:val="24"/>
      <w:szCs w:val="28"/>
      <w:lang w:val="en-US" w:eastAsia="ja-JP"/>
    </w:rPr>
  </w:style>
  <w:style w:type="character" w:customStyle="1" w:styleId="TOCHeadingChar">
    <w:name w:val="TOC Heading Char"/>
    <w:basedOn w:val="Heading1Char"/>
    <w:link w:val="TOCHeading"/>
    <w:uiPriority w:val="39"/>
    <w:semiHidden/>
    <w:rPr>
      <w:rFonts w:asciiTheme="majorHAnsi" w:eastAsiaTheme="majorEastAsia" w:hAnsiTheme="majorHAnsi" w:cstheme="majorBidi"/>
      <w:b/>
      <w:bCs/>
      <w:color w:val="365F91" w:themeColor="accent1" w:themeShade="BF"/>
      <w:sz w:val="28"/>
      <w:szCs w:val="28"/>
      <w:lang w:val="en-US" w:eastAsia="ja-JP"/>
    </w:rPr>
  </w:style>
  <w:style w:type="character" w:customStyle="1" w:styleId="FooterCoverPageChar">
    <w:name w:val="Footer Cover Page Char"/>
    <w:basedOn w:val="TOCHeadingChar"/>
    <w:link w:val="FooterCoverPage"/>
    <w:rPr>
      <w:rFonts w:ascii="Times New Roman" w:eastAsiaTheme="majorEastAsia" w:hAnsi="Times New Roman" w:cstheme="majorBidi"/>
      <w:b w:val="0"/>
      <w:bCs/>
      <w:color w:val="365F91" w:themeColor="accent1" w:themeShade="BF"/>
      <w:sz w:val="24"/>
      <w:szCs w:val="28"/>
      <w:lang w:val="en-US" w:eastAsia="ja-JP"/>
    </w:rPr>
  </w:style>
  <w:style w:type="paragraph" w:customStyle="1" w:styleId="HeaderCoverPage">
    <w:name w:val="Header Cover Page"/>
    <w:basedOn w:val="Normal"/>
    <w:link w:val="HeaderCoverPageChar"/>
    <w:pPr>
      <w:tabs>
        <w:tab w:val="center" w:pos="4535"/>
        <w:tab w:val="right" w:pos="9071"/>
      </w:tabs>
    </w:pPr>
    <w:rPr>
      <w:rFonts w:eastAsiaTheme="majorEastAsia" w:cstheme="majorBidi"/>
      <w:bCs/>
      <w:color w:val="365F91" w:themeColor="accent1" w:themeShade="BF"/>
      <w:sz w:val="24"/>
      <w:szCs w:val="28"/>
      <w:lang w:val="en-US" w:eastAsia="ja-JP"/>
    </w:rPr>
  </w:style>
  <w:style w:type="character" w:customStyle="1" w:styleId="HeaderCoverPageChar">
    <w:name w:val="Header Cover Page Char"/>
    <w:basedOn w:val="TOCHeadingChar"/>
    <w:link w:val="HeaderCoverPage"/>
    <w:rPr>
      <w:rFonts w:ascii="Times New Roman" w:eastAsiaTheme="majorEastAsia" w:hAnsi="Times New Roman" w:cstheme="majorBidi"/>
      <w:b w:val="0"/>
      <w:bCs/>
      <w:color w:val="365F91" w:themeColor="accent1" w:themeShade="BF"/>
      <w:sz w:val="24"/>
      <w:szCs w:val="28"/>
      <w:lang w:val="en-US" w:eastAsia="ja-JP"/>
    </w:rPr>
  </w:style>
  <w:style w:type="character" w:customStyle="1" w:styleId="st">
    <w:name w:val="s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rPr>
  </w:style>
  <w:style w:type="paragraph" w:styleId="Heading1">
    <w:name w:val="heading 1"/>
    <w:basedOn w:val="Normal"/>
    <w:next w:val="Normal"/>
    <w:link w:val="Heading1Char"/>
    <w:uiPriority w:val="9"/>
    <w:qFormat/>
    <w:pPr>
      <w:keepNext/>
      <w:keepLines/>
      <w:pageBreakBefore/>
      <w:numPr>
        <w:numId w:val="1"/>
      </w:numPr>
      <w:spacing w:before="360" w:after="240"/>
      <w:ind w:left="431" w:hanging="431"/>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pPr>
      <w:keepNext/>
      <w:keepLines/>
      <w:numPr>
        <w:ilvl w:val="1"/>
        <w:numId w:val="1"/>
      </w:numPr>
      <w:autoSpaceDE w:val="0"/>
      <w:autoSpaceDN w:val="0"/>
      <w:adjustRightInd w:val="0"/>
      <w:ind w:left="862" w:hanging="578"/>
      <w:jc w:val="left"/>
      <w:outlineLvl w:val="1"/>
    </w:pPr>
    <w:rPr>
      <w:rFonts w:eastAsia="Times New Roman" w:cstheme="majorBidi"/>
      <w:b/>
      <w:bCs/>
      <w:sz w:val="26"/>
      <w:szCs w:val="26"/>
    </w:rPr>
  </w:style>
  <w:style w:type="paragraph" w:styleId="Heading3">
    <w:name w:val="heading 3"/>
    <w:basedOn w:val="Normal"/>
    <w:next w:val="Normal"/>
    <w:link w:val="Heading3Char"/>
    <w:autoRedefine/>
    <w:uiPriority w:val="9"/>
    <w:unhideWhenUsed/>
    <w:qFormat/>
    <w:pPr>
      <w:keepNext/>
      <w:keepLines/>
      <w:numPr>
        <w:ilvl w:val="2"/>
        <w:numId w:val="1"/>
      </w:numPr>
      <w:spacing w:before="240" w:after="240"/>
      <w:ind w:left="1287"/>
      <w:outlineLvl w:val="2"/>
    </w:pPr>
    <w:rPr>
      <w:rFonts w:eastAsiaTheme="majorEastAsia" w:cstheme="majorBidi"/>
      <w:b/>
      <w:bCs/>
    </w:rPr>
  </w:style>
  <w:style w:type="paragraph" w:styleId="Heading4">
    <w:name w:val="heading 4"/>
    <w:basedOn w:val="Normal"/>
    <w:next w:val="Normal"/>
    <w:link w:val="Heading4Char"/>
    <w:uiPriority w:val="9"/>
    <w:unhideWhenUsed/>
    <w:qFormat/>
    <w:pPr>
      <w:keepNext/>
      <w:keepLines/>
      <w:spacing w:before="240" w:after="240"/>
      <w:ind w:left="737"/>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heme="majorEastAsia" w:cstheme="majorBidi"/>
      <w:b/>
      <w:bCs/>
      <w:sz w:val="28"/>
      <w:szCs w:val="28"/>
    </w:rPr>
  </w:style>
  <w:style w:type="character" w:customStyle="1" w:styleId="Heading2Char">
    <w:name w:val="Heading 2 Char"/>
    <w:basedOn w:val="DefaultParagraphFont"/>
    <w:link w:val="Heading2"/>
    <w:uiPriority w:val="9"/>
    <w:rPr>
      <w:rFonts w:ascii="Times New Roman" w:eastAsia="Times New Roman" w:hAnsi="Times New Roman" w:cstheme="majorBidi"/>
      <w:b/>
      <w:bCs/>
      <w:sz w:val="26"/>
      <w:szCs w:val="26"/>
    </w:rPr>
  </w:style>
  <w:style w:type="character" w:customStyle="1" w:styleId="Heading3Char">
    <w:name w:val="Heading 3 Char"/>
    <w:basedOn w:val="DefaultParagraphFont"/>
    <w:link w:val="Heading3"/>
    <w:uiPriority w:val="9"/>
    <w:rPr>
      <w:rFonts w:eastAsiaTheme="majorEastAsia" w:cstheme="majorBidi"/>
      <w:b/>
      <w:bCs/>
    </w:rPr>
  </w:style>
  <w:style w:type="character" w:customStyle="1" w:styleId="Heading4Char">
    <w:name w:val="Heading 4 Char"/>
    <w:basedOn w:val="DefaultParagraphFont"/>
    <w:link w:val="Heading4"/>
    <w:uiPriority w:val="9"/>
    <w:rPr>
      <w:rFonts w:ascii="Times New Roman" w:eastAsiaTheme="majorEastAsia" w:hAnsi="Times New Roman" w:cstheme="majorBidi"/>
      <w:b/>
      <w:bCs/>
      <w:i/>
      <w:iCs/>
      <w:color w:val="000000" w:themeColor="tex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autoRedefine/>
    <w:uiPriority w:val="34"/>
    <w:qFormat/>
    <w:pPr>
      <w:numPr>
        <w:numId w:val="15"/>
      </w:numPr>
      <w:contextualSpacing/>
    </w:pPr>
    <w:rPr>
      <w:rFonts w:cs="Times New Roman"/>
      <w:szCs w:val="24"/>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locked/>
    <w:rPr>
      <w:rFonts w:ascii="Times New Roman" w:hAnsi="Times New Roman" w:cs="Times New Roman"/>
      <w:szCs w:val="24"/>
    </w:rPr>
  </w:style>
  <w:style w:type="paragraph" w:styleId="FootnoteText">
    <w:name w:val="footnote text"/>
    <w:aliases w:val="Footnote Text Char1,Footnote Text Char2 Char,Footnote Text Char1 Char Char,Footnote Text Char2 Char Char Char,Footnote Text Char1 Char Char Char Char,Footnote Text Char2 Char Char Char Char Char,Fußnote,Footnote Text Char Char Char,lábléc"/>
    <w:basedOn w:val="Normal"/>
    <w:link w:val="FootnoteTextChar"/>
    <w:uiPriority w:val="99"/>
    <w:unhideWhenUsed/>
    <w:qFormat/>
    <w:pPr>
      <w:spacing w:after="0"/>
    </w:pPr>
    <w:rPr>
      <w:sz w:val="18"/>
      <w:szCs w:val="20"/>
    </w:rPr>
  </w:style>
  <w:style w:type="character" w:customStyle="1" w:styleId="FootnoteTextChar">
    <w:name w:val="Footnote Text Char"/>
    <w:aliases w:val="Footnote Text Char1 Char,Footnote Text Char2 Char Char,Footnote Text Char1 Char Char Char,Footnote Text Char2 Char Char Char Char,Footnote Text Char1 Char Char Char Char Char,Footnote Text Char2 Char Char Char Char Char Char"/>
    <w:basedOn w:val="DefaultParagraphFont"/>
    <w:link w:val="FootnoteText"/>
    <w:uiPriority w:val="99"/>
    <w:rPr>
      <w:sz w:val="18"/>
      <w:szCs w:val="20"/>
    </w:rPr>
  </w:style>
  <w:style w:type="character" w:styleId="FootnoteReference">
    <w:name w:val="footnote reference"/>
    <w:aliases w:val="Char1,Ref,de nota al pie,Footnote,Footnote Reference Number,Footnote Reference_LVL6,Footnote Reference_LVL61,Footnote Reference_LVL62,Footnote Reference_LVL63,Footnote Reference_LVL64, Char1,Footnote symbol,Fußnotenzeichen3,Char,Ch,C"/>
    <w:basedOn w:val="DefaultParagraphFont"/>
    <w:link w:val="16Point"/>
    <w:uiPriority w:val="99"/>
    <w:unhideWhenUsed/>
    <w:qFormat/>
    <w:rPr>
      <w:vertAlign w:val="superscript"/>
    </w:rPr>
  </w:style>
  <w:style w:type="paragraph" w:customStyle="1" w:styleId="16Point">
    <w:name w:val="16 Point"/>
    <w:aliases w:val="Superscript 6 Point,Times 10 Point,Exposant 3 Point,Footnote reference number,Odwołanie przypisu,number,SUPERS,footnote ref,2001+ Fußnotenzeichen, Exposant 3 Point,Footnote number,EN Footnote Reference,note TESI,Voetnootverwijzing,fr,FR,FR1"/>
    <w:basedOn w:val="Normal"/>
    <w:link w:val="FootnoteReference"/>
    <w:uiPriority w:val="99"/>
    <w:pPr>
      <w:spacing w:after="160" w:line="240" w:lineRule="exact"/>
    </w:pPr>
    <w:rPr>
      <w:vertAlign w:val="superscri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1">
    <w:name w:val="toc 1"/>
    <w:basedOn w:val="Normal"/>
    <w:next w:val="Normal"/>
    <w:autoRedefine/>
    <w:uiPriority w:val="39"/>
    <w:unhideWhenUsed/>
    <w:qFormat/>
    <w:pPr>
      <w:tabs>
        <w:tab w:val="right" w:leader="dot" w:pos="9060"/>
      </w:tabs>
      <w:spacing w:after="100"/>
    </w:pPr>
  </w:style>
  <w:style w:type="paragraph" w:styleId="TOC2">
    <w:name w:val="toc 2"/>
    <w:basedOn w:val="Normal"/>
    <w:next w:val="Normal"/>
    <w:autoRedefine/>
    <w:uiPriority w:val="39"/>
    <w:unhideWhenUsed/>
    <w:qFormat/>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DocumentMap">
    <w:name w:val="Document Map"/>
    <w:basedOn w:val="Normal"/>
    <w:link w:val="DocumentMapChar"/>
    <w:uiPriority w:val="99"/>
    <w:semiHidden/>
    <w:unhideWhenUsed/>
    <w:pPr>
      <w:spacing w:after="0"/>
    </w:pPr>
    <w:rPr>
      <w:rFonts w:cs="Times New Roman"/>
      <w:sz w:val="24"/>
      <w:szCs w:val="24"/>
    </w:rPr>
  </w:style>
  <w:style w:type="character" w:customStyle="1" w:styleId="DocumentMapChar">
    <w:name w:val="Document Map Char"/>
    <w:basedOn w:val="DefaultParagraphFont"/>
    <w:link w:val="DocumentMap"/>
    <w:uiPriority w:val="99"/>
    <w:semiHidden/>
    <w:rPr>
      <w:rFonts w:ascii="Times New Roman" w:hAnsi="Times New Roman" w:cs="Times New Roman"/>
      <w:sz w:val="24"/>
      <w:szCs w:val="24"/>
    </w:rPr>
  </w:style>
  <w:style w:type="paragraph" w:styleId="Caption">
    <w:name w:val="caption"/>
    <w:basedOn w:val="Normal"/>
    <w:next w:val="Normal"/>
    <w:autoRedefine/>
    <w:uiPriority w:val="35"/>
    <w:unhideWhenUsed/>
    <w:qFormat/>
    <w:pPr>
      <w:keepNext/>
      <w:keepLines/>
      <w:spacing w:before="120"/>
    </w:pPr>
    <w:rPr>
      <w:i/>
      <w:iCs/>
      <w:noProof/>
      <w:color w:val="000000" w:themeColor="text1"/>
      <w:sz w:val="20"/>
      <w:szCs w:val="18"/>
    </w:rPr>
  </w:style>
  <w:style w:type="paragraph" w:customStyle="1" w:styleId="4thlevel">
    <w:name w:val="4th level"/>
    <w:basedOn w:val="Heading4"/>
    <w:link w:val="4thlevelChar"/>
    <w:qFormat/>
    <w:pPr>
      <w:spacing w:before="120" w:after="120"/>
      <w:ind w:left="0"/>
    </w:pPr>
    <w:rPr>
      <w:color w:val="365F91" w:themeColor="accent1" w:themeShade="BF"/>
    </w:rPr>
  </w:style>
  <w:style w:type="character" w:customStyle="1" w:styleId="4thlevelChar">
    <w:name w:val="4th level Char"/>
    <w:basedOn w:val="Heading4Char"/>
    <w:link w:val="4thlevel"/>
    <w:rPr>
      <w:rFonts w:ascii="Times New Roman" w:eastAsiaTheme="majorEastAsia" w:hAnsi="Times New Roman" w:cstheme="majorBidi"/>
      <w:b/>
      <w:bCs/>
      <w:i/>
      <w:iCs/>
      <w:color w:val="365F91" w:themeColor="accent1" w:themeShade="BF"/>
    </w:rPr>
  </w:style>
  <w:style w:type="paragraph" w:customStyle="1" w:styleId="Style1">
    <w:name w:val="Style1"/>
    <w:basedOn w:val="Caption"/>
    <w:qFormat/>
    <w:rPr>
      <w:b/>
    </w:rPr>
  </w:style>
  <w:style w:type="paragraph" w:styleId="TOC3">
    <w:name w:val="toc 3"/>
    <w:basedOn w:val="Normal"/>
    <w:next w:val="Normal"/>
    <w:autoRedefine/>
    <w:uiPriority w:val="39"/>
    <w:unhideWhenUsed/>
    <w:qFormat/>
    <w:pPr>
      <w:spacing w:after="100"/>
      <w:ind w:left="440"/>
    </w:pPr>
  </w:style>
  <w:style w:type="paragraph" w:customStyle="1" w:styleId="Source">
    <w:name w:val="Source"/>
    <w:basedOn w:val="Normal"/>
    <w:qFormat/>
    <w:pPr>
      <w:keepLines/>
      <w:spacing w:after="240"/>
    </w:pPr>
    <w:rPr>
      <w:i/>
      <w:sz w:val="18"/>
    </w:rPr>
  </w:style>
  <w:style w:type="paragraph" w:customStyle="1" w:styleId="Figure">
    <w:name w:val="Figure"/>
    <w:basedOn w:val="Normal"/>
    <w:qFormat/>
    <w:pPr>
      <w:keepNext/>
      <w:keepLines/>
      <w:spacing w:after="0"/>
      <w:jc w:val="center"/>
    </w:pPr>
  </w:style>
  <w:style w:type="paragraph" w:styleId="NormalWeb">
    <w:name w:val="Normal (Web)"/>
    <w:basedOn w:val="Normal"/>
    <w:uiPriority w:val="99"/>
    <w:unhideWhenUsed/>
    <w:pPr>
      <w:spacing w:before="100" w:beforeAutospacing="1" w:after="100" w:afterAutospacing="1"/>
      <w:jc w:val="left"/>
    </w:pPr>
    <w:rPr>
      <w:rFonts w:eastAsiaTheme="minorEastAsia" w:cs="Times New Roman"/>
      <w:sz w:val="24"/>
      <w:szCs w:val="24"/>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default">
    <w:name w:val="default"/>
    <w:basedOn w:val="Normal"/>
    <w:pPr>
      <w:spacing w:before="100" w:beforeAutospacing="1" w:after="100" w:afterAutospacing="1"/>
      <w:jc w:val="left"/>
    </w:pPr>
    <w:rPr>
      <w:rFonts w:eastAsiaTheme="minorEastAsia" w:cs="Times New Roman"/>
      <w:sz w:val="24"/>
      <w:szCs w:val="24"/>
      <w:lang w:eastAsia="en-GB"/>
    </w:r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0">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style>
  <w:style w:type="paragraph" w:customStyle="1" w:styleId="Text1">
    <w:name w:val="Text 1"/>
    <w:basedOn w:val="Normal"/>
    <w:pPr>
      <w:spacing w:after="240"/>
      <w:ind w:left="482"/>
    </w:pPr>
    <w:rPr>
      <w:rFonts w:eastAsia="Times New Roman" w:cs="Times New Roman"/>
      <w:sz w:val="24"/>
      <w:szCs w:val="20"/>
    </w:rPr>
  </w:style>
  <w:style w:type="paragraph" w:styleId="ListBullet">
    <w:name w:val="List Bullet"/>
    <w:basedOn w:val="Normal"/>
    <w:pPr>
      <w:numPr>
        <w:numId w:val="6"/>
      </w:numPr>
      <w:spacing w:after="240"/>
    </w:pPr>
    <w:rPr>
      <w:rFonts w:eastAsia="Times New Roman" w:cs="Times New Roman"/>
      <w:sz w:val="24"/>
      <w:szCs w:val="20"/>
    </w:rPr>
  </w:style>
  <w:style w:type="paragraph" w:customStyle="1" w:styleId="ChartTitle">
    <w:name w:val="Chart Title"/>
    <w:basedOn w:val="Normal"/>
    <w:next w:val="Normal"/>
    <w:link w:val="ChartTitleChar"/>
    <w:uiPriority w:val="2"/>
    <w:qFormat/>
    <w:pPr>
      <w:keepNext/>
      <w:spacing w:after="0"/>
      <w:jc w:val="center"/>
    </w:pPr>
    <w:rPr>
      <w:rFonts w:ascii="Arial" w:eastAsia="Calibri" w:hAnsi="Arial" w:cs="Times New Roman"/>
      <w:color w:val="EE8032"/>
      <w:sz w:val="16"/>
      <w:szCs w:val="16"/>
    </w:rPr>
  </w:style>
  <w:style w:type="character" w:customStyle="1" w:styleId="ChartTitleChar">
    <w:name w:val="Chart Title Char"/>
    <w:link w:val="ChartTitle"/>
    <w:uiPriority w:val="2"/>
    <w:rPr>
      <w:rFonts w:ascii="Arial" w:eastAsia="Calibri" w:hAnsi="Arial" w:cs="Times New Roman"/>
      <w:color w:val="EE8032"/>
      <w:sz w:val="16"/>
      <w:szCs w:val="16"/>
    </w:rPr>
  </w:style>
  <w:style w:type="paragraph" w:customStyle="1" w:styleId="ChartSource">
    <w:name w:val="Chart Source"/>
    <w:basedOn w:val="Normal"/>
    <w:next w:val="Normal"/>
    <w:link w:val="ChartSourceChar"/>
    <w:uiPriority w:val="3"/>
    <w:qFormat/>
    <w:pPr>
      <w:spacing w:after="0"/>
    </w:pPr>
    <w:rPr>
      <w:rFonts w:eastAsia="Calibri" w:cs="Times New Roman"/>
      <w:sz w:val="12"/>
    </w:rPr>
  </w:style>
  <w:style w:type="character" w:customStyle="1" w:styleId="ChartSourceChar">
    <w:name w:val="Chart Source Char"/>
    <w:link w:val="ChartSource"/>
    <w:uiPriority w:val="3"/>
    <w:rPr>
      <w:rFonts w:ascii="Times New Roman" w:eastAsia="Calibri" w:hAnsi="Times New Roman" w:cs="Times New Roman"/>
      <w:sz w:val="12"/>
    </w:rPr>
  </w:style>
  <w:style w:type="paragraph" w:customStyle="1" w:styleId="Chartnotes">
    <w:name w:val="Chart notes"/>
    <w:basedOn w:val="Normal"/>
    <w:link w:val="ChartnotesChar"/>
    <w:qFormat/>
    <w:pPr>
      <w:spacing w:after="240"/>
      <w:jc w:val="left"/>
    </w:pPr>
    <w:rPr>
      <w:rFonts w:eastAsia="Calibri" w:cs="Times New Roman"/>
      <w:sz w:val="17"/>
      <w:szCs w:val="18"/>
      <w:lang w:eastAsia="en-GB"/>
    </w:rPr>
  </w:style>
  <w:style w:type="character" w:customStyle="1" w:styleId="ChartnotesChar">
    <w:name w:val="Chart notes Char"/>
    <w:basedOn w:val="DefaultParagraphFont"/>
    <w:link w:val="Chartnotes"/>
    <w:rPr>
      <w:rFonts w:ascii="Times New Roman" w:eastAsia="Calibri" w:hAnsi="Times New Roman" w:cs="Times New Roman"/>
      <w:sz w:val="17"/>
      <w:szCs w:val="18"/>
      <w:lang w:eastAsia="en-GB"/>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x">
    <w:name w:val="Box"/>
    <w:basedOn w:val="Normal"/>
    <w:qFormat/>
    <w:pPr>
      <w:keepNext/>
      <w:numPr>
        <w:numId w:val="9"/>
      </w:numPr>
      <w:shd w:val="clear" w:color="auto" w:fill="548DD4" w:themeFill="text2" w:themeFillTint="99"/>
      <w:spacing w:before="120"/>
      <w:ind w:left="170" w:hanging="170"/>
    </w:pPr>
    <w:rPr>
      <w:rFonts w:cs="Times New Roman"/>
      <w:b/>
      <w:color w:val="FFFFFF" w:themeColor="background1"/>
      <w:sz w:val="23"/>
      <w:szCs w:val="23"/>
    </w:rPr>
  </w:style>
  <w:style w:type="character" w:customStyle="1" w:styleId="fllklgongn">
    <w:name w:val="fllklgongn"/>
    <w:basedOn w:val="DefaultParagraphFont"/>
  </w:style>
  <w:style w:type="character" w:customStyle="1" w:styleId="ehownivgfy">
    <w:name w:val="ehownivgfy"/>
    <w:basedOn w:val="DefaultParagraphFont"/>
  </w:style>
  <w:style w:type="character" w:customStyle="1" w:styleId="authorname">
    <w:name w:val="authorname"/>
    <w:basedOn w:val="DefaultParagraphFont"/>
  </w:style>
  <w:style w:type="character" w:customStyle="1" w:styleId="puldpiqzwo">
    <w:name w:val="puldpiqzwo"/>
    <w:basedOn w:val="DefaultParagraphFont"/>
  </w:style>
  <w:style w:type="character" w:customStyle="1" w:styleId="wbvawujplm">
    <w:name w:val="wbvawujplm"/>
    <w:basedOn w:val="DefaultParagraphFont"/>
  </w:style>
  <w:style w:type="character" w:customStyle="1" w:styleId="obzyzjsang">
    <w:name w:val="obzyzjsang"/>
    <w:basedOn w:val="DefaultParagraphFont"/>
  </w:style>
  <w:style w:type="character" w:customStyle="1" w:styleId="renderedqtext">
    <w:name w:val="rendered_qtext"/>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semiHidden/>
    <w:unhideWhenUsed/>
    <w:qFormat/>
    <w:pPr>
      <w:pageBreakBefore w:val="0"/>
      <w:numPr>
        <w:numId w:val="0"/>
      </w:numPr>
      <w:spacing w:before="480" w:after="0"/>
      <w:jc w:val="left"/>
      <w:outlineLvl w:val="9"/>
    </w:pPr>
    <w:rPr>
      <w:rFonts w:asciiTheme="majorHAnsi" w:hAnsiTheme="majorHAnsi"/>
      <w:color w:val="365F91" w:themeColor="accent1" w:themeShade="BF"/>
      <w:lang w:val="en-US" w:eastAsia="ja-JP"/>
    </w:rPr>
  </w:style>
  <w:style w:type="paragraph" w:styleId="Revision">
    <w:name w:val="Revision"/>
    <w:hidden/>
    <w:uiPriority w:val="99"/>
    <w:semiHidden/>
    <w:pPr>
      <w:spacing w:after="0" w:line="240" w:lineRule="auto"/>
    </w:pPr>
  </w:style>
  <w:style w:type="table" w:customStyle="1" w:styleId="TableGrid15">
    <w:name w:val="Table Grid1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Dash1">
    <w:name w:val="List Dash 1"/>
    <w:basedOn w:val="Normal"/>
    <w:pPr>
      <w:numPr>
        <w:numId w:val="43"/>
      </w:numPr>
      <w:spacing w:after="240"/>
    </w:pPr>
    <w:rPr>
      <w:rFonts w:eastAsia="Times New Roman" w:cs="Times New Roman"/>
      <w:sz w:val="24"/>
      <w:szCs w:val="20"/>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harttitle0">
    <w:name w:val="Chart title"/>
    <w:basedOn w:val="Normal"/>
    <w:link w:val="CharttitleChar0"/>
    <w:qFormat/>
    <w:pPr>
      <w:keepNext/>
      <w:spacing w:after="30"/>
      <w:ind w:left="1134" w:hanging="1134"/>
      <w:jc w:val="left"/>
    </w:pPr>
    <w:rPr>
      <w:rFonts w:eastAsia="Calibri" w:cs="Times New Roman"/>
      <w:b/>
      <w:sz w:val="20"/>
      <w:szCs w:val="20"/>
      <w:lang w:eastAsia="en-GB"/>
    </w:rPr>
  </w:style>
  <w:style w:type="character" w:customStyle="1" w:styleId="CharttitleChar0">
    <w:name w:val="Chart title Char"/>
    <w:basedOn w:val="DefaultParagraphFont"/>
    <w:link w:val="Charttitle0"/>
    <w:rPr>
      <w:rFonts w:ascii="Times New Roman" w:eastAsia="Calibri" w:hAnsi="Times New Roman" w:cs="Times New Roman"/>
      <w:b/>
      <w:sz w:val="20"/>
      <w:szCs w:val="20"/>
      <w:lang w:eastAsia="en-GB"/>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pPr>
      <w:spacing w:after="200"/>
      <w:jc w:val="left"/>
    </w:pPr>
    <w:rPr>
      <w:rFonts w:ascii="Calibri" w:hAnsi="Calibri" w:cs="Calibri"/>
      <w:noProof/>
      <w:lang w:val="en-US"/>
    </w:rPr>
  </w:style>
  <w:style w:type="character" w:customStyle="1" w:styleId="EndNoteBibliographyChar">
    <w:name w:val="EndNote Bibliography Char"/>
    <w:basedOn w:val="DefaultParagraphFont"/>
    <w:link w:val="EndNoteBibliography"/>
    <w:rPr>
      <w:rFonts w:ascii="Calibri" w:hAnsi="Calibri" w:cs="Calibri"/>
      <w:noProof/>
      <w:lang w:val="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heme="majorEastAsia" w:cstheme="majorBidi"/>
      <w:bCs/>
      <w:color w:val="365F91" w:themeColor="accent1" w:themeShade="BF"/>
      <w:sz w:val="24"/>
      <w:szCs w:val="28"/>
      <w:lang w:val="en-US" w:eastAsia="ja-JP"/>
    </w:rPr>
  </w:style>
  <w:style w:type="character" w:customStyle="1" w:styleId="TOCHeadingChar">
    <w:name w:val="TOC Heading Char"/>
    <w:basedOn w:val="Heading1Char"/>
    <w:link w:val="TOCHeading"/>
    <w:uiPriority w:val="39"/>
    <w:semiHidden/>
    <w:rPr>
      <w:rFonts w:asciiTheme="majorHAnsi" w:eastAsiaTheme="majorEastAsia" w:hAnsiTheme="majorHAnsi" w:cstheme="majorBidi"/>
      <w:b/>
      <w:bCs/>
      <w:color w:val="365F91" w:themeColor="accent1" w:themeShade="BF"/>
      <w:sz w:val="28"/>
      <w:szCs w:val="28"/>
      <w:lang w:val="en-US" w:eastAsia="ja-JP"/>
    </w:rPr>
  </w:style>
  <w:style w:type="character" w:customStyle="1" w:styleId="FooterCoverPageChar">
    <w:name w:val="Footer Cover Page Char"/>
    <w:basedOn w:val="TOCHeadingChar"/>
    <w:link w:val="FooterCoverPage"/>
    <w:rPr>
      <w:rFonts w:ascii="Times New Roman" w:eastAsiaTheme="majorEastAsia" w:hAnsi="Times New Roman" w:cstheme="majorBidi"/>
      <w:b w:val="0"/>
      <w:bCs/>
      <w:color w:val="365F91" w:themeColor="accent1" w:themeShade="BF"/>
      <w:sz w:val="24"/>
      <w:szCs w:val="28"/>
      <w:lang w:val="en-US" w:eastAsia="ja-JP"/>
    </w:rPr>
  </w:style>
  <w:style w:type="paragraph" w:customStyle="1" w:styleId="HeaderCoverPage">
    <w:name w:val="Header Cover Page"/>
    <w:basedOn w:val="Normal"/>
    <w:link w:val="HeaderCoverPageChar"/>
    <w:pPr>
      <w:tabs>
        <w:tab w:val="center" w:pos="4535"/>
        <w:tab w:val="right" w:pos="9071"/>
      </w:tabs>
    </w:pPr>
    <w:rPr>
      <w:rFonts w:eastAsiaTheme="majorEastAsia" w:cstheme="majorBidi"/>
      <w:bCs/>
      <w:color w:val="365F91" w:themeColor="accent1" w:themeShade="BF"/>
      <w:sz w:val="24"/>
      <w:szCs w:val="28"/>
      <w:lang w:val="en-US" w:eastAsia="ja-JP"/>
    </w:rPr>
  </w:style>
  <w:style w:type="character" w:customStyle="1" w:styleId="HeaderCoverPageChar">
    <w:name w:val="Header Cover Page Char"/>
    <w:basedOn w:val="TOCHeadingChar"/>
    <w:link w:val="HeaderCoverPage"/>
    <w:rPr>
      <w:rFonts w:ascii="Times New Roman" w:eastAsiaTheme="majorEastAsia" w:hAnsi="Times New Roman" w:cstheme="majorBidi"/>
      <w:b w:val="0"/>
      <w:bCs/>
      <w:color w:val="365F91" w:themeColor="accent1" w:themeShade="BF"/>
      <w:sz w:val="24"/>
      <w:szCs w:val="28"/>
      <w:lang w:val="en-US" w:eastAsia="ja-JP"/>
    </w:rPr>
  </w:style>
  <w:style w:type="character" w:customStyle="1" w:styleId="st">
    <w:name w:val="s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9753">
      <w:bodyDiv w:val="1"/>
      <w:marLeft w:val="0"/>
      <w:marRight w:val="0"/>
      <w:marTop w:val="0"/>
      <w:marBottom w:val="0"/>
      <w:divBdr>
        <w:top w:val="none" w:sz="0" w:space="0" w:color="auto"/>
        <w:left w:val="none" w:sz="0" w:space="0" w:color="auto"/>
        <w:bottom w:val="none" w:sz="0" w:space="0" w:color="auto"/>
        <w:right w:val="none" w:sz="0" w:space="0" w:color="auto"/>
      </w:divBdr>
    </w:div>
    <w:div w:id="84811690">
      <w:bodyDiv w:val="1"/>
      <w:marLeft w:val="0"/>
      <w:marRight w:val="0"/>
      <w:marTop w:val="0"/>
      <w:marBottom w:val="0"/>
      <w:divBdr>
        <w:top w:val="none" w:sz="0" w:space="0" w:color="auto"/>
        <w:left w:val="none" w:sz="0" w:space="0" w:color="auto"/>
        <w:bottom w:val="none" w:sz="0" w:space="0" w:color="auto"/>
        <w:right w:val="none" w:sz="0" w:space="0" w:color="auto"/>
      </w:divBdr>
      <w:divsChild>
        <w:div w:id="1382443733">
          <w:marLeft w:val="0"/>
          <w:marRight w:val="0"/>
          <w:marTop w:val="0"/>
          <w:marBottom w:val="0"/>
          <w:divBdr>
            <w:top w:val="none" w:sz="0" w:space="0" w:color="auto"/>
            <w:left w:val="none" w:sz="0" w:space="0" w:color="auto"/>
            <w:bottom w:val="none" w:sz="0" w:space="0" w:color="auto"/>
            <w:right w:val="none" w:sz="0" w:space="0" w:color="auto"/>
          </w:divBdr>
        </w:div>
      </w:divsChild>
    </w:div>
    <w:div w:id="163400644">
      <w:bodyDiv w:val="1"/>
      <w:marLeft w:val="0"/>
      <w:marRight w:val="0"/>
      <w:marTop w:val="0"/>
      <w:marBottom w:val="0"/>
      <w:divBdr>
        <w:top w:val="none" w:sz="0" w:space="0" w:color="auto"/>
        <w:left w:val="none" w:sz="0" w:space="0" w:color="auto"/>
        <w:bottom w:val="none" w:sz="0" w:space="0" w:color="auto"/>
        <w:right w:val="none" w:sz="0" w:space="0" w:color="auto"/>
      </w:divBdr>
    </w:div>
    <w:div w:id="190386921">
      <w:bodyDiv w:val="1"/>
      <w:marLeft w:val="0"/>
      <w:marRight w:val="0"/>
      <w:marTop w:val="0"/>
      <w:marBottom w:val="0"/>
      <w:divBdr>
        <w:top w:val="none" w:sz="0" w:space="0" w:color="auto"/>
        <w:left w:val="none" w:sz="0" w:space="0" w:color="auto"/>
        <w:bottom w:val="none" w:sz="0" w:space="0" w:color="auto"/>
        <w:right w:val="none" w:sz="0" w:space="0" w:color="auto"/>
      </w:divBdr>
    </w:div>
    <w:div w:id="288556599">
      <w:bodyDiv w:val="1"/>
      <w:marLeft w:val="0"/>
      <w:marRight w:val="0"/>
      <w:marTop w:val="0"/>
      <w:marBottom w:val="0"/>
      <w:divBdr>
        <w:top w:val="none" w:sz="0" w:space="0" w:color="auto"/>
        <w:left w:val="none" w:sz="0" w:space="0" w:color="auto"/>
        <w:bottom w:val="none" w:sz="0" w:space="0" w:color="auto"/>
        <w:right w:val="none" w:sz="0" w:space="0" w:color="auto"/>
      </w:divBdr>
      <w:divsChild>
        <w:div w:id="914512245">
          <w:marLeft w:val="0"/>
          <w:marRight w:val="0"/>
          <w:marTop w:val="0"/>
          <w:marBottom w:val="0"/>
          <w:divBdr>
            <w:top w:val="none" w:sz="0" w:space="0" w:color="auto"/>
            <w:left w:val="none" w:sz="0" w:space="0" w:color="auto"/>
            <w:bottom w:val="none" w:sz="0" w:space="0" w:color="auto"/>
            <w:right w:val="none" w:sz="0" w:space="0" w:color="auto"/>
          </w:divBdr>
        </w:div>
      </w:divsChild>
    </w:div>
    <w:div w:id="381908155">
      <w:bodyDiv w:val="1"/>
      <w:marLeft w:val="0"/>
      <w:marRight w:val="0"/>
      <w:marTop w:val="0"/>
      <w:marBottom w:val="0"/>
      <w:divBdr>
        <w:top w:val="none" w:sz="0" w:space="0" w:color="auto"/>
        <w:left w:val="none" w:sz="0" w:space="0" w:color="auto"/>
        <w:bottom w:val="none" w:sz="0" w:space="0" w:color="auto"/>
        <w:right w:val="none" w:sz="0" w:space="0" w:color="auto"/>
      </w:divBdr>
    </w:div>
    <w:div w:id="493954473">
      <w:bodyDiv w:val="1"/>
      <w:marLeft w:val="0"/>
      <w:marRight w:val="0"/>
      <w:marTop w:val="0"/>
      <w:marBottom w:val="0"/>
      <w:divBdr>
        <w:top w:val="none" w:sz="0" w:space="0" w:color="auto"/>
        <w:left w:val="none" w:sz="0" w:space="0" w:color="auto"/>
        <w:bottom w:val="none" w:sz="0" w:space="0" w:color="auto"/>
        <w:right w:val="none" w:sz="0" w:space="0" w:color="auto"/>
      </w:divBdr>
    </w:div>
    <w:div w:id="661658515">
      <w:bodyDiv w:val="1"/>
      <w:marLeft w:val="0"/>
      <w:marRight w:val="0"/>
      <w:marTop w:val="0"/>
      <w:marBottom w:val="0"/>
      <w:divBdr>
        <w:top w:val="none" w:sz="0" w:space="0" w:color="auto"/>
        <w:left w:val="none" w:sz="0" w:space="0" w:color="auto"/>
        <w:bottom w:val="none" w:sz="0" w:space="0" w:color="auto"/>
        <w:right w:val="none" w:sz="0" w:space="0" w:color="auto"/>
      </w:divBdr>
    </w:div>
    <w:div w:id="663970715">
      <w:bodyDiv w:val="1"/>
      <w:marLeft w:val="0"/>
      <w:marRight w:val="0"/>
      <w:marTop w:val="0"/>
      <w:marBottom w:val="0"/>
      <w:divBdr>
        <w:top w:val="none" w:sz="0" w:space="0" w:color="auto"/>
        <w:left w:val="none" w:sz="0" w:space="0" w:color="auto"/>
        <w:bottom w:val="none" w:sz="0" w:space="0" w:color="auto"/>
        <w:right w:val="none" w:sz="0" w:space="0" w:color="auto"/>
      </w:divBdr>
    </w:div>
    <w:div w:id="715399495">
      <w:bodyDiv w:val="1"/>
      <w:marLeft w:val="0"/>
      <w:marRight w:val="0"/>
      <w:marTop w:val="0"/>
      <w:marBottom w:val="0"/>
      <w:divBdr>
        <w:top w:val="none" w:sz="0" w:space="0" w:color="auto"/>
        <w:left w:val="none" w:sz="0" w:space="0" w:color="auto"/>
        <w:bottom w:val="none" w:sz="0" w:space="0" w:color="auto"/>
        <w:right w:val="none" w:sz="0" w:space="0" w:color="auto"/>
      </w:divBdr>
    </w:div>
    <w:div w:id="716971574">
      <w:bodyDiv w:val="1"/>
      <w:marLeft w:val="0"/>
      <w:marRight w:val="0"/>
      <w:marTop w:val="0"/>
      <w:marBottom w:val="0"/>
      <w:divBdr>
        <w:top w:val="none" w:sz="0" w:space="0" w:color="auto"/>
        <w:left w:val="none" w:sz="0" w:space="0" w:color="auto"/>
        <w:bottom w:val="none" w:sz="0" w:space="0" w:color="auto"/>
        <w:right w:val="none" w:sz="0" w:space="0" w:color="auto"/>
      </w:divBdr>
    </w:div>
    <w:div w:id="844245039">
      <w:bodyDiv w:val="1"/>
      <w:marLeft w:val="0"/>
      <w:marRight w:val="0"/>
      <w:marTop w:val="0"/>
      <w:marBottom w:val="0"/>
      <w:divBdr>
        <w:top w:val="none" w:sz="0" w:space="0" w:color="auto"/>
        <w:left w:val="none" w:sz="0" w:space="0" w:color="auto"/>
        <w:bottom w:val="none" w:sz="0" w:space="0" w:color="auto"/>
        <w:right w:val="none" w:sz="0" w:space="0" w:color="auto"/>
      </w:divBdr>
      <w:divsChild>
        <w:div w:id="819267746">
          <w:marLeft w:val="0"/>
          <w:marRight w:val="0"/>
          <w:marTop w:val="0"/>
          <w:marBottom w:val="0"/>
          <w:divBdr>
            <w:top w:val="none" w:sz="0" w:space="0" w:color="auto"/>
            <w:left w:val="none" w:sz="0" w:space="0" w:color="auto"/>
            <w:bottom w:val="none" w:sz="0" w:space="0" w:color="auto"/>
            <w:right w:val="none" w:sz="0" w:space="0" w:color="auto"/>
          </w:divBdr>
        </w:div>
      </w:divsChild>
    </w:div>
    <w:div w:id="911547301">
      <w:bodyDiv w:val="1"/>
      <w:marLeft w:val="0"/>
      <w:marRight w:val="0"/>
      <w:marTop w:val="0"/>
      <w:marBottom w:val="0"/>
      <w:divBdr>
        <w:top w:val="none" w:sz="0" w:space="0" w:color="auto"/>
        <w:left w:val="none" w:sz="0" w:space="0" w:color="auto"/>
        <w:bottom w:val="none" w:sz="0" w:space="0" w:color="auto"/>
        <w:right w:val="none" w:sz="0" w:space="0" w:color="auto"/>
      </w:divBdr>
    </w:div>
    <w:div w:id="980232534">
      <w:bodyDiv w:val="1"/>
      <w:marLeft w:val="0"/>
      <w:marRight w:val="0"/>
      <w:marTop w:val="0"/>
      <w:marBottom w:val="0"/>
      <w:divBdr>
        <w:top w:val="none" w:sz="0" w:space="0" w:color="auto"/>
        <w:left w:val="none" w:sz="0" w:space="0" w:color="auto"/>
        <w:bottom w:val="none" w:sz="0" w:space="0" w:color="auto"/>
        <w:right w:val="none" w:sz="0" w:space="0" w:color="auto"/>
      </w:divBdr>
    </w:div>
    <w:div w:id="1060634628">
      <w:bodyDiv w:val="1"/>
      <w:marLeft w:val="0"/>
      <w:marRight w:val="0"/>
      <w:marTop w:val="0"/>
      <w:marBottom w:val="0"/>
      <w:divBdr>
        <w:top w:val="none" w:sz="0" w:space="0" w:color="auto"/>
        <w:left w:val="none" w:sz="0" w:space="0" w:color="auto"/>
        <w:bottom w:val="none" w:sz="0" w:space="0" w:color="auto"/>
        <w:right w:val="none" w:sz="0" w:space="0" w:color="auto"/>
      </w:divBdr>
    </w:div>
    <w:div w:id="1100564564">
      <w:bodyDiv w:val="1"/>
      <w:marLeft w:val="0"/>
      <w:marRight w:val="0"/>
      <w:marTop w:val="0"/>
      <w:marBottom w:val="0"/>
      <w:divBdr>
        <w:top w:val="none" w:sz="0" w:space="0" w:color="auto"/>
        <w:left w:val="none" w:sz="0" w:space="0" w:color="auto"/>
        <w:bottom w:val="none" w:sz="0" w:space="0" w:color="auto"/>
        <w:right w:val="none" w:sz="0" w:space="0" w:color="auto"/>
      </w:divBdr>
    </w:div>
    <w:div w:id="1129783278">
      <w:bodyDiv w:val="1"/>
      <w:marLeft w:val="0"/>
      <w:marRight w:val="0"/>
      <w:marTop w:val="0"/>
      <w:marBottom w:val="0"/>
      <w:divBdr>
        <w:top w:val="none" w:sz="0" w:space="0" w:color="auto"/>
        <w:left w:val="none" w:sz="0" w:space="0" w:color="auto"/>
        <w:bottom w:val="none" w:sz="0" w:space="0" w:color="auto"/>
        <w:right w:val="none" w:sz="0" w:space="0" w:color="auto"/>
      </w:divBdr>
    </w:div>
    <w:div w:id="1200438545">
      <w:bodyDiv w:val="1"/>
      <w:marLeft w:val="0"/>
      <w:marRight w:val="0"/>
      <w:marTop w:val="0"/>
      <w:marBottom w:val="0"/>
      <w:divBdr>
        <w:top w:val="none" w:sz="0" w:space="0" w:color="auto"/>
        <w:left w:val="none" w:sz="0" w:space="0" w:color="auto"/>
        <w:bottom w:val="none" w:sz="0" w:space="0" w:color="auto"/>
        <w:right w:val="none" w:sz="0" w:space="0" w:color="auto"/>
      </w:divBdr>
      <w:divsChild>
        <w:div w:id="1110079725">
          <w:marLeft w:val="0"/>
          <w:marRight w:val="0"/>
          <w:marTop w:val="0"/>
          <w:marBottom w:val="0"/>
          <w:divBdr>
            <w:top w:val="none" w:sz="0" w:space="0" w:color="auto"/>
            <w:left w:val="none" w:sz="0" w:space="0" w:color="auto"/>
            <w:bottom w:val="none" w:sz="0" w:space="0" w:color="auto"/>
            <w:right w:val="none" w:sz="0" w:space="0" w:color="auto"/>
          </w:divBdr>
        </w:div>
      </w:divsChild>
    </w:div>
    <w:div w:id="1207832960">
      <w:bodyDiv w:val="1"/>
      <w:marLeft w:val="0"/>
      <w:marRight w:val="0"/>
      <w:marTop w:val="0"/>
      <w:marBottom w:val="0"/>
      <w:divBdr>
        <w:top w:val="none" w:sz="0" w:space="0" w:color="auto"/>
        <w:left w:val="none" w:sz="0" w:space="0" w:color="auto"/>
        <w:bottom w:val="none" w:sz="0" w:space="0" w:color="auto"/>
        <w:right w:val="none" w:sz="0" w:space="0" w:color="auto"/>
      </w:divBdr>
    </w:div>
    <w:div w:id="1259873531">
      <w:bodyDiv w:val="1"/>
      <w:marLeft w:val="0"/>
      <w:marRight w:val="0"/>
      <w:marTop w:val="0"/>
      <w:marBottom w:val="0"/>
      <w:divBdr>
        <w:top w:val="none" w:sz="0" w:space="0" w:color="auto"/>
        <w:left w:val="none" w:sz="0" w:space="0" w:color="auto"/>
        <w:bottom w:val="none" w:sz="0" w:space="0" w:color="auto"/>
        <w:right w:val="none" w:sz="0" w:space="0" w:color="auto"/>
      </w:divBdr>
      <w:divsChild>
        <w:div w:id="2122533164">
          <w:marLeft w:val="0"/>
          <w:marRight w:val="0"/>
          <w:marTop w:val="0"/>
          <w:marBottom w:val="0"/>
          <w:divBdr>
            <w:top w:val="none" w:sz="0" w:space="0" w:color="auto"/>
            <w:left w:val="none" w:sz="0" w:space="0" w:color="auto"/>
            <w:bottom w:val="none" w:sz="0" w:space="0" w:color="auto"/>
            <w:right w:val="none" w:sz="0" w:space="0" w:color="auto"/>
          </w:divBdr>
        </w:div>
      </w:divsChild>
    </w:div>
    <w:div w:id="1333607800">
      <w:bodyDiv w:val="1"/>
      <w:marLeft w:val="0"/>
      <w:marRight w:val="0"/>
      <w:marTop w:val="0"/>
      <w:marBottom w:val="0"/>
      <w:divBdr>
        <w:top w:val="none" w:sz="0" w:space="0" w:color="auto"/>
        <w:left w:val="none" w:sz="0" w:space="0" w:color="auto"/>
        <w:bottom w:val="none" w:sz="0" w:space="0" w:color="auto"/>
        <w:right w:val="none" w:sz="0" w:space="0" w:color="auto"/>
      </w:divBdr>
    </w:div>
    <w:div w:id="1334528620">
      <w:bodyDiv w:val="1"/>
      <w:marLeft w:val="0"/>
      <w:marRight w:val="0"/>
      <w:marTop w:val="0"/>
      <w:marBottom w:val="0"/>
      <w:divBdr>
        <w:top w:val="none" w:sz="0" w:space="0" w:color="auto"/>
        <w:left w:val="none" w:sz="0" w:space="0" w:color="auto"/>
        <w:bottom w:val="none" w:sz="0" w:space="0" w:color="auto"/>
        <w:right w:val="none" w:sz="0" w:space="0" w:color="auto"/>
      </w:divBdr>
    </w:div>
    <w:div w:id="1379891831">
      <w:bodyDiv w:val="1"/>
      <w:marLeft w:val="0"/>
      <w:marRight w:val="0"/>
      <w:marTop w:val="0"/>
      <w:marBottom w:val="0"/>
      <w:divBdr>
        <w:top w:val="none" w:sz="0" w:space="0" w:color="auto"/>
        <w:left w:val="none" w:sz="0" w:space="0" w:color="auto"/>
        <w:bottom w:val="none" w:sz="0" w:space="0" w:color="auto"/>
        <w:right w:val="none" w:sz="0" w:space="0" w:color="auto"/>
      </w:divBdr>
    </w:div>
    <w:div w:id="1476291725">
      <w:bodyDiv w:val="1"/>
      <w:marLeft w:val="0"/>
      <w:marRight w:val="0"/>
      <w:marTop w:val="0"/>
      <w:marBottom w:val="0"/>
      <w:divBdr>
        <w:top w:val="none" w:sz="0" w:space="0" w:color="auto"/>
        <w:left w:val="none" w:sz="0" w:space="0" w:color="auto"/>
        <w:bottom w:val="none" w:sz="0" w:space="0" w:color="auto"/>
        <w:right w:val="none" w:sz="0" w:space="0" w:color="auto"/>
      </w:divBdr>
    </w:div>
    <w:div w:id="1531184766">
      <w:bodyDiv w:val="1"/>
      <w:marLeft w:val="0"/>
      <w:marRight w:val="0"/>
      <w:marTop w:val="0"/>
      <w:marBottom w:val="0"/>
      <w:divBdr>
        <w:top w:val="none" w:sz="0" w:space="0" w:color="auto"/>
        <w:left w:val="none" w:sz="0" w:space="0" w:color="auto"/>
        <w:bottom w:val="none" w:sz="0" w:space="0" w:color="auto"/>
        <w:right w:val="none" w:sz="0" w:space="0" w:color="auto"/>
      </w:divBdr>
    </w:div>
    <w:div w:id="1538395331">
      <w:bodyDiv w:val="1"/>
      <w:marLeft w:val="0"/>
      <w:marRight w:val="0"/>
      <w:marTop w:val="0"/>
      <w:marBottom w:val="0"/>
      <w:divBdr>
        <w:top w:val="none" w:sz="0" w:space="0" w:color="auto"/>
        <w:left w:val="none" w:sz="0" w:space="0" w:color="auto"/>
        <w:bottom w:val="none" w:sz="0" w:space="0" w:color="auto"/>
        <w:right w:val="none" w:sz="0" w:space="0" w:color="auto"/>
      </w:divBdr>
    </w:div>
    <w:div w:id="1561553055">
      <w:bodyDiv w:val="1"/>
      <w:marLeft w:val="0"/>
      <w:marRight w:val="0"/>
      <w:marTop w:val="0"/>
      <w:marBottom w:val="0"/>
      <w:divBdr>
        <w:top w:val="none" w:sz="0" w:space="0" w:color="auto"/>
        <w:left w:val="none" w:sz="0" w:space="0" w:color="auto"/>
        <w:bottom w:val="none" w:sz="0" w:space="0" w:color="auto"/>
        <w:right w:val="none" w:sz="0" w:space="0" w:color="auto"/>
      </w:divBdr>
    </w:div>
    <w:div w:id="1663698671">
      <w:bodyDiv w:val="1"/>
      <w:marLeft w:val="0"/>
      <w:marRight w:val="0"/>
      <w:marTop w:val="0"/>
      <w:marBottom w:val="0"/>
      <w:divBdr>
        <w:top w:val="none" w:sz="0" w:space="0" w:color="auto"/>
        <w:left w:val="none" w:sz="0" w:space="0" w:color="auto"/>
        <w:bottom w:val="none" w:sz="0" w:space="0" w:color="auto"/>
        <w:right w:val="none" w:sz="0" w:space="0" w:color="auto"/>
      </w:divBdr>
    </w:div>
    <w:div w:id="1714229925">
      <w:bodyDiv w:val="1"/>
      <w:marLeft w:val="0"/>
      <w:marRight w:val="0"/>
      <w:marTop w:val="0"/>
      <w:marBottom w:val="0"/>
      <w:divBdr>
        <w:top w:val="none" w:sz="0" w:space="0" w:color="auto"/>
        <w:left w:val="none" w:sz="0" w:space="0" w:color="auto"/>
        <w:bottom w:val="none" w:sz="0" w:space="0" w:color="auto"/>
        <w:right w:val="none" w:sz="0" w:space="0" w:color="auto"/>
      </w:divBdr>
    </w:div>
    <w:div w:id="1812597537">
      <w:bodyDiv w:val="1"/>
      <w:marLeft w:val="0"/>
      <w:marRight w:val="0"/>
      <w:marTop w:val="0"/>
      <w:marBottom w:val="0"/>
      <w:divBdr>
        <w:top w:val="none" w:sz="0" w:space="0" w:color="auto"/>
        <w:left w:val="none" w:sz="0" w:space="0" w:color="auto"/>
        <w:bottom w:val="none" w:sz="0" w:space="0" w:color="auto"/>
        <w:right w:val="none" w:sz="0" w:space="0" w:color="auto"/>
      </w:divBdr>
      <w:divsChild>
        <w:div w:id="1282298552">
          <w:marLeft w:val="0"/>
          <w:marRight w:val="0"/>
          <w:marTop w:val="0"/>
          <w:marBottom w:val="0"/>
          <w:divBdr>
            <w:top w:val="none" w:sz="0" w:space="0" w:color="auto"/>
            <w:left w:val="none" w:sz="0" w:space="0" w:color="auto"/>
            <w:bottom w:val="none" w:sz="0" w:space="0" w:color="auto"/>
            <w:right w:val="none" w:sz="0" w:space="0" w:color="auto"/>
          </w:divBdr>
        </w:div>
      </w:divsChild>
    </w:div>
    <w:div w:id="1853254715">
      <w:bodyDiv w:val="1"/>
      <w:marLeft w:val="0"/>
      <w:marRight w:val="0"/>
      <w:marTop w:val="0"/>
      <w:marBottom w:val="0"/>
      <w:divBdr>
        <w:top w:val="none" w:sz="0" w:space="0" w:color="auto"/>
        <w:left w:val="none" w:sz="0" w:space="0" w:color="auto"/>
        <w:bottom w:val="none" w:sz="0" w:space="0" w:color="auto"/>
        <w:right w:val="none" w:sz="0" w:space="0" w:color="auto"/>
      </w:divBdr>
    </w:div>
    <w:div w:id="1877158403">
      <w:bodyDiv w:val="1"/>
      <w:marLeft w:val="0"/>
      <w:marRight w:val="0"/>
      <w:marTop w:val="0"/>
      <w:marBottom w:val="0"/>
      <w:divBdr>
        <w:top w:val="none" w:sz="0" w:space="0" w:color="auto"/>
        <w:left w:val="none" w:sz="0" w:space="0" w:color="auto"/>
        <w:bottom w:val="none" w:sz="0" w:space="0" w:color="auto"/>
        <w:right w:val="none" w:sz="0" w:space="0" w:color="auto"/>
      </w:divBdr>
    </w:div>
    <w:div w:id="1915778462">
      <w:bodyDiv w:val="1"/>
      <w:marLeft w:val="0"/>
      <w:marRight w:val="0"/>
      <w:marTop w:val="0"/>
      <w:marBottom w:val="0"/>
      <w:divBdr>
        <w:top w:val="none" w:sz="0" w:space="0" w:color="auto"/>
        <w:left w:val="none" w:sz="0" w:space="0" w:color="auto"/>
        <w:bottom w:val="none" w:sz="0" w:space="0" w:color="auto"/>
        <w:right w:val="none" w:sz="0" w:space="0" w:color="auto"/>
      </w:divBdr>
    </w:div>
    <w:div w:id="1916627893">
      <w:bodyDiv w:val="1"/>
      <w:marLeft w:val="0"/>
      <w:marRight w:val="0"/>
      <w:marTop w:val="0"/>
      <w:marBottom w:val="0"/>
      <w:divBdr>
        <w:top w:val="none" w:sz="0" w:space="0" w:color="auto"/>
        <w:left w:val="none" w:sz="0" w:space="0" w:color="auto"/>
        <w:bottom w:val="none" w:sz="0" w:space="0" w:color="auto"/>
        <w:right w:val="none" w:sz="0" w:space="0" w:color="auto"/>
      </w:divBdr>
    </w:div>
    <w:div w:id="1925797818">
      <w:bodyDiv w:val="1"/>
      <w:marLeft w:val="0"/>
      <w:marRight w:val="0"/>
      <w:marTop w:val="0"/>
      <w:marBottom w:val="0"/>
      <w:divBdr>
        <w:top w:val="none" w:sz="0" w:space="0" w:color="auto"/>
        <w:left w:val="none" w:sz="0" w:space="0" w:color="auto"/>
        <w:bottom w:val="none" w:sz="0" w:space="0" w:color="auto"/>
        <w:right w:val="none" w:sz="0" w:space="0" w:color="auto"/>
      </w:divBdr>
    </w:div>
    <w:div w:id="197598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www.oecd.org/finance/private-pensions/survey-large-pension-funds.htm" TargetMode="External"/><Relationship Id="rId21" Type="http://schemas.openxmlformats.org/officeDocument/2006/relationships/chart" Target="charts/chart3.xml"/><Relationship Id="rId42" Type="http://schemas.openxmlformats.org/officeDocument/2006/relationships/footer" Target="footer9.xml"/><Relationship Id="rId47" Type="http://schemas.openxmlformats.org/officeDocument/2006/relationships/footer" Target="footer11.xml"/><Relationship Id="rId63" Type="http://schemas.openxmlformats.org/officeDocument/2006/relationships/image" Target="media/image6.png"/><Relationship Id="rId68" Type="http://schemas.openxmlformats.org/officeDocument/2006/relationships/image" Target="media/image7.png"/><Relationship Id="rId84" Type="http://schemas.openxmlformats.org/officeDocument/2006/relationships/chart" Target="charts/chart37.xml"/><Relationship Id="rId89" Type="http://schemas.openxmlformats.org/officeDocument/2006/relationships/diagramColors" Target="diagrams/colors1.xml"/><Relationship Id="rId112" Type="http://schemas.openxmlformats.org/officeDocument/2006/relationships/hyperlink" Target="http://ec.europa.eu/economy_finance/graphs/2015-05-12_ageing_report_en.htm" TargetMode="External"/><Relationship Id="rId133" Type="http://schemas.openxmlformats.org/officeDocument/2006/relationships/hyperlink" Target="https://data.oecd.org/hha/household-financial-assets.htm" TargetMode="External"/><Relationship Id="rId138" Type="http://schemas.openxmlformats.org/officeDocument/2006/relationships/header" Target="header14.xml"/><Relationship Id="rId16" Type="http://schemas.openxmlformats.org/officeDocument/2006/relationships/footer" Target="footer2.xml"/><Relationship Id="rId107" Type="http://schemas.openxmlformats.org/officeDocument/2006/relationships/hyperlink" Target="https://www.scoperatings.com/research/details?ID=153337&amp;lC=EN" TargetMode="External"/><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chart" Target="charts/chart13.xml"/><Relationship Id="rId58" Type="http://schemas.openxmlformats.org/officeDocument/2006/relationships/chart" Target="charts/chart18.xml"/><Relationship Id="rId74" Type="http://schemas.openxmlformats.org/officeDocument/2006/relationships/image" Target="media/image11.png"/><Relationship Id="rId79" Type="http://schemas.openxmlformats.org/officeDocument/2006/relationships/chart" Target="charts/chart32.xml"/><Relationship Id="rId102" Type="http://schemas.openxmlformats.org/officeDocument/2006/relationships/hyperlink" Target="https://www.ecb.europa.eu/pub/pdf/ecbu/eb201504.en.pdf" TargetMode="External"/><Relationship Id="rId123" Type="http://schemas.openxmlformats.org/officeDocument/2006/relationships/hyperlink" Target="http://www.beuc.eu/publications/beuc-x-2015-101_savings_accounts_in_eu-a_dormant_market-study.pdf" TargetMode="External"/><Relationship Id="rId128" Type="http://schemas.openxmlformats.org/officeDocument/2006/relationships/hyperlink" Target="https://www.esma.europa.eu/sites/default/files/library/2016-165_public_statement_-_supervisory_work_on_potential_closet_index_tracking.pdf" TargetMode="External"/><Relationship Id="rId144" Type="http://schemas.openxmlformats.org/officeDocument/2006/relationships/theme" Target="theme/theme1.xml"/><Relationship Id="rId5" Type="http://schemas.openxmlformats.org/officeDocument/2006/relationships/numbering" Target="numbering.xml"/><Relationship Id="rId90" Type="http://schemas.microsoft.com/office/2007/relationships/diagramDrawing" Target="diagrams/drawing1.xml"/><Relationship Id="rId95" Type="http://schemas.openxmlformats.org/officeDocument/2006/relationships/hyperlink" Target="https://ec.europa.eu/info/publications/economy-finance/european-economic-forecast-winter-2017_en" TargetMode="External"/><Relationship Id="rId22" Type="http://schemas.openxmlformats.org/officeDocument/2006/relationships/chart" Target="charts/chart4.xml"/><Relationship Id="rId27" Type="http://schemas.openxmlformats.org/officeDocument/2006/relationships/image" Target="media/image3.png"/><Relationship Id="rId43" Type="http://schemas.openxmlformats.org/officeDocument/2006/relationships/image" Target="media/image4.png"/><Relationship Id="rId48" Type="http://schemas.openxmlformats.org/officeDocument/2006/relationships/header" Target="header12.xml"/><Relationship Id="rId64" Type="http://schemas.openxmlformats.org/officeDocument/2006/relationships/chart" Target="charts/chart23.xml"/><Relationship Id="rId69" Type="http://schemas.openxmlformats.org/officeDocument/2006/relationships/chart" Target="charts/chart27.xml"/><Relationship Id="rId113" Type="http://schemas.openxmlformats.org/officeDocument/2006/relationships/hyperlink" Target="https://www.insuranceeurope.eu/european-insurance-figures-2015-data" TargetMode="External"/><Relationship Id="rId118" Type="http://schemas.openxmlformats.org/officeDocument/2006/relationships/hyperlink" Target="https://www.oecd.org/finance/private-pensions/Addressing-Data-Gaps-in-Long-Term-Investment-Research-Agenda.pdf" TargetMode="External"/><Relationship Id="rId134" Type="http://schemas.openxmlformats.org/officeDocument/2006/relationships/hyperlink" Target="http://us.spindices.com/documents/spiva/spiva-europe-year-end-2015.pdf" TargetMode="External"/><Relationship Id="rId139" Type="http://schemas.openxmlformats.org/officeDocument/2006/relationships/footer" Target="footer13.xml"/><Relationship Id="rId80" Type="http://schemas.openxmlformats.org/officeDocument/2006/relationships/chart" Target="charts/chart33.xml"/><Relationship Id="rId85" Type="http://schemas.openxmlformats.org/officeDocument/2006/relationships/chart" Target="charts/chart38.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footer" Target="footer10.xml"/><Relationship Id="rId59" Type="http://schemas.openxmlformats.org/officeDocument/2006/relationships/chart" Target="charts/chart19.xml"/><Relationship Id="rId67" Type="http://schemas.openxmlformats.org/officeDocument/2006/relationships/chart" Target="charts/chart26.xml"/><Relationship Id="rId103" Type="http://schemas.openxmlformats.org/officeDocument/2006/relationships/hyperlink" Target="http://ec.europa.eu/growth/industry/innovation/facts-figures/innobarometer_en" TargetMode="External"/><Relationship Id="rId108" Type="http://schemas.openxmlformats.org/officeDocument/2006/relationships/hyperlink" Target="http://ec.europa.eu/finance/capital-" TargetMode="External"/><Relationship Id="rId116" Type="http://schemas.openxmlformats.org/officeDocument/2006/relationships/hyperlink" Target="https://ssrn.com/abstract=264189" TargetMode="External"/><Relationship Id="rId124" Type="http://schemas.openxmlformats.org/officeDocument/2006/relationships/hyperlink" Target="http://www.dnb.nl/binaries/Working%20paper%20490_tcm46-335348.pdf" TargetMode="External"/><Relationship Id="rId129" Type="http://schemas.openxmlformats.org/officeDocument/2006/relationships/hyperlink" Target="https://ec.europa.eu/info/file/46858/download_en?token=bzfLtsnI" TargetMode="External"/><Relationship Id="rId137" Type="http://schemas.openxmlformats.org/officeDocument/2006/relationships/header" Target="header13.xml"/><Relationship Id="rId20" Type="http://schemas.openxmlformats.org/officeDocument/2006/relationships/chart" Target="charts/chart2.xml"/><Relationship Id="rId41" Type="http://schemas.openxmlformats.org/officeDocument/2006/relationships/header" Target="header9.xml"/><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image" Target="media/image8.png"/><Relationship Id="rId75" Type="http://schemas.openxmlformats.org/officeDocument/2006/relationships/image" Target="media/image12.png"/><Relationship Id="rId83" Type="http://schemas.openxmlformats.org/officeDocument/2006/relationships/chart" Target="charts/chart36.xml"/><Relationship Id="rId88" Type="http://schemas.openxmlformats.org/officeDocument/2006/relationships/diagramQuickStyle" Target="diagrams/quickStyle1.xml"/><Relationship Id="rId91" Type="http://schemas.openxmlformats.org/officeDocument/2006/relationships/image" Target="media/image14.png"/><Relationship Id="rId96" Type="http://schemas.openxmlformats.org/officeDocument/2006/relationships/hyperlink" Target="https://www.afme.eu/globalassets/downloads/publications/afme-highgrowth-2017.pdf" TargetMode="External"/><Relationship Id="rId111" Type="http://schemas.openxmlformats.org/officeDocument/2006/relationships/hyperlink" Target="http://ec.europa.eu/economy_finance/graphs/2015-05-12_ageing_report_en.htm" TargetMode="External"/><Relationship Id="rId132" Type="http://schemas.openxmlformats.org/officeDocument/2006/relationships/hyperlink" Target="https://media.morningstar.com/uk%5CMEDIA%5CManager_Research%5CActiveShareinEuropeanEquityFunds.pdf" TargetMode="External"/><Relationship Id="rId14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chart" Target="charts/chart17.xml"/><Relationship Id="rId106" Type="http://schemas.openxmlformats.org/officeDocument/2006/relationships/hyperlink" Target="https://www.oecd.org/cfe/smes/SME-Scoreboard-2016-Highlights.pdf" TargetMode="External"/><Relationship Id="rId114" Type="http://schemas.openxmlformats.org/officeDocument/2006/relationships/hyperlink" Target="http://www.mckinsey.com/~/media/mckinsey/industries/private%20equity%20and%20principal%20investors/our%20insights/how%20leading%20institutions%20are%20changing%20the%20rules%20on%20portfolio%20construction/from%20big%20to%20great%20the%20worlds%20leading%20institutional%20investors%20forge%20ahead.ashx" TargetMode="External"/><Relationship Id="rId119" Type="http://schemas.openxmlformats.org/officeDocument/2006/relationships/hyperlink" Target="http://www.oecd.org/daf/oecd-business-and-finance-outlook-2016-9789264257573-en.htm" TargetMode="External"/><Relationship Id="rId127" Type="http://schemas.openxmlformats.org/officeDocument/2006/relationships/hyperlink" Target="https://www.efama.org/Publications/Public/AIFMD/EFAMA_response_cross-border_CP.pdf" TargetMode="External"/><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header" Target="header10.xml"/><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chart" Target="charts/chart24.xml"/><Relationship Id="rId73" Type="http://schemas.openxmlformats.org/officeDocument/2006/relationships/image" Target="media/image10.png"/><Relationship Id="rId78" Type="http://schemas.openxmlformats.org/officeDocument/2006/relationships/chart" Target="charts/chart31.xml"/><Relationship Id="rId81" Type="http://schemas.openxmlformats.org/officeDocument/2006/relationships/chart" Target="charts/chart34.xml"/><Relationship Id="rId86" Type="http://schemas.openxmlformats.org/officeDocument/2006/relationships/diagramData" Target="diagrams/data1.xml"/><Relationship Id="rId94" Type="http://schemas.openxmlformats.org/officeDocument/2006/relationships/hyperlink" Target="http://ec.europa.eu/priorities/economic-monetaryunion/docs/5-presidents-report_en.pdf" TargetMode="External"/><Relationship Id="rId99" Type="http://schemas.openxmlformats.org/officeDocument/2006/relationships/hyperlink" Target="http://www.businessangelseurope.com/Knowledge%20Centre/Research%20%20Data/BAE,%20The%20European%20Business%20Angel%20Market.pdf" TargetMode="External"/><Relationship Id="rId101" Type="http://schemas.openxmlformats.org/officeDocument/2006/relationships/hyperlink" Target="https://www.ecb.europa.eu/pub/pdf/other/accesstofinancesmallmediumsizedenterprises201611.en.pdf?862f53698b8f84e198d67572453c4465" TargetMode="External"/><Relationship Id="rId122" Type="http://schemas.openxmlformats.org/officeDocument/2006/relationships/hyperlink" Target="http://ppp.worldbank.org/public-private-partnership/overview/ppp-objectives" TargetMode="External"/><Relationship Id="rId130" Type="http://schemas.openxmlformats.org/officeDocument/2006/relationships/hyperlink" Target="https://www.finanstilsynet.dk/da/Nyheder-og-Presse/Pressemeddelelser/Arkiv/Presse-2014/Markedsudvikling-investeringsforeninger-2013" TargetMode="External"/><Relationship Id="rId135" Type="http://schemas.openxmlformats.org/officeDocument/2006/relationships/hyperlink" Target="https://www.bcgperspectives.com/content/articles/financial_institutions_sales_channels_distribution_2020/?chapter=2"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hyperlink" Target="https://assets.kpmg.com/content/dam/kpmg/xx/pdf/2016/09/sustaining-momentum.pdf" TargetMode="External"/><Relationship Id="rId34" Type="http://schemas.openxmlformats.org/officeDocument/2006/relationships/footer" Target="footer5.xml"/><Relationship Id="rId50" Type="http://schemas.openxmlformats.org/officeDocument/2006/relationships/image" Target="media/image5.png"/><Relationship Id="rId55" Type="http://schemas.openxmlformats.org/officeDocument/2006/relationships/chart" Target="charts/chart15.xml"/><Relationship Id="rId76" Type="http://schemas.openxmlformats.org/officeDocument/2006/relationships/chart" Target="charts/chart29.xml"/><Relationship Id="rId97" Type="http://schemas.openxmlformats.org/officeDocument/2006/relationships/hyperlink" Target="http://british-business-bank.co.uk/wp-content/uploads/2016/02/British-Business-Bank-Small-Business-Finance-Markets-Report-2015-16.pdf" TargetMode="External"/><Relationship Id="rId104" Type="http://schemas.openxmlformats.org/officeDocument/2006/relationships/hyperlink" Target="http://www.investeurope.eu/research/" TargetMode="External"/><Relationship Id="rId120" Type="http://schemas.openxmlformats.org/officeDocument/2006/relationships/hyperlink" Target="http://www.oecd.org/daf/oecd-business-and-finance-outlook-2016-9789264257573-en.htm" TargetMode="External"/><Relationship Id="rId125" Type="http://schemas.openxmlformats.org/officeDocument/2006/relationships/hyperlink" Target="http://www.edelman.com/insights/intellectual-property/2016-edelman-trust-barometer/" TargetMode="External"/><Relationship Id="rId141" Type="http://schemas.openxmlformats.org/officeDocument/2006/relationships/header" Target="header15.xml"/><Relationship Id="rId146"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image" Target="media/image9.png"/><Relationship Id="rId92"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footer" Target="footer8.xml"/><Relationship Id="rId45" Type="http://schemas.openxmlformats.org/officeDocument/2006/relationships/header" Target="header11.xml"/><Relationship Id="rId66" Type="http://schemas.openxmlformats.org/officeDocument/2006/relationships/chart" Target="charts/chart25.xml"/><Relationship Id="rId87" Type="http://schemas.openxmlformats.org/officeDocument/2006/relationships/diagramLayout" Target="diagrams/layout1.xml"/><Relationship Id="rId110" Type="http://schemas.openxmlformats.org/officeDocument/2006/relationships/hyperlink" Target="https://www.eba.europa.eu/documents/10180/1699643/EBA+Report+on+Covered+Bonds+(EBA-Op-2016-23).pdf" TargetMode="External"/><Relationship Id="rId115" Type="http://schemas.openxmlformats.org/officeDocument/2006/relationships/hyperlink" Target="http://www.mckinsey.com/industries/private-equity-and-principal-investors/our-insights/from-big-to-great-the-worlds-leading-institutional-investors-forge-ahead" TargetMode="External"/><Relationship Id="rId131" Type="http://schemas.openxmlformats.org/officeDocument/2006/relationships/hyperlink" Target="https://www.insuranceeurope.eu/sites/default/files/attachments/European%20motor%20insurance%20markets.pdf" TargetMode="External"/><Relationship Id="rId136" Type="http://schemas.openxmlformats.org/officeDocument/2006/relationships/hyperlink" Target="https://www.bcgperspectives.com/content/articles/financial_institutions_sales_channels_distribution_2020/?chapter=2" TargetMode="External"/><Relationship Id="rId61" Type="http://schemas.openxmlformats.org/officeDocument/2006/relationships/chart" Target="charts/chart21.xml"/><Relationship Id="rId82" Type="http://schemas.openxmlformats.org/officeDocument/2006/relationships/chart" Target="charts/chart35.xml"/><Relationship Id="rId19" Type="http://schemas.openxmlformats.org/officeDocument/2006/relationships/chart" Target="charts/chart1.xml"/><Relationship Id="rId14" Type="http://schemas.openxmlformats.org/officeDocument/2006/relationships/header" Target="header2.xml"/><Relationship Id="rId30" Type="http://schemas.openxmlformats.org/officeDocument/2006/relationships/chart" Target="charts/chart10.xml"/><Relationship Id="rId35" Type="http://schemas.openxmlformats.org/officeDocument/2006/relationships/header" Target="header6.xml"/><Relationship Id="rId56" Type="http://schemas.openxmlformats.org/officeDocument/2006/relationships/chart" Target="charts/chart16.xml"/><Relationship Id="rId77" Type="http://schemas.openxmlformats.org/officeDocument/2006/relationships/chart" Target="charts/chart30.xml"/><Relationship Id="rId100" Type="http://schemas.openxmlformats.org/officeDocument/2006/relationships/hyperlink" Target="http://www.eban.org/wp-content/uploads/2016/06/Early-Stage-Market-Statistics-2015.pdf" TargetMode="External"/><Relationship Id="rId105" Type="http://schemas.openxmlformats.org/officeDocument/2006/relationships/hyperlink" Target="https://assets.kpmg.com/content/dam/kpmg/xx/pdf/2017/01/venture-pulse-q4-2016-report.pdf" TargetMode="External"/><Relationship Id="rId126" Type="http://schemas.openxmlformats.org/officeDocument/2006/relationships/hyperlink" Target="https://www.evz.de/fileadmin/user_upload/eu-verbraucher/PDF/Berichte/Resume_final_EN.pdf" TargetMode="External"/><Relationship Id="rId8" Type="http://schemas.openxmlformats.org/officeDocument/2006/relationships/settings" Target="settings.xml"/><Relationship Id="rId51" Type="http://schemas.openxmlformats.org/officeDocument/2006/relationships/chart" Target="charts/chart11.xml"/><Relationship Id="rId72" Type="http://schemas.openxmlformats.org/officeDocument/2006/relationships/chart" Target="charts/chart28.xml"/><Relationship Id="rId93" Type="http://schemas.openxmlformats.org/officeDocument/2006/relationships/image" Target="media/image16.png"/><Relationship Id="rId98" Type="http://schemas.openxmlformats.org/officeDocument/2006/relationships/hyperlink" Target="http://british-business-bank.co.uk/wp-content/uploads/2017/02/BBB-SBFM-REPORT-2016-17-web.pdf" TargetMode="External"/><Relationship Id="rId121" Type="http://schemas.openxmlformats.org/officeDocument/2006/relationships/hyperlink" Target="https://www.pwc.lu/en/asset-management/docs/pwc-european-institutional-investors.pdf" TargetMode="External"/><Relationship Id="rId142" Type="http://schemas.openxmlformats.org/officeDocument/2006/relationships/footer" Target="footer1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aliadi\AppData\Local\Microsoft\Windows\Temporary%20Internet%20Files\Content.Outlook\H3X8GL9V\CMU%20graphs%20for%20Ch1%20(2).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2\graphs%20chapter%202%2020170418.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ampege\AppData\Local\Microsoft\Windows\Temporary%20Internet%20Files\Content.Outlook\CBAYM0GX\NFC%20liabilities%20consolidated%20for%20each%20MS%20(3).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campege\AppData\Local\Microsoft\Windows\Temporary%20Internet%20Files\Content.Outlook\CBAYM0GX\NFC%20liabilities%20consolidated%20for%20each%20MS%20(3).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et1.cec.eu.int\FISMA\B\B2\CMU%202017_acces%20to%20finance\IPOs%20analysis%20-%20cleared%20from%20double%20counting.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et1.cec.eu.int\FISMA\B\B2\CMU%202017_acces%20to%20finance\IPOs%20analysis%20-%20cleared%20from%20double%20counting%20V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et1.cec.eu.int\FISMA\B\B2\CMU%202017_acces%20to%20finance\IPOs%20analysis%20-%20cleared%20from%20double%20counting.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net1.cec.eu.int\FISMA\B\B2\CMU%202017_acces%20to%20finance\Corporate%20bonds%20issuance%20analysis.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et1.cec.eu.int\FISMA\B\B2\CMU%202017_acces%20to%20finance\Corporate%20bonds%20issuance%20analysis.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CMU\Dealogic%20-%20with%20CHARTS%20-%20EU%20inbound%20-%20linked%20-%20updated%2010%20march%2020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grochan\Desktop\afme-stn-securitisation-data-excel-4q-2016.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grochan\Desktop\europe-securitisation-afme-sifma.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valiadi\AppData\Local\Microsoft\Windows\Temporary%20Internet%20Files\Content.Outlook\H3X8GL9V\Covered%20bond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valiadi\AppData\Local\Microsoft\Windows\Temporary%20Internet%20Files\Content.Outlook\H3X8GL9V\Covered%20bond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4\graph%20chapter%204%202017042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4\graph%20chapter%204%202017042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net1.cec.eu.int\Homes\102\BAERLIE\My%20Documents\Economic%20analysis\chapter%204\graph%20chapter%204%2020170421.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Homes\102\BAERLIE\My%20Documents\Economic%20analysis\chapter%204\graph%20chapter%204%202017042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langemx\AppData\Local\Microsoft\Windows\Temporary%20Internet%20Files\Content.Outlook\322RV87N\Savings%20rat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aliadi\AppData\Local\Microsoft\Windows\Temporary%20Internet%20Files\Content.Outlook\H3X8GL9V\Figure%203%20-%20composition%20of%20HH%20assets%20(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aliadi\AppData\Local\Microsoft\Windows\Temporary%20Internet%20Files\Content.Outlook\H3X8GL9V\Figure%203%20-%20composition%20of%20HH%20assets%20(new).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valiadi\AppData\Local\Microsoft\Windows\Temporary%20Internet%20Files\Content.Outlook\H3X8GL9V\Figure%204%20-%20flow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Homes\102\VALIADI\My%20Documents\CMU\MTR\Chapters\Data\JRC\Diversification_FISMA_upd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Homes\102\VALIADI\My%20Documents\CMU\MTR\Chapters\Data\JRC\StocksEU.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Homes\102\VALIADI\My%20Documents\CMU\MTR\Chapters\Data\JRC\diversification_riskharing_all%20smp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Homes\102\VALIADI\My%20Documents\CMU\MTR\Chapters\Data\JRC\HomeBias_riskharing_all%20smp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36207546875497E-2"/>
          <c:y val="5.6207871757536103E-2"/>
          <c:w val="0.897939634099719"/>
          <c:h val="0.72829813240853902"/>
        </c:manualLayout>
      </c:layout>
      <c:lineChart>
        <c:grouping val="standard"/>
        <c:varyColors val="0"/>
        <c:ser>
          <c:idx val="0"/>
          <c:order val="0"/>
          <c:tx>
            <c:strRef>
              <c:f>'Output gap'!$B$39</c:f>
              <c:strCache>
                <c:ptCount val="1"/>
                <c:pt idx="0">
                  <c:v>EU 27</c:v>
                </c:pt>
              </c:strCache>
            </c:strRef>
          </c:tx>
          <c:spPr>
            <a:ln>
              <a:solidFill>
                <a:schemeClr val="tx1"/>
              </a:solidFill>
            </a:ln>
          </c:spPr>
          <c:marker>
            <c:symbol val="none"/>
          </c:marker>
          <c:cat>
            <c:numRef>
              <c:f>'Output gap'!$D$7:$AA$7</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'Output gap'!$D$39:$AA$39</c:f>
              <c:numCache>
                <c:formatCode>General</c:formatCode>
                <c:ptCount val="24"/>
                <c:pt idx="0">
                  <c:v>-0.30962653710846599</c:v>
                </c:pt>
                <c:pt idx="1">
                  <c:v>-0.46519205937566099</c:v>
                </c:pt>
                <c:pt idx="2">
                  <c:v>-0.63397450539219602</c:v>
                </c:pt>
                <c:pt idx="3">
                  <c:v>-0.157878532303733</c:v>
                </c:pt>
                <c:pt idx="4">
                  <c:v>0.44575286535609199</c:v>
                </c:pt>
                <c:pt idx="5">
                  <c:v>1.842799857537516</c:v>
                </c:pt>
                <c:pt idx="6">
                  <c:v>1.6744730468421309</c:v>
                </c:pt>
                <c:pt idx="7">
                  <c:v>0.73459485332086605</c:v>
                </c:pt>
                <c:pt idx="8">
                  <c:v>-0.31200601920497001</c:v>
                </c:pt>
                <c:pt idx="9">
                  <c:v>0.226140117659169</c:v>
                </c:pt>
                <c:pt idx="10">
                  <c:v>0.20150170506022799</c:v>
                </c:pt>
                <c:pt idx="11">
                  <c:v>1.691063787843601</c:v>
                </c:pt>
                <c:pt idx="12">
                  <c:v>2.8633729005702331</c:v>
                </c:pt>
                <c:pt idx="13">
                  <c:v>1.895455509397677</c:v>
                </c:pt>
                <c:pt idx="14">
                  <c:v>-3.3092526217147218</c:v>
                </c:pt>
                <c:pt idx="15">
                  <c:v>-1.9846123372084039</c:v>
                </c:pt>
                <c:pt idx="16">
                  <c:v>-1.017509027724887</c:v>
                </c:pt>
                <c:pt idx="17">
                  <c:v>-2.1142857713059211</c:v>
                </c:pt>
                <c:pt idx="18">
                  <c:v>-2.7988228135206712</c:v>
                </c:pt>
                <c:pt idx="19">
                  <c:v>-2.3181712651739859</c:v>
                </c:pt>
                <c:pt idx="20">
                  <c:v>-1.476548881312177</c:v>
                </c:pt>
                <c:pt idx="21">
                  <c:v>-0.89748872347579101</c:v>
                </c:pt>
                <c:pt idx="22">
                  <c:v>-0.45412916241985501</c:v>
                </c:pt>
                <c:pt idx="23">
                  <c:v>3.3426806983227801E-2</c:v>
                </c:pt>
              </c:numCache>
            </c:numRef>
          </c:val>
          <c:smooth val="0"/>
        </c:ser>
        <c:ser>
          <c:idx val="1"/>
          <c:order val="1"/>
          <c:tx>
            <c:strRef>
              <c:f>'Output gap'!$B$40</c:f>
              <c:strCache>
                <c:ptCount val="1"/>
                <c:pt idx="0">
                  <c:v>EU 28</c:v>
                </c:pt>
              </c:strCache>
            </c:strRef>
          </c:tx>
          <c:spPr>
            <a:ln>
              <a:solidFill>
                <a:schemeClr val="bg1">
                  <a:lumMod val="85000"/>
                </a:schemeClr>
              </a:solidFill>
            </a:ln>
          </c:spPr>
          <c:marker>
            <c:symbol val="none"/>
          </c:marker>
          <c:cat>
            <c:numRef>
              <c:f>'Output gap'!$D$7:$AA$7</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'Output gap'!$D$40:$AA$40</c:f>
              <c:numCache>
                <c:formatCode>General</c:formatCode>
                <c:ptCount val="24"/>
                <c:pt idx="0">
                  <c:v>-0.29059560130942402</c:v>
                </c:pt>
                <c:pt idx="1">
                  <c:v>-0.42370636260766997</c:v>
                </c:pt>
                <c:pt idx="2">
                  <c:v>-0.48687465841936101</c:v>
                </c:pt>
                <c:pt idx="3">
                  <c:v>-5.6803204944019303E-2</c:v>
                </c:pt>
                <c:pt idx="4">
                  <c:v>0.46883227061206101</c:v>
                </c:pt>
                <c:pt idx="5">
                  <c:v>1.6967072401264329</c:v>
                </c:pt>
                <c:pt idx="6">
                  <c:v>1.4985066793350179</c:v>
                </c:pt>
                <c:pt idx="7">
                  <c:v>0.63399365221660497</c:v>
                </c:pt>
                <c:pt idx="8">
                  <c:v>-0.103404602894974</c:v>
                </c:pt>
                <c:pt idx="9">
                  <c:v>0.33362375543442002</c:v>
                </c:pt>
                <c:pt idx="10">
                  <c:v>0.40257533613195601</c:v>
                </c:pt>
                <c:pt idx="11">
                  <c:v>1.68997888782326</c:v>
                </c:pt>
                <c:pt idx="12">
                  <c:v>2.776896034742903</c:v>
                </c:pt>
                <c:pt idx="13">
                  <c:v>1.653671284146601</c:v>
                </c:pt>
                <c:pt idx="14">
                  <c:v>-3.5086603762277631</c:v>
                </c:pt>
                <c:pt idx="15">
                  <c:v>-2.2443080356515241</c:v>
                </c:pt>
                <c:pt idx="16">
                  <c:v>-1.3367709063047331</c:v>
                </c:pt>
                <c:pt idx="17">
                  <c:v>-2.2445659615120168</c:v>
                </c:pt>
                <c:pt idx="18">
                  <c:v>-2.7066555858299881</c:v>
                </c:pt>
                <c:pt idx="19">
                  <c:v>-2.0345200770991072</c:v>
                </c:pt>
                <c:pt idx="20">
                  <c:v>-1.1918869198181761</c:v>
                </c:pt>
                <c:pt idx="21">
                  <c:v>-0.65957693563126996</c:v>
                </c:pt>
                <c:pt idx="22">
                  <c:v>-0.29965414770034299</c:v>
                </c:pt>
                <c:pt idx="23">
                  <c:v>5.4657010319043201E-2</c:v>
                </c:pt>
              </c:numCache>
            </c:numRef>
          </c:val>
          <c:smooth val="0"/>
        </c:ser>
        <c:ser>
          <c:idx val="2"/>
          <c:order val="2"/>
          <c:tx>
            <c:strRef>
              <c:f>'Output gap'!$B$37</c:f>
              <c:strCache>
                <c:ptCount val="1"/>
                <c:pt idx="0">
                  <c:v>United States</c:v>
                </c:pt>
              </c:strCache>
            </c:strRef>
          </c:tx>
          <c:spPr>
            <a:ln>
              <a:solidFill>
                <a:schemeClr val="bg1">
                  <a:lumMod val="65000"/>
                </a:schemeClr>
              </a:solidFill>
            </a:ln>
          </c:spPr>
          <c:marker>
            <c:symbol val="none"/>
          </c:marker>
          <c:cat>
            <c:numRef>
              <c:f>'Output gap'!$D$7:$AA$7</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'Output gap'!$D$37:$AA$37</c:f>
              <c:numCache>
                <c:formatCode>General</c:formatCode>
                <c:ptCount val="24"/>
                <c:pt idx="0">
                  <c:v>-0.89349710000000004</c:v>
                </c:pt>
                <c:pt idx="1">
                  <c:v>-0.72340760000000004</c:v>
                </c:pt>
                <c:pt idx="2">
                  <c:v>-9.1291899999999995E-2</c:v>
                </c:pt>
                <c:pt idx="3">
                  <c:v>0.43745250000000002</c:v>
                </c:pt>
                <c:pt idx="4">
                  <c:v>1.3010903</c:v>
                </c:pt>
                <c:pt idx="5">
                  <c:v>1.7933199</c:v>
                </c:pt>
                <c:pt idx="6">
                  <c:v>-0.26323479999999999</c:v>
                </c:pt>
                <c:pt idx="7">
                  <c:v>-1.0639471</c:v>
                </c:pt>
                <c:pt idx="8">
                  <c:v>-0.71041469999999995</c:v>
                </c:pt>
                <c:pt idx="9">
                  <c:v>0.53345629999999999</c:v>
                </c:pt>
                <c:pt idx="10">
                  <c:v>1.3960527</c:v>
                </c:pt>
                <c:pt idx="11">
                  <c:v>1.8091185000000001</c:v>
                </c:pt>
                <c:pt idx="12">
                  <c:v>1.7465549</c:v>
                </c:pt>
                <c:pt idx="13">
                  <c:v>6.2868999999999994E-2</c:v>
                </c:pt>
                <c:pt idx="14">
                  <c:v>-3.502875099999998</c:v>
                </c:pt>
                <c:pt idx="15">
                  <c:v>-1.9459006000000001</c:v>
                </c:pt>
                <c:pt idx="16">
                  <c:v>-1.4528496</c:v>
                </c:pt>
                <c:pt idx="17">
                  <c:v>-0.67113820000000002</c:v>
                </c:pt>
                <c:pt idx="18">
                  <c:v>-0.60246619999999995</c:v>
                </c:pt>
                <c:pt idx="19">
                  <c:v>-0.1058574</c:v>
                </c:pt>
                <c:pt idx="20">
                  <c:v>0.619336</c:v>
                </c:pt>
                <c:pt idx="21">
                  <c:v>0.14465800000000001</c:v>
                </c:pt>
                <c:pt idx="22">
                  <c:v>0.27403260000000002</c:v>
                </c:pt>
                <c:pt idx="23">
                  <c:v>0.35500150000000003</c:v>
                </c:pt>
              </c:numCache>
            </c:numRef>
          </c:val>
          <c:smooth val="0"/>
        </c:ser>
        <c:dLbls>
          <c:showLegendKey val="0"/>
          <c:showVal val="0"/>
          <c:showCatName val="0"/>
          <c:showSerName val="0"/>
          <c:showPercent val="0"/>
          <c:showBubbleSize val="0"/>
        </c:dLbls>
        <c:marker val="1"/>
        <c:smooth val="0"/>
        <c:axId val="87905408"/>
        <c:axId val="87918848"/>
      </c:lineChart>
      <c:catAx>
        <c:axId val="87905408"/>
        <c:scaling>
          <c:orientation val="minMax"/>
        </c:scaling>
        <c:delete val="0"/>
        <c:axPos val="b"/>
        <c:numFmt formatCode="General" sourceLinked="1"/>
        <c:majorTickMark val="cross"/>
        <c:minorTickMark val="none"/>
        <c:tickLblPos val="low"/>
        <c:crossAx val="87918848"/>
        <c:crosses val="autoZero"/>
        <c:auto val="1"/>
        <c:lblAlgn val="ctr"/>
        <c:lblOffset val="100"/>
        <c:tickMarkSkip val="1"/>
        <c:noMultiLvlLbl val="0"/>
      </c:catAx>
      <c:valAx>
        <c:axId val="87918848"/>
        <c:scaling>
          <c:orientation val="minMax"/>
        </c:scaling>
        <c:delete val="0"/>
        <c:axPos val="l"/>
        <c:majorGridlines/>
        <c:numFmt formatCode="#,##0" sourceLinked="0"/>
        <c:majorTickMark val="none"/>
        <c:minorTickMark val="none"/>
        <c:tickLblPos val="nextTo"/>
        <c:spPr>
          <a:ln w="9525">
            <a:noFill/>
          </a:ln>
        </c:spPr>
        <c:crossAx val="87905408"/>
        <c:crosses val="autoZero"/>
        <c:crossBetween val="between"/>
      </c:valAx>
    </c:plotArea>
    <c:legend>
      <c:legendPos val="b"/>
      <c:layout>
        <c:manualLayout>
          <c:xMode val="edge"/>
          <c:yMode val="edge"/>
          <c:x val="0.200398431845906"/>
          <c:y val="0.93799094156551699"/>
          <c:w val="0.62807805912092995"/>
          <c:h val="6.2009007519530798E-2"/>
        </c:manualLayout>
      </c:layout>
      <c:overlay val="0"/>
    </c:legend>
    <c:plotVisOnly val="1"/>
    <c:dispBlanksAs val="gap"/>
    <c:showDLblsOverMax val="0"/>
  </c:chart>
  <c:spPr>
    <a:noFill/>
    <a:ln>
      <a:noFill/>
    </a:ln>
  </c:spPr>
  <c:txPr>
    <a:bodyPr/>
    <a:lstStyle/>
    <a:p>
      <a:pPr>
        <a:defRPr sz="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Data!$AG$25</c:f>
              <c:strCache>
                <c:ptCount val="1"/>
                <c:pt idx="0">
                  <c:v>Bank loans</c:v>
                </c:pt>
              </c:strCache>
            </c:strRef>
          </c:tx>
          <c:spPr>
            <a:ln>
              <a:solidFill>
                <a:schemeClr val="tx1"/>
              </a:solidFill>
            </a:ln>
          </c:spPr>
          <c:marker>
            <c:symbol val="none"/>
          </c:marker>
          <c:cat>
            <c:strRef>
              <c:f>Data!$A$26:$A$99</c:f>
              <c:strCache>
                <c:ptCount val="74"/>
                <c:pt idx="0">
                  <c:v>1999</c:v>
                </c:pt>
                <c:pt idx="1">
                  <c:v>1999</c:v>
                </c:pt>
                <c:pt idx="2">
                  <c:v>1999</c:v>
                </c:pt>
                <c:pt idx="3">
                  <c:v>1999</c:v>
                </c:pt>
                <c:pt idx="4">
                  <c:v>2000</c:v>
                </c:pt>
                <c:pt idx="5">
                  <c:v>2000</c:v>
                </c:pt>
                <c:pt idx="6">
                  <c:v>2000</c:v>
                </c:pt>
                <c:pt idx="7">
                  <c:v>2000</c:v>
                </c:pt>
                <c:pt idx="8">
                  <c:v>2001</c:v>
                </c:pt>
                <c:pt idx="9">
                  <c:v>2001</c:v>
                </c:pt>
                <c:pt idx="10">
                  <c:v>2001</c:v>
                </c:pt>
                <c:pt idx="11">
                  <c:v>2001</c:v>
                </c:pt>
                <c:pt idx="12">
                  <c:v>2002</c:v>
                </c:pt>
                <c:pt idx="13">
                  <c:v>2002</c:v>
                </c:pt>
                <c:pt idx="14">
                  <c:v>2002</c:v>
                </c:pt>
                <c:pt idx="15">
                  <c:v>2002</c:v>
                </c:pt>
                <c:pt idx="16">
                  <c:v>2003</c:v>
                </c:pt>
                <c:pt idx="17">
                  <c:v>2003</c:v>
                </c:pt>
                <c:pt idx="18">
                  <c:v>2003</c:v>
                </c:pt>
                <c:pt idx="19">
                  <c:v>2003</c:v>
                </c:pt>
                <c:pt idx="20">
                  <c:v>2004</c:v>
                </c:pt>
                <c:pt idx="21">
                  <c:v>2004</c:v>
                </c:pt>
                <c:pt idx="22">
                  <c:v>2004</c:v>
                </c:pt>
                <c:pt idx="23">
                  <c:v>2004</c:v>
                </c:pt>
                <c:pt idx="24">
                  <c:v>2005</c:v>
                </c:pt>
                <c:pt idx="25">
                  <c:v>2005</c:v>
                </c:pt>
                <c:pt idx="26">
                  <c:v>2005</c:v>
                </c:pt>
                <c:pt idx="27">
                  <c:v>2005</c:v>
                </c:pt>
                <c:pt idx="28">
                  <c:v>2006</c:v>
                </c:pt>
                <c:pt idx="29">
                  <c:v>2006</c:v>
                </c:pt>
                <c:pt idx="30">
                  <c:v>2006</c:v>
                </c:pt>
                <c:pt idx="31">
                  <c:v>2006</c:v>
                </c:pt>
                <c:pt idx="32">
                  <c:v>2007</c:v>
                </c:pt>
                <c:pt idx="33">
                  <c:v>2007</c:v>
                </c:pt>
                <c:pt idx="34">
                  <c:v>2007</c:v>
                </c:pt>
                <c:pt idx="35">
                  <c:v>2007</c:v>
                </c:pt>
                <c:pt idx="36">
                  <c:v>2008</c:v>
                </c:pt>
                <c:pt idx="37">
                  <c:v>2008</c:v>
                </c:pt>
                <c:pt idx="38">
                  <c:v>2008</c:v>
                </c:pt>
                <c:pt idx="39">
                  <c:v>2008</c:v>
                </c:pt>
                <c:pt idx="40">
                  <c:v>2009</c:v>
                </c:pt>
                <c:pt idx="41">
                  <c:v>2009</c:v>
                </c:pt>
                <c:pt idx="42">
                  <c:v>2009</c:v>
                </c:pt>
                <c:pt idx="43">
                  <c:v>2009</c:v>
                </c:pt>
                <c:pt idx="44">
                  <c:v>2010</c:v>
                </c:pt>
                <c:pt idx="45">
                  <c:v>2010</c:v>
                </c:pt>
                <c:pt idx="46">
                  <c:v>2010</c:v>
                </c:pt>
                <c:pt idx="47">
                  <c:v>2010</c:v>
                </c:pt>
                <c:pt idx="48">
                  <c:v>2011</c:v>
                </c:pt>
                <c:pt idx="49">
                  <c:v>2011</c:v>
                </c:pt>
                <c:pt idx="50">
                  <c:v>2011</c:v>
                </c:pt>
                <c:pt idx="51">
                  <c:v>2011</c:v>
                </c:pt>
                <c:pt idx="52">
                  <c:v>2012</c:v>
                </c:pt>
                <c:pt idx="53">
                  <c:v>2012</c:v>
                </c:pt>
                <c:pt idx="54">
                  <c:v>2012</c:v>
                </c:pt>
                <c:pt idx="55">
                  <c:v>2012</c:v>
                </c:pt>
                <c:pt idx="56">
                  <c:v>2013</c:v>
                </c:pt>
                <c:pt idx="57">
                  <c:v>2013</c:v>
                </c:pt>
                <c:pt idx="58">
                  <c:v>2013</c:v>
                </c:pt>
                <c:pt idx="59">
                  <c:v>2013</c:v>
                </c:pt>
                <c:pt idx="60">
                  <c:v>2014</c:v>
                </c:pt>
                <c:pt idx="61">
                  <c:v>2014</c:v>
                </c:pt>
                <c:pt idx="62">
                  <c:v>2014</c:v>
                </c:pt>
                <c:pt idx="63">
                  <c:v>2014</c:v>
                </c:pt>
                <c:pt idx="64">
                  <c:v>2015</c:v>
                </c:pt>
                <c:pt idx="65">
                  <c:v>2015</c:v>
                </c:pt>
                <c:pt idx="66">
                  <c:v>2015</c:v>
                </c:pt>
                <c:pt idx="67">
                  <c:v>2015</c:v>
                </c:pt>
                <c:pt idx="68">
                  <c:v>2016</c:v>
                </c:pt>
                <c:pt idx="69">
                  <c:v>2016</c:v>
                </c:pt>
                <c:pt idx="70">
                  <c:v>2016</c:v>
                </c:pt>
                <c:pt idx="71">
                  <c:v>2016</c:v>
                </c:pt>
                <c:pt idx="72">
                  <c:v>2017</c:v>
                </c:pt>
                <c:pt idx="73">
                  <c:v>2017</c:v>
                </c:pt>
              </c:strCache>
            </c:strRef>
          </c:cat>
          <c:val>
            <c:numRef>
              <c:f>Data!$AG$26:$AG$99</c:f>
              <c:numCache>
                <c:formatCode>General</c:formatCode>
                <c:ptCount val="74"/>
                <c:pt idx="3" formatCode="#,##0.0">
                  <c:v>165.41399999999999</c:v>
                </c:pt>
                <c:pt idx="4" formatCode="#,##0.0">
                  <c:v>223.76499999999999</c:v>
                </c:pt>
                <c:pt idx="5" formatCode="#,##0.0">
                  <c:v>225.029</c:v>
                </c:pt>
                <c:pt idx="6" formatCode="#,##0.0">
                  <c:v>277.36299999999989</c:v>
                </c:pt>
                <c:pt idx="7" formatCode="#,##0.0">
                  <c:v>268.142</c:v>
                </c:pt>
                <c:pt idx="8" formatCode="#,##0.0">
                  <c:v>255.37799999999999</c:v>
                </c:pt>
                <c:pt idx="9" formatCode="#,##0.0">
                  <c:v>242.958</c:v>
                </c:pt>
                <c:pt idx="10" formatCode="#,##0.0">
                  <c:v>193.053</c:v>
                </c:pt>
                <c:pt idx="11" formatCode="#,##0.0">
                  <c:v>169.69300000000001</c:v>
                </c:pt>
                <c:pt idx="12" formatCode="#,##0.0">
                  <c:v>141.286</c:v>
                </c:pt>
                <c:pt idx="13" formatCode="#,##0.0">
                  <c:v>120.768</c:v>
                </c:pt>
                <c:pt idx="14" formatCode="#,##0.0">
                  <c:v>96.76</c:v>
                </c:pt>
                <c:pt idx="15" formatCode="#,##0.0">
                  <c:v>96.228000000000009</c:v>
                </c:pt>
                <c:pt idx="16" formatCode="#,##0.0">
                  <c:v>96.798000000000002</c:v>
                </c:pt>
                <c:pt idx="17" formatCode="#,##0.0">
                  <c:v>98.585000000000008</c:v>
                </c:pt>
                <c:pt idx="18" formatCode="#,##0.0">
                  <c:v>104.21299999999999</c:v>
                </c:pt>
                <c:pt idx="19" formatCode="#,##0.0">
                  <c:v>102.432</c:v>
                </c:pt>
                <c:pt idx="20" formatCode="#,##0.0">
                  <c:v>93.732000000000014</c:v>
                </c:pt>
                <c:pt idx="21" formatCode="#,##0.0">
                  <c:v>118.614</c:v>
                </c:pt>
                <c:pt idx="22" formatCode="#,##0.0">
                  <c:v>133.55600000000001</c:v>
                </c:pt>
                <c:pt idx="23" formatCode="#,##0.0">
                  <c:v>161.554</c:v>
                </c:pt>
                <c:pt idx="24" formatCode="#,##0.0">
                  <c:v>179.06899999999999</c:v>
                </c:pt>
                <c:pt idx="25" formatCode="#,##0.0">
                  <c:v>201.12299999999999</c:v>
                </c:pt>
                <c:pt idx="26" formatCode="#,##0.0">
                  <c:v>225.54</c:v>
                </c:pt>
                <c:pt idx="27" formatCode="#,##0.0">
                  <c:v>263.00599999999997</c:v>
                </c:pt>
                <c:pt idx="28" formatCode="#,##0.0">
                  <c:v>333.38400000000001</c:v>
                </c:pt>
                <c:pt idx="29" formatCode="#,##0.0">
                  <c:v>371.48299999999978</c:v>
                </c:pt>
                <c:pt idx="30" formatCode="#,##0.0">
                  <c:v>422.024</c:v>
                </c:pt>
                <c:pt idx="31" formatCode="#,##0.0">
                  <c:v>445.50200000000012</c:v>
                </c:pt>
                <c:pt idx="32" formatCode="#,##0.0">
                  <c:v>442.71100000000001</c:v>
                </c:pt>
                <c:pt idx="33" formatCode="#,##0.0">
                  <c:v>480.67399999999992</c:v>
                </c:pt>
                <c:pt idx="34" formatCode="#,##0.0">
                  <c:v>520.74800000000005</c:v>
                </c:pt>
                <c:pt idx="35" formatCode="#,##0.0">
                  <c:v>555.26800000000003</c:v>
                </c:pt>
                <c:pt idx="36" formatCode="#,##0.0">
                  <c:v>589.84099999999978</c:v>
                </c:pt>
                <c:pt idx="37" formatCode="#,##0.0">
                  <c:v>561.78</c:v>
                </c:pt>
                <c:pt idx="38" formatCode="#,##0.0">
                  <c:v>512.58100000000002</c:v>
                </c:pt>
                <c:pt idx="39" formatCode="#,##0.0">
                  <c:v>418.68</c:v>
                </c:pt>
                <c:pt idx="40" formatCode="#,##0.0">
                  <c:v>278.49200000000002</c:v>
                </c:pt>
                <c:pt idx="41" formatCode="#,##0.0">
                  <c:v>126.14100000000001</c:v>
                </c:pt>
                <c:pt idx="42" formatCode="#,##0.0">
                  <c:v>-9.4779999999999962</c:v>
                </c:pt>
                <c:pt idx="43" formatCode="#,##0.0">
                  <c:v>-106.377</c:v>
                </c:pt>
                <c:pt idx="44" formatCode="#,##0.0">
                  <c:v>-114.372</c:v>
                </c:pt>
                <c:pt idx="45" formatCode="#,##0.0">
                  <c:v>-82.393000000000001</c:v>
                </c:pt>
                <c:pt idx="46" formatCode="#,##0.0">
                  <c:v>-26.733000000000001</c:v>
                </c:pt>
                <c:pt idx="47" formatCode="#,##0.0">
                  <c:v>-1.579999999999999</c:v>
                </c:pt>
                <c:pt idx="48" formatCode="#,##0.0">
                  <c:v>43.952000000000012</c:v>
                </c:pt>
                <c:pt idx="49" formatCode="#,##0.0">
                  <c:v>75.977000000000004</c:v>
                </c:pt>
                <c:pt idx="50" formatCode="#,##0.0">
                  <c:v>81.611999999999995</c:v>
                </c:pt>
                <c:pt idx="51" formatCode="#,##0.0">
                  <c:v>56.60599999999998</c:v>
                </c:pt>
                <c:pt idx="52" formatCode="#,##0.0">
                  <c:v>12.227</c:v>
                </c:pt>
                <c:pt idx="53" formatCode="#,##0.0">
                  <c:v>-30.214000000000009</c:v>
                </c:pt>
                <c:pt idx="54" formatCode="#,##0.0">
                  <c:v>-71.650000000000006</c:v>
                </c:pt>
                <c:pt idx="55" formatCode="#,##0.0">
                  <c:v>-108.639</c:v>
                </c:pt>
                <c:pt idx="56" formatCode="#,##0.0">
                  <c:v>-115.23099999999999</c:v>
                </c:pt>
                <c:pt idx="57" formatCode="#,##0.0">
                  <c:v>-157.47499999999999</c:v>
                </c:pt>
                <c:pt idx="58" formatCode="#,##0.0">
                  <c:v>-165.61500000000001</c:v>
                </c:pt>
                <c:pt idx="59" formatCode="#,##0.0">
                  <c:v>-133.13800000000001</c:v>
                </c:pt>
                <c:pt idx="60" formatCode="#,##0.0">
                  <c:v>-137.221</c:v>
                </c:pt>
                <c:pt idx="61" formatCode="#,##0.0">
                  <c:v>-102.82</c:v>
                </c:pt>
                <c:pt idx="62" formatCode="#,##0.0">
                  <c:v>-89.58</c:v>
                </c:pt>
                <c:pt idx="63" formatCode="#,##0.0">
                  <c:v>-61.287000000000013</c:v>
                </c:pt>
                <c:pt idx="64" formatCode="#,##0.0">
                  <c:v>-47.887</c:v>
                </c:pt>
                <c:pt idx="65" formatCode="#,##0.0">
                  <c:v>-29.047999999999991</c:v>
                </c:pt>
                <c:pt idx="66" formatCode="#,##0.0">
                  <c:v>-17.943999999999999</c:v>
                </c:pt>
                <c:pt idx="67" formatCode="#,##0.0">
                  <c:v>-15.714</c:v>
                </c:pt>
                <c:pt idx="68" formatCode="#,##0.0">
                  <c:v>35.999000000000002</c:v>
                </c:pt>
                <c:pt idx="69" formatCode="#,##0.0">
                  <c:v>56.344000000000001</c:v>
                </c:pt>
                <c:pt idx="70" formatCode="#,##0.0">
                  <c:v>62.054000000000002</c:v>
                </c:pt>
              </c:numCache>
            </c:numRef>
          </c:val>
          <c:smooth val="0"/>
        </c:ser>
        <c:ser>
          <c:idx val="1"/>
          <c:order val="1"/>
          <c:tx>
            <c:strRef>
              <c:f>Data!$AI$25</c:f>
              <c:strCache>
                <c:ptCount val="1"/>
                <c:pt idx="0">
                  <c:v>Bonds</c:v>
                </c:pt>
              </c:strCache>
            </c:strRef>
          </c:tx>
          <c:spPr>
            <a:ln>
              <a:solidFill>
                <a:schemeClr val="bg1">
                  <a:lumMod val="65000"/>
                </a:schemeClr>
              </a:solidFill>
            </a:ln>
          </c:spPr>
          <c:marker>
            <c:symbol val="none"/>
          </c:marker>
          <c:cat>
            <c:strRef>
              <c:f>Data!$A$26:$A$99</c:f>
              <c:strCache>
                <c:ptCount val="74"/>
                <c:pt idx="0">
                  <c:v>1999</c:v>
                </c:pt>
                <c:pt idx="1">
                  <c:v>1999</c:v>
                </c:pt>
                <c:pt idx="2">
                  <c:v>1999</c:v>
                </c:pt>
                <c:pt idx="3">
                  <c:v>1999</c:v>
                </c:pt>
                <c:pt idx="4">
                  <c:v>2000</c:v>
                </c:pt>
                <c:pt idx="5">
                  <c:v>2000</c:v>
                </c:pt>
                <c:pt idx="6">
                  <c:v>2000</c:v>
                </c:pt>
                <c:pt idx="7">
                  <c:v>2000</c:v>
                </c:pt>
                <c:pt idx="8">
                  <c:v>2001</c:v>
                </c:pt>
                <c:pt idx="9">
                  <c:v>2001</c:v>
                </c:pt>
                <c:pt idx="10">
                  <c:v>2001</c:v>
                </c:pt>
                <c:pt idx="11">
                  <c:v>2001</c:v>
                </c:pt>
                <c:pt idx="12">
                  <c:v>2002</c:v>
                </c:pt>
                <c:pt idx="13">
                  <c:v>2002</c:v>
                </c:pt>
                <c:pt idx="14">
                  <c:v>2002</c:v>
                </c:pt>
                <c:pt idx="15">
                  <c:v>2002</c:v>
                </c:pt>
                <c:pt idx="16">
                  <c:v>2003</c:v>
                </c:pt>
                <c:pt idx="17">
                  <c:v>2003</c:v>
                </c:pt>
                <c:pt idx="18">
                  <c:v>2003</c:v>
                </c:pt>
                <c:pt idx="19">
                  <c:v>2003</c:v>
                </c:pt>
                <c:pt idx="20">
                  <c:v>2004</c:v>
                </c:pt>
                <c:pt idx="21">
                  <c:v>2004</c:v>
                </c:pt>
                <c:pt idx="22">
                  <c:v>2004</c:v>
                </c:pt>
                <c:pt idx="23">
                  <c:v>2004</c:v>
                </c:pt>
                <c:pt idx="24">
                  <c:v>2005</c:v>
                </c:pt>
                <c:pt idx="25">
                  <c:v>2005</c:v>
                </c:pt>
                <c:pt idx="26">
                  <c:v>2005</c:v>
                </c:pt>
                <c:pt idx="27">
                  <c:v>2005</c:v>
                </c:pt>
                <c:pt idx="28">
                  <c:v>2006</c:v>
                </c:pt>
                <c:pt idx="29">
                  <c:v>2006</c:v>
                </c:pt>
                <c:pt idx="30">
                  <c:v>2006</c:v>
                </c:pt>
                <c:pt idx="31">
                  <c:v>2006</c:v>
                </c:pt>
                <c:pt idx="32">
                  <c:v>2007</c:v>
                </c:pt>
                <c:pt idx="33">
                  <c:v>2007</c:v>
                </c:pt>
                <c:pt idx="34">
                  <c:v>2007</c:v>
                </c:pt>
                <c:pt idx="35">
                  <c:v>2007</c:v>
                </c:pt>
                <c:pt idx="36">
                  <c:v>2008</c:v>
                </c:pt>
                <c:pt idx="37">
                  <c:v>2008</c:v>
                </c:pt>
                <c:pt idx="38">
                  <c:v>2008</c:v>
                </c:pt>
                <c:pt idx="39">
                  <c:v>2008</c:v>
                </c:pt>
                <c:pt idx="40">
                  <c:v>2009</c:v>
                </c:pt>
                <c:pt idx="41">
                  <c:v>2009</c:v>
                </c:pt>
                <c:pt idx="42">
                  <c:v>2009</c:v>
                </c:pt>
                <c:pt idx="43">
                  <c:v>2009</c:v>
                </c:pt>
                <c:pt idx="44">
                  <c:v>2010</c:v>
                </c:pt>
                <c:pt idx="45">
                  <c:v>2010</c:v>
                </c:pt>
                <c:pt idx="46">
                  <c:v>2010</c:v>
                </c:pt>
                <c:pt idx="47">
                  <c:v>2010</c:v>
                </c:pt>
                <c:pt idx="48">
                  <c:v>2011</c:v>
                </c:pt>
                <c:pt idx="49">
                  <c:v>2011</c:v>
                </c:pt>
                <c:pt idx="50">
                  <c:v>2011</c:v>
                </c:pt>
                <c:pt idx="51">
                  <c:v>2011</c:v>
                </c:pt>
                <c:pt idx="52">
                  <c:v>2012</c:v>
                </c:pt>
                <c:pt idx="53">
                  <c:v>2012</c:v>
                </c:pt>
                <c:pt idx="54">
                  <c:v>2012</c:v>
                </c:pt>
                <c:pt idx="55">
                  <c:v>2012</c:v>
                </c:pt>
                <c:pt idx="56">
                  <c:v>2013</c:v>
                </c:pt>
                <c:pt idx="57">
                  <c:v>2013</c:v>
                </c:pt>
                <c:pt idx="58">
                  <c:v>2013</c:v>
                </c:pt>
                <c:pt idx="59">
                  <c:v>2013</c:v>
                </c:pt>
                <c:pt idx="60">
                  <c:v>2014</c:v>
                </c:pt>
                <c:pt idx="61">
                  <c:v>2014</c:v>
                </c:pt>
                <c:pt idx="62">
                  <c:v>2014</c:v>
                </c:pt>
                <c:pt idx="63">
                  <c:v>2014</c:v>
                </c:pt>
                <c:pt idx="64">
                  <c:v>2015</c:v>
                </c:pt>
                <c:pt idx="65">
                  <c:v>2015</c:v>
                </c:pt>
                <c:pt idx="66">
                  <c:v>2015</c:v>
                </c:pt>
                <c:pt idx="67">
                  <c:v>2015</c:v>
                </c:pt>
                <c:pt idx="68">
                  <c:v>2016</c:v>
                </c:pt>
                <c:pt idx="69">
                  <c:v>2016</c:v>
                </c:pt>
                <c:pt idx="70">
                  <c:v>2016</c:v>
                </c:pt>
                <c:pt idx="71">
                  <c:v>2016</c:v>
                </c:pt>
                <c:pt idx="72">
                  <c:v>2017</c:v>
                </c:pt>
                <c:pt idx="73">
                  <c:v>2017</c:v>
                </c:pt>
              </c:strCache>
            </c:strRef>
          </c:cat>
          <c:val>
            <c:numRef>
              <c:f>Data!$AI$26:$AI$99</c:f>
              <c:numCache>
                <c:formatCode>General</c:formatCode>
                <c:ptCount val="74"/>
                <c:pt idx="3" formatCode="#,##0.0">
                  <c:v>50.225340000000003</c:v>
                </c:pt>
                <c:pt idx="4" formatCode="#,##0.0">
                  <c:v>36.573060000000012</c:v>
                </c:pt>
                <c:pt idx="5" formatCode="#,##0.0">
                  <c:v>49.42942</c:v>
                </c:pt>
                <c:pt idx="6" formatCode="#,##0.0">
                  <c:v>63.877479999999998</c:v>
                </c:pt>
                <c:pt idx="7" formatCode="#,##0.0">
                  <c:v>82.445459999999997</c:v>
                </c:pt>
                <c:pt idx="8" formatCode="#,##0.0">
                  <c:v>114.75375</c:v>
                </c:pt>
                <c:pt idx="9" formatCode="#,##0.0">
                  <c:v>115.19928</c:v>
                </c:pt>
                <c:pt idx="10" formatCode="#,##0.0">
                  <c:v>107.54994000000001</c:v>
                </c:pt>
                <c:pt idx="11" formatCode="#,##0.0">
                  <c:v>93.135929999999973</c:v>
                </c:pt>
                <c:pt idx="12" formatCode="#,##0.0">
                  <c:v>64.10069</c:v>
                </c:pt>
                <c:pt idx="13" formatCode="#,##0.0">
                  <c:v>40.479529999999997</c:v>
                </c:pt>
                <c:pt idx="14" formatCode="#,##0.0">
                  <c:v>28.68169</c:v>
                </c:pt>
                <c:pt idx="15" formatCode="#,##0.0">
                  <c:v>15.48203</c:v>
                </c:pt>
                <c:pt idx="16" formatCode="#,##0.0">
                  <c:v>40.02008</c:v>
                </c:pt>
                <c:pt idx="17" formatCode="#,##0.0">
                  <c:v>58.567190000000011</c:v>
                </c:pt>
                <c:pt idx="18" formatCode="#,##0.0">
                  <c:v>43.977310000000003</c:v>
                </c:pt>
                <c:pt idx="19" formatCode="#,##0.0">
                  <c:v>53.578780000000002</c:v>
                </c:pt>
                <c:pt idx="20" formatCode="#,##0.0">
                  <c:v>18.341239999999999</c:v>
                </c:pt>
                <c:pt idx="21" formatCode="#,##0.0">
                  <c:v>18.70820999999998</c:v>
                </c:pt>
                <c:pt idx="22" formatCode="#,##0.0">
                  <c:v>27.096289999999989</c:v>
                </c:pt>
                <c:pt idx="23" formatCode="#,##0.0">
                  <c:v>9.8418600000000005</c:v>
                </c:pt>
                <c:pt idx="24" formatCode="#,##0.0">
                  <c:v>25.006109999999989</c:v>
                </c:pt>
                <c:pt idx="25" formatCode="#,##0.0">
                  <c:v>12.614100000000001</c:v>
                </c:pt>
                <c:pt idx="26" formatCode="#,##0.0">
                  <c:v>9.8366200000000035</c:v>
                </c:pt>
                <c:pt idx="27" formatCode="#,##0.0">
                  <c:v>10.086209999999999</c:v>
                </c:pt>
                <c:pt idx="28" formatCode="#,##0.0">
                  <c:v>2.2461000000000002</c:v>
                </c:pt>
                <c:pt idx="29" formatCode="#,##0.0">
                  <c:v>19.63066000000001</c:v>
                </c:pt>
                <c:pt idx="30" formatCode="#,##0.0">
                  <c:v>16.798680000000001</c:v>
                </c:pt>
                <c:pt idx="31" formatCode="#,##0.0">
                  <c:v>27.11806000000001</c:v>
                </c:pt>
                <c:pt idx="32" formatCode="#,##0.0">
                  <c:v>34.918970000000002</c:v>
                </c:pt>
                <c:pt idx="33" formatCode="#,##0.0">
                  <c:v>44.529520000000012</c:v>
                </c:pt>
                <c:pt idx="34" formatCode="#,##0.0">
                  <c:v>37.797049999999999</c:v>
                </c:pt>
                <c:pt idx="35" formatCode="#,##0.0">
                  <c:v>37.390610000000002</c:v>
                </c:pt>
                <c:pt idx="36" formatCode="#,##0.0">
                  <c:v>35.038670000000003</c:v>
                </c:pt>
                <c:pt idx="37" formatCode="#,##0.0">
                  <c:v>12.458869999999999</c:v>
                </c:pt>
                <c:pt idx="38" formatCode="#,##0.0">
                  <c:v>36.28537</c:v>
                </c:pt>
                <c:pt idx="39" formatCode="#,##0.0">
                  <c:v>46.154520000000012</c:v>
                </c:pt>
                <c:pt idx="40" formatCode="#,##0.0">
                  <c:v>56.213610000000003</c:v>
                </c:pt>
                <c:pt idx="41" formatCode="#,##0.0">
                  <c:v>76.102419999999981</c:v>
                </c:pt>
                <c:pt idx="42" formatCode="#,##0.0">
                  <c:v>89.11421</c:v>
                </c:pt>
                <c:pt idx="43" formatCode="#,##0.0">
                  <c:v>89.564019999999999</c:v>
                </c:pt>
                <c:pt idx="44" formatCode="#,##0.0">
                  <c:v>103.60192000000001</c:v>
                </c:pt>
                <c:pt idx="45" formatCode="#,##0.0">
                  <c:v>88.106889999999979</c:v>
                </c:pt>
                <c:pt idx="46" formatCode="#,##0.0">
                  <c:v>71.934640000000002</c:v>
                </c:pt>
                <c:pt idx="47" formatCode="#,##0.0">
                  <c:v>68.873579999999976</c:v>
                </c:pt>
                <c:pt idx="48" formatCode="#,##0.0">
                  <c:v>45.555570000000003</c:v>
                </c:pt>
                <c:pt idx="49" formatCode="#,##0.0">
                  <c:v>36.708190000000002</c:v>
                </c:pt>
                <c:pt idx="50" formatCode="#,##0.0">
                  <c:v>44.238220000000013</c:v>
                </c:pt>
                <c:pt idx="51" formatCode="#,##0.0">
                  <c:v>47.415990000000001</c:v>
                </c:pt>
                <c:pt idx="52" formatCode="#,##0.0">
                  <c:v>72.744389999999996</c:v>
                </c:pt>
                <c:pt idx="53" formatCode="#,##0.0">
                  <c:v>92.289659999999998</c:v>
                </c:pt>
                <c:pt idx="54" formatCode="#,##0.0">
                  <c:v>108.41831000000001</c:v>
                </c:pt>
                <c:pt idx="55" formatCode="#,##0.0">
                  <c:v>116.63405</c:v>
                </c:pt>
                <c:pt idx="56" formatCode="#,##0.0">
                  <c:v>109.80813999999999</c:v>
                </c:pt>
                <c:pt idx="57" formatCode="#,##0.0">
                  <c:v>94.148989999999998</c:v>
                </c:pt>
                <c:pt idx="58" formatCode="#,##0.0">
                  <c:v>93.445880000000002</c:v>
                </c:pt>
                <c:pt idx="59" formatCode="#,##0.0">
                  <c:v>85.686859999999982</c:v>
                </c:pt>
                <c:pt idx="60" formatCode="#,##0.0">
                  <c:v>74.716980000000007</c:v>
                </c:pt>
                <c:pt idx="61" formatCode="#,##0.0">
                  <c:v>73.55307999999998</c:v>
                </c:pt>
                <c:pt idx="62" formatCode="#,##0.0">
                  <c:v>54.747079999999997</c:v>
                </c:pt>
                <c:pt idx="63" formatCode="#,##0.0">
                  <c:v>40.18459</c:v>
                </c:pt>
                <c:pt idx="64" formatCode="#,##0.0">
                  <c:v>47.994950000000003</c:v>
                </c:pt>
                <c:pt idx="65" formatCode="#,##0.0">
                  <c:v>43.931890000000003</c:v>
                </c:pt>
                <c:pt idx="66" formatCode="#,##0.0">
                  <c:v>45.319220000000001</c:v>
                </c:pt>
                <c:pt idx="67" formatCode="#,##0.0">
                  <c:v>56.63373</c:v>
                </c:pt>
                <c:pt idx="68" formatCode="#,##0.0">
                  <c:v>45.191330000000001</c:v>
                </c:pt>
                <c:pt idx="69" formatCode="#,##0.0">
                  <c:v>64.83605</c:v>
                </c:pt>
                <c:pt idx="70" formatCode="#,##0.0">
                  <c:v>72.314850000000007</c:v>
                </c:pt>
              </c:numCache>
            </c:numRef>
          </c:val>
          <c:smooth val="0"/>
        </c:ser>
        <c:ser>
          <c:idx val="2"/>
          <c:order val="2"/>
          <c:tx>
            <c:strRef>
              <c:f>Data!$AJ$25</c:f>
              <c:strCache>
                <c:ptCount val="1"/>
                <c:pt idx="0">
                  <c:v>Listed shares</c:v>
                </c:pt>
              </c:strCache>
            </c:strRef>
          </c:tx>
          <c:spPr>
            <a:ln>
              <a:solidFill>
                <a:schemeClr val="bg1">
                  <a:lumMod val="85000"/>
                </a:schemeClr>
              </a:solidFill>
            </a:ln>
          </c:spPr>
          <c:marker>
            <c:symbol val="none"/>
          </c:marker>
          <c:val>
            <c:numRef>
              <c:f>Data!$AJ$29:$AJ$96</c:f>
              <c:numCache>
                <c:formatCode>#,##0.0</c:formatCode>
                <c:ptCount val="68"/>
                <c:pt idx="0">
                  <c:v>145.97884999999999</c:v>
                </c:pt>
                <c:pt idx="1">
                  <c:v>171.38181</c:v>
                </c:pt>
                <c:pt idx="2">
                  <c:v>181.90611000000001</c:v>
                </c:pt>
                <c:pt idx="3">
                  <c:v>181.62710000000001</c:v>
                </c:pt>
                <c:pt idx="4">
                  <c:v>198.8236</c:v>
                </c:pt>
                <c:pt idx="5">
                  <c:v>177.51952</c:v>
                </c:pt>
                <c:pt idx="6">
                  <c:v>159.88391999999999</c:v>
                </c:pt>
                <c:pt idx="7">
                  <c:v>117.57491</c:v>
                </c:pt>
                <c:pt idx="8">
                  <c:v>60.782559999999997</c:v>
                </c:pt>
                <c:pt idx="9">
                  <c:v>52.69418000000001</c:v>
                </c:pt>
                <c:pt idx="10">
                  <c:v>27.28201</c:v>
                </c:pt>
                <c:pt idx="11">
                  <c:v>28.08688999999999</c:v>
                </c:pt>
                <c:pt idx="12">
                  <c:v>21.860379999999999</c:v>
                </c:pt>
                <c:pt idx="13">
                  <c:v>22.639060000000011</c:v>
                </c:pt>
                <c:pt idx="14">
                  <c:v>22.3277</c:v>
                </c:pt>
                <c:pt idx="15">
                  <c:v>21.086210000000001</c:v>
                </c:pt>
                <c:pt idx="16">
                  <c:v>17.78566</c:v>
                </c:pt>
                <c:pt idx="17">
                  <c:v>16.49877</c:v>
                </c:pt>
                <c:pt idx="18">
                  <c:v>7.3398200000000013</c:v>
                </c:pt>
                <c:pt idx="19">
                  <c:v>1.7693300000000001</c:v>
                </c:pt>
                <c:pt idx="20">
                  <c:v>3.612349999999998</c:v>
                </c:pt>
                <c:pt idx="21">
                  <c:v>19.256599999999999</c:v>
                </c:pt>
                <c:pt idx="22">
                  <c:v>16.801970000000001</c:v>
                </c:pt>
                <c:pt idx="23">
                  <c:v>96.812690000000003</c:v>
                </c:pt>
                <c:pt idx="24">
                  <c:v>121.00106</c:v>
                </c:pt>
                <c:pt idx="25">
                  <c:v>99.340620000000001</c:v>
                </c:pt>
                <c:pt idx="26">
                  <c:v>116.61758</c:v>
                </c:pt>
                <c:pt idx="27">
                  <c:v>39.952750000000002</c:v>
                </c:pt>
                <c:pt idx="28">
                  <c:v>32.241840000000003</c:v>
                </c:pt>
                <c:pt idx="29">
                  <c:v>57.830669999999998</c:v>
                </c:pt>
                <c:pt idx="30">
                  <c:v>72.773869999999974</c:v>
                </c:pt>
                <c:pt idx="31">
                  <c:v>83.997609999999995</c:v>
                </c:pt>
                <c:pt idx="32">
                  <c:v>69.606200000000001</c:v>
                </c:pt>
                <c:pt idx="33">
                  <c:v>53.038300000000007</c:v>
                </c:pt>
                <c:pt idx="34">
                  <c:v>24.25119999999999</c:v>
                </c:pt>
                <c:pt idx="35">
                  <c:v>7.7315800000000001</c:v>
                </c:pt>
                <c:pt idx="36">
                  <c:v>16.33539</c:v>
                </c:pt>
                <c:pt idx="37">
                  <c:v>19.700500000000002</c:v>
                </c:pt>
                <c:pt idx="38">
                  <c:v>51.295220000000008</c:v>
                </c:pt>
                <c:pt idx="39">
                  <c:v>64.236690000000024</c:v>
                </c:pt>
                <c:pt idx="40">
                  <c:v>65.206020000000024</c:v>
                </c:pt>
                <c:pt idx="41">
                  <c:v>65.34293000000001</c:v>
                </c:pt>
                <c:pt idx="42">
                  <c:v>46.136060000000001</c:v>
                </c:pt>
                <c:pt idx="43">
                  <c:v>38.31221</c:v>
                </c:pt>
                <c:pt idx="44">
                  <c:v>38.791789999999999</c:v>
                </c:pt>
                <c:pt idx="45">
                  <c:v>39.347669999999987</c:v>
                </c:pt>
                <c:pt idx="46">
                  <c:v>33.538890000000002</c:v>
                </c:pt>
                <c:pt idx="47">
                  <c:v>33.320060000000012</c:v>
                </c:pt>
                <c:pt idx="48">
                  <c:v>25.612290000000009</c:v>
                </c:pt>
                <c:pt idx="49">
                  <c:v>16.823450000000001</c:v>
                </c:pt>
                <c:pt idx="50">
                  <c:v>7.1368500000000008</c:v>
                </c:pt>
                <c:pt idx="51">
                  <c:v>13.760949999999999</c:v>
                </c:pt>
                <c:pt idx="52">
                  <c:v>26.208120000000001</c:v>
                </c:pt>
                <c:pt idx="53">
                  <c:v>35.045369999999998</c:v>
                </c:pt>
                <c:pt idx="54">
                  <c:v>52.631070000000001</c:v>
                </c:pt>
                <c:pt idx="55">
                  <c:v>52.022089999999999</c:v>
                </c:pt>
                <c:pt idx="56">
                  <c:v>27.942359999999979</c:v>
                </c:pt>
                <c:pt idx="57">
                  <c:v>21.567050000000009</c:v>
                </c:pt>
                <c:pt idx="58">
                  <c:v>23.553129999999999</c:v>
                </c:pt>
                <c:pt idx="59">
                  <c:v>27.648800000000001</c:v>
                </c:pt>
                <c:pt idx="60">
                  <c:v>27.91208000000001</c:v>
                </c:pt>
                <c:pt idx="61">
                  <c:v>58.526960000000003</c:v>
                </c:pt>
                <c:pt idx="62">
                  <c:v>63.806280000000001</c:v>
                </c:pt>
                <c:pt idx="63">
                  <c:v>49.427320000000009</c:v>
                </c:pt>
                <c:pt idx="64">
                  <c:v>72.542429999999996</c:v>
                </c:pt>
                <c:pt idx="65">
                  <c:v>54.208560000000013</c:v>
                </c:pt>
                <c:pt idx="66">
                  <c:v>45.272210000000001</c:v>
                </c:pt>
                <c:pt idx="67">
                  <c:v>52.16601</c:v>
                </c:pt>
              </c:numCache>
            </c:numRef>
          </c:val>
          <c:smooth val="0"/>
        </c:ser>
        <c:dLbls>
          <c:showLegendKey val="0"/>
          <c:showVal val="0"/>
          <c:showCatName val="0"/>
          <c:showSerName val="0"/>
          <c:showPercent val="0"/>
          <c:showBubbleSize val="0"/>
        </c:dLbls>
        <c:marker val="1"/>
        <c:smooth val="0"/>
        <c:axId val="205143424"/>
        <c:axId val="205173888"/>
      </c:lineChart>
      <c:catAx>
        <c:axId val="205143424"/>
        <c:scaling>
          <c:orientation val="minMax"/>
        </c:scaling>
        <c:delete val="0"/>
        <c:axPos val="b"/>
        <c:numFmt formatCode="yyyy" sourceLinked="0"/>
        <c:majorTickMark val="out"/>
        <c:minorTickMark val="none"/>
        <c:tickLblPos val="low"/>
        <c:txPr>
          <a:bodyPr rot="0" vert="horz"/>
          <a:lstStyle/>
          <a:p>
            <a:pPr>
              <a:defRPr/>
            </a:pPr>
            <a:endParaRPr lang="en-US"/>
          </a:p>
        </c:txPr>
        <c:crossAx val="205173888"/>
        <c:crosses val="autoZero"/>
        <c:auto val="1"/>
        <c:lblAlgn val="ctr"/>
        <c:lblOffset val="100"/>
        <c:tickLblSkip val="8"/>
        <c:tickMarkSkip val="4"/>
        <c:noMultiLvlLbl val="0"/>
      </c:catAx>
      <c:valAx>
        <c:axId val="205173888"/>
        <c:scaling>
          <c:orientation val="minMax"/>
          <c:max val="600"/>
          <c:min val="-200"/>
        </c:scaling>
        <c:delete val="0"/>
        <c:axPos val="l"/>
        <c:majorGridlines/>
        <c:numFmt formatCode="#,##0" sourceLinked="0"/>
        <c:majorTickMark val="none"/>
        <c:minorTickMark val="none"/>
        <c:tickLblPos val="nextTo"/>
        <c:spPr>
          <a:ln w="9525">
            <a:noFill/>
          </a:ln>
        </c:spPr>
        <c:txPr>
          <a:bodyPr rot="0" vert="horz"/>
          <a:lstStyle/>
          <a:p>
            <a:pPr>
              <a:defRPr/>
            </a:pPr>
            <a:endParaRPr lang="en-US"/>
          </a:p>
        </c:txPr>
        <c:crossAx val="205143424"/>
        <c:crosses val="autoZero"/>
        <c:crossBetween val="between"/>
      </c:valAx>
    </c:plotArea>
    <c:legend>
      <c:legendPos val="b"/>
      <c:layout/>
      <c:overlay val="0"/>
      <c:spPr>
        <a:solidFill>
          <a:schemeClr val="bg1"/>
        </a:solidFill>
      </c:spPr>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66553272558819E-2"/>
          <c:y val="5.2426969356103213E-2"/>
          <c:w val="0.90736325082335378"/>
          <c:h val="0.62519192911877586"/>
        </c:manualLayout>
      </c:layout>
      <c:barChart>
        <c:barDir val="col"/>
        <c:grouping val="clustered"/>
        <c:varyColors val="0"/>
        <c:ser>
          <c:idx val="0"/>
          <c:order val="0"/>
          <c:tx>
            <c:strRef>
              <c:f>'11'!$B$5</c:f>
              <c:strCache>
                <c:ptCount val="1"/>
                <c:pt idx="0">
                  <c:v>2015</c:v>
                </c:pt>
              </c:strCache>
            </c:strRef>
          </c:tx>
          <c:spPr>
            <a:solidFill>
              <a:schemeClr val="tx1"/>
            </a:solidFill>
          </c:spPr>
          <c:invertIfNegative val="0"/>
          <c:cat>
            <c:strRef>
              <c:f>'11'!$A$6:$A$36</c:f>
              <c:strCache>
                <c:ptCount val="31"/>
                <c:pt idx="0">
                  <c:v>United Kingdom</c:v>
                </c:pt>
                <c:pt idx="1">
                  <c:v>Spain</c:v>
                </c:pt>
                <c:pt idx="2">
                  <c:v>Germany</c:v>
                </c:pt>
                <c:pt idx="3">
                  <c:v>France</c:v>
                </c:pt>
                <c:pt idx="4">
                  <c:v>Finland</c:v>
                </c:pt>
                <c:pt idx="5">
                  <c:v>Turkey</c:v>
                </c:pt>
                <c:pt idx="6">
                  <c:v>Russia</c:v>
                </c:pt>
                <c:pt idx="7">
                  <c:v>Portugal</c:v>
                </c:pt>
                <c:pt idx="8">
                  <c:v>Denmark</c:v>
                </c:pt>
                <c:pt idx="9">
                  <c:v>Sweden</c:v>
                </c:pt>
                <c:pt idx="10">
                  <c:v>Austria</c:v>
                </c:pt>
                <c:pt idx="11">
                  <c:v>Switzerland</c:v>
                </c:pt>
                <c:pt idx="12">
                  <c:v>Ireland</c:v>
                </c:pt>
                <c:pt idx="13">
                  <c:v>Poland</c:v>
                </c:pt>
                <c:pt idx="14">
                  <c:v>Italy</c:v>
                </c:pt>
                <c:pt idx="15">
                  <c:v>Netherlands</c:v>
                </c:pt>
                <c:pt idx="16">
                  <c:v>Belgium</c:v>
                </c:pt>
                <c:pt idx="17">
                  <c:v>Estonia</c:v>
                </c:pt>
                <c:pt idx="18">
                  <c:v>Norway</c:v>
                </c:pt>
                <c:pt idx="19">
                  <c:v>Bulgaria</c:v>
                </c:pt>
                <c:pt idx="20">
                  <c:v>Greece</c:v>
                </c:pt>
                <c:pt idx="21">
                  <c:v>Luxembourg</c:v>
                </c:pt>
                <c:pt idx="22">
                  <c:v>Serbia</c:v>
                </c:pt>
                <c:pt idx="23">
                  <c:v>Slovenia</c:v>
                </c:pt>
                <c:pt idx="24">
                  <c:v>Slovakia</c:v>
                </c:pt>
                <c:pt idx="25">
                  <c:v>Lithuania</c:v>
                </c:pt>
                <c:pt idx="26">
                  <c:v>Macedonia</c:v>
                </c:pt>
                <c:pt idx="27">
                  <c:v>Latvia</c:v>
                </c:pt>
                <c:pt idx="28">
                  <c:v>Kosovo</c:v>
                </c:pt>
                <c:pt idx="29">
                  <c:v>Cyprus</c:v>
                </c:pt>
                <c:pt idx="30">
                  <c:v>Croatia</c:v>
                </c:pt>
              </c:strCache>
            </c:strRef>
          </c:cat>
          <c:val>
            <c:numRef>
              <c:f>'11'!$B$6:$B$36</c:f>
              <c:numCache>
                <c:formatCode>General</c:formatCode>
                <c:ptCount val="31"/>
                <c:pt idx="0">
                  <c:v>96</c:v>
                </c:pt>
                <c:pt idx="1">
                  <c:v>55</c:v>
                </c:pt>
                <c:pt idx="2">
                  <c:v>44</c:v>
                </c:pt>
                <c:pt idx="3">
                  <c:v>42</c:v>
                </c:pt>
                <c:pt idx="4">
                  <c:v>36.5</c:v>
                </c:pt>
                <c:pt idx="5">
                  <c:v>31</c:v>
                </c:pt>
                <c:pt idx="6">
                  <c:v>29.2</c:v>
                </c:pt>
                <c:pt idx="7">
                  <c:v>23.4</c:v>
                </c:pt>
                <c:pt idx="8">
                  <c:v>23</c:v>
                </c:pt>
                <c:pt idx="9">
                  <c:v>21.8</c:v>
                </c:pt>
                <c:pt idx="10">
                  <c:v>16.3</c:v>
                </c:pt>
                <c:pt idx="11">
                  <c:v>14.9</c:v>
                </c:pt>
                <c:pt idx="12">
                  <c:v>14.4</c:v>
                </c:pt>
                <c:pt idx="13">
                  <c:v>12.35</c:v>
                </c:pt>
                <c:pt idx="14">
                  <c:v>12.25</c:v>
                </c:pt>
                <c:pt idx="15">
                  <c:v>12.2</c:v>
                </c:pt>
                <c:pt idx="16">
                  <c:v>11.5</c:v>
                </c:pt>
                <c:pt idx="17">
                  <c:v>6.67</c:v>
                </c:pt>
                <c:pt idx="18">
                  <c:v>4.5999999999999996</c:v>
                </c:pt>
                <c:pt idx="19">
                  <c:v>4.29</c:v>
                </c:pt>
                <c:pt idx="20">
                  <c:v>2.7</c:v>
                </c:pt>
                <c:pt idx="21">
                  <c:v>2.5</c:v>
                </c:pt>
                <c:pt idx="22">
                  <c:v>2.1</c:v>
                </c:pt>
                <c:pt idx="23">
                  <c:v>1.85</c:v>
                </c:pt>
                <c:pt idx="24">
                  <c:v>1.75</c:v>
                </c:pt>
                <c:pt idx="25">
                  <c:v>1.2</c:v>
                </c:pt>
                <c:pt idx="26">
                  <c:v>1.1000000000000001</c:v>
                </c:pt>
                <c:pt idx="27">
                  <c:v>0.76</c:v>
                </c:pt>
                <c:pt idx="28">
                  <c:v>0.7</c:v>
                </c:pt>
                <c:pt idx="29">
                  <c:v>0.62</c:v>
                </c:pt>
                <c:pt idx="30">
                  <c:v>0.35</c:v>
                </c:pt>
              </c:numCache>
            </c:numRef>
          </c:val>
        </c:ser>
        <c:ser>
          <c:idx val="1"/>
          <c:order val="1"/>
          <c:tx>
            <c:strRef>
              <c:f>'11'!$C$5</c:f>
              <c:strCache>
                <c:ptCount val="1"/>
                <c:pt idx="0">
                  <c:v>2014</c:v>
                </c:pt>
              </c:strCache>
            </c:strRef>
          </c:tx>
          <c:spPr>
            <a:solidFill>
              <a:schemeClr val="bg1">
                <a:lumMod val="50000"/>
              </a:schemeClr>
            </a:solidFill>
          </c:spPr>
          <c:invertIfNegative val="0"/>
          <c:cat>
            <c:strRef>
              <c:f>'11'!$A$6:$A$36</c:f>
              <c:strCache>
                <c:ptCount val="31"/>
                <c:pt idx="0">
                  <c:v>United Kingdom</c:v>
                </c:pt>
                <c:pt idx="1">
                  <c:v>Spain</c:v>
                </c:pt>
                <c:pt idx="2">
                  <c:v>Germany</c:v>
                </c:pt>
                <c:pt idx="3">
                  <c:v>France</c:v>
                </c:pt>
                <c:pt idx="4">
                  <c:v>Finland</c:v>
                </c:pt>
                <c:pt idx="5">
                  <c:v>Turkey</c:v>
                </c:pt>
                <c:pt idx="6">
                  <c:v>Russia</c:v>
                </c:pt>
                <c:pt idx="7">
                  <c:v>Portugal</c:v>
                </c:pt>
                <c:pt idx="8">
                  <c:v>Denmark</c:v>
                </c:pt>
                <c:pt idx="9">
                  <c:v>Sweden</c:v>
                </c:pt>
                <c:pt idx="10">
                  <c:v>Austria</c:v>
                </c:pt>
                <c:pt idx="11">
                  <c:v>Switzerland</c:v>
                </c:pt>
                <c:pt idx="12">
                  <c:v>Ireland</c:v>
                </c:pt>
                <c:pt idx="13">
                  <c:v>Poland</c:v>
                </c:pt>
                <c:pt idx="14">
                  <c:v>Italy</c:v>
                </c:pt>
                <c:pt idx="15">
                  <c:v>Netherlands</c:v>
                </c:pt>
                <c:pt idx="16">
                  <c:v>Belgium</c:v>
                </c:pt>
                <c:pt idx="17">
                  <c:v>Estonia</c:v>
                </c:pt>
                <c:pt idx="18">
                  <c:v>Norway</c:v>
                </c:pt>
                <c:pt idx="19">
                  <c:v>Bulgaria</c:v>
                </c:pt>
                <c:pt idx="20">
                  <c:v>Greece</c:v>
                </c:pt>
                <c:pt idx="21">
                  <c:v>Luxembourg</c:v>
                </c:pt>
                <c:pt idx="22">
                  <c:v>Serbia</c:v>
                </c:pt>
                <c:pt idx="23">
                  <c:v>Slovenia</c:v>
                </c:pt>
                <c:pt idx="24">
                  <c:v>Slovakia</c:v>
                </c:pt>
                <c:pt idx="25">
                  <c:v>Lithuania</c:v>
                </c:pt>
                <c:pt idx="26">
                  <c:v>Macedonia</c:v>
                </c:pt>
                <c:pt idx="27">
                  <c:v>Latvia</c:v>
                </c:pt>
                <c:pt idx="28">
                  <c:v>Kosovo</c:v>
                </c:pt>
                <c:pt idx="29">
                  <c:v>Cyprus</c:v>
                </c:pt>
                <c:pt idx="30">
                  <c:v>Croatia</c:v>
                </c:pt>
              </c:strCache>
            </c:strRef>
          </c:cat>
          <c:val>
            <c:numRef>
              <c:f>'11'!$C$6:$C$36</c:f>
              <c:numCache>
                <c:formatCode>General</c:formatCode>
                <c:ptCount val="31"/>
                <c:pt idx="0">
                  <c:v>87</c:v>
                </c:pt>
                <c:pt idx="1">
                  <c:v>52.63</c:v>
                </c:pt>
                <c:pt idx="2">
                  <c:v>37</c:v>
                </c:pt>
                <c:pt idx="3">
                  <c:v>38</c:v>
                </c:pt>
                <c:pt idx="4">
                  <c:v>34.5</c:v>
                </c:pt>
                <c:pt idx="5">
                  <c:v>22.4</c:v>
                </c:pt>
                <c:pt idx="6">
                  <c:v>30.36</c:v>
                </c:pt>
                <c:pt idx="7">
                  <c:v>27.85</c:v>
                </c:pt>
                <c:pt idx="8">
                  <c:v>19.8</c:v>
                </c:pt>
                <c:pt idx="9">
                  <c:v>20.6</c:v>
                </c:pt>
                <c:pt idx="10">
                  <c:v>15</c:v>
                </c:pt>
                <c:pt idx="11">
                  <c:v>14.1</c:v>
                </c:pt>
                <c:pt idx="12">
                  <c:v>12.5</c:v>
                </c:pt>
                <c:pt idx="13">
                  <c:v>9.5</c:v>
                </c:pt>
                <c:pt idx="14">
                  <c:v>11.7</c:v>
                </c:pt>
                <c:pt idx="15">
                  <c:v>11.7</c:v>
                </c:pt>
                <c:pt idx="16">
                  <c:v>10.5</c:v>
                </c:pt>
                <c:pt idx="17">
                  <c:v>4.8</c:v>
                </c:pt>
                <c:pt idx="18">
                  <c:v>3.1</c:v>
                </c:pt>
                <c:pt idx="19">
                  <c:v>3.3</c:v>
                </c:pt>
                <c:pt idx="20">
                  <c:v>1.8</c:v>
                </c:pt>
                <c:pt idx="21">
                  <c:v>1</c:v>
                </c:pt>
                <c:pt idx="22">
                  <c:v>1.8</c:v>
                </c:pt>
                <c:pt idx="23">
                  <c:v>1.58</c:v>
                </c:pt>
                <c:pt idx="24">
                  <c:v>1.33</c:v>
                </c:pt>
                <c:pt idx="25">
                  <c:v>2.1</c:v>
                </c:pt>
                <c:pt idx="26">
                  <c:v>0.8</c:v>
                </c:pt>
                <c:pt idx="27">
                  <c:v>0.23</c:v>
                </c:pt>
                <c:pt idx="29">
                  <c:v>0.71</c:v>
                </c:pt>
                <c:pt idx="30">
                  <c:v>0.4</c:v>
                </c:pt>
              </c:numCache>
            </c:numRef>
          </c:val>
        </c:ser>
        <c:ser>
          <c:idx val="2"/>
          <c:order val="2"/>
          <c:tx>
            <c:strRef>
              <c:f>'11'!$D$5</c:f>
              <c:strCache>
                <c:ptCount val="1"/>
                <c:pt idx="0">
                  <c:v>2013</c:v>
                </c:pt>
              </c:strCache>
            </c:strRef>
          </c:tx>
          <c:spPr>
            <a:solidFill>
              <a:schemeClr val="bg1">
                <a:lumMod val="85000"/>
              </a:schemeClr>
            </a:solidFill>
          </c:spPr>
          <c:invertIfNegative val="0"/>
          <c:cat>
            <c:strRef>
              <c:f>'11'!$A$6:$A$36</c:f>
              <c:strCache>
                <c:ptCount val="31"/>
                <c:pt idx="0">
                  <c:v>United Kingdom</c:v>
                </c:pt>
                <c:pt idx="1">
                  <c:v>Spain</c:v>
                </c:pt>
                <c:pt idx="2">
                  <c:v>Germany</c:v>
                </c:pt>
                <c:pt idx="3">
                  <c:v>France</c:v>
                </c:pt>
                <c:pt idx="4">
                  <c:v>Finland</c:v>
                </c:pt>
                <c:pt idx="5">
                  <c:v>Turkey</c:v>
                </c:pt>
                <c:pt idx="6">
                  <c:v>Russia</c:v>
                </c:pt>
                <c:pt idx="7">
                  <c:v>Portugal</c:v>
                </c:pt>
                <c:pt idx="8">
                  <c:v>Denmark</c:v>
                </c:pt>
                <c:pt idx="9">
                  <c:v>Sweden</c:v>
                </c:pt>
                <c:pt idx="10">
                  <c:v>Austria</c:v>
                </c:pt>
                <c:pt idx="11">
                  <c:v>Switzerland</c:v>
                </c:pt>
                <c:pt idx="12">
                  <c:v>Ireland</c:v>
                </c:pt>
                <c:pt idx="13">
                  <c:v>Poland</c:v>
                </c:pt>
                <c:pt idx="14">
                  <c:v>Italy</c:v>
                </c:pt>
                <c:pt idx="15">
                  <c:v>Netherlands</c:v>
                </c:pt>
                <c:pt idx="16">
                  <c:v>Belgium</c:v>
                </c:pt>
                <c:pt idx="17">
                  <c:v>Estonia</c:v>
                </c:pt>
                <c:pt idx="18">
                  <c:v>Norway</c:v>
                </c:pt>
                <c:pt idx="19">
                  <c:v>Bulgaria</c:v>
                </c:pt>
                <c:pt idx="20">
                  <c:v>Greece</c:v>
                </c:pt>
                <c:pt idx="21">
                  <c:v>Luxembourg</c:v>
                </c:pt>
                <c:pt idx="22">
                  <c:v>Serbia</c:v>
                </c:pt>
                <c:pt idx="23">
                  <c:v>Slovenia</c:v>
                </c:pt>
                <c:pt idx="24">
                  <c:v>Slovakia</c:v>
                </c:pt>
                <c:pt idx="25">
                  <c:v>Lithuania</c:v>
                </c:pt>
                <c:pt idx="26">
                  <c:v>Macedonia</c:v>
                </c:pt>
                <c:pt idx="27">
                  <c:v>Latvia</c:v>
                </c:pt>
                <c:pt idx="28">
                  <c:v>Kosovo</c:v>
                </c:pt>
                <c:pt idx="29">
                  <c:v>Cyprus</c:v>
                </c:pt>
                <c:pt idx="30">
                  <c:v>Croatia</c:v>
                </c:pt>
              </c:strCache>
            </c:strRef>
          </c:cat>
          <c:val>
            <c:numRef>
              <c:f>'11'!$D$6:$D$36</c:f>
              <c:numCache>
                <c:formatCode>General</c:formatCode>
                <c:ptCount val="31"/>
                <c:pt idx="0">
                  <c:v>84.4</c:v>
                </c:pt>
                <c:pt idx="1">
                  <c:v>57.6</c:v>
                </c:pt>
                <c:pt idx="2">
                  <c:v>35.1</c:v>
                </c:pt>
                <c:pt idx="3">
                  <c:v>41.1</c:v>
                </c:pt>
                <c:pt idx="4">
                  <c:v>26.4</c:v>
                </c:pt>
                <c:pt idx="5">
                  <c:v>14.7</c:v>
                </c:pt>
                <c:pt idx="6">
                  <c:v>41.8</c:v>
                </c:pt>
                <c:pt idx="7">
                  <c:v>13.8</c:v>
                </c:pt>
                <c:pt idx="8">
                  <c:v>11.8</c:v>
                </c:pt>
                <c:pt idx="9">
                  <c:v>19.399999999999999</c:v>
                </c:pt>
                <c:pt idx="10">
                  <c:v>2.9</c:v>
                </c:pt>
                <c:pt idx="11">
                  <c:v>13.3</c:v>
                </c:pt>
                <c:pt idx="12">
                  <c:v>13.2</c:v>
                </c:pt>
                <c:pt idx="13">
                  <c:v>6.6</c:v>
                </c:pt>
                <c:pt idx="14">
                  <c:v>9.9</c:v>
                </c:pt>
                <c:pt idx="15">
                  <c:v>9.8000000000000007</c:v>
                </c:pt>
                <c:pt idx="16">
                  <c:v>10</c:v>
                </c:pt>
                <c:pt idx="17">
                  <c:v>4.7</c:v>
                </c:pt>
                <c:pt idx="18">
                  <c:v>4.2</c:v>
                </c:pt>
                <c:pt idx="19">
                  <c:v>2.9</c:v>
                </c:pt>
                <c:pt idx="20">
                  <c:v>2.1</c:v>
                </c:pt>
                <c:pt idx="21">
                  <c:v>1.6</c:v>
                </c:pt>
                <c:pt idx="22">
                  <c:v>0.7</c:v>
                </c:pt>
                <c:pt idx="25">
                  <c:v>2</c:v>
                </c:pt>
                <c:pt idx="29">
                  <c:v>0.6</c:v>
                </c:pt>
                <c:pt idx="30">
                  <c:v>0.8</c:v>
                </c:pt>
              </c:numCache>
            </c:numRef>
          </c:val>
        </c:ser>
        <c:dLbls>
          <c:showLegendKey val="0"/>
          <c:showVal val="0"/>
          <c:showCatName val="0"/>
          <c:showSerName val="0"/>
          <c:showPercent val="0"/>
          <c:showBubbleSize val="0"/>
        </c:dLbls>
        <c:gapWidth val="75"/>
        <c:overlap val="-25"/>
        <c:axId val="205505280"/>
        <c:axId val="205506816"/>
      </c:barChart>
      <c:catAx>
        <c:axId val="205505280"/>
        <c:scaling>
          <c:orientation val="minMax"/>
        </c:scaling>
        <c:delete val="0"/>
        <c:axPos val="b"/>
        <c:majorTickMark val="none"/>
        <c:minorTickMark val="none"/>
        <c:tickLblPos val="nextTo"/>
        <c:crossAx val="205506816"/>
        <c:crosses val="autoZero"/>
        <c:auto val="1"/>
        <c:lblAlgn val="ctr"/>
        <c:lblOffset val="100"/>
        <c:noMultiLvlLbl val="0"/>
      </c:catAx>
      <c:valAx>
        <c:axId val="205506816"/>
        <c:scaling>
          <c:orientation val="minMax"/>
          <c:max val="100"/>
        </c:scaling>
        <c:delete val="0"/>
        <c:axPos val="l"/>
        <c:majorGridlines/>
        <c:numFmt formatCode="General" sourceLinked="1"/>
        <c:majorTickMark val="none"/>
        <c:minorTickMark val="none"/>
        <c:tickLblPos val="nextTo"/>
        <c:spPr>
          <a:ln w="9525">
            <a:noFill/>
          </a:ln>
        </c:spPr>
        <c:crossAx val="205505280"/>
        <c:crosses val="autoZero"/>
        <c:crossBetween val="between"/>
      </c:valAx>
    </c:plotArea>
    <c:legend>
      <c:legendPos val="b"/>
      <c:layout>
        <c:manualLayout>
          <c:xMode val="edge"/>
          <c:yMode val="edge"/>
          <c:x val="0.3758334519046197"/>
          <c:y val="4.3974844053584219E-2"/>
          <c:w val="0.2483329224599381"/>
          <c:h val="7.8202879422031579E-2"/>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'12'!$C$35</c:f>
              <c:strCache>
                <c:ptCount val="1"/>
                <c:pt idx="0">
                  <c:v>Seed/start-up/early stage</c:v>
                </c:pt>
              </c:strCache>
            </c:strRef>
          </c:tx>
          <c:spPr>
            <a:solidFill>
              <a:schemeClr val="bg1">
                <a:lumMod val="50000"/>
              </a:schemeClr>
            </a:solidFill>
          </c:spPr>
          <c:invertIfNegative val="0"/>
          <c:cat>
            <c:strRef>
              <c:f>'12'!$B$36:$B$68</c:f>
              <c:strCache>
                <c:ptCount val="33"/>
                <c:pt idx="0">
                  <c:v>ISR</c:v>
                </c:pt>
                <c:pt idx="1">
                  <c:v>USA</c:v>
                </c:pt>
                <c:pt idx="2">
                  <c:v>CAN</c:v>
                </c:pt>
                <c:pt idx="3">
                  <c:v>ZAF</c:v>
                </c:pt>
                <c:pt idx="4">
                  <c:v>KOR</c:v>
                </c:pt>
                <c:pt idx="5">
                  <c:v>FIN</c:v>
                </c:pt>
                <c:pt idx="6">
                  <c:v>CHE</c:v>
                </c:pt>
                <c:pt idx="7">
                  <c:v>SWE</c:v>
                </c:pt>
                <c:pt idx="8">
                  <c:v>IRL</c:v>
                </c:pt>
                <c:pt idx="9">
                  <c:v>GBR</c:v>
                </c:pt>
                <c:pt idx="10">
                  <c:v>AUT</c:v>
                </c:pt>
                <c:pt idx="11">
                  <c:v>PRT</c:v>
                </c:pt>
                <c:pt idx="12">
                  <c:v>FRA</c:v>
                </c:pt>
                <c:pt idx="13">
                  <c:v>DNK</c:v>
                </c:pt>
                <c:pt idx="14">
                  <c:v>DEU</c:v>
                </c:pt>
                <c:pt idx="15">
                  <c:v>NZL</c:v>
                </c:pt>
                <c:pt idx="16">
                  <c:v>JPN</c:v>
                </c:pt>
                <c:pt idx="17">
                  <c:v>NLD</c:v>
                </c:pt>
                <c:pt idx="18">
                  <c:v>AUS</c:v>
                </c:pt>
                <c:pt idx="19">
                  <c:v>HUN</c:v>
                </c:pt>
                <c:pt idx="20">
                  <c:v>EU</c:v>
                </c:pt>
                <c:pt idx="21">
                  <c:v>EST</c:v>
                </c:pt>
                <c:pt idx="22">
                  <c:v>NOR</c:v>
                </c:pt>
                <c:pt idx="23">
                  <c:v>BEL</c:v>
                </c:pt>
                <c:pt idx="24">
                  <c:v>ESP</c:v>
                </c:pt>
                <c:pt idx="25">
                  <c:v>SVK</c:v>
                </c:pt>
                <c:pt idx="26">
                  <c:v>LUX</c:v>
                </c:pt>
                <c:pt idx="27">
                  <c:v>POL</c:v>
                </c:pt>
                <c:pt idx="28">
                  <c:v>RUS</c:v>
                </c:pt>
                <c:pt idx="29">
                  <c:v>SVN</c:v>
                </c:pt>
                <c:pt idx="30">
                  <c:v>ITA</c:v>
                </c:pt>
                <c:pt idx="31">
                  <c:v>CZE</c:v>
                </c:pt>
                <c:pt idx="32">
                  <c:v>GRC</c:v>
                </c:pt>
              </c:strCache>
            </c:strRef>
          </c:cat>
          <c:val>
            <c:numRef>
              <c:f>'12'!$C$36:$C$68</c:f>
              <c:numCache>
                <c:formatCode>0.00000</c:formatCode>
                <c:ptCount val="33"/>
                <c:pt idx="0">
                  <c:v>0.26826069421944515</c:v>
                </c:pt>
                <c:pt idx="1">
                  <c:v>0.1184275145545249</c:v>
                </c:pt>
                <c:pt idx="2">
                  <c:v>7.268781263527356E-2</c:v>
                </c:pt>
                <c:pt idx="5">
                  <c:v>3.6420710731540185E-2</c:v>
                </c:pt>
                <c:pt idx="6">
                  <c:v>3.7444529639203944E-2</c:v>
                </c:pt>
                <c:pt idx="7">
                  <c:v>2.0469703146594541E-2</c:v>
                </c:pt>
                <c:pt idx="8">
                  <c:v>1.7141218992908151E-2</c:v>
                </c:pt>
                <c:pt idx="9">
                  <c:v>1.4055133463075818E-2</c:v>
                </c:pt>
                <c:pt idx="10">
                  <c:v>1.4304406268204074E-2</c:v>
                </c:pt>
                <c:pt idx="11">
                  <c:v>2.6784089245600863E-2</c:v>
                </c:pt>
                <c:pt idx="12">
                  <c:v>1.6011495766467172E-2</c:v>
                </c:pt>
                <c:pt idx="13">
                  <c:v>1.543262065941158E-2</c:v>
                </c:pt>
                <c:pt idx="14">
                  <c:v>1.5154333603058541E-2</c:v>
                </c:pt>
                <c:pt idx="16">
                  <c:v>2.0440967126144131E-2</c:v>
                </c:pt>
                <c:pt idx="17">
                  <c:v>1.8841478068790146E-2</c:v>
                </c:pt>
                <c:pt idx="18">
                  <c:v>9.5106544158500006E-3</c:v>
                </c:pt>
                <c:pt idx="19">
                  <c:v>1.9969004529827226E-2</c:v>
                </c:pt>
                <c:pt idx="20">
                  <c:v>1.21297979385198E-2</c:v>
                </c:pt>
                <c:pt idx="21">
                  <c:v>1.5869283759983439E-2</c:v>
                </c:pt>
                <c:pt idx="22">
                  <c:v>1.0321579854382389E-2</c:v>
                </c:pt>
                <c:pt idx="23">
                  <c:v>9.2695040359219976E-3</c:v>
                </c:pt>
                <c:pt idx="24">
                  <c:v>8.9079621436207717E-3</c:v>
                </c:pt>
                <c:pt idx="25">
                  <c:v>7.9210136256034104E-3</c:v>
                </c:pt>
                <c:pt idx="26">
                  <c:v>9.8978168014083844E-3</c:v>
                </c:pt>
                <c:pt idx="27">
                  <c:v>3.0776043143260186E-3</c:v>
                </c:pt>
                <c:pt idx="29">
                  <c:v>3.1133857576720742E-3</c:v>
                </c:pt>
                <c:pt idx="30">
                  <c:v>1.473564925934989E-3</c:v>
                </c:pt>
                <c:pt idx="31">
                  <c:v>9.5344673523829987E-4</c:v>
                </c:pt>
                <c:pt idx="32">
                  <c:v>0</c:v>
                </c:pt>
              </c:numCache>
            </c:numRef>
          </c:val>
        </c:ser>
        <c:ser>
          <c:idx val="1"/>
          <c:order val="1"/>
          <c:tx>
            <c:strRef>
              <c:f>'12'!$D$35</c:f>
              <c:strCache>
                <c:ptCount val="1"/>
                <c:pt idx="0">
                  <c:v>Later stage venture</c:v>
                </c:pt>
              </c:strCache>
            </c:strRef>
          </c:tx>
          <c:invertIfNegative val="0"/>
          <c:cat>
            <c:strRef>
              <c:f>'12'!$B$36:$B$68</c:f>
              <c:strCache>
                <c:ptCount val="33"/>
                <c:pt idx="0">
                  <c:v>ISR</c:v>
                </c:pt>
                <c:pt idx="1">
                  <c:v>USA</c:v>
                </c:pt>
                <c:pt idx="2">
                  <c:v>CAN</c:v>
                </c:pt>
                <c:pt idx="3">
                  <c:v>ZAF</c:v>
                </c:pt>
                <c:pt idx="4">
                  <c:v>KOR</c:v>
                </c:pt>
                <c:pt idx="5">
                  <c:v>FIN</c:v>
                </c:pt>
                <c:pt idx="6">
                  <c:v>CHE</c:v>
                </c:pt>
                <c:pt idx="7">
                  <c:v>SWE</c:v>
                </c:pt>
                <c:pt idx="8">
                  <c:v>IRL</c:v>
                </c:pt>
                <c:pt idx="9">
                  <c:v>GBR</c:v>
                </c:pt>
                <c:pt idx="10">
                  <c:v>AUT</c:v>
                </c:pt>
                <c:pt idx="11">
                  <c:v>PRT</c:v>
                </c:pt>
                <c:pt idx="12">
                  <c:v>FRA</c:v>
                </c:pt>
                <c:pt idx="13">
                  <c:v>DNK</c:v>
                </c:pt>
                <c:pt idx="14">
                  <c:v>DEU</c:v>
                </c:pt>
                <c:pt idx="15">
                  <c:v>NZL</c:v>
                </c:pt>
                <c:pt idx="16">
                  <c:v>JPN</c:v>
                </c:pt>
                <c:pt idx="17">
                  <c:v>NLD</c:v>
                </c:pt>
                <c:pt idx="18">
                  <c:v>AUS</c:v>
                </c:pt>
                <c:pt idx="19">
                  <c:v>HUN</c:v>
                </c:pt>
                <c:pt idx="20">
                  <c:v>EU</c:v>
                </c:pt>
                <c:pt idx="21">
                  <c:v>EST</c:v>
                </c:pt>
                <c:pt idx="22">
                  <c:v>NOR</c:v>
                </c:pt>
                <c:pt idx="23">
                  <c:v>BEL</c:v>
                </c:pt>
                <c:pt idx="24">
                  <c:v>ESP</c:v>
                </c:pt>
                <c:pt idx="25">
                  <c:v>SVK</c:v>
                </c:pt>
                <c:pt idx="26">
                  <c:v>LUX</c:v>
                </c:pt>
                <c:pt idx="27">
                  <c:v>POL</c:v>
                </c:pt>
                <c:pt idx="28">
                  <c:v>RUS</c:v>
                </c:pt>
                <c:pt idx="29">
                  <c:v>SVN</c:v>
                </c:pt>
                <c:pt idx="30">
                  <c:v>ITA</c:v>
                </c:pt>
                <c:pt idx="31">
                  <c:v>CZE</c:v>
                </c:pt>
                <c:pt idx="32">
                  <c:v>GRC</c:v>
                </c:pt>
              </c:strCache>
            </c:strRef>
          </c:cat>
          <c:val>
            <c:numRef>
              <c:f>'12'!$D$36:$D$68</c:f>
              <c:numCache>
                <c:formatCode>0.00000</c:formatCode>
                <c:ptCount val="33"/>
                <c:pt idx="0">
                  <c:v>0.11286577988501045</c:v>
                </c:pt>
                <c:pt idx="1">
                  <c:v>0.21421032745535798</c:v>
                </c:pt>
                <c:pt idx="2">
                  <c:v>4.4913840156154544E-2</c:v>
                </c:pt>
                <c:pt idx="5">
                  <c:v>1.5004825148411692E-2</c:v>
                </c:pt>
                <c:pt idx="6">
                  <c:v>6.0754137249118762E-3</c:v>
                </c:pt>
                <c:pt idx="7">
                  <c:v>1.6239824650777092E-2</c:v>
                </c:pt>
                <c:pt idx="8">
                  <c:v>1.8161612849617186E-2</c:v>
                </c:pt>
                <c:pt idx="9">
                  <c:v>1.936034572777328E-2</c:v>
                </c:pt>
                <c:pt idx="10">
                  <c:v>1.8554294041475263E-2</c:v>
                </c:pt>
                <c:pt idx="11">
                  <c:v>5.928791531417738E-3</c:v>
                </c:pt>
                <c:pt idx="12">
                  <c:v>1.5281885345935428E-2</c:v>
                </c:pt>
                <c:pt idx="13">
                  <c:v>1.38191693273237E-2</c:v>
                </c:pt>
                <c:pt idx="14">
                  <c:v>1.251230985476986E-2</c:v>
                </c:pt>
                <c:pt idx="16">
                  <c:v>3.6072294928489635E-3</c:v>
                </c:pt>
                <c:pt idx="17">
                  <c:v>5.1421217668282679E-3</c:v>
                </c:pt>
                <c:pt idx="18">
                  <c:v>1.3900187223165387E-2</c:v>
                </c:pt>
                <c:pt idx="19">
                  <c:v>2.9618086332090727E-3</c:v>
                </c:pt>
                <c:pt idx="20">
                  <c:v>1.0798704477227646E-2</c:v>
                </c:pt>
                <c:pt idx="21">
                  <c:v>2.2970629403117385E-3</c:v>
                </c:pt>
                <c:pt idx="22">
                  <c:v>5.6484359530865752E-3</c:v>
                </c:pt>
                <c:pt idx="23">
                  <c:v>5.7729836070887063E-3</c:v>
                </c:pt>
                <c:pt idx="24">
                  <c:v>5.5652565634999318E-3</c:v>
                </c:pt>
                <c:pt idx="25">
                  <c:v>3.5224429932744794E-3</c:v>
                </c:pt>
                <c:pt idx="26">
                  <c:v>3.8378506403289583E-4</c:v>
                </c:pt>
                <c:pt idx="27">
                  <c:v>1.497572771092532E-3</c:v>
                </c:pt>
                <c:pt idx="29">
                  <c:v>3.8917321970900927E-4</c:v>
                </c:pt>
                <c:pt idx="30">
                  <c:v>1.3547655141646733E-3</c:v>
                </c:pt>
                <c:pt idx="31">
                  <c:v>6.4051124248254318E-5</c:v>
                </c:pt>
                <c:pt idx="32">
                  <c:v>0</c:v>
                </c:pt>
              </c:numCache>
            </c:numRef>
          </c:val>
        </c:ser>
        <c:ser>
          <c:idx val="2"/>
          <c:order val="2"/>
          <c:tx>
            <c:strRef>
              <c:f>'12'!$E$35</c:f>
              <c:strCache>
                <c:ptCount val="1"/>
                <c:pt idx="0">
                  <c:v>Total</c:v>
                </c:pt>
              </c:strCache>
            </c:strRef>
          </c:tx>
          <c:spPr>
            <a:solidFill>
              <a:schemeClr val="tx1"/>
            </a:solidFill>
          </c:spPr>
          <c:invertIfNegative val="0"/>
          <c:cat>
            <c:strRef>
              <c:f>'12'!$B$36:$B$68</c:f>
              <c:strCache>
                <c:ptCount val="33"/>
                <c:pt idx="0">
                  <c:v>ISR</c:v>
                </c:pt>
                <c:pt idx="1">
                  <c:v>USA</c:v>
                </c:pt>
                <c:pt idx="2">
                  <c:v>CAN</c:v>
                </c:pt>
                <c:pt idx="3">
                  <c:v>ZAF</c:v>
                </c:pt>
                <c:pt idx="4">
                  <c:v>KOR</c:v>
                </c:pt>
                <c:pt idx="5">
                  <c:v>FIN</c:v>
                </c:pt>
                <c:pt idx="6">
                  <c:v>CHE</c:v>
                </c:pt>
                <c:pt idx="7">
                  <c:v>SWE</c:v>
                </c:pt>
                <c:pt idx="8">
                  <c:v>IRL</c:v>
                </c:pt>
                <c:pt idx="9">
                  <c:v>GBR</c:v>
                </c:pt>
                <c:pt idx="10">
                  <c:v>AUT</c:v>
                </c:pt>
                <c:pt idx="11">
                  <c:v>PRT</c:v>
                </c:pt>
                <c:pt idx="12">
                  <c:v>FRA</c:v>
                </c:pt>
                <c:pt idx="13">
                  <c:v>DNK</c:v>
                </c:pt>
                <c:pt idx="14">
                  <c:v>DEU</c:v>
                </c:pt>
                <c:pt idx="15">
                  <c:v>NZL</c:v>
                </c:pt>
                <c:pt idx="16">
                  <c:v>JPN</c:v>
                </c:pt>
                <c:pt idx="17">
                  <c:v>NLD</c:v>
                </c:pt>
                <c:pt idx="18">
                  <c:v>AUS</c:v>
                </c:pt>
                <c:pt idx="19">
                  <c:v>HUN</c:v>
                </c:pt>
                <c:pt idx="20">
                  <c:v>EU</c:v>
                </c:pt>
                <c:pt idx="21">
                  <c:v>EST</c:v>
                </c:pt>
                <c:pt idx="22">
                  <c:v>NOR</c:v>
                </c:pt>
                <c:pt idx="23">
                  <c:v>BEL</c:v>
                </c:pt>
                <c:pt idx="24">
                  <c:v>ESP</c:v>
                </c:pt>
                <c:pt idx="25">
                  <c:v>SVK</c:v>
                </c:pt>
                <c:pt idx="26">
                  <c:v>LUX</c:v>
                </c:pt>
                <c:pt idx="27">
                  <c:v>POL</c:v>
                </c:pt>
                <c:pt idx="28">
                  <c:v>RUS</c:v>
                </c:pt>
                <c:pt idx="29">
                  <c:v>SVN</c:v>
                </c:pt>
                <c:pt idx="30">
                  <c:v>ITA</c:v>
                </c:pt>
                <c:pt idx="31">
                  <c:v>CZE</c:v>
                </c:pt>
                <c:pt idx="32">
                  <c:v>GRC</c:v>
                </c:pt>
              </c:strCache>
            </c:strRef>
          </c:cat>
          <c:val>
            <c:numRef>
              <c:f>'12'!$E$36:$E$68</c:f>
              <c:numCache>
                <c:formatCode>General</c:formatCode>
                <c:ptCount val="33"/>
                <c:pt idx="3" formatCode="0.00000">
                  <c:v>0.10083076991705034</c:v>
                </c:pt>
                <c:pt idx="4" formatCode="0.00000">
                  <c:v>7.8970618627294695E-2</c:v>
                </c:pt>
                <c:pt idx="15" formatCode="0.00000">
                  <c:v>2.5084383868847895E-2</c:v>
                </c:pt>
                <c:pt idx="28" formatCode="0.00000">
                  <c:v>4.4494177806254981E-3</c:v>
                </c:pt>
              </c:numCache>
            </c:numRef>
          </c:val>
        </c:ser>
        <c:dLbls>
          <c:showLegendKey val="0"/>
          <c:showVal val="0"/>
          <c:showCatName val="0"/>
          <c:showSerName val="0"/>
          <c:showPercent val="0"/>
          <c:showBubbleSize val="0"/>
        </c:dLbls>
        <c:gapWidth val="150"/>
        <c:overlap val="100"/>
        <c:axId val="209139968"/>
        <c:axId val="209145856"/>
      </c:barChart>
      <c:catAx>
        <c:axId val="209139968"/>
        <c:scaling>
          <c:orientation val="minMax"/>
        </c:scaling>
        <c:delete val="0"/>
        <c:axPos val="b"/>
        <c:majorTickMark val="out"/>
        <c:minorTickMark val="none"/>
        <c:tickLblPos val="nextTo"/>
        <c:crossAx val="209145856"/>
        <c:crosses val="autoZero"/>
        <c:auto val="1"/>
        <c:lblAlgn val="ctr"/>
        <c:lblOffset val="100"/>
        <c:noMultiLvlLbl val="0"/>
      </c:catAx>
      <c:valAx>
        <c:axId val="209145856"/>
        <c:scaling>
          <c:orientation val="minMax"/>
          <c:max val="0.51"/>
          <c:min val="0"/>
        </c:scaling>
        <c:delete val="0"/>
        <c:axPos val="l"/>
        <c:majorGridlines/>
        <c:numFmt formatCode="0.0" sourceLinked="0"/>
        <c:majorTickMark val="out"/>
        <c:minorTickMark val="none"/>
        <c:tickLblPos val="nextTo"/>
        <c:crossAx val="209139968"/>
        <c:crosses val="autoZero"/>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'13'!$C$4</c:f>
              <c:strCache>
                <c:ptCount val="1"/>
                <c:pt idx="0">
                  <c:v>Seed</c:v>
                </c:pt>
              </c:strCache>
            </c:strRef>
          </c:tx>
          <c:spPr>
            <a:ln>
              <a:solidFill>
                <a:schemeClr val="tx1"/>
              </a:solidFill>
            </a:ln>
          </c:spPr>
          <c:marker>
            <c:symbol val="none"/>
          </c:marker>
          <c:cat>
            <c:multiLvlStrRef>
              <c:f>'13'!$A$5:$B$24</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2011</c:v>
                  </c:pt>
                  <c:pt idx="4">
                    <c:v>2012</c:v>
                  </c:pt>
                  <c:pt idx="8">
                    <c:v>2013</c:v>
                  </c:pt>
                  <c:pt idx="12">
                    <c:v>2014</c:v>
                  </c:pt>
                  <c:pt idx="16">
                    <c:v>2015</c:v>
                  </c:pt>
                </c:lvl>
              </c:multiLvlStrCache>
            </c:multiLvlStrRef>
          </c:cat>
          <c:val>
            <c:numRef>
              <c:f>'13'!$C$5:$C$24</c:f>
              <c:numCache>
                <c:formatCode>General</c:formatCode>
                <c:ptCount val="20"/>
                <c:pt idx="0">
                  <c:v>2.3969130000000002E-2</c:v>
                </c:pt>
                <c:pt idx="1">
                  <c:v>3.3357039999999991E-2</c:v>
                </c:pt>
                <c:pt idx="2">
                  <c:v>5.0356860000000003E-2</c:v>
                </c:pt>
                <c:pt idx="3">
                  <c:v>5.7039379999999987E-2</c:v>
                </c:pt>
                <c:pt idx="4">
                  <c:v>3.519241E-2</c:v>
                </c:pt>
                <c:pt idx="5">
                  <c:v>2.0978279999999998E-2</c:v>
                </c:pt>
                <c:pt idx="6">
                  <c:v>2.7588419999999999E-2</c:v>
                </c:pt>
                <c:pt idx="7">
                  <c:v>3.3070860000000001E-2</c:v>
                </c:pt>
                <c:pt idx="8">
                  <c:v>2.7605479999999998E-2</c:v>
                </c:pt>
                <c:pt idx="9">
                  <c:v>3.4795440000000004E-2</c:v>
                </c:pt>
                <c:pt idx="10">
                  <c:v>2.4304669999999997E-2</c:v>
                </c:pt>
                <c:pt idx="11">
                  <c:v>2.9721770000000002E-2</c:v>
                </c:pt>
                <c:pt idx="12">
                  <c:v>2.234889E-2</c:v>
                </c:pt>
                <c:pt idx="13">
                  <c:v>2.1464610000000002E-2</c:v>
                </c:pt>
                <c:pt idx="14">
                  <c:v>2.0239980000000001E-2</c:v>
                </c:pt>
                <c:pt idx="15">
                  <c:v>3.3941760000000001E-2</c:v>
                </c:pt>
                <c:pt idx="16">
                  <c:v>1.6456660000000001E-2</c:v>
                </c:pt>
                <c:pt idx="17">
                  <c:v>2.1644009999999998E-2</c:v>
                </c:pt>
                <c:pt idx="18">
                  <c:v>2.0899770000000002E-2</c:v>
                </c:pt>
                <c:pt idx="19">
                  <c:v>2.5999999999999999E-2</c:v>
                </c:pt>
              </c:numCache>
            </c:numRef>
          </c:val>
          <c:smooth val="0"/>
        </c:ser>
        <c:ser>
          <c:idx val="1"/>
          <c:order val="1"/>
          <c:tx>
            <c:strRef>
              <c:f>'13'!$D$4</c:f>
              <c:strCache>
                <c:ptCount val="1"/>
                <c:pt idx="0">
                  <c:v>Start-up</c:v>
                </c:pt>
              </c:strCache>
            </c:strRef>
          </c:tx>
          <c:marker>
            <c:symbol val="none"/>
          </c:marker>
          <c:cat>
            <c:multiLvlStrRef>
              <c:f>'13'!$A$5:$B$24</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2011</c:v>
                  </c:pt>
                  <c:pt idx="4">
                    <c:v>2012</c:v>
                  </c:pt>
                  <c:pt idx="8">
                    <c:v>2013</c:v>
                  </c:pt>
                  <c:pt idx="12">
                    <c:v>2014</c:v>
                  </c:pt>
                  <c:pt idx="16">
                    <c:v>2015</c:v>
                  </c:pt>
                </c:lvl>
              </c:multiLvlStrCache>
            </c:multiLvlStrRef>
          </c:cat>
          <c:val>
            <c:numRef>
              <c:f>'13'!$D$5:$D$24</c:f>
              <c:numCache>
                <c:formatCode>General</c:formatCode>
                <c:ptCount val="20"/>
                <c:pt idx="0">
                  <c:v>0.39732777999999996</c:v>
                </c:pt>
                <c:pt idx="1">
                  <c:v>0.48486061999999996</c:v>
                </c:pt>
                <c:pt idx="2">
                  <c:v>0.42722146</c:v>
                </c:pt>
                <c:pt idx="3">
                  <c:v>0.51771381999999988</c:v>
                </c:pt>
                <c:pt idx="4">
                  <c:v>0.42143030999999997</c:v>
                </c:pt>
                <c:pt idx="5">
                  <c:v>0.50375965</c:v>
                </c:pt>
                <c:pt idx="6">
                  <c:v>0.40511334000000004</c:v>
                </c:pt>
                <c:pt idx="7">
                  <c:v>0.44066896999999999</c:v>
                </c:pt>
                <c:pt idx="8">
                  <c:v>0.38423626</c:v>
                </c:pt>
                <c:pt idx="9">
                  <c:v>0.55089283</c:v>
                </c:pt>
                <c:pt idx="10">
                  <c:v>0.35194378999999998</c:v>
                </c:pt>
                <c:pt idx="11">
                  <c:v>0.53660554000000005</c:v>
                </c:pt>
                <c:pt idx="12">
                  <c:v>0.44033715999999995</c:v>
                </c:pt>
                <c:pt idx="13">
                  <c:v>0.49520534999999999</c:v>
                </c:pt>
                <c:pt idx="14">
                  <c:v>0.39284424000000001</c:v>
                </c:pt>
                <c:pt idx="15">
                  <c:v>0.56253917000000009</c:v>
                </c:pt>
                <c:pt idx="16">
                  <c:v>0.36274543999999997</c:v>
                </c:pt>
                <c:pt idx="17">
                  <c:v>0.4396156</c:v>
                </c:pt>
                <c:pt idx="18">
                  <c:v>0.53932776999999998</c:v>
                </c:pt>
                <c:pt idx="19">
                  <c:v>0.47</c:v>
                </c:pt>
              </c:numCache>
            </c:numRef>
          </c:val>
          <c:smooth val="0"/>
        </c:ser>
        <c:ser>
          <c:idx val="2"/>
          <c:order val="2"/>
          <c:tx>
            <c:strRef>
              <c:f>'13'!$E$4</c:f>
              <c:strCache>
                <c:ptCount val="1"/>
                <c:pt idx="0">
                  <c:v>Later-stage venture</c:v>
                </c:pt>
              </c:strCache>
            </c:strRef>
          </c:tx>
          <c:marker>
            <c:symbol val="none"/>
          </c:marker>
          <c:cat>
            <c:multiLvlStrRef>
              <c:f>'13'!$A$5:$B$24</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2011</c:v>
                  </c:pt>
                  <c:pt idx="4">
                    <c:v>2012</c:v>
                  </c:pt>
                  <c:pt idx="8">
                    <c:v>2013</c:v>
                  </c:pt>
                  <c:pt idx="12">
                    <c:v>2014</c:v>
                  </c:pt>
                  <c:pt idx="16">
                    <c:v>2015</c:v>
                  </c:pt>
                </c:lvl>
              </c:multiLvlStrCache>
            </c:multiLvlStrRef>
          </c:cat>
          <c:val>
            <c:numRef>
              <c:f>'13'!$E$5:$E$24</c:f>
              <c:numCache>
                <c:formatCode>General</c:formatCode>
                <c:ptCount val="20"/>
                <c:pt idx="0">
                  <c:v>0.48812317</c:v>
                </c:pt>
                <c:pt idx="1">
                  <c:v>0.52319249000000001</c:v>
                </c:pt>
                <c:pt idx="2">
                  <c:v>0.36994671999999995</c:v>
                </c:pt>
                <c:pt idx="3">
                  <c:v>0.32212059999999992</c:v>
                </c:pt>
                <c:pt idx="4">
                  <c:v>0.29601776000000002</c:v>
                </c:pt>
                <c:pt idx="5">
                  <c:v>0.41556951000000003</c:v>
                </c:pt>
                <c:pt idx="6">
                  <c:v>0.23631807999999999</c:v>
                </c:pt>
                <c:pt idx="7">
                  <c:v>0.37113215000000005</c:v>
                </c:pt>
                <c:pt idx="8">
                  <c:v>0.29821260999999999</c:v>
                </c:pt>
                <c:pt idx="9">
                  <c:v>0.45487780999999999</c:v>
                </c:pt>
                <c:pt idx="10">
                  <c:v>0.33410814</c:v>
                </c:pt>
                <c:pt idx="11">
                  <c:v>0.38353945</c:v>
                </c:pt>
                <c:pt idx="12">
                  <c:v>0.36984934000000003</c:v>
                </c:pt>
                <c:pt idx="13">
                  <c:v>0.46313414000000003</c:v>
                </c:pt>
                <c:pt idx="14">
                  <c:v>0.33619251500000003</c:v>
                </c:pt>
                <c:pt idx="15">
                  <c:v>0.45525093999999999</c:v>
                </c:pt>
                <c:pt idx="16">
                  <c:v>0.41</c:v>
                </c:pt>
                <c:pt idx="17">
                  <c:v>0.43</c:v>
                </c:pt>
                <c:pt idx="18">
                  <c:v>0.45</c:v>
                </c:pt>
                <c:pt idx="19">
                  <c:v>0.39</c:v>
                </c:pt>
              </c:numCache>
            </c:numRef>
          </c:val>
          <c:smooth val="0"/>
        </c:ser>
        <c:dLbls>
          <c:showLegendKey val="0"/>
          <c:showVal val="0"/>
          <c:showCatName val="0"/>
          <c:showSerName val="0"/>
          <c:showPercent val="0"/>
          <c:showBubbleSize val="0"/>
        </c:dLbls>
        <c:marker val="1"/>
        <c:smooth val="0"/>
        <c:axId val="209163776"/>
        <c:axId val="209165312"/>
      </c:lineChart>
      <c:catAx>
        <c:axId val="209163776"/>
        <c:scaling>
          <c:orientation val="minMax"/>
        </c:scaling>
        <c:delete val="0"/>
        <c:axPos val="b"/>
        <c:majorTickMark val="out"/>
        <c:minorTickMark val="none"/>
        <c:tickLblPos val="nextTo"/>
        <c:crossAx val="209165312"/>
        <c:crosses val="autoZero"/>
        <c:auto val="1"/>
        <c:lblAlgn val="ctr"/>
        <c:lblOffset val="100"/>
        <c:noMultiLvlLbl val="0"/>
      </c:catAx>
      <c:valAx>
        <c:axId val="209165312"/>
        <c:scaling>
          <c:orientation val="minMax"/>
        </c:scaling>
        <c:delete val="0"/>
        <c:axPos val="l"/>
        <c:majorGridlines/>
        <c:numFmt formatCode="General" sourceLinked="1"/>
        <c:majorTickMark val="out"/>
        <c:minorTickMark val="none"/>
        <c:tickLblPos val="nextTo"/>
        <c:crossAx val="209163776"/>
        <c:crosses val="autoZero"/>
        <c:crossBetween val="between"/>
      </c:valAx>
    </c:plotArea>
    <c:legend>
      <c:legendPos val="b"/>
      <c:layout>
        <c:manualLayout>
          <c:xMode val="edge"/>
          <c:yMode val="edge"/>
          <c:x val="0.22918547689776486"/>
          <c:y val="0.84740653523684561"/>
          <c:w val="0.54162887250476022"/>
          <c:h val="9.5567923008034961E-2"/>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dPt>
            <c:idx val="3"/>
            <c:invertIfNegative val="0"/>
            <c:bubble3D val="0"/>
            <c:spPr>
              <a:solidFill>
                <a:schemeClr val="bg1">
                  <a:lumMod val="50000"/>
                </a:schemeClr>
              </a:solidFill>
            </c:spPr>
          </c:dPt>
          <c:dPt>
            <c:idx val="4"/>
            <c:invertIfNegative val="0"/>
            <c:bubble3D val="0"/>
            <c:spPr>
              <a:solidFill>
                <a:schemeClr val="bg1">
                  <a:lumMod val="50000"/>
                </a:schemeClr>
              </a:solidFill>
            </c:spPr>
          </c:dPt>
          <c:dPt>
            <c:idx val="5"/>
            <c:invertIfNegative val="0"/>
            <c:bubble3D val="0"/>
            <c:spPr>
              <a:solidFill>
                <a:schemeClr val="bg1">
                  <a:lumMod val="50000"/>
                </a:schemeClr>
              </a:solidFill>
            </c:spPr>
          </c:dPt>
          <c:dPt>
            <c:idx val="6"/>
            <c:invertIfNegative val="0"/>
            <c:bubble3D val="0"/>
            <c:spPr>
              <a:solidFill>
                <a:schemeClr val="bg1">
                  <a:lumMod val="75000"/>
                </a:schemeClr>
              </a:solidFill>
            </c:spPr>
          </c:dPt>
          <c:dPt>
            <c:idx val="7"/>
            <c:invertIfNegative val="0"/>
            <c:bubble3D val="0"/>
            <c:spPr>
              <a:solidFill>
                <a:schemeClr val="bg1">
                  <a:lumMod val="75000"/>
                </a:schemeClr>
              </a:solidFill>
            </c:spPr>
          </c:dPt>
          <c:dPt>
            <c:idx val="8"/>
            <c:invertIfNegative val="0"/>
            <c:bubble3D val="0"/>
            <c:spPr>
              <a:solidFill>
                <a:schemeClr val="bg1">
                  <a:lumMod val="75000"/>
                </a:schemeClr>
              </a:solidFill>
            </c:spPr>
          </c:dPt>
          <c:dPt>
            <c:idx val="9"/>
            <c:invertIfNegative val="0"/>
            <c:bubble3D val="0"/>
            <c:spPr>
              <a:solidFill>
                <a:schemeClr val="bg1">
                  <a:lumMod val="85000"/>
                </a:schemeClr>
              </a:solidFill>
            </c:spPr>
          </c:dPt>
          <c:dPt>
            <c:idx val="10"/>
            <c:invertIfNegative val="0"/>
            <c:bubble3D val="0"/>
            <c:spPr>
              <a:solidFill>
                <a:schemeClr val="bg1">
                  <a:lumMod val="85000"/>
                </a:schemeClr>
              </a:solidFill>
            </c:spPr>
          </c:dPt>
          <c:dPt>
            <c:idx val="11"/>
            <c:invertIfNegative val="0"/>
            <c:bubble3D val="0"/>
            <c:spPr>
              <a:solidFill>
                <a:schemeClr val="bg1">
                  <a:lumMod val="85000"/>
                </a:schemeClr>
              </a:solidFill>
            </c:spPr>
          </c:dPt>
          <c:cat>
            <c:multiLvlStrRef>
              <c:f>'14'!$N$4:$O$15</c:f>
              <c:multiLvlStrCache>
                <c:ptCount val="12"/>
                <c:lvl>
                  <c:pt idx="0">
                    <c:v>2013</c:v>
                  </c:pt>
                  <c:pt idx="1">
                    <c:v>2014</c:v>
                  </c:pt>
                  <c:pt idx="2">
                    <c:v>2015</c:v>
                  </c:pt>
                  <c:pt idx="3">
                    <c:v>2013</c:v>
                  </c:pt>
                  <c:pt idx="4">
                    <c:v>2014</c:v>
                  </c:pt>
                  <c:pt idx="5">
                    <c:v>2015</c:v>
                  </c:pt>
                  <c:pt idx="6">
                    <c:v>2013</c:v>
                  </c:pt>
                  <c:pt idx="7">
                    <c:v>2014</c:v>
                  </c:pt>
                  <c:pt idx="8">
                    <c:v>2015</c:v>
                  </c:pt>
                  <c:pt idx="9">
                    <c:v>2013</c:v>
                  </c:pt>
                  <c:pt idx="10">
                    <c:v>2014</c:v>
                  </c:pt>
                  <c:pt idx="11">
                    <c:v>2015</c:v>
                  </c:pt>
                </c:lvl>
                <c:lvl>
                  <c:pt idx="0">
                    <c:v>Peer-to-Peer Consumer lending</c:v>
                  </c:pt>
                  <c:pt idx="3">
                    <c:v>Peer-to-Peer Business lending</c:v>
                  </c:pt>
                  <c:pt idx="6">
                    <c:v>Equity-based Crowdfunding</c:v>
                  </c:pt>
                  <c:pt idx="9">
                    <c:v>Reward-based Crowdfunding</c:v>
                  </c:pt>
                </c:lvl>
              </c:multiLvlStrCache>
            </c:multiLvlStrRef>
          </c:cat>
          <c:val>
            <c:numRef>
              <c:f>'14'!$P$4:$P$15</c:f>
              <c:numCache>
                <c:formatCode>General</c:formatCode>
                <c:ptCount val="12"/>
                <c:pt idx="0">
                  <c:v>157</c:v>
                </c:pt>
                <c:pt idx="1">
                  <c:v>275</c:v>
                </c:pt>
                <c:pt idx="2">
                  <c:v>366</c:v>
                </c:pt>
                <c:pt idx="3">
                  <c:v>40</c:v>
                </c:pt>
                <c:pt idx="4">
                  <c:v>93</c:v>
                </c:pt>
                <c:pt idx="5">
                  <c:v>212</c:v>
                </c:pt>
                <c:pt idx="6">
                  <c:v>48</c:v>
                </c:pt>
                <c:pt idx="7">
                  <c:v>83</c:v>
                </c:pt>
                <c:pt idx="8">
                  <c:v>159</c:v>
                </c:pt>
                <c:pt idx="9">
                  <c:v>51</c:v>
                </c:pt>
                <c:pt idx="10">
                  <c:v>94</c:v>
                </c:pt>
                <c:pt idx="11">
                  <c:v>139</c:v>
                </c:pt>
              </c:numCache>
            </c:numRef>
          </c:val>
        </c:ser>
        <c:dLbls>
          <c:showLegendKey val="0"/>
          <c:showVal val="0"/>
          <c:showCatName val="0"/>
          <c:showSerName val="0"/>
          <c:showPercent val="0"/>
          <c:showBubbleSize val="0"/>
        </c:dLbls>
        <c:gapWidth val="150"/>
        <c:axId val="209934208"/>
        <c:axId val="209935744"/>
      </c:barChart>
      <c:catAx>
        <c:axId val="209934208"/>
        <c:scaling>
          <c:orientation val="minMax"/>
        </c:scaling>
        <c:delete val="0"/>
        <c:axPos val="b"/>
        <c:majorTickMark val="out"/>
        <c:minorTickMark val="none"/>
        <c:tickLblPos val="nextTo"/>
        <c:crossAx val="209935744"/>
        <c:crosses val="autoZero"/>
        <c:auto val="1"/>
        <c:lblAlgn val="ctr"/>
        <c:lblOffset val="100"/>
        <c:noMultiLvlLbl val="0"/>
      </c:catAx>
      <c:valAx>
        <c:axId val="209935744"/>
        <c:scaling>
          <c:orientation val="minMax"/>
        </c:scaling>
        <c:delete val="0"/>
        <c:axPos val="l"/>
        <c:majorGridlines/>
        <c:numFmt formatCode="General" sourceLinked="1"/>
        <c:majorTickMark val="out"/>
        <c:minorTickMark val="none"/>
        <c:tickLblPos val="nextTo"/>
        <c:crossAx val="209934208"/>
        <c:crosses val="autoZero"/>
        <c:crossBetween val="between"/>
      </c:valAx>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tx1"/>
              </a:solidFill>
            </c:spPr>
          </c:dPt>
          <c:dPt>
            <c:idx val="1"/>
            <c:invertIfNegative val="0"/>
            <c:bubble3D val="0"/>
            <c:spPr>
              <a:solidFill>
                <a:schemeClr val="tx1"/>
              </a:solidFill>
            </c:spPr>
          </c:dPt>
          <c:dPt>
            <c:idx val="2"/>
            <c:invertIfNegative val="0"/>
            <c:bubble3D val="0"/>
            <c:spPr>
              <a:solidFill>
                <a:schemeClr val="tx1"/>
              </a:solidFill>
            </c:spPr>
          </c:dPt>
          <c:dPt>
            <c:idx val="3"/>
            <c:invertIfNegative val="0"/>
            <c:bubble3D val="0"/>
            <c:spPr>
              <a:solidFill>
                <a:schemeClr val="bg1">
                  <a:lumMod val="50000"/>
                </a:schemeClr>
              </a:solidFill>
            </c:spPr>
          </c:dPt>
          <c:dPt>
            <c:idx val="4"/>
            <c:invertIfNegative val="0"/>
            <c:bubble3D val="0"/>
            <c:spPr>
              <a:solidFill>
                <a:schemeClr val="bg1">
                  <a:lumMod val="50000"/>
                </a:schemeClr>
              </a:solidFill>
            </c:spPr>
          </c:dPt>
          <c:dPt>
            <c:idx val="5"/>
            <c:invertIfNegative val="0"/>
            <c:bubble3D val="0"/>
            <c:spPr>
              <a:solidFill>
                <a:schemeClr val="bg1">
                  <a:lumMod val="50000"/>
                </a:schemeClr>
              </a:solidFill>
            </c:spPr>
          </c:dPt>
          <c:dPt>
            <c:idx val="6"/>
            <c:invertIfNegative val="0"/>
            <c:bubble3D val="0"/>
            <c:spPr>
              <a:solidFill>
                <a:schemeClr val="bg1">
                  <a:lumMod val="75000"/>
                </a:schemeClr>
              </a:solidFill>
            </c:spPr>
          </c:dPt>
          <c:dPt>
            <c:idx val="7"/>
            <c:invertIfNegative val="0"/>
            <c:bubble3D val="0"/>
            <c:spPr>
              <a:solidFill>
                <a:schemeClr val="bg1">
                  <a:lumMod val="75000"/>
                </a:schemeClr>
              </a:solidFill>
            </c:spPr>
          </c:dPt>
          <c:dPt>
            <c:idx val="8"/>
            <c:invertIfNegative val="0"/>
            <c:bubble3D val="0"/>
            <c:spPr>
              <a:solidFill>
                <a:schemeClr val="bg1">
                  <a:lumMod val="75000"/>
                </a:schemeClr>
              </a:solidFill>
            </c:spPr>
          </c:dPt>
          <c:dPt>
            <c:idx val="9"/>
            <c:invertIfNegative val="0"/>
            <c:bubble3D val="0"/>
            <c:spPr>
              <a:solidFill>
                <a:schemeClr val="bg1">
                  <a:lumMod val="85000"/>
                </a:schemeClr>
              </a:solidFill>
            </c:spPr>
          </c:dPt>
          <c:dPt>
            <c:idx val="10"/>
            <c:invertIfNegative val="0"/>
            <c:bubble3D val="0"/>
            <c:spPr>
              <a:solidFill>
                <a:schemeClr val="bg1">
                  <a:lumMod val="85000"/>
                </a:schemeClr>
              </a:solidFill>
            </c:spPr>
          </c:dPt>
          <c:dPt>
            <c:idx val="11"/>
            <c:invertIfNegative val="0"/>
            <c:bubble3D val="0"/>
            <c:spPr>
              <a:solidFill>
                <a:schemeClr val="bg1">
                  <a:lumMod val="85000"/>
                </a:schemeClr>
              </a:solidFill>
            </c:spPr>
          </c:dPt>
          <c:cat>
            <c:multiLvlStrRef>
              <c:f>'15 '!$A$5:$B$16</c:f>
              <c:multiLvlStrCache>
                <c:ptCount val="12"/>
                <c:lvl>
                  <c:pt idx="0">
                    <c:v>DE</c:v>
                  </c:pt>
                  <c:pt idx="1">
                    <c:v>FR</c:v>
                  </c:pt>
                  <c:pt idx="2">
                    <c:v>FI</c:v>
                  </c:pt>
                  <c:pt idx="3">
                    <c:v>NL</c:v>
                  </c:pt>
                  <c:pt idx="4">
                    <c:v>DE</c:v>
                  </c:pt>
                  <c:pt idx="5">
                    <c:v>FR</c:v>
                  </c:pt>
                  <c:pt idx="6">
                    <c:v>FR</c:v>
                  </c:pt>
                  <c:pt idx="7">
                    <c:v>DE </c:v>
                  </c:pt>
                  <c:pt idx="8">
                    <c:v>NL</c:v>
                  </c:pt>
                  <c:pt idx="9">
                    <c:v>FR</c:v>
                  </c:pt>
                  <c:pt idx="10">
                    <c:v>DE</c:v>
                  </c:pt>
                  <c:pt idx="11">
                    <c:v>NL</c:v>
                  </c:pt>
                </c:lvl>
                <c:lvl>
                  <c:pt idx="0">
                    <c:v>Peer-to-Peer Consumer lending</c:v>
                  </c:pt>
                  <c:pt idx="3">
                    <c:v>Peer-to-Peer Business lending</c:v>
                  </c:pt>
                  <c:pt idx="6">
                    <c:v>Equidy-based crowdfunding</c:v>
                  </c:pt>
                  <c:pt idx="9">
                    <c:v>Reward-based crowdfunding</c:v>
                  </c:pt>
                </c:lvl>
              </c:multiLvlStrCache>
            </c:multiLvlStrRef>
          </c:cat>
          <c:val>
            <c:numRef>
              <c:f>'15 '!$C$5:$C$16</c:f>
              <c:numCache>
                <c:formatCode>#,##0</c:formatCode>
                <c:ptCount val="12"/>
                <c:pt idx="0">
                  <c:v>136</c:v>
                </c:pt>
                <c:pt idx="1">
                  <c:v>135</c:v>
                </c:pt>
                <c:pt idx="2">
                  <c:v>34</c:v>
                </c:pt>
                <c:pt idx="3">
                  <c:v>74</c:v>
                </c:pt>
                <c:pt idx="4">
                  <c:v>49</c:v>
                </c:pt>
                <c:pt idx="5">
                  <c:v>29</c:v>
                </c:pt>
                <c:pt idx="6">
                  <c:v>75</c:v>
                </c:pt>
                <c:pt idx="7">
                  <c:v>24</c:v>
                </c:pt>
                <c:pt idx="8">
                  <c:v>17</c:v>
                </c:pt>
                <c:pt idx="9">
                  <c:v>48</c:v>
                </c:pt>
                <c:pt idx="10">
                  <c:v>21</c:v>
                </c:pt>
                <c:pt idx="11">
                  <c:v>11</c:v>
                </c:pt>
              </c:numCache>
            </c:numRef>
          </c:val>
        </c:ser>
        <c:dLbls>
          <c:showLegendKey val="0"/>
          <c:showVal val="0"/>
          <c:showCatName val="0"/>
          <c:showSerName val="0"/>
          <c:showPercent val="0"/>
          <c:showBubbleSize val="0"/>
        </c:dLbls>
        <c:gapWidth val="150"/>
        <c:axId val="210062336"/>
        <c:axId val="210072320"/>
      </c:barChart>
      <c:catAx>
        <c:axId val="210062336"/>
        <c:scaling>
          <c:orientation val="minMax"/>
        </c:scaling>
        <c:delete val="0"/>
        <c:axPos val="b"/>
        <c:majorTickMark val="out"/>
        <c:minorTickMark val="none"/>
        <c:tickLblPos val="nextTo"/>
        <c:crossAx val="210072320"/>
        <c:crosses val="autoZero"/>
        <c:auto val="1"/>
        <c:lblAlgn val="ctr"/>
        <c:lblOffset val="100"/>
        <c:noMultiLvlLbl val="0"/>
      </c:catAx>
      <c:valAx>
        <c:axId val="210072320"/>
        <c:scaling>
          <c:orientation val="minMax"/>
          <c:max val="150"/>
          <c:min val="0"/>
        </c:scaling>
        <c:delete val="0"/>
        <c:axPos val="l"/>
        <c:majorGridlines/>
        <c:numFmt formatCode="#,##0" sourceLinked="1"/>
        <c:majorTickMark val="out"/>
        <c:minorTickMark val="none"/>
        <c:tickLblPos val="nextTo"/>
        <c:crossAx val="210062336"/>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Sheet1!$B$9</c:f>
              <c:strCache>
                <c:ptCount val="1"/>
                <c:pt idx="0">
                  <c:v>German</c:v>
                </c:pt>
              </c:strCache>
            </c:strRef>
          </c:tx>
          <c:invertIfNegative val="0"/>
          <c:cat>
            <c:numRef>
              <c:f>Sheet1!$A$10:$A$15</c:f>
              <c:numCache>
                <c:formatCode>General</c:formatCode>
                <c:ptCount val="6"/>
                <c:pt idx="0">
                  <c:v>2011</c:v>
                </c:pt>
                <c:pt idx="1">
                  <c:v>2012</c:v>
                </c:pt>
                <c:pt idx="2">
                  <c:v>2013</c:v>
                </c:pt>
                <c:pt idx="3">
                  <c:v>2014</c:v>
                </c:pt>
                <c:pt idx="4">
                  <c:v>2015</c:v>
                </c:pt>
                <c:pt idx="5">
                  <c:v>2016</c:v>
                </c:pt>
              </c:numCache>
            </c:numRef>
          </c:cat>
          <c:val>
            <c:numRef>
              <c:f>Sheet1!$B$10:$B$15</c:f>
              <c:numCache>
                <c:formatCode>0.00</c:formatCode>
                <c:ptCount val="6"/>
                <c:pt idx="0">
                  <c:v>5.8333333333333339</c:v>
                </c:pt>
                <c:pt idx="1">
                  <c:v>8.7500000000000018</c:v>
                </c:pt>
                <c:pt idx="2">
                  <c:v>5</c:v>
                </c:pt>
                <c:pt idx="3">
                  <c:v>9.1666666666666679</c:v>
                </c:pt>
                <c:pt idx="4">
                  <c:v>14.583333333333336</c:v>
                </c:pt>
                <c:pt idx="5">
                  <c:v>14.166666666666668</c:v>
                </c:pt>
              </c:numCache>
            </c:numRef>
          </c:val>
        </c:ser>
        <c:ser>
          <c:idx val="1"/>
          <c:order val="1"/>
          <c:tx>
            <c:strRef>
              <c:f>Sheet1!$C$9</c:f>
              <c:strCache>
                <c:ptCount val="1"/>
                <c:pt idx="0">
                  <c:v>Non-German</c:v>
                </c:pt>
              </c:strCache>
            </c:strRef>
          </c:tx>
          <c:invertIfNegative val="0"/>
          <c:cat>
            <c:numRef>
              <c:f>Sheet1!$A$10:$A$15</c:f>
              <c:numCache>
                <c:formatCode>General</c:formatCode>
                <c:ptCount val="6"/>
                <c:pt idx="0">
                  <c:v>2011</c:v>
                </c:pt>
                <c:pt idx="1">
                  <c:v>2012</c:v>
                </c:pt>
                <c:pt idx="2">
                  <c:v>2013</c:v>
                </c:pt>
                <c:pt idx="3">
                  <c:v>2014</c:v>
                </c:pt>
                <c:pt idx="4">
                  <c:v>2015</c:v>
                </c:pt>
                <c:pt idx="5">
                  <c:v>2016</c:v>
                </c:pt>
              </c:numCache>
            </c:numRef>
          </c:cat>
          <c:val>
            <c:numRef>
              <c:f>Sheet1!$C$10:$C$15</c:f>
              <c:numCache>
                <c:formatCode>0.00</c:formatCode>
                <c:ptCount val="6"/>
                <c:pt idx="0">
                  <c:v>1.0416666666666667</c:v>
                </c:pt>
                <c:pt idx="1">
                  <c:v>4.166666666666667</c:v>
                </c:pt>
                <c:pt idx="2">
                  <c:v>2.916666666666667</c:v>
                </c:pt>
                <c:pt idx="3">
                  <c:v>3.75</c:v>
                </c:pt>
                <c:pt idx="4">
                  <c:v>4.7916666666666661</c:v>
                </c:pt>
                <c:pt idx="5">
                  <c:v>11.250000000000002</c:v>
                </c:pt>
              </c:numCache>
            </c:numRef>
          </c:val>
        </c:ser>
        <c:dLbls>
          <c:showLegendKey val="0"/>
          <c:showVal val="0"/>
          <c:showCatName val="0"/>
          <c:showSerName val="0"/>
          <c:showPercent val="0"/>
          <c:showBubbleSize val="0"/>
        </c:dLbls>
        <c:gapWidth val="150"/>
        <c:overlap val="100"/>
        <c:axId val="210090624"/>
        <c:axId val="210092416"/>
      </c:barChart>
      <c:lineChart>
        <c:grouping val="standard"/>
        <c:varyColors val="0"/>
        <c:ser>
          <c:idx val="2"/>
          <c:order val="2"/>
          <c:tx>
            <c:strRef>
              <c:f>Sheet1!$D$9</c:f>
              <c:strCache>
                <c:ptCount val="1"/>
                <c:pt idx="0">
                  <c:v>Share of non-German SSD issuers</c:v>
                </c:pt>
              </c:strCache>
            </c:strRef>
          </c:tx>
          <c:marker>
            <c:symbol val="none"/>
          </c:marker>
          <c:cat>
            <c:numRef>
              <c:f>Sheet1!$A$10:$A$15</c:f>
              <c:numCache>
                <c:formatCode>General</c:formatCode>
                <c:ptCount val="6"/>
                <c:pt idx="0">
                  <c:v>2011</c:v>
                </c:pt>
                <c:pt idx="1">
                  <c:v>2012</c:v>
                </c:pt>
                <c:pt idx="2">
                  <c:v>2013</c:v>
                </c:pt>
                <c:pt idx="3">
                  <c:v>2014</c:v>
                </c:pt>
                <c:pt idx="4">
                  <c:v>2015</c:v>
                </c:pt>
                <c:pt idx="5">
                  <c:v>2016</c:v>
                </c:pt>
              </c:numCache>
            </c:numRef>
          </c:cat>
          <c:val>
            <c:numRef>
              <c:f>Sheet1!$D$10:$D$15</c:f>
              <c:numCache>
                <c:formatCode>0.00%</c:formatCode>
                <c:ptCount val="6"/>
                <c:pt idx="0">
                  <c:v>0.18333333333333335</c:v>
                </c:pt>
                <c:pt idx="1">
                  <c:v>0.30833333333333335</c:v>
                </c:pt>
                <c:pt idx="2">
                  <c:v>0.29166666666666669</c:v>
                </c:pt>
                <c:pt idx="3">
                  <c:v>0.28333333333333338</c:v>
                </c:pt>
                <c:pt idx="4">
                  <c:v>0.24166666666666667</c:v>
                </c:pt>
                <c:pt idx="5">
                  <c:v>0.45833333333333343</c:v>
                </c:pt>
              </c:numCache>
            </c:numRef>
          </c:val>
          <c:smooth val="0"/>
        </c:ser>
        <c:dLbls>
          <c:showLegendKey val="0"/>
          <c:showVal val="0"/>
          <c:showCatName val="0"/>
          <c:showSerName val="0"/>
          <c:showPercent val="0"/>
          <c:showBubbleSize val="0"/>
        </c:dLbls>
        <c:marker val="1"/>
        <c:smooth val="0"/>
        <c:axId val="210095488"/>
        <c:axId val="210093952"/>
      </c:lineChart>
      <c:catAx>
        <c:axId val="210090624"/>
        <c:scaling>
          <c:orientation val="minMax"/>
        </c:scaling>
        <c:delete val="0"/>
        <c:axPos val="b"/>
        <c:numFmt formatCode="General" sourceLinked="1"/>
        <c:majorTickMark val="out"/>
        <c:minorTickMark val="none"/>
        <c:tickLblPos val="nextTo"/>
        <c:crossAx val="210092416"/>
        <c:crosses val="autoZero"/>
        <c:auto val="1"/>
        <c:lblAlgn val="ctr"/>
        <c:lblOffset val="100"/>
        <c:noMultiLvlLbl val="0"/>
      </c:catAx>
      <c:valAx>
        <c:axId val="210092416"/>
        <c:scaling>
          <c:orientation val="minMax"/>
        </c:scaling>
        <c:delete val="0"/>
        <c:axPos val="l"/>
        <c:majorGridlines/>
        <c:numFmt formatCode="0" sourceLinked="0"/>
        <c:majorTickMark val="out"/>
        <c:minorTickMark val="none"/>
        <c:tickLblPos val="nextTo"/>
        <c:crossAx val="210090624"/>
        <c:crosses val="autoZero"/>
        <c:crossBetween val="between"/>
      </c:valAx>
      <c:valAx>
        <c:axId val="210093952"/>
        <c:scaling>
          <c:orientation val="minMax"/>
        </c:scaling>
        <c:delete val="0"/>
        <c:axPos val="r"/>
        <c:numFmt formatCode="0%" sourceLinked="0"/>
        <c:majorTickMark val="out"/>
        <c:minorTickMark val="none"/>
        <c:tickLblPos val="nextTo"/>
        <c:crossAx val="210095488"/>
        <c:crosses val="max"/>
        <c:crossBetween val="between"/>
        <c:minorUnit val="1.0000000000000002E-2"/>
      </c:valAx>
      <c:catAx>
        <c:axId val="210095488"/>
        <c:scaling>
          <c:orientation val="minMax"/>
        </c:scaling>
        <c:delete val="1"/>
        <c:axPos val="b"/>
        <c:numFmt formatCode="General" sourceLinked="1"/>
        <c:majorTickMark val="out"/>
        <c:minorTickMark val="none"/>
        <c:tickLblPos val="nextTo"/>
        <c:crossAx val="210093952"/>
        <c:crosses val="autoZero"/>
        <c:auto val="1"/>
        <c:lblAlgn val="ctr"/>
        <c:lblOffset val="100"/>
        <c:noMultiLvlLbl val="0"/>
      </c:catAx>
    </c:plotArea>
    <c:legend>
      <c:legendPos val="b"/>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Sheet2!$B$3</c:f>
              <c:strCache>
                <c:ptCount val="1"/>
                <c:pt idx="0">
                  <c:v>Percentage</c:v>
                </c:pt>
              </c:strCache>
            </c:strRef>
          </c:tx>
          <c:invertIfNegative val="0"/>
          <c:cat>
            <c:strRef>
              <c:f>Sheet2!$A$4:$A$12</c:f>
              <c:strCache>
                <c:ptCount val="9"/>
                <c:pt idx="0">
                  <c:v>Netherlands</c:v>
                </c:pt>
                <c:pt idx="1">
                  <c:v>Finland</c:v>
                </c:pt>
                <c:pt idx="2">
                  <c:v>Israel</c:v>
                </c:pt>
                <c:pt idx="3">
                  <c:v>Luxembourg</c:v>
                </c:pt>
                <c:pt idx="4">
                  <c:v>Spain</c:v>
                </c:pt>
                <c:pt idx="5">
                  <c:v>Germany</c:v>
                </c:pt>
                <c:pt idx="6">
                  <c:v>Belgium</c:v>
                </c:pt>
                <c:pt idx="7">
                  <c:v>Italy</c:v>
                </c:pt>
                <c:pt idx="8">
                  <c:v>France</c:v>
                </c:pt>
              </c:strCache>
            </c:strRef>
          </c:cat>
          <c:val>
            <c:numRef>
              <c:f>Sheet2!$B$4:$B$12</c:f>
              <c:numCache>
                <c:formatCode>0%</c:formatCode>
                <c:ptCount val="9"/>
                <c:pt idx="0">
                  <c:v>0.01</c:v>
                </c:pt>
                <c:pt idx="1">
                  <c:v>0.01</c:v>
                </c:pt>
                <c:pt idx="2">
                  <c:v>0.02</c:v>
                </c:pt>
                <c:pt idx="3">
                  <c:v>0.05</c:v>
                </c:pt>
                <c:pt idx="4">
                  <c:v>0.09</c:v>
                </c:pt>
                <c:pt idx="5">
                  <c:v>0.09</c:v>
                </c:pt>
                <c:pt idx="6">
                  <c:v>0.14000000000000001</c:v>
                </c:pt>
                <c:pt idx="7">
                  <c:v>0.17</c:v>
                </c:pt>
                <c:pt idx="8">
                  <c:v>0.42</c:v>
                </c:pt>
              </c:numCache>
            </c:numRef>
          </c:val>
        </c:ser>
        <c:dLbls>
          <c:showLegendKey val="0"/>
          <c:showVal val="0"/>
          <c:showCatName val="0"/>
          <c:showSerName val="0"/>
          <c:showPercent val="0"/>
          <c:showBubbleSize val="0"/>
        </c:dLbls>
        <c:gapWidth val="150"/>
        <c:axId val="210103680"/>
        <c:axId val="210109568"/>
      </c:barChart>
      <c:catAx>
        <c:axId val="210103680"/>
        <c:scaling>
          <c:orientation val="minMax"/>
        </c:scaling>
        <c:delete val="0"/>
        <c:axPos val="l"/>
        <c:majorTickMark val="out"/>
        <c:minorTickMark val="none"/>
        <c:tickLblPos val="nextTo"/>
        <c:crossAx val="210109568"/>
        <c:crosses val="autoZero"/>
        <c:auto val="1"/>
        <c:lblAlgn val="ctr"/>
        <c:lblOffset val="100"/>
        <c:noMultiLvlLbl val="0"/>
      </c:catAx>
      <c:valAx>
        <c:axId val="210109568"/>
        <c:scaling>
          <c:orientation val="minMax"/>
        </c:scaling>
        <c:delete val="0"/>
        <c:axPos val="b"/>
        <c:majorGridlines/>
        <c:numFmt formatCode="0%" sourceLinked="1"/>
        <c:majorTickMark val="out"/>
        <c:minorTickMark val="none"/>
        <c:tickLblPos val="nextTo"/>
        <c:crossAx val="21010368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840724217566799"/>
          <c:y val="6.5476190476190479E-2"/>
          <c:w val="0.81372504677124236"/>
          <c:h val="0.59756342418415997"/>
        </c:manualLayout>
      </c:layout>
      <c:barChart>
        <c:barDir val="col"/>
        <c:grouping val="stacked"/>
        <c:varyColors val="0"/>
        <c:ser>
          <c:idx val="0"/>
          <c:order val="0"/>
          <c:tx>
            <c:strRef>
              <c:f>CMU!$C$5</c:f>
              <c:strCache>
                <c:ptCount val="1"/>
                <c:pt idx="0">
                  <c:v>bank</c:v>
                </c:pt>
              </c:strCache>
            </c:strRef>
          </c:tx>
          <c:invertIfNegative val="0"/>
          <c:cat>
            <c:multiLvlStrRef>
              <c:f>CMU!$D$3:$G$4</c:f>
              <c:multiLvlStrCache>
                <c:ptCount val="4"/>
                <c:lvl>
                  <c:pt idx="0">
                    <c:v>2002-2008</c:v>
                  </c:pt>
                  <c:pt idx="1">
                    <c:v>2002 - Q1 2016</c:v>
                  </c:pt>
                  <c:pt idx="2">
                    <c:v>2002-2008</c:v>
                  </c:pt>
                  <c:pt idx="3">
                    <c:v>2002 - Q1 2016</c:v>
                  </c:pt>
                </c:lvl>
                <c:lvl>
                  <c:pt idx="0">
                    <c:v>euro area</c:v>
                  </c:pt>
                  <c:pt idx="2">
                    <c:v>United States</c:v>
                  </c:pt>
                </c:lvl>
              </c:multiLvlStrCache>
            </c:multiLvlStrRef>
          </c:cat>
          <c:val>
            <c:numRef>
              <c:f>CMU!$D$5:$G$5</c:f>
              <c:numCache>
                <c:formatCode>General</c:formatCode>
                <c:ptCount val="4"/>
                <c:pt idx="0">
                  <c:v>0.7</c:v>
                </c:pt>
                <c:pt idx="1">
                  <c:v>0.5</c:v>
                </c:pt>
                <c:pt idx="2">
                  <c:v>0.4</c:v>
                </c:pt>
                <c:pt idx="3">
                  <c:v>0.25</c:v>
                </c:pt>
              </c:numCache>
            </c:numRef>
          </c:val>
        </c:ser>
        <c:ser>
          <c:idx val="1"/>
          <c:order val="1"/>
          <c:tx>
            <c:strRef>
              <c:f>CMU!$C$6</c:f>
              <c:strCache>
                <c:ptCount val="1"/>
                <c:pt idx="0">
                  <c:v>non-bank</c:v>
                </c:pt>
              </c:strCache>
            </c:strRef>
          </c:tx>
          <c:invertIfNegative val="0"/>
          <c:cat>
            <c:multiLvlStrRef>
              <c:f>CMU!$D$3:$G$4</c:f>
              <c:multiLvlStrCache>
                <c:ptCount val="4"/>
                <c:lvl>
                  <c:pt idx="0">
                    <c:v>2002-2008</c:v>
                  </c:pt>
                  <c:pt idx="1">
                    <c:v>2002 - Q1 2016</c:v>
                  </c:pt>
                  <c:pt idx="2">
                    <c:v>2002-2008</c:v>
                  </c:pt>
                  <c:pt idx="3">
                    <c:v>2002 - Q1 2016</c:v>
                  </c:pt>
                </c:lvl>
                <c:lvl>
                  <c:pt idx="0">
                    <c:v>euro area</c:v>
                  </c:pt>
                  <c:pt idx="2">
                    <c:v>United States</c:v>
                  </c:pt>
                </c:lvl>
              </c:multiLvlStrCache>
            </c:multiLvlStrRef>
          </c:cat>
          <c:val>
            <c:numRef>
              <c:f>CMU!$D$6:$G$6</c:f>
              <c:numCache>
                <c:formatCode>General</c:formatCode>
                <c:ptCount val="4"/>
                <c:pt idx="0">
                  <c:v>0.3</c:v>
                </c:pt>
                <c:pt idx="1">
                  <c:v>0.5</c:v>
                </c:pt>
                <c:pt idx="2">
                  <c:v>0.6</c:v>
                </c:pt>
                <c:pt idx="3">
                  <c:v>0.75</c:v>
                </c:pt>
              </c:numCache>
            </c:numRef>
          </c:val>
        </c:ser>
        <c:dLbls>
          <c:showLegendKey val="0"/>
          <c:showVal val="0"/>
          <c:showCatName val="0"/>
          <c:showSerName val="0"/>
          <c:showPercent val="0"/>
          <c:showBubbleSize val="0"/>
        </c:dLbls>
        <c:gapWidth val="75"/>
        <c:overlap val="100"/>
        <c:axId val="210130432"/>
        <c:axId val="210131968"/>
      </c:barChart>
      <c:catAx>
        <c:axId val="210130432"/>
        <c:scaling>
          <c:orientation val="minMax"/>
        </c:scaling>
        <c:delete val="0"/>
        <c:axPos val="b"/>
        <c:majorTickMark val="none"/>
        <c:minorTickMark val="none"/>
        <c:tickLblPos val="nextTo"/>
        <c:crossAx val="210131968"/>
        <c:crosses val="autoZero"/>
        <c:auto val="1"/>
        <c:lblAlgn val="ctr"/>
        <c:lblOffset val="100"/>
        <c:noMultiLvlLbl val="0"/>
      </c:catAx>
      <c:valAx>
        <c:axId val="210131968"/>
        <c:scaling>
          <c:orientation val="minMax"/>
          <c:max val="1"/>
        </c:scaling>
        <c:delete val="0"/>
        <c:axPos val="l"/>
        <c:majorGridlines/>
        <c:numFmt formatCode="0%" sourceLinked="0"/>
        <c:majorTickMark val="none"/>
        <c:minorTickMark val="none"/>
        <c:tickLblPos val="nextTo"/>
        <c:crossAx val="210130432"/>
        <c:crosses val="autoZero"/>
        <c:crossBetween val="between"/>
      </c:valAx>
    </c:plotArea>
    <c:legend>
      <c:legendPos val="b"/>
      <c:layout>
        <c:manualLayout>
          <c:xMode val="edge"/>
          <c:yMode val="edge"/>
          <c:x val="0.40583087762234649"/>
          <c:y val="0.90674212598425197"/>
          <c:w val="0.33626294344111057"/>
          <c:h val="9.3257874015748032E-2"/>
        </c:manualLayout>
      </c:layout>
      <c:overlay val="0"/>
    </c:legend>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Final!$B$25</c:f>
              <c:strCache>
                <c:ptCount val="1"/>
                <c:pt idx="0">
                  <c:v>Loans</c:v>
                </c:pt>
              </c:strCache>
            </c:strRef>
          </c:tx>
          <c:invertIfNegative val="0"/>
          <c:cat>
            <c:numRef>
              <c:f>Final!$A$26:$A$28</c:f>
              <c:numCache>
                <c:formatCode>General</c:formatCode>
                <c:ptCount val="3"/>
                <c:pt idx="0">
                  <c:v>2005</c:v>
                </c:pt>
                <c:pt idx="1">
                  <c:v>2008</c:v>
                </c:pt>
                <c:pt idx="2">
                  <c:v>2015</c:v>
                </c:pt>
              </c:numCache>
            </c:numRef>
          </c:cat>
          <c:val>
            <c:numRef>
              <c:f>Final!$B$26:$B$28</c:f>
              <c:numCache>
                <c:formatCode>0.0%</c:formatCode>
                <c:ptCount val="3"/>
                <c:pt idx="0">
                  <c:v>0.29619385550680161</c:v>
                </c:pt>
                <c:pt idx="1">
                  <c:v>0.37407649809492816</c:v>
                </c:pt>
                <c:pt idx="2">
                  <c:v>0.28561109984993638</c:v>
                </c:pt>
              </c:numCache>
            </c:numRef>
          </c:val>
        </c:ser>
        <c:ser>
          <c:idx val="1"/>
          <c:order val="1"/>
          <c:tx>
            <c:strRef>
              <c:f>Final!$C$25</c:f>
              <c:strCache>
                <c:ptCount val="1"/>
                <c:pt idx="0">
                  <c:v>Debt securities</c:v>
                </c:pt>
              </c:strCache>
            </c:strRef>
          </c:tx>
          <c:spPr>
            <a:pattFill prst="dkDnDiag">
              <a:fgClr>
                <a:schemeClr val="bg1">
                  <a:lumMod val="75000"/>
                </a:schemeClr>
              </a:fgClr>
              <a:bgClr>
                <a:schemeClr val="bg1"/>
              </a:bgClr>
            </a:pattFill>
          </c:spPr>
          <c:invertIfNegative val="0"/>
          <c:cat>
            <c:numRef>
              <c:f>Final!$A$26:$A$28</c:f>
              <c:numCache>
                <c:formatCode>General</c:formatCode>
                <c:ptCount val="3"/>
                <c:pt idx="0">
                  <c:v>2005</c:v>
                </c:pt>
                <c:pt idx="1">
                  <c:v>2008</c:v>
                </c:pt>
                <c:pt idx="2">
                  <c:v>2015</c:v>
                </c:pt>
              </c:numCache>
            </c:numRef>
          </c:cat>
          <c:val>
            <c:numRef>
              <c:f>Final!$C$26:$C$28</c:f>
              <c:numCache>
                <c:formatCode>0.0%</c:formatCode>
                <c:ptCount val="3"/>
                <c:pt idx="0">
                  <c:v>4.6179167392246791E-2</c:v>
                </c:pt>
                <c:pt idx="1">
                  <c:v>4.2524195892920121E-2</c:v>
                </c:pt>
                <c:pt idx="2">
                  <c:v>5.7263502402230895E-2</c:v>
                </c:pt>
              </c:numCache>
            </c:numRef>
          </c:val>
        </c:ser>
        <c:ser>
          <c:idx val="2"/>
          <c:order val="2"/>
          <c:tx>
            <c:strRef>
              <c:f>Final!$D$25</c:f>
              <c:strCache>
                <c:ptCount val="1"/>
                <c:pt idx="0">
                  <c:v>Listed shares</c:v>
                </c:pt>
              </c:strCache>
            </c:strRef>
          </c:tx>
          <c:invertIfNegative val="0"/>
          <c:cat>
            <c:numRef>
              <c:f>Final!$A$26:$A$28</c:f>
              <c:numCache>
                <c:formatCode>General</c:formatCode>
                <c:ptCount val="3"/>
                <c:pt idx="0">
                  <c:v>2005</c:v>
                </c:pt>
                <c:pt idx="1">
                  <c:v>2008</c:v>
                </c:pt>
                <c:pt idx="2">
                  <c:v>2015</c:v>
                </c:pt>
              </c:numCache>
            </c:numRef>
          </c:cat>
          <c:val>
            <c:numRef>
              <c:f>Final!$D$26:$D$28</c:f>
              <c:numCache>
                <c:formatCode>0.0%</c:formatCode>
                <c:ptCount val="3"/>
                <c:pt idx="0">
                  <c:v>0.23500107817011093</c:v>
                </c:pt>
                <c:pt idx="1">
                  <c:v>0.15364248630891425</c:v>
                </c:pt>
                <c:pt idx="2">
                  <c:v>0.20929608221314852</c:v>
                </c:pt>
              </c:numCache>
            </c:numRef>
          </c:val>
        </c:ser>
        <c:ser>
          <c:idx val="3"/>
          <c:order val="3"/>
          <c:tx>
            <c:strRef>
              <c:f>Final!$E$25</c:f>
              <c:strCache>
                <c:ptCount val="1"/>
                <c:pt idx="0">
                  <c:v>Unlisted shares &amp; other equity</c:v>
                </c:pt>
              </c:strCache>
            </c:strRef>
          </c:tx>
          <c:spPr>
            <a:solidFill>
              <a:schemeClr val="bg1">
                <a:lumMod val="75000"/>
              </a:schemeClr>
            </a:solidFill>
          </c:spPr>
          <c:invertIfNegative val="0"/>
          <c:cat>
            <c:numRef>
              <c:f>Final!$A$26:$A$28</c:f>
              <c:numCache>
                <c:formatCode>General</c:formatCode>
                <c:ptCount val="3"/>
                <c:pt idx="0">
                  <c:v>2005</c:v>
                </c:pt>
                <c:pt idx="1">
                  <c:v>2008</c:v>
                </c:pt>
                <c:pt idx="2">
                  <c:v>2015</c:v>
                </c:pt>
              </c:numCache>
            </c:numRef>
          </c:cat>
          <c:val>
            <c:numRef>
              <c:f>Final!$E$26:$E$28</c:f>
              <c:numCache>
                <c:formatCode>0.0%</c:formatCode>
                <c:ptCount val="3"/>
                <c:pt idx="0">
                  <c:v>0.31421661045193033</c:v>
                </c:pt>
                <c:pt idx="1">
                  <c:v>0.31473717059298417</c:v>
                </c:pt>
                <c:pt idx="2">
                  <c:v>0.33044528606017853</c:v>
                </c:pt>
              </c:numCache>
            </c:numRef>
          </c:val>
        </c:ser>
        <c:ser>
          <c:idx val="4"/>
          <c:order val="4"/>
          <c:tx>
            <c:strRef>
              <c:f>Final!$F$25</c:f>
              <c:strCache>
                <c:ptCount val="1"/>
                <c:pt idx="0">
                  <c:v>Trade credit</c:v>
                </c:pt>
              </c:strCache>
            </c:strRef>
          </c:tx>
          <c:spPr>
            <a:pattFill prst="pct90">
              <a:fgClr>
                <a:schemeClr val="tx1"/>
              </a:fgClr>
              <a:bgClr>
                <a:schemeClr val="bg1"/>
              </a:bgClr>
            </a:pattFill>
          </c:spPr>
          <c:invertIfNegative val="0"/>
          <c:cat>
            <c:numRef>
              <c:f>Final!$A$26:$A$28</c:f>
              <c:numCache>
                <c:formatCode>General</c:formatCode>
                <c:ptCount val="3"/>
                <c:pt idx="0">
                  <c:v>2005</c:v>
                </c:pt>
                <c:pt idx="1">
                  <c:v>2008</c:v>
                </c:pt>
                <c:pt idx="2">
                  <c:v>2015</c:v>
                </c:pt>
              </c:numCache>
            </c:numRef>
          </c:cat>
          <c:val>
            <c:numRef>
              <c:f>Final!$F$26:$F$28</c:f>
              <c:numCache>
                <c:formatCode>0.0%</c:formatCode>
                <c:ptCount val="3"/>
                <c:pt idx="0">
                  <c:v>2.7500360692174795E-2</c:v>
                </c:pt>
                <c:pt idx="1">
                  <c:v>3.015951635727622E-2</c:v>
                </c:pt>
                <c:pt idx="2">
                  <c:v>2.9286690610920665E-2</c:v>
                </c:pt>
              </c:numCache>
            </c:numRef>
          </c:val>
        </c:ser>
        <c:ser>
          <c:idx val="5"/>
          <c:order val="5"/>
          <c:tx>
            <c:strRef>
              <c:f>Final!$G$25</c:f>
              <c:strCache>
                <c:ptCount val="1"/>
                <c:pt idx="0">
                  <c:v>Other liabilities</c:v>
                </c:pt>
              </c:strCache>
            </c:strRef>
          </c:tx>
          <c:spPr>
            <a:pattFill prst="dkHorz">
              <a:fgClr>
                <a:schemeClr val="bg1">
                  <a:lumMod val="75000"/>
                </a:schemeClr>
              </a:fgClr>
              <a:bgClr>
                <a:schemeClr val="bg1"/>
              </a:bgClr>
            </a:pattFill>
          </c:spPr>
          <c:invertIfNegative val="0"/>
          <c:cat>
            <c:numRef>
              <c:f>Final!$A$26:$A$28</c:f>
              <c:numCache>
                <c:formatCode>General</c:formatCode>
                <c:ptCount val="3"/>
                <c:pt idx="0">
                  <c:v>2005</c:v>
                </c:pt>
                <c:pt idx="1">
                  <c:v>2008</c:v>
                </c:pt>
                <c:pt idx="2">
                  <c:v>2015</c:v>
                </c:pt>
              </c:numCache>
            </c:numRef>
          </c:cat>
          <c:val>
            <c:numRef>
              <c:f>Final!$G$26:$G$28</c:f>
              <c:numCache>
                <c:formatCode>0.0%</c:formatCode>
                <c:ptCount val="3"/>
                <c:pt idx="0">
                  <c:v>8.0908927786735557E-2</c:v>
                </c:pt>
                <c:pt idx="1">
                  <c:v>8.486013275297706E-2</c:v>
                </c:pt>
                <c:pt idx="2">
                  <c:v>8.8097338863585048E-2</c:v>
                </c:pt>
              </c:numCache>
            </c:numRef>
          </c:val>
        </c:ser>
        <c:dLbls>
          <c:showLegendKey val="0"/>
          <c:showVal val="0"/>
          <c:showCatName val="0"/>
          <c:showSerName val="0"/>
          <c:showPercent val="0"/>
          <c:showBubbleSize val="0"/>
        </c:dLbls>
        <c:gapWidth val="54"/>
        <c:overlap val="100"/>
        <c:axId val="210509184"/>
        <c:axId val="210527360"/>
      </c:barChart>
      <c:catAx>
        <c:axId val="210509184"/>
        <c:scaling>
          <c:orientation val="minMax"/>
        </c:scaling>
        <c:delete val="0"/>
        <c:axPos val="b"/>
        <c:numFmt formatCode="General" sourceLinked="1"/>
        <c:majorTickMark val="out"/>
        <c:minorTickMark val="none"/>
        <c:tickLblPos val="nextTo"/>
        <c:crossAx val="210527360"/>
        <c:crosses val="autoZero"/>
        <c:auto val="1"/>
        <c:lblAlgn val="ctr"/>
        <c:lblOffset val="100"/>
        <c:noMultiLvlLbl val="0"/>
      </c:catAx>
      <c:valAx>
        <c:axId val="210527360"/>
        <c:scaling>
          <c:orientation val="minMax"/>
        </c:scaling>
        <c:delete val="0"/>
        <c:axPos val="l"/>
        <c:majorGridlines/>
        <c:numFmt formatCode="0%" sourceLinked="1"/>
        <c:majorTickMark val="out"/>
        <c:minorTickMark val="none"/>
        <c:tickLblPos val="nextTo"/>
        <c:crossAx val="21050918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8720100399583"/>
          <c:y val="4.847755492677009E-2"/>
          <c:w val="0.83999239200054621"/>
          <c:h val="0.74727656286624589"/>
        </c:manualLayout>
      </c:layout>
      <c:lineChart>
        <c:grouping val="standard"/>
        <c:varyColors val="0"/>
        <c:ser>
          <c:idx val="0"/>
          <c:order val="0"/>
          <c:tx>
            <c:strRef>
              <c:f>'Net FC formation % GDP'!$B$106</c:f>
              <c:strCache>
                <c:ptCount val="1"/>
                <c:pt idx="0">
                  <c:v>United States</c:v>
                </c:pt>
              </c:strCache>
            </c:strRef>
          </c:tx>
          <c:spPr>
            <a:ln>
              <a:solidFill>
                <a:schemeClr val="bg1">
                  <a:lumMod val="65000"/>
                </a:schemeClr>
              </a:solidFill>
            </a:ln>
          </c:spPr>
          <c:marker>
            <c:symbol val="none"/>
          </c:marker>
          <c:cat>
            <c:numRef>
              <c:f>'Net FC formation % GDP'!$I$76:$AA$76</c:f>
              <c:numCache>
                <c:formatCode>0</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'Net FC formation % GDP'!$I$106:$AA$106</c:f>
              <c:numCache>
                <c:formatCode>0%</c:formatCode>
                <c:ptCount val="19"/>
                <c:pt idx="0">
                  <c:v>9.8691467019290602E-2</c:v>
                </c:pt>
                <c:pt idx="1">
                  <c:v>8.5887137773258695E-2</c:v>
                </c:pt>
                <c:pt idx="2">
                  <c:v>7.3266408562969704E-2</c:v>
                </c:pt>
                <c:pt idx="3">
                  <c:v>7.4874421190718202E-2</c:v>
                </c:pt>
                <c:pt idx="4">
                  <c:v>7.9225655606155604E-2</c:v>
                </c:pt>
                <c:pt idx="5">
                  <c:v>8.1655910857893504E-2</c:v>
                </c:pt>
                <c:pt idx="6">
                  <c:v>7.6536782164998304E-2</c:v>
                </c:pt>
                <c:pt idx="7">
                  <c:v>6.5079847488534001E-2</c:v>
                </c:pt>
                <c:pt idx="8">
                  <c:v>4.8997934586169897E-2</c:v>
                </c:pt>
                <c:pt idx="9">
                  <c:v>2.10139610367093E-2</c:v>
                </c:pt>
                <c:pt idx="10">
                  <c:v>2.0682419609205801E-2</c:v>
                </c:pt>
                <c:pt idx="11">
                  <c:v>2.4440742626257402E-2</c:v>
                </c:pt>
                <c:pt idx="12">
                  <c:v>3.1763074656614203E-2</c:v>
                </c:pt>
                <c:pt idx="13">
                  <c:v>3.2973489500644E-2</c:v>
                </c:pt>
                <c:pt idx="14">
                  <c:v>3.5950865573129598E-2</c:v>
                </c:pt>
                <c:pt idx="15">
                  <c:v>3.8216737079050399E-2</c:v>
                </c:pt>
                <c:pt idx="16">
                  <c:v>3.59887218652548E-2</c:v>
                </c:pt>
                <c:pt idx="17">
                  <c:v>3.7841060053820201E-2</c:v>
                </c:pt>
                <c:pt idx="18">
                  <c:v>3.8694996527043501E-2</c:v>
                </c:pt>
              </c:numCache>
            </c:numRef>
          </c:val>
          <c:smooth val="0"/>
        </c:ser>
        <c:ser>
          <c:idx val="1"/>
          <c:order val="1"/>
          <c:tx>
            <c:strRef>
              <c:f>'Net FC formation % GDP'!$B$107</c:f>
              <c:strCache>
                <c:ptCount val="1"/>
                <c:pt idx="0">
                  <c:v>Japan</c:v>
                </c:pt>
              </c:strCache>
            </c:strRef>
          </c:tx>
          <c:spPr>
            <a:ln>
              <a:solidFill>
                <a:schemeClr val="bg1">
                  <a:lumMod val="95000"/>
                </a:schemeClr>
              </a:solidFill>
            </a:ln>
          </c:spPr>
          <c:marker>
            <c:symbol val="square"/>
            <c:size val="3"/>
            <c:spPr>
              <a:solidFill>
                <a:schemeClr val="bg2">
                  <a:lumMod val="50000"/>
                </a:schemeClr>
              </a:solidFill>
              <a:ln>
                <a:solidFill>
                  <a:schemeClr val="bg2">
                    <a:lumMod val="50000"/>
                  </a:schemeClr>
                </a:solidFill>
              </a:ln>
            </c:spPr>
          </c:marker>
          <c:cat>
            <c:numRef>
              <c:f>'Net FC formation % GDP'!$I$76:$AA$76</c:f>
              <c:numCache>
                <c:formatCode>0</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'Net FC formation % GDP'!$I$107:$AA$107</c:f>
              <c:numCache>
                <c:formatCode>0%</c:formatCode>
                <c:ptCount val="19"/>
                <c:pt idx="0">
                  <c:v>4.5911723048531798E-2</c:v>
                </c:pt>
                <c:pt idx="1">
                  <c:v>3.8755250905823102E-2</c:v>
                </c:pt>
                <c:pt idx="2">
                  <c:v>2.33109141290988E-2</c:v>
                </c:pt>
                <c:pt idx="3">
                  <c:v>2.0097256367715401E-2</c:v>
                </c:pt>
                <c:pt idx="4">
                  <c:v>1.8435312594656E-2</c:v>
                </c:pt>
                <c:pt idx="5">
                  <c:v>2.3091590528202002E-2</c:v>
                </c:pt>
                <c:pt idx="6">
                  <c:v>2.0356487448652899E-2</c:v>
                </c:pt>
                <c:pt idx="7">
                  <c:v>1.24737769241446E-2</c:v>
                </c:pt>
                <c:pt idx="8">
                  <c:v>6.3191872263501897E-4</c:v>
                </c:pt>
                <c:pt idx="9">
                  <c:v>-2.4717089444148199E-2</c:v>
                </c:pt>
                <c:pt idx="10">
                  <c:v>-2.45610157130783E-2</c:v>
                </c:pt>
                <c:pt idx="11">
                  <c:v>-1.8325364742368101E-2</c:v>
                </c:pt>
                <c:pt idx="12">
                  <c:v>-8.3630867477026295E-3</c:v>
                </c:pt>
                <c:pt idx="13">
                  <c:v>2.8664943212667699E-3</c:v>
                </c:pt>
                <c:pt idx="14">
                  <c:v>8.6009094837822993E-3</c:v>
                </c:pt>
                <c:pt idx="15">
                  <c:v>7.8055743412625399E-3</c:v>
                </c:pt>
                <c:pt idx="16">
                  <c:v>9.33511283081165E-3</c:v>
                </c:pt>
                <c:pt idx="17">
                  <c:v>1.37242939506073E-2</c:v>
                </c:pt>
                <c:pt idx="18">
                  <c:v>1.2619353450846299E-2</c:v>
                </c:pt>
              </c:numCache>
            </c:numRef>
          </c:val>
          <c:smooth val="0"/>
        </c:ser>
        <c:ser>
          <c:idx val="2"/>
          <c:order val="2"/>
          <c:tx>
            <c:strRef>
              <c:f>'Net FC formation % GDP'!$B$110</c:f>
              <c:strCache>
                <c:ptCount val="1"/>
                <c:pt idx="0">
                  <c:v>EU 27</c:v>
                </c:pt>
              </c:strCache>
            </c:strRef>
          </c:tx>
          <c:spPr>
            <a:ln>
              <a:solidFill>
                <a:schemeClr val="tx1"/>
              </a:solidFill>
            </a:ln>
          </c:spPr>
          <c:marker>
            <c:symbol val="none"/>
          </c:marker>
          <c:cat>
            <c:numRef>
              <c:f>'Net FC formation % GDP'!$I$76:$AA$76</c:f>
              <c:numCache>
                <c:formatCode>0</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'Net FC formation % GDP'!$I$110:$AA$110</c:f>
              <c:numCache>
                <c:formatCode>0%</c:formatCode>
                <c:ptCount val="19"/>
                <c:pt idx="0">
                  <c:v>8.3951029153510895E-2</c:v>
                </c:pt>
                <c:pt idx="1">
                  <c:v>7.75747433724224E-2</c:v>
                </c:pt>
                <c:pt idx="2">
                  <c:v>6.6493726716114906E-2</c:v>
                </c:pt>
                <c:pt idx="3">
                  <c:v>6.3836452600066804E-2</c:v>
                </c:pt>
                <c:pt idx="4">
                  <c:v>6.3927753779388197E-2</c:v>
                </c:pt>
                <c:pt idx="5">
                  <c:v>6.4670988927254203E-2</c:v>
                </c:pt>
                <c:pt idx="6">
                  <c:v>7.0675886048902306E-2</c:v>
                </c:pt>
                <c:pt idx="7">
                  <c:v>7.5810489172354806E-2</c:v>
                </c:pt>
                <c:pt idx="8">
                  <c:v>6.8995342554585198E-2</c:v>
                </c:pt>
                <c:pt idx="9">
                  <c:v>3.9004105757644798E-2</c:v>
                </c:pt>
                <c:pt idx="10">
                  <c:v>3.4572198234838099E-2</c:v>
                </c:pt>
                <c:pt idx="11">
                  <c:v>3.4905881453831999E-2</c:v>
                </c:pt>
                <c:pt idx="12">
                  <c:v>2.59739901715598E-2</c:v>
                </c:pt>
                <c:pt idx="13">
                  <c:v>1.9657108110128201E-2</c:v>
                </c:pt>
                <c:pt idx="14">
                  <c:v>2.0940955554134701E-2</c:v>
                </c:pt>
                <c:pt idx="15">
                  <c:v>2.2524163499711099E-2</c:v>
                </c:pt>
                <c:pt idx="16">
                  <c:v>2.4821749744860899E-2</c:v>
                </c:pt>
                <c:pt idx="17">
                  <c:v>2.8336837023595299E-2</c:v>
                </c:pt>
                <c:pt idx="18">
                  <c:v>3.2336683660991503E-2</c:v>
                </c:pt>
              </c:numCache>
            </c:numRef>
          </c:val>
          <c:smooth val="0"/>
        </c:ser>
        <c:ser>
          <c:idx val="3"/>
          <c:order val="3"/>
          <c:tx>
            <c:strRef>
              <c:f>'Net FC formation % GDP'!$B$111</c:f>
              <c:strCache>
                <c:ptCount val="1"/>
                <c:pt idx="0">
                  <c:v>EU 28</c:v>
                </c:pt>
              </c:strCache>
            </c:strRef>
          </c:tx>
          <c:spPr>
            <a:ln>
              <a:solidFill>
                <a:schemeClr val="bg1">
                  <a:lumMod val="85000"/>
                </a:schemeClr>
              </a:solidFill>
            </a:ln>
          </c:spPr>
          <c:marker>
            <c:symbol val="none"/>
          </c:marker>
          <c:cat>
            <c:numRef>
              <c:f>'Net FC formation % GDP'!$I$76:$AA$76</c:f>
              <c:numCache>
                <c:formatCode>0</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'Net FC formation % GDP'!$I$111:$AA$111</c:f>
              <c:numCache>
                <c:formatCode>0%</c:formatCode>
                <c:ptCount val="19"/>
                <c:pt idx="0">
                  <c:v>8.0706775408981302E-2</c:v>
                </c:pt>
                <c:pt idx="1">
                  <c:v>7.3485562792330802E-2</c:v>
                </c:pt>
                <c:pt idx="2">
                  <c:v>6.3658703810159395E-2</c:v>
                </c:pt>
                <c:pt idx="3">
                  <c:v>6.0336132993327997E-2</c:v>
                </c:pt>
                <c:pt idx="4">
                  <c:v>6.00288595411178E-2</c:v>
                </c:pt>
                <c:pt idx="5">
                  <c:v>6.1218594995132998E-2</c:v>
                </c:pt>
                <c:pt idx="6">
                  <c:v>6.5816278274934997E-2</c:v>
                </c:pt>
                <c:pt idx="7">
                  <c:v>7.0858459851542197E-2</c:v>
                </c:pt>
                <c:pt idx="8">
                  <c:v>6.5295539471715694E-2</c:v>
                </c:pt>
                <c:pt idx="9">
                  <c:v>3.6492257085686E-2</c:v>
                </c:pt>
                <c:pt idx="10">
                  <c:v>3.3230197255084401E-2</c:v>
                </c:pt>
                <c:pt idx="11">
                  <c:v>3.3599612929308097E-2</c:v>
                </c:pt>
                <c:pt idx="12">
                  <c:v>2.6126846491890902E-2</c:v>
                </c:pt>
                <c:pt idx="13">
                  <c:v>2.0882471104989801E-2</c:v>
                </c:pt>
                <c:pt idx="14">
                  <c:v>2.2796355599225802E-2</c:v>
                </c:pt>
                <c:pt idx="15">
                  <c:v>2.4743318592695501E-2</c:v>
                </c:pt>
                <c:pt idx="16">
                  <c:v>2.6253778746808201E-2</c:v>
                </c:pt>
                <c:pt idx="17">
                  <c:v>2.9100781801028201E-2</c:v>
                </c:pt>
                <c:pt idx="18">
                  <c:v>3.2117074029975802E-2</c:v>
                </c:pt>
              </c:numCache>
            </c:numRef>
          </c:val>
          <c:smooth val="0"/>
        </c:ser>
        <c:dLbls>
          <c:showLegendKey val="0"/>
          <c:showVal val="0"/>
          <c:showCatName val="0"/>
          <c:showSerName val="0"/>
          <c:showPercent val="0"/>
          <c:showBubbleSize val="0"/>
        </c:dLbls>
        <c:marker val="1"/>
        <c:smooth val="0"/>
        <c:axId val="125623296"/>
        <c:axId val="160724480"/>
      </c:lineChart>
      <c:catAx>
        <c:axId val="125623296"/>
        <c:scaling>
          <c:orientation val="minMax"/>
        </c:scaling>
        <c:delete val="0"/>
        <c:axPos val="b"/>
        <c:numFmt formatCode="0" sourceLinked="1"/>
        <c:majorTickMark val="none"/>
        <c:minorTickMark val="none"/>
        <c:tickLblPos val="low"/>
        <c:crossAx val="160724480"/>
        <c:crosses val="autoZero"/>
        <c:auto val="1"/>
        <c:lblAlgn val="ctr"/>
        <c:lblOffset val="100"/>
        <c:noMultiLvlLbl val="0"/>
      </c:catAx>
      <c:valAx>
        <c:axId val="160724480"/>
        <c:scaling>
          <c:orientation val="minMax"/>
          <c:max val="0.1"/>
        </c:scaling>
        <c:delete val="0"/>
        <c:axPos val="l"/>
        <c:majorGridlines/>
        <c:numFmt formatCode="0%" sourceLinked="1"/>
        <c:majorTickMark val="none"/>
        <c:minorTickMark val="none"/>
        <c:tickLblPos val="nextTo"/>
        <c:spPr>
          <a:ln w="9525">
            <a:noFill/>
          </a:ln>
        </c:spPr>
        <c:crossAx val="125623296"/>
        <c:crosses val="autoZero"/>
        <c:crossBetween val="between"/>
      </c:valAx>
    </c:plotArea>
    <c:legend>
      <c:legendPos val="b"/>
      <c:layout>
        <c:manualLayout>
          <c:xMode val="edge"/>
          <c:yMode val="edge"/>
          <c:x val="0.05"/>
          <c:y val="0.93090486070718559"/>
          <c:w val="0.9"/>
          <c:h val="6.9095139292814411E-2"/>
        </c:manualLayout>
      </c:layout>
      <c:overlay val="0"/>
    </c:legend>
    <c:plotVisOnly val="1"/>
    <c:dispBlanksAs val="gap"/>
    <c:showDLblsOverMax val="0"/>
  </c:chart>
  <c:spPr>
    <a:noFill/>
    <a:ln>
      <a:noFill/>
    </a:ln>
  </c:spPr>
  <c:txPr>
    <a:bodyPr/>
    <a:lstStyle/>
    <a:p>
      <a:pPr>
        <a:defRPr sz="8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Final!$O$57</c:f>
              <c:strCache>
                <c:ptCount val="1"/>
                <c:pt idx="0">
                  <c:v>Loans</c:v>
                </c:pt>
              </c:strCache>
            </c:strRef>
          </c:tx>
          <c:spPr>
            <a:solidFill>
              <a:schemeClr val="tx1"/>
            </a:solidFill>
          </c:spPr>
          <c:invertIfNegative val="0"/>
          <c:cat>
            <c:strRef>
              <c:f>Final!$N$58:$N$85</c:f>
              <c:strCache>
                <c:ptCount val="28"/>
                <c:pt idx="0">
                  <c:v>EL</c:v>
                </c:pt>
                <c:pt idx="1">
                  <c:v>CY</c:v>
                </c:pt>
                <c:pt idx="2">
                  <c:v>ES</c:v>
                </c:pt>
                <c:pt idx="3">
                  <c:v>IT</c:v>
                </c:pt>
                <c:pt idx="4">
                  <c:v>SI</c:v>
                </c:pt>
                <c:pt idx="5">
                  <c:v>AT</c:v>
                </c:pt>
                <c:pt idx="6">
                  <c:v>MT</c:v>
                </c:pt>
                <c:pt idx="7">
                  <c:v>PT</c:v>
                </c:pt>
                <c:pt idx="8">
                  <c:v>DK</c:v>
                </c:pt>
                <c:pt idx="9">
                  <c:v>LV</c:v>
                </c:pt>
                <c:pt idx="10">
                  <c:v>NL</c:v>
                </c:pt>
                <c:pt idx="11">
                  <c:v>LT</c:v>
                </c:pt>
                <c:pt idx="12">
                  <c:v>HR</c:v>
                </c:pt>
                <c:pt idx="13">
                  <c:v>DE</c:v>
                </c:pt>
                <c:pt idx="14">
                  <c:v>FR</c:v>
                </c:pt>
                <c:pt idx="15">
                  <c:v>BG</c:v>
                </c:pt>
                <c:pt idx="16">
                  <c:v>RO</c:v>
                </c:pt>
                <c:pt idx="17">
                  <c:v>CZ</c:v>
                </c:pt>
                <c:pt idx="18">
                  <c:v>FI</c:v>
                </c:pt>
                <c:pt idx="19">
                  <c:v>EE</c:v>
                </c:pt>
                <c:pt idx="20">
                  <c:v>SE</c:v>
                </c:pt>
                <c:pt idx="21">
                  <c:v>SK</c:v>
                </c:pt>
                <c:pt idx="22">
                  <c:v>PL</c:v>
                </c:pt>
                <c:pt idx="23">
                  <c:v>HU</c:v>
                </c:pt>
                <c:pt idx="24">
                  <c:v>UK</c:v>
                </c:pt>
                <c:pt idx="25">
                  <c:v>IE</c:v>
                </c:pt>
                <c:pt idx="26">
                  <c:v>BE</c:v>
                </c:pt>
                <c:pt idx="27">
                  <c:v>LU</c:v>
                </c:pt>
              </c:strCache>
            </c:strRef>
          </c:cat>
          <c:val>
            <c:numRef>
              <c:f>Final!$O$58:$O$85</c:f>
              <c:numCache>
                <c:formatCode>0.0%</c:formatCode>
                <c:ptCount val="28"/>
                <c:pt idx="0">
                  <c:v>0.58479782226879173</c:v>
                </c:pt>
                <c:pt idx="1">
                  <c:v>0.62975153706108045</c:v>
                </c:pt>
                <c:pt idx="2">
                  <c:v>0.46768126046008263</c:v>
                </c:pt>
                <c:pt idx="3">
                  <c:v>0.38710261956420794</c:v>
                </c:pt>
                <c:pt idx="4">
                  <c:v>0.44814044750430287</c:v>
                </c:pt>
                <c:pt idx="5">
                  <c:v>0.39289613287702252</c:v>
                </c:pt>
                <c:pt idx="6">
                  <c:v>0.4255927820253157</c:v>
                </c:pt>
                <c:pt idx="7">
                  <c:v>0.39674899831764754</c:v>
                </c:pt>
                <c:pt idx="8">
                  <c:v>0.2815775637100944</c:v>
                </c:pt>
                <c:pt idx="9">
                  <c:v>0.40906936179839848</c:v>
                </c:pt>
                <c:pt idx="10">
                  <c:v>0.39964177570318493</c:v>
                </c:pt>
                <c:pt idx="11">
                  <c:v>0.29192050642962702</c:v>
                </c:pt>
                <c:pt idx="12">
                  <c:v>0.46427783634492448</c:v>
                </c:pt>
                <c:pt idx="13">
                  <c:v>0.26776513586662609</c:v>
                </c:pt>
                <c:pt idx="14">
                  <c:v>0.27536282200460926</c:v>
                </c:pt>
                <c:pt idx="15">
                  <c:v>0.42728727876716099</c:v>
                </c:pt>
                <c:pt idx="16">
                  <c:v>0.40757117898404621</c:v>
                </c:pt>
                <c:pt idx="17">
                  <c:v>0.24582187131859801</c:v>
                </c:pt>
                <c:pt idx="18">
                  <c:v>0.32527020535489526</c:v>
                </c:pt>
                <c:pt idx="19">
                  <c:v>0.30653921950994778</c:v>
                </c:pt>
                <c:pt idx="20">
                  <c:v>0.28881487707716824</c:v>
                </c:pt>
                <c:pt idx="21">
                  <c:v>0.27724492743953999</c:v>
                </c:pt>
                <c:pt idx="22">
                  <c:v>0.30028129197905695</c:v>
                </c:pt>
                <c:pt idx="23">
                  <c:v>0.35749962632543908</c:v>
                </c:pt>
                <c:pt idx="24">
                  <c:v>0.21695853915079444</c:v>
                </c:pt>
                <c:pt idx="25">
                  <c:v>0.37780038591096954</c:v>
                </c:pt>
                <c:pt idx="26">
                  <c:v>0.3485211812262804</c:v>
                </c:pt>
                <c:pt idx="27">
                  <c:v>0.2404764690288117</c:v>
                </c:pt>
              </c:numCache>
            </c:numRef>
          </c:val>
        </c:ser>
        <c:ser>
          <c:idx val="1"/>
          <c:order val="1"/>
          <c:tx>
            <c:strRef>
              <c:f>Final!$P$57</c:f>
              <c:strCache>
                <c:ptCount val="1"/>
                <c:pt idx="0">
                  <c:v>Debt securities</c:v>
                </c:pt>
              </c:strCache>
            </c:strRef>
          </c:tx>
          <c:spPr>
            <a:pattFill prst="ltHorz">
              <a:fgClr>
                <a:schemeClr val="tx1"/>
              </a:fgClr>
              <a:bgClr>
                <a:schemeClr val="bg1"/>
              </a:bgClr>
            </a:pattFill>
            <a:ln>
              <a:solidFill>
                <a:schemeClr val="tx1"/>
              </a:solidFill>
            </a:ln>
          </c:spPr>
          <c:invertIfNegative val="0"/>
          <c:cat>
            <c:strRef>
              <c:f>Final!$N$58:$N$85</c:f>
              <c:strCache>
                <c:ptCount val="28"/>
                <c:pt idx="0">
                  <c:v>EL</c:v>
                </c:pt>
                <c:pt idx="1">
                  <c:v>CY</c:v>
                </c:pt>
                <c:pt idx="2">
                  <c:v>ES</c:v>
                </c:pt>
                <c:pt idx="3">
                  <c:v>IT</c:v>
                </c:pt>
                <c:pt idx="4">
                  <c:v>SI</c:v>
                </c:pt>
                <c:pt idx="5">
                  <c:v>AT</c:v>
                </c:pt>
                <c:pt idx="6">
                  <c:v>MT</c:v>
                </c:pt>
                <c:pt idx="7">
                  <c:v>PT</c:v>
                </c:pt>
                <c:pt idx="8">
                  <c:v>DK</c:v>
                </c:pt>
                <c:pt idx="9">
                  <c:v>LV</c:v>
                </c:pt>
                <c:pt idx="10">
                  <c:v>NL</c:v>
                </c:pt>
                <c:pt idx="11">
                  <c:v>LT</c:v>
                </c:pt>
                <c:pt idx="12">
                  <c:v>HR</c:v>
                </c:pt>
                <c:pt idx="13">
                  <c:v>DE</c:v>
                </c:pt>
                <c:pt idx="14">
                  <c:v>FR</c:v>
                </c:pt>
                <c:pt idx="15">
                  <c:v>BG</c:v>
                </c:pt>
                <c:pt idx="16">
                  <c:v>RO</c:v>
                </c:pt>
                <c:pt idx="17">
                  <c:v>CZ</c:v>
                </c:pt>
                <c:pt idx="18">
                  <c:v>FI</c:v>
                </c:pt>
                <c:pt idx="19">
                  <c:v>EE</c:v>
                </c:pt>
                <c:pt idx="20">
                  <c:v>SE</c:v>
                </c:pt>
                <c:pt idx="21">
                  <c:v>SK</c:v>
                </c:pt>
                <c:pt idx="22">
                  <c:v>PL</c:v>
                </c:pt>
                <c:pt idx="23">
                  <c:v>HU</c:v>
                </c:pt>
                <c:pt idx="24">
                  <c:v>UK</c:v>
                </c:pt>
                <c:pt idx="25">
                  <c:v>IE</c:v>
                </c:pt>
                <c:pt idx="26">
                  <c:v>BE</c:v>
                </c:pt>
                <c:pt idx="27">
                  <c:v>LU</c:v>
                </c:pt>
              </c:strCache>
            </c:strRef>
          </c:cat>
          <c:val>
            <c:numRef>
              <c:f>Final!$P$58:$P$85</c:f>
              <c:numCache>
                <c:formatCode>0.0%</c:formatCode>
                <c:ptCount val="28"/>
                <c:pt idx="0">
                  <c:v>9.5200762524578677E-3</c:v>
                </c:pt>
                <c:pt idx="1">
                  <c:v>7.4729744026398777E-4</c:v>
                </c:pt>
                <c:pt idx="2">
                  <c:v>7.7230208444902075E-3</c:v>
                </c:pt>
                <c:pt idx="3">
                  <c:v>4.3579595742223989E-2</c:v>
                </c:pt>
                <c:pt idx="4">
                  <c:v>1.3838209982788296E-2</c:v>
                </c:pt>
                <c:pt idx="5">
                  <c:v>7.068091500568105E-2</c:v>
                </c:pt>
                <c:pt idx="6">
                  <c:v>3.8198568609150593E-2</c:v>
                </c:pt>
                <c:pt idx="7">
                  <c:v>8.4212260196377869E-2</c:v>
                </c:pt>
                <c:pt idx="8">
                  <c:v>3.0622416273905866E-2</c:v>
                </c:pt>
                <c:pt idx="9">
                  <c:v>8.5850420739567342E-3</c:v>
                </c:pt>
                <c:pt idx="10">
                  <c:v>6.164631650438844E-2</c:v>
                </c:pt>
                <c:pt idx="11">
                  <c:v>1.8736452466077275E-3</c:v>
                </c:pt>
                <c:pt idx="12">
                  <c:v>2.720350056847828E-2</c:v>
                </c:pt>
                <c:pt idx="13">
                  <c:v>3.1883308328093135E-2</c:v>
                </c:pt>
                <c:pt idx="14">
                  <c:v>0.10791252464973083</c:v>
                </c:pt>
                <c:pt idx="15">
                  <c:v>9.9840795059822473E-3</c:v>
                </c:pt>
                <c:pt idx="16">
                  <c:v>1.0159578268985586E-3</c:v>
                </c:pt>
                <c:pt idx="17">
                  <c:v>5.1022244097826533E-2</c:v>
                </c:pt>
                <c:pt idx="18">
                  <c:v>7.6952590201236279E-2</c:v>
                </c:pt>
                <c:pt idx="19">
                  <c:v>2.622789089438864E-2</c:v>
                </c:pt>
                <c:pt idx="20">
                  <c:v>4.5929807982995612E-2</c:v>
                </c:pt>
                <c:pt idx="21">
                  <c:v>1.7505469468636632E-2</c:v>
                </c:pt>
                <c:pt idx="22">
                  <c:v>3.1814609048331291E-2</c:v>
                </c:pt>
                <c:pt idx="23">
                  <c:v>1.038788746071995E-2</c:v>
                </c:pt>
                <c:pt idx="24">
                  <c:v>7.9499995904747323E-2</c:v>
                </c:pt>
                <c:pt idx="25">
                  <c:v>1.0191486570127126E-2</c:v>
                </c:pt>
                <c:pt idx="26">
                  <c:v>2.7902818080561553E-2</c:v>
                </c:pt>
                <c:pt idx="27">
                  <c:v>4.9914085015784253E-2</c:v>
                </c:pt>
              </c:numCache>
            </c:numRef>
          </c:val>
        </c:ser>
        <c:ser>
          <c:idx val="2"/>
          <c:order val="2"/>
          <c:tx>
            <c:strRef>
              <c:f>Final!$Q$57</c:f>
              <c:strCache>
                <c:ptCount val="1"/>
                <c:pt idx="0">
                  <c:v>Listed shares</c:v>
                </c:pt>
              </c:strCache>
            </c:strRef>
          </c:tx>
          <c:invertIfNegative val="0"/>
          <c:cat>
            <c:strRef>
              <c:f>Final!$N$58:$N$85</c:f>
              <c:strCache>
                <c:ptCount val="28"/>
                <c:pt idx="0">
                  <c:v>EL</c:v>
                </c:pt>
                <c:pt idx="1">
                  <c:v>CY</c:v>
                </c:pt>
                <c:pt idx="2">
                  <c:v>ES</c:v>
                </c:pt>
                <c:pt idx="3">
                  <c:v>IT</c:v>
                </c:pt>
                <c:pt idx="4">
                  <c:v>SI</c:v>
                </c:pt>
                <c:pt idx="5">
                  <c:v>AT</c:v>
                </c:pt>
                <c:pt idx="6">
                  <c:v>MT</c:v>
                </c:pt>
                <c:pt idx="7">
                  <c:v>PT</c:v>
                </c:pt>
                <c:pt idx="8">
                  <c:v>DK</c:v>
                </c:pt>
                <c:pt idx="9">
                  <c:v>LV</c:v>
                </c:pt>
                <c:pt idx="10">
                  <c:v>NL</c:v>
                </c:pt>
                <c:pt idx="11">
                  <c:v>LT</c:v>
                </c:pt>
                <c:pt idx="12">
                  <c:v>HR</c:v>
                </c:pt>
                <c:pt idx="13">
                  <c:v>DE</c:v>
                </c:pt>
                <c:pt idx="14">
                  <c:v>FR</c:v>
                </c:pt>
                <c:pt idx="15">
                  <c:v>BG</c:v>
                </c:pt>
                <c:pt idx="16">
                  <c:v>RO</c:v>
                </c:pt>
                <c:pt idx="17">
                  <c:v>CZ</c:v>
                </c:pt>
                <c:pt idx="18">
                  <c:v>FI</c:v>
                </c:pt>
                <c:pt idx="19">
                  <c:v>EE</c:v>
                </c:pt>
                <c:pt idx="20">
                  <c:v>SE</c:v>
                </c:pt>
                <c:pt idx="21">
                  <c:v>SK</c:v>
                </c:pt>
                <c:pt idx="22">
                  <c:v>PL</c:v>
                </c:pt>
                <c:pt idx="23">
                  <c:v>HU</c:v>
                </c:pt>
                <c:pt idx="24">
                  <c:v>UK</c:v>
                </c:pt>
                <c:pt idx="25">
                  <c:v>IE</c:v>
                </c:pt>
                <c:pt idx="26">
                  <c:v>BE</c:v>
                </c:pt>
                <c:pt idx="27">
                  <c:v>LU</c:v>
                </c:pt>
              </c:strCache>
            </c:strRef>
          </c:cat>
          <c:val>
            <c:numRef>
              <c:f>Final!$Q$58:$Q$85</c:f>
              <c:numCache>
                <c:formatCode>0.0%</c:formatCode>
                <c:ptCount val="28"/>
                <c:pt idx="0">
                  <c:v>0.10187925694466571</c:v>
                </c:pt>
                <c:pt idx="1">
                  <c:v>1.4037400944728256E-2</c:v>
                </c:pt>
                <c:pt idx="2">
                  <c:v>0.10974268059789236</c:v>
                </c:pt>
                <c:pt idx="3">
                  <c:v>8.679050466685842E-2</c:v>
                </c:pt>
                <c:pt idx="4">
                  <c:v>6.9232358003442337E-2</c:v>
                </c:pt>
                <c:pt idx="5">
                  <c:v>8.5283143528030222E-2</c:v>
                </c:pt>
                <c:pt idx="6">
                  <c:v>3.0465185138483744E-2</c:v>
                </c:pt>
                <c:pt idx="7">
                  <c:v>0.10274736228327817</c:v>
                </c:pt>
                <c:pt idx="8">
                  <c:v>0.23275172929280383</c:v>
                </c:pt>
                <c:pt idx="9">
                  <c:v>1.1764738275071025E-2</c:v>
                </c:pt>
                <c:pt idx="10">
                  <c:v>0.14468801399519932</c:v>
                </c:pt>
                <c:pt idx="11">
                  <c:v>4.3988955438764646E-2</c:v>
                </c:pt>
                <c:pt idx="12">
                  <c:v>0.14348349403375593</c:v>
                </c:pt>
                <c:pt idx="13">
                  <c:v>0.25785282569544887</c:v>
                </c:pt>
                <c:pt idx="14">
                  <c:v>0.21537077825527581</c:v>
                </c:pt>
                <c:pt idx="15">
                  <c:v>1.8578734079505981E-2</c:v>
                </c:pt>
                <c:pt idx="16">
                  <c:v>6.5732696622748985E-2</c:v>
                </c:pt>
                <c:pt idx="17">
                  <c:v>9.2912738030304282E-2</c:v>
                </c:pt>
                <c:pt idx="18">
                  <c:v>0.27419163507566374</c:v>
                </c:pt>
                <c:pt idx="19">
                  <c:v>2.3925930574211215E-2</c:v>
                </c:pt>
                <c:pt idx="20">
                  <c:v>0.22522423134476618</c:v>
                </c:pt>
                <c:pt idx="21">
                  <c:v>1.1635243574374359E-2</c:v>
                </c:pt>
                <c:pt idx="22">
                  <c:v>0.13979505651926244</c:v>
                </c:pt>
                <c:pt idx="23">
                  <c:v>5.5258994059237808E-2</c:v>
                </c:pt>
                <c:pt idx="24">
                  <c:v>0.29928745527339434</c:v>
                </c:pt>
                <c:pt idx="25">
                  <c:v>6.2932652403458078E-2</c:v>
                </c:pt>
                <c:pt idx="26">
                  <c:v>0.14697060649837829</c:v>
                </c:pt>
                <c:pt idx="27">
                  <c:v>0.13540295292092927</c:v>
                </c:pt>
              </c:numCache>
            </c:numRef>
          </c:val>
        </c:ser>
        <c:ser>
          <c:idx val="3"/>
          <c:order val="3"/>
          <c:tx>
            <c:strRef>
              <c:f>Final!$R$57</c:f>
              <c:strCache>
                <c:ptCount val="1"/>
                <c:pt idx="0">
                  <c:v>Unlisted shares and other equity</c:v>
                </c:pt>
              </c:strCache>
            </c:strRef>
          </c:tx>
          <c:spPr>
            <a:pattFill prst="pct80">
              <a:fgClr>
                <a:schemeClr val="tx1"/>
              </a:fgClr>
              <a:bgClr>
                <a:schemeClr val="bg1"/>
              </a:bgClr>
            </a:pattFill>
          </c:spPr>
          <c:invertIfNegative val="0"/>
          <c:cat>
            <c:strRef>
              <c:f>Final!$N$58:$N$85</c:f>
              <c:strCache>
                <c:ptCount val="28"/>
                <c:pt idx="0">
                  <c:v>EL</c:v>
                </c:pt>
                <c:pt idx="1">
                  <c:v>CY</c:v>
                </c:pt>
                <c:pt idx="2">
                  <c:v>ES</c:v>
                </c:pt>
                <c:pt idx="3">
                  <c:v>IT</c:v>
                </c:pt>
                <c:pt idx="4">
                  <c:v>SI</c:v>
                </c:pt>
                <c:pt idx="5">
                  <c:v>AT</c:v>
                </c:pt>
                <c:pt idx="6">
                  <c:v>MT</c:v>
                </c:pt>
                <c:pt idx="7">
                  <c:v>PT</c:v>
                </c:pt>
                <c:pt idx="8">
                  <c:v>DK</c:v>
                </c:pt>
                <c:pt idx="9">
                  <c:v>LV</c:v>
                </c:pt>
                <c:pt idx="10">
                  <c:v>NL</c:v>
                </c:pt>
                <c:pt idx="11">
                  <c:v>LT</c:v>
                </c:pt>
                <c:pt idx="12">
                  <c:v>HR</c:v>
                </c:pt>
                <c:pt idx="13">
                  <c:v>DE</c:v>
                </c:pt>
                <c:pt idx="14">
                  <c:v>FR</c:v>
                </c:pt>
                <c:pt idx="15">
                  <c:v>BG</c:v>
                </c:pt>
                <c:pt idx="16">
                  <c:v>RO</c:v>
                </c:pt>
                <c:pt idx="17">
                  <c:v>CZ</c:v>
                </c:pt>
                <c:pt idx="18">
                  <c:v>FI</c:v>
                </c:pt>
                <c:pt idx="19">
                  <c:v>EE</c:v>
                </c:pt>
                <c:pt idx="20">
                  <c:v>SE</c:v>
                </c:pt>
                <c:pt idx="21">
                  <c:v>SK</c:v>
                </c:pt>
                <c:pt idx="22">
                  <c:v>PL</c:v>
                </c:pt>
                <c:pt idx="23">
                  <c:v>HU</c:v>
                </c:pt>
                <c:pt idx="24">
                  <c:v>UK</c:v>
                </c:pt>
                <c:pt idx="25">
                  <c:v>IE</c:v>
                </c:pt>
                <c:pt idx="26">
                  <c:v>BE</c:v>
                </c:pt>
                <c:pt idx="27">
                  <c:v>LU</c:v>
                </c:pt>
              </c:strCache>
            </c:strRef>
          </c:cat>
          <c:val>
            <c:numRef>
              <c:f>Final!$R$58:$R$85</c:f>
              <c:numCache>
                <c:formatCode>0.0%</c:formatCode>
                <c:ptCount val="28"/>
                <c:pt idx="0">
                  <c:v>0.3450947782311854</c:v>
                </c:pt>
                <c:pt idx="1">
                  <c:v>0.24659200332515052</c:v>
                </c:pt>
                <c:pt idx="2">
                  <c:v>0.29592070739892118</c:v>
                </c:pt>
                <c:pt idx="3">
                  <c:v>0.27466484005701164</c:v>
                </c:pt>
                <c:pt idx="4">
                  <c:v>0.18057142857142855</c:v>
                </c:pt>
                <c:pt idx="5">
                  <c:v>0.14744527924791773</c:v>
                </c:pt>
                <c:pt idx="6">
                  <c:v>0.30662432013438007</c:v>
                </c:pt>
                <c:pt idx="7">
                  <c:v>0.24429184938552662</c:v>
                </c:pt>
                <c:pt idx="8">
                  <c:v>0.45164656599261255</c:v>
                </c:pt>
                <c:pt idx="9">
                  <c:v>1.1764738275071025E-2</c:v>
                </c:pt>
                <c:pt idx="10">
                  <c:v>0.47012507337599313</c:v>
                </c:pt>
                <c:pt idx="11">
                  <c:v>0.52842610992025374</c:v>
                </c:pt>
                <c:pt idx="12">
                  <c:v>0.22803202013942786</c:v>
                </c:pt>
                <c:pt idx="13">
                  <c:v>0.35137237239657021</c:v>
                </c:pt>
                <c:pt idx="14">
                  <c:v>0.43449432439821178</c:v>
                </c:pt>
                <c:pt idx="15">
                  <c:v>0.2312680914704747</c:v>
                </c:pt>
                <c:pt idx="16">
                  <c:v>0.29930912001303833</c:v>
                </c:pt>
                <c:pt idx="17">
                  <c:v>0.35566309308161659</c:v>
                </c:pt>
                <c:pt idx="18">
                  <c:v>0.50783338116190946</c:v>
                </c:pt>
                <c:pt idx="19">
                  <c:v>0.52317886581191764</c:v>
                </c:pt>
                <c:pt idx="20">
                  <c:v>0.45343625756986228</c:v>
                </c:pt>
                <c:pt idx="21">
                  <c:v>0.46374316637177182</c:v>
                </c:pt>
                <c:pt idx="22">
                  <c:v>0.27548237857636304</c:v>
                </c:pt>
                <c:pt idx="23">
                  <c:v>0.2239060621953668</c:v>
                </c:pt>
                <c:pt idx="24">
                  <c:v>0.4780679901560464</c:v>
                </c:pt>
                <c:pt idx="25">
                  <c:v>0.51327210716516591</c:v>
                </c:pt>
                <c:pt idx="26">
                  <c:v>0.44493483769477377</c:v>
                </c:pt>
                <c:pt idx="27">
                  <c:v>0.66256071798970761</c:v>
                </c:pt>
              </c:numCache>
            </c:numRef>
          </c:val>
        </c:ser>
        <c:ser>
          <c:idx val="4"/>
          <c:order val="4"/>
          <c:tx>
            <c:strRef>
              <c:f>Final!$S$57</c:f>
              <c:strCache>
                <c:ptCount val="1"/>
                <c:pt idx="0">
                  <c:v>Trade credit</c:v>
                </c:pt>
              </c:strCache>
            </c:strRef>
          </c:tx>
          <c:spPr>
            <a:solidFill>
              <a:schemeClr val="bg1">
                <a:lumMod val="75000"/>
              </a:schemeClr>
            </a:solidFill>
          </c:spPr>
          <c:invertIfNegative val="0"/>
          <c:cat>
            <c:strRef>
              <c:f>Final!$N$58:$N$85</c:f>
              <c:strCache>
                <c:ptCount val="28"/>
                <c:pt idx="0">
                  <c:v>EL</c:v>
                </c:pt>
                <c:pt idx="1">
                  <c:v>CY</c:v>
                </c:pt>
                <c:pt idx="2">
                  <c:v>ES</c:v>
                </c:pt>
                <c:pt idx="3">
                  <c:v>IT</c:v>
                </c:pt>
                <c:pt idx="4">
                  <c:v>SI</c:v>
                </c:pt>
                <c:pt idx="5">
                  <c:v>AT</c:v>
                </c:pt>
                <c:pt idx="6">
                  <c:v>MT</c:v>
                </c:pt>
                <c:pt idx="7">
                  <c:v>PT</c:v>
                </c:pt>
                <c:pt idx="8">
                  <c:v>DK</c:v>
                </c:pt>
                <c:pt idx="9">
                  <c:v>LV</c:v>
                </c:pt>
                <c:pt idx="10">
                  <c:v>NL</c:v>
                </c:pt>
                <c:pt idx="11">
                  <c:v>LT</c:v>
                </c:pt>
                <c:pt idx="12">
                  <c:v>HR</c:v>
                </c:pt>
                <c:pt idx="13">
                  <c:v>DE</c:v>
                </c:pt>
                <c:pt idx="14">
                  <c:v>FR</c:v>
                </c:pt>
                <c:pt idx="15">
                  <c:v>BG</c:v>
                </c:pt>
                <c:pt idx="16">
                  <c:v>RO</c:v>
                </c:pt>
                <c:pt idx="17">
                  <c:v>CZ</c:v>
                </c:pt>
                <c:pt idx="18">
                  <c:v>FI</c:v>
                </c:pt>
                <c:pt idx="19">
                  <c:v>EE</c:v>
                </c:pt>
                <c:pt idx="20">
                  <c:v>SE</c:v>
                </c:pt>
                <c:pt idx="21">
                  <c:v>SK</c:v>
                </c:pt>
                <c:pt idx="22">
                  <c:v>PL</c:v>
                </c:pt>
                <c:pt idx="23">
                  <c:v>HU</c:v>
                </c:pt>
                <c:pt idx="24">
                  <c:v>UK</c:v>
                </c:pt>
                <c:pt idx="25">
                  <c:v>IE</c:v>
                </c:pt>
                <c:pt idx="26">
                  <c:v>BE</c:v>
                </c:pt>
                <c:pt idx="27">
                  <c:v>LU</c:v>
                </c:pt>
              </c:strCache>
            </c:strRef>
          </c:cat>
          <c:val>
            <c:numRef>
              <c:f>Final!$S$58:$S$85</c:f>
              <c:numCache>
                <c:formatCode>0.0%</c:formatCode>
                <c:ptCount val="28"/>
                <c:pt idx="0">
                  <c:v>8.5047514078650487E-3</c:v>
                </c:pt>
                <c:pt idx="1">
                  <c:v>3.6072984255336678E-2</c:v>
                </c:pt>
                <c:pt idx="2">
                  <c:v>2.3557111841359311E-2</c:v>
                </c:pt>
                <c:pt idx="3">
                  <c:v>1.5435390418879206E-2</c:v>
                </c:pt>
                <c:pt idx="4">
                  <c:v>8.4750430292598974E-2</c:v>
                </c:pt>
                <c:pt idx="5">
                  <c:v>3.3751141570919498E-2</c:v>
                </c:pt>
                <c:pt idx="6">
                  <c:v>0.18497073383268015</c:v>
                </c:pt>
                <c:pt idx="7">
                  <c:v>2.9917336225413597E-2</c:v>
                </c:pt>
                <c:pt idx="8">
                  <c:v>5.142810856594731E-2</c:v>
                </c:pt>
                <c:pt idx="9">
                  <c:v>7.7821561635122868E-2</c:v>
                </c:pt>
                <c:pt idx="10">
                  <c:v>2.360351058980599E-2</c:v>
                </c:pt>
                <c:pt idx="11">
                  <c:v>0.10213853023919857</c:v>
                </c:pt>
                <c:pt idx="12">
                  <c:v>5.466801175398898E-3</c:v>
                </c:pt>
                <c:pt idx="13">
                  <c:v>3.7338799878636003E-2</c:v>
                </c:pt>
                <c:pt idx="14">
                  <c:v>4.5701844730516375E-2</c:v>
                </c:pt>
                <c:pt idx="15">
                  <c:v>3.8826190935656389E-2</c:v>
                </c:pt>
                <c:pt idx="16">
                  <c:v>3.3003785169759346E-2</c:v>
                </c:pt>
                <c:pt idx="17">
                  <c:v>0.10794459109250107</c:v>
                </c:pt>
                <c:pt idx="18">
                  <c:v>2.7779463414271288E-2</c:v>
                </c:pt>
                <c:pt idx="19">
                  <c:v>4.7576229598697943E-2</c:v>
                </c:pt>
                <c:pt idx="20">
                  <c:v>1.6743490862957219E-2</c:v>
                </c:pt>
                <c:pt idx="21">
                  <c:v>0.16401703980613919</c:v>
                </c:pt>
                <c:pt idx="22">
                  <c:v>6.1898690492270023E-2</c:v>
                </c:pt>
                <c:pt idx="23">
                  <c:v>4.7804341346625832E-2</c:v>
                </c:pt>
                <c:pt idx="24">
                  <c:v>1.0712929972771046E-2</c:v>
                </c:pt>
                <c:pt idx="25">
                  <c:v>6.0140823276734964E-2</c:v>
                </c:pt>
                <c:pt idx="26">
                  <c:v>2.4982978134842036E-2</c:v>
                </c:pt>
                <c:pt idx="27">
                  <c:v>2.9052056679669622E-2</c:v>
                </c:pt>
              </c:numCache>
            </c:numRef>
          </c:val>
        </c:ser>
        <c:ser>
          <c:idx val="5"/>
          <c:order val="5"/>
          <c:tx>
            <c:strRef>
              <c:f>Final!$T$57</c:f>
              <c:strCache>
                <c:ptCount val="1"/>
                <c:pt idx="0">
                  <c:v>Other liabilities</c:v>
                </c:pt>
              </c:strCache>
            </c:strRef>
          </c:tx>
          <c:spPr>
            <a:pattFill prst="dkUpDiag">
              <a:fgClr>
                <a:schemeClr val="tx1"/>
              </a:fgClr>
              <a:bgClr>
                <a:schemeClr val="bg1"/>
              </a:bgClr>
            </a:pattFill>
          </c:spPr>
          <c:invertIfNegative val="0"/>
          <c:cat>
            <c:strRef>
              <c:f>Final!$N$58:$N$85</c:f>
              <c:strCache>
                <c:ptCount val="28"/>
                <c:pt idx="0">
                  <c:v>EL</c:v>
                </c:pt>
                <c:pt idx="1">
                  <c:v>CY</c:v>
                </c:pt>
                <c:pt idx="2">
                  <c:v>ES</c:v>
                </c:pt>
                <c:pt idx="3">
                  <c:v>IT</c:v>
                </c:pt>
                <c:pt idx="4">
                  <c:v>SI</c:v>
                </c:pt>
                <c:pt idx="5">
                  <c:v>AT</c:v>
                </c:pt>
                <c:pt idx="6">
                  <c:v>MT</c:v>
                </c:pt>
                <c:pt idx="7">
                  <c:v>PT</c:v>
                </c:pt>
                <c:pt idx="8">
                  <c:v>DK</c:v>
                </c:pt>
                <c:pt idx="9">
                  <c:v>LV</c:v>
                </c:pt>
                <c:pt idx="10">
                  <c:v>NL</c:v>
                </c:pt>
                <c:pt idx="11">
                  <c:v>LT</c:v>
                </c:pt>
                <c:pt idx="12">
                  <c:v>HR</c:v>
                </c:pt>
                <c:pt idx="13">
                  <c:v>DE</c:v>
                </c:pt>
                <c:pt idx="14">
                  <c:v>FR</c:v>
                </c:pt>
                <c:pt idx="15">
                  <c:v>BG</c:v>
                </c:pt>
                <c:pt idx="16">
                  <c:v>RO</c:v>
                </c:pt>
                <c:pt idx="17">
                  <c:v>CZ</c:v>
                </c:pt>
                <c:pt idx="18">
                  <c:v>FI</c:v>
                </c:pt>
                <c:pt idx="19">
                  <c:v>EE</c:v>
                </c:pt>
                <c:pt idx="20">
                  <c:v>SE</c:v>
                </c:pt>
                <c:pt idx="21">
                  <c:v>SK</c:v>
                </c:pt>
                <c:pt idx="22">
                  <c:v>PL</c:v>
                </c:pt>
                <c:pt idx="23">
                  <c:v>HU</c:v>
                </c:pt>
                <c:pt idx="24">
                  <c:v>UK</c:v>
                </c:pt>
                <c:pt idx="25">
                  <c:v>IE</c:v>
                </c:pt>
                <c:pt idx="26">
                  <c:v>BE</c:v>
                </c:pt>
                <c:pt idx="27">
                  <c:v>LU</c:v>
                </c:pt>
              </c:strCache>
            </c:strRef>
          </c:cat>
          <c:val>
            <c:numRef>
              <c:f>Final!$T$58:$T$85</c:f>
              <c:numCache>
                <c:formatCode>0.0%</c:formatCode>
                <c:ptCount val="28"/>
                <c:pt idx="0">
                  <c:v>5.2082649941611131E-2</c:v>
                </c:pt>
                <c:pt idx="1">
                  <c:v>3.8425517515590785E-3</c:v>
                </c:pt>
                <c:pt idx="2">
                  <c:v>3.0571276480714747E-2</c:v>
                </c:pt>
                <c:pt idx="3">
                  <c:v>6.3056976102277965E-2</c:v>
                </c:pt>
                <c:pt idx="4">
                  <c:v>4.9002409638554192E-2</c:v>
                </c:pt>
                <c:pt idx="5">
                  <c:v>4.6543173314279526E-2</c:v>
                </c:pt>
                <c:pt idx="6">
                  <c:v>4.4495382374100181E-2</c:v>
                </c:pt>
                <c:pt idx="7">
                  <c:v>0.1277051488031786</c:v>
                </c:pt>
                <c:pt idx="8">
                  <c:v>9.6887269312023253E-2</c:v>
                </c:pt>
                <c:pt idx="9">
                  <c:v>0.13565220024973149</c:v>
                </c:pt>
                <c:pt idx="10">
                  <c:v>2.9306703763576164E-2</c:v>
                </c:pt>
                <c:pt idx="11">
                  <c:v>4.6470572901523337E-2</c:v>
                </c:pt>
                <c:pt idx="12">
                  <c:v>6.3367183541767694E-2</c:v>
                </c:pt>
                <c:pt idx="13">
                  <c:v>0.13369068977582677</c:v>
                </c:pt>
                <c:pt idx="14">
                  <c:v>2.6547195080689364E-2</c:v>
                </c:pt>
                <c:pt idx="15">
                  <c:v>6.9492094888901193E-2</c:v>
                </c:pt>
                <c:pt idx="16">
                  <c:v>0.13474923838993821</c:v>
                </c:pt>
                <c:pt idx="17">
                  <c:v>5.989479990329525E-2</c:v>
                </c:pt>
                <c:pt idx="18">
                  <c:v>2.7385611728793627E-2</c:v>
                </c:pt>
                <c:pt idx="19">
                  <c:v>2.7354246910265598E-2</c:v>
                </c:pt>
                <c:pt idx="20">
                  <c:v>5.18310391124591E-2</c:v>
                </c:pt>
                <c:pt idx="21">
                  <c:v>4.8156531709333136E-2</c:v>
                </c:pt>
                <c:pt idx="22">
                  <c:v>8.1961161384511608E-2</c:v>
                </c:pt>
                <c:pt idx="23">
                  <c:v>3.8471940799336489E-2</c:v>
                </c:pt>
                <c:pt idx="24">
                  <c:v>0.18499722593519724</c:v>
                </c:pt>
                <c:pt idx="25">
                  <c:v>3.8595197077002298E-2</c:v>
                </c:pt>
                <c:pt idx="26">
                  <c:v>1.6949404147964506E-2</c:v>
                </c:pt>
                <c:pt idx="27">
                  <c:v>1.1796283696893145E-2</c:v>
                </c:pt>
              </c:numCache>
            </c:numRef>
          </c:val>
        </c:ser>
        <c:dLbls>
          <c:showLegendKey val="0"/>
          <c:showVal val="0"/>
          <c:showCatName val="0"/>
          <c:showSerName val="0"/>
          <c:showPercent val="0"/>
          <c:showBubbleSize val="0"/>
        </c:dLbls>
        <c:gapWidth val="75"/>
        <c:overlap val="100"/>
        <c:axId val="214215680"/>
        <c:axId val="214217472"/>
      </c:barChart>
      <c:catAx>
        <c:axId val="214215680"/>
        <c:scaling>
          <c:orientation val="minMax"/>
        </c:scaling>
        <c:delete val="0"/>
        <c:axPos val="b"/>
        <c:numFmt formatCode="General" sourceLinked="1"/>
        <c:majorTickMark val="out"/>
        <c:minorTickMark val="none"/>
        <c:tickLblPos val="nextTo"/>
        <c:crossAx val="214217472"/>
        <c:crosses val="autoZero"/>
        <c:auto val="1"/>
        <c:lblAlgn val="ctr"/>
        <c:lblOffset val="100"/>
        <c:noMultiLvlLbl val="0"/>
      </c:catAx>
      <c:valAx>
        <c:axId val="214217472"/>
        <c:scaling>
          <c:orientation val="minMax"/>
          <c:max val="1"/>
          <c:min val="0"/>
        </c:scaling>
        <c:delete val="0"/>
        <c:axPos val="l"/>
        <c:majorGridlines/>
        <c:numFmt formatCode="0%" sourceLinked="1"/>
        <c:majorTickMark val="out"/>
        <c:minorTickMark val="none"/>
        <c:tickLblPos val="nextTo"/>
        <c:crossAx val="214215680"/>
        <c:crosses val="autoZero"/>
        <c:crossBetween val="between"/>
        <c:majorUnit val="0.2"/>
      </c:valAx>
    </c:plotArea>
    <c:legend>
      <c:legendPos val="b"/>
      <c:layout>
        <c:manualLayout>
          <c:xMode val="edge"/>
          <c:yMode val="edge"/>
          <c:x val="3.6600921627467579E-2"/>
          <c:y val="0.87671693093157876"/>
          <c:w val="0.93982747270597689"/>
          <c:h val="0.11597713299536189"/>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774589090069325"/>
          <c:y val="6.8911318971034655E-2"/>
          <c:w val="0.76450821819861348"/>
          <c:h val="0.73145180133544829"/>
        </c:manualLayout>
      </c:layout>
      <c:barChart>
        <c:barDir val="col"/>
        <c:grouping val="clustered"/>
        <c:varyColors val="0"/>
        <c:ser>
          <c:idx val="0"/>
          <c:order val="0"/>
          <c:tx>
            <c:v>Value of IPOs (lhs)</c:v>
          </c:tx>
          <c:spPr>
            <a:solidFill>
              <a:schemeClr val="bg1">
                <a:lumMod val="65000"/>
              </a:schemeClr>
            </a:solidFill>
          </c:spPr>
          <c:invertIfNegative val="0"/>
          <c:dLbls>
            <c:txPr>
              <a:bodyPr/>
              <a:lstStyle/>
              <a:p>
                <a:pPr>
                  <a:defRPr sz="900"/>
                </a:pPr>
                <a:endParaRPr lang="en-US"/>
              </a:p>
            </c:txPr>
            <c:dLblPos val="inBase"/>
            <c:showLegendKey val="0"/>
            <c:showVal val="1"/>
            <c:showCatName val="0"/>
            <c:showSerName val="0"/>
            <c:showPercent val="0"/>
            <c:showBubbleSize val="0"/>
            <c:showLeaderLines val="0"/>
          </c:dLbls>
          <c:cat>
            <c:numRef>
              <c:f>'Pivot IPOs'!$S$42:$AC$42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'Pivot IPOs'!$B$71:$L$71</c:f>
              <c:numCache>
                <c:formatCode>0.0</c:formatCode>
                <c:ptCount val="11"/>
                <c:pt idx="0">
                  <c:v>57.244018132999997</c:v>
                </c:pt>
                <c:pt idx="1">
                  <c:v>54.430986398000002</c:v>
                </c:pt>
                <c:pt idx="2">
                  <c:v>8.4481860799999993</c:v>
                </c:pt>
                <c:pt idx="3">
                  <c:v>5.1692548089999999</c:v>
                </c:pt>
                <c:pt idx="4">
                  <c:v>19.733372566</c:v>
                </c:pt>
                <c:pt idx="5">
                  <c:v>14.267948852</c:v>
                </c:pt>
                <c:pt idx="6">
                  <c:v>6.7811685969999997</c:v>
                </c:pt>
                <c:pt idx="7">
                  <c:v>23.036087658</c:v>
                </c:pt>
                <c:pt idx="8">
                  <c:v>47.823770527999997</c:v>
                </c:pt>
                <c:pt idx="9">
                  <c:v>55.745992870999999</c:v>
                </c:pt>
                <c:pt idx="10">
                  <c:v>27.889327873999999</c:v>
                </c:pt>
              </c:numCache>
            </c:numRef>
          </c:val>
        </c:ser>
        <c:dLbls>
          <c:showLegendKey val="0"/>
          <c:showVal val="0"/>
          <c:showCatName val="0"/>
          <c:showSerName val="0"/>
          <c:showPercent val="0"/>
          <c:showBubbleSize val="0"/>
        </c:dLbls>
        <c:gapWidth val="150"/>
        <c:axId val="214437888"/>
        <c:axId val="214439424"/>
      </c:barChart>
      <c:lineChart>
        <c:grouping val="standard"/>
        <c:varyColors val="0"/>
        <c:ser>
          <c:idx val="1"/>
          <c:order val="1"/>
          <c:tx>
            <c:v>Number of IPO deals (rhs)</c:v>
          </c:tx>
          <c:spPr>
            <a:ln>
              <a:solidFill>
                <a:schemeClr val="tx1"/>
              </a:solidFill>
            </a:ln>
          </c:spPr>
          <c:dLbls>
            <c:spPr>
              <a:ln>
                <a:solidFill>
                  <a:schemeClr val="bg1">
                    <a:lumMod val="65000"/>
                  </a:schemeClr>
                </a:solidFill>
              </a:ln>
            </c:spPr>
            <c:dLblPos val="t"/>
            <c:showLegendKey val="0"/>
            <c:showVal val="1"/>
            <c:showCatName val="0"/>
            <c:showSerName val="0"/>
            <c:showPercent val="0"/>
            <c:showBubbleSize val="0"/>
            <c:showLeaderLines val="0"/>
          </c:dLbls>
          <c:cat>
            <c:numRef>
              <c:f>'Pivot IPOs'!$S$42:$AC$42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'Pivot IPOs'!$S$71:$AC$71</c:f>
              <c:numCache>
                <c:formatCode>General</c:formatCode>
                <c:ptCount val="11"/>
                <c:pt idx="0">
                  <c:v>504</c:v>
                </c:pt>
                <c:pt idx="1">
                  <c:v>434</c:v>
                </c:pt>
                <c:pt idx="2">
                  <c:v>178</c:v>
                </c:pt>
                <c:pt idx="3">
                  <c:v>69</c:v>
                </c:pt>
                <c:pt idx="4">
                  <c:v>185</c:v>
                </c:pt>
                <c:pt idx="5">
                  <c:v>228</c:v>
                </c:pt>
                <c:pt idx="6">
                  <c:v>110</c:v>
                </c:pt>
                <c:pt idx="7">
                  <c:v>159</c:v>
                </c:pt>
                <c:pt idx="8">
                  <c:v>244</c:v>
                </c:pt>
                <c:pt idx="9">
                  <c:v>269</c:v>
                </c:pt>
                <c:pt idx="10">
                  <c:v>193</c:v>
                </c:pt>
              </c:numCache>
            </c:numRef>
          </c:val>
          <c:smooth val="0"/>
        </c:ser>
        <c:dLbls>
          <c:showLegendKey val="0"/>
          <c:showVal val="0"/>
          <c:showCatName val="0"/>
          <c:showSerName val="0"/>
          <c:showPercent val="0"/>
          <c:showBubbleSize val="0"/>
        </c:dLbls>
        <c:marker val="1"/>
        <c:smooth val="0"/>
        <c:axId val="214441344"/>
        <c:axId val="214443136"/>
      </c:lineChart>
      <c:catAx>
        <c:axId val="214437888"/>
        <c:scaling>
          <c:orientation val="minMax"/>
        </c:scaling>
        <c:delete val="0"/>
        <c:axPos val="b"/>
        <c:numFmt formatCode="General" sourceLinked="1"/>
        <c:majorTickMark val="out"/>
        <c:minorTickMark val="none"/>
        <c:tickLblPos val="nextTo"/>
        <c:crossAx val="214439424"/>
        <c:crosses val="autoZero"/>
        <c:auto val="1"/>
        <c:lblAlgn val="ctr"/>
        <c:lblOffset val="100"/>
        <c:noMultiLvlLbl val="0"/>
      </c:catAx>
      <c:valAx>
        <c:axId val="214439424"/>
        <c:scaling>
          <c:orientation val="minMax"/>
          <c:max val="100"/>
          <c:min val="0"/>
        </c:scaling>
        <c:delete val="0"/>
        <c:axPos val="l"/>
        <c:majorGridlines/>
        <c:title>
          <c:tx>
            <c:rich>
              <a:bodyPr rot="-5400000" vert="horz"/>
              <a:lstStyle/>
              <a:p>
                <a:pPr>
                  <a:defRPr/>
                </a:pPr>
                <a:r>
                  <a:rPr lang="en-GB"/>
                  <a:t>Value of IPOs (</a:t>
                </a:r>
                <a:r>
                  <a:rPr lang="en-GB" sz="1000" b="1" i="0" u="none" strike="noStrike" baseline="0">
                    <a:effectLst/>
                  </a:rPr>
                  <a:t>EUR </a:t>
                </a:r>
                <a:r>
                  <a:rPr lang="en-GB" sz="1000" b="1" i="0" u="none" strike="noStrike" kern="1200" baseline="0">
                    <a:solidFill>
                      <a:sysClr val="windowText" lastClr="000000"/>
                    </a:solidFill>
                    <a:latin typeface="+mn-lt"/>
                    <a:ea typeface="+mn-ea"/>
                    <a:cs typeface="+mn-cs"/>
                  </a:rPr>
                  <a:t>billion</a:t>
                </a:r>
                <a:r>
                  <a:rPr lang="en-GB"/>
                  <a:t>)</a:t>
                </a:r>
              </a:p>
            </c:rich>
          </c:tx>
          <c:layout/>
          <c:overlay val="0"/>
        </c:title>
        <c:numFmt formatCode="0" sourceLinked="0"/>
        <c:majorTickMark val="out"/>
        <c:minorTickMark val="none"/>
        <c:tickLblPos val="nextTo"/>
        <c:crossAx val="214437888"/>
        <c:crosses val="autoZero"/>
        <c:crossBetween val="between"/>
        <c:majorUnit val="20"/>
      </c:valAx>
      <c:catAx>
        <c:axId val="214441344"/>
        <c:scaling>
          <c:orientation val="minMax"/>
        </c:scaling>
        <c:delete val="1"/>
        <c:axPos val="b"/>
        <c:numFmt formatCode="General" sourceLinked="1"/>
        <c:majorTickMark val="out"/>
        <c:minorTickMark val="none"/>
        <c:tickLblPos val="nextTo"/>
        <c:crossAx val="214443136"/>
        <c:crosses val="autoZero"/>
        <c:auto val="1"/>
        <c:lblAlgn val="ctr"/>
        <c:lblOffset val="100"/>
        <c:noMultiLvlLbl val="0"/>
      </c:catAx>
      <c:valAx>
        <c:axId val="214443136"/>
        <c:scaling>
          <c:orientation val="minMax"/>
          <c:max val="550"/>
          <c:min val="0"/>
        </c:scaling>
        <c:delete val="0"/>
        <c:axPos val="r"/>
        <c:title>
          <c:tx>
            <c:rich>
              <a:bodyPr rot="-5400000" vert="horz"/>
              <a:lstStyle/>
              <a:p>
                <a:pPr>
                  <a:defRPr/>
                </a:pPr>
                <a:r>
                  <a:rPr lang="en-GB"/>
                  <a:t>Number of IPOs</a:t>
                </a:r>
              </a:p>
            </c:rich>
          </c:tx>
          <c:layout/>
          <c:overlay val="0"/>
        </c:title>
        <c:numFmt formatCode="General" sourceLinked="1"/>
        <c:majorTickMark val="out"/>
        <c:minorTickMark val="none"/>
        <c:tickLblPos val="nextTo"/>
        <c:crossAx val="214441344"/>
        <c:crosses val="max"/>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'By market cap'!$B$27</c:f>
              <c:strCache>
                <c:ptCount val="1"/>
                <c:pt idx="0">
                  <c:v>Large cap</c:v>
                </c:pt>
              </c:strCache>
            </c:strRef>
          </c:tx>
          <c:spPr>
            <a:solidFill>
              <a:schemeClr val="tx1"/>
            </a:solidFill>
          </c:spPr>
          <c:invertIfNegative val="0"/>
          <c:cat>
            <c:numRef>
              <c:f>'By market cap'!$C$26:$M$26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'By market cap'!$C$27:$M$27</c:f>
              <c:numCache>
                <c:formatCode>0.0</c:formatCode>
                <c:ptCount val="11"/>
                <c:pt idx="0">
                  <c:v>27.322488257</c:v>
                </c:pt>
                <c:pt idx="1">
                  <c:v>28.909943599999998</c:v>
                </c:pt>
                <c:pt idx="2">
                  <c:v>4.3912621300000003</c:v>
                </c:pt>
                <c:pt idx="3">
                  <c:v>3.4429110039999999</c:v>
                </c:pt>
                <c:pt idx="4">
                  <c:v>13.298386484</c:v>
                </c:pt>
                <c:pt idx="5">
                  <c:v>9.6849630130000008</c:v>
                </c:pt>
                <c:pt idx="6">
                  <c:v>4.2048618959999997</c:v>
                </c:pt>
                <c:pt idx="7">
                  <c:v>12.210849587</c:v>
                </c:pt>
                <c:pt idx="8">
                  <c:v>30.895712398000001</c:v>
                </c:pt>
                <c:pt idx="9">
                  <c:v>36.191308947000003</c:v>
                </c:pt>
                <c:pt idx="10">
                  <c:v>18.587250092000001</c:v>
                </c:pt>
              </c:numCache>
            </c:numRef>
          </c:val>
        </c:ser>
        <c:ser>
          <c:idx val="1"/>
          <c:order val="1"/>
          <c:tx>
            <c:strRef>
              <c:f>'By market cap'!$B$28</c:f>
              <c:strCache>
                <c:ptCount val="1"/>
                <c:pt idx="0">
                  <c:v>Mid cap</c:v>
                </c:pt>
              </c:strCache>
            </c:strRef>
          </c:tx>
          <c:spPr>
            <a:solidFill>
              <a:schemeClr val="bg1">
                <a:lumMod val="50000"/>
              </a:schemeClr>
            </a:solidFill>
          </c:spPr>
          <c:invertIfNegative val="0"/>
          <c:cat>
            <c:numRef>
              <c:f>'By market cap'!$C$26:$M$26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'By market cap'!$C$28:$M$28</c:f>
              <c:numCache>
                <c:formatCode>0.0</c:formatCode>
                <c:ptCount val="11"/>
                <c:pt idx="0">
                  <c:v>23.235308644</c:v>
                </c:pt>
                <c:pt idx="1">
                  <c:v>20.057141959999999</c:v>
                </c:pt>
                <c:pt idx="2">
                  <c:v>3.2509478779999998</c:v>
                </c:pt>
                <c:pt idx="3">
                  <c:v>1.280534657</c:v>
                </c:pt>
                <c:pt idx="4">
                  <c:v>5.1687976019999997</c:v>
                </c:pt>
                <c:pt idx="5">
                  <c:v>3.4159156209999999</c:v>
                </c:pt>
                <c:pt idx="6">
                  <c:v>1.8870666149999999</c:v>
                </c:pt>
                <c:pt idx="7">
                  <c:v>9.0717082839999996</c:v>
                </c:pt>
                <c:pt idx="8">
                  <c:v>14.182064256</c:v>
                </c:pt>
                <c:pt idx="9">
                  <c:v>16.187918753999998</c:v>
                </c:pt>
                <c:pt idx="10">
                  <c:v>6.8156659260000003</c:v>
                </c:pt>
              </c:numCache>
            </c:numRef>
          </c:val>
        </c:ser>
        <c:ser>
          <c:idx val="2"/>
          <c:order val="2"/>
          <c:tx>
            <c:strRef>
              <c:f>'By market cap'!$B$29</c:f>
              <c:strCache>
                <c:ptCount val="1"/>
                <c:pt idx="0">
                  <c:v>Small cap</c:v>
                </c:pt>
              </c:strCache>
            </c:strRef>
          </c:tx>
          <c:spPr>
            <a:solidFill>
              <a:schemeClr val="bg1">
                <a:lumMod val="75000"/>
              </a:schemeClr>
            </a:solidFill>
          </c:spPr>
          <c:invertIfNegative val="0"/>
          <c:cat>
            <c:numRef>
              <c:f>'By market cap'!$C$26:$M$26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'By market cap'!$C$29:$M$29</c:f>
              <c:numCache>
                <c:formatCode>0.0</c:formatCode>
                <c:ptCount val="11"/>
                <c:pt idx="0">
                  <c:v>4.5996167269999999</c:v>
                </c:pt>
                <c:pt idx="1">
                  <c:v>4.1575643250000001</c:v>
                </c:pt>
                <c:pt idx="2">
                  <c:v>0.505101998</c:v>
                </c:pt>
                <c:pt idx="3">
                  <c:v>0.30895860200000003</c:v>
                </c:pt>
                <c:pt idx="4">
                  <c:v>0.81557513599999998</c:v>
                </c:pt>
                <c:pt idx="5">
                  <c:v>0.72346875700000002</c:v>
                </c:pt>
                <c:pt idx="6">
                  <c:v>0.41546828000000002</c:v>
                </c:pt>
                <c:pt idx="7">
                  <c:v>1.3515657350000001</c:v>
                </c:pt>
                <c:pt idx="8">
                  <c:v>2.27751182</c:v>
                </c:pt>
                <c:pt idx="9">
                  <c:v>2.5808322970000002</c:v>
                </c:pt>
                <c:pt idx="10">
                  <c:v>1.7257918809999999</c:v>
                </c:pt>
              </c:numCache>
            </c:numRef>
          </c:val>
        </c:ser>
        <c:ser>
          <c:idx val="3"/>
          <c:order val="3"/>
          <c:tx>
            <c:strRef>
              <c:f>'By market cap'!$B$30</c:f>
              <c:strCache>
                <c:ptCount val="1"/>
                <c:pt idx="0">
                  <c:v>Micro cap</c:v>
                </c:pt>
              </c:strCache>
            </c:strRef>
          </c:tx>
          <c:spPr>
            <a:solidFill>
              <a:schemeClr val="bg1">
                <a:lumMod val="85000"/>
              </a:schemeClr>
            </a:solidFill>
          </c:spPr>
          <c:invertIfNegative val="0"/>
          <c:cat>
            <c:numRef>
              <c:f>'By market cap'!$C$26:$M$26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'By market cap'!$C$30:$M$30</c:f>
              <c:numCache>
                <c:formatCode>0.0</c:formatCode>
                <c:ptCount val="11"/>
                <c:pt idx="0">
                  <c:v>2.0866045049999999</c:v>
                </c:pt>
                <c:pt idx="1">
                  <c:v>1.306336513</c:v>
                </c:pt>
                <c:pt idx="2">
                  <c:v>0.30087407399999999</c:v>
                </c:pt>
                <c:pt idx="3">
                  <c:v>0.13685054599999999</c:v>
                </c:pt>
                <c:pt idx="4">
                  <c:v>0.45061334400000003</c:v>
                </c:pt>
                <c:pt idx="5">
                  <c:v>0.44360146099999997</c:v>
                </c:pt>
                <c:pt idx="6">
                  <c:v>0.27377180600000001</c:v>
                </c:pt>
                <c:pt idx="7">
                  <c:v>0.40196405200000002</c:v>
                </c:pt>
                <c:pt idx="8">
                  <c:v>0.46848205399999998</c:v>
                </c:pt>
                <c:pt idx="9">
                  <c:v>0.78593287300000003</c:v>
                </c:pt>
                <c:pt idx="10">
                  <c:v>0.760619975</c:v>
                </c:pt>
              </c:numCache>
            </c:numRef>
          </c:val>
        </c:ser>
        <c:dLbls>
          <c:showLegendKey val="0"/>
          <c:showVal val="0"/>
          <c:showCatName val="0"/>
          <c:showSerName val="0"/>
          <c:showPercent val="0"/>
          <c:showBubbleSize val="0"/>
        </c:dLbls>
        <c:gapWidth val="43"/>
        <c:overlap val="100"/>
        <c:axId val="214453632"/>
        <c:axId val="214455424"/>
      </c:barChart>
      <c:catAx>
        <c:axId val="214453632"/>
        <c:scaling>
          <c:orientation val="minMax"/>
        </c:scaling>
        <c:delete val="0"/>
        <c:axPos val="b"/>
        <c:numFmt formatCode="General" sourceLinked="0"/>
        <c:majorTickMark val="out"/>
        <c:minorTickMark val="none"/>
        <c:tickLblPos val="nextTo"/>
        <c:crossAx val="214455424"/>
        <c:crosses val="autoZero"/>
        <c:auto val="1"/>
        <c:lblAlgn val="ctr"/>
        <c:lblOffset val="100"/>
        <c:noMultiLvlLbl val="0"/>
      </c:catAx>
      <c:valAx>
        <c:axId val="214455424"/>
        <c:scaling>
          <c:orientation val="minMax"/>
        </c:scaling>
        <c:delete val="0"/>
        <c:axPos val="l"/>
        <c:majorGridlines/>
        <c:numFmt formatCode="0%" sourceLinked="1"/>
        <c:majorTickMark val="out"/>
        <c:minorTickMark val="none"/>
        <c:tickLblPos val="nextTo"/>
        <c:crossAx val="214453632"/>
        <c:crosses val="autoZero"/>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800"/>
            </a:pPr>
            <a:r>
              <a:rPr lang="en-GB" sz="800"/>
              <a:t>Market share (% total IPO value; average 2014-2016; selected countries)</a:t>
            </a:r>
          </a:p>
        </c:rich>
      </c:tx>
      <c:layout>
        <c:manualLayout>
          <c:xMode val="edge"/>
          <c:yMode val="edge"/>
          <c:x val="0.12179151620544944"/>
          <c:y val="6.7024018085758844E-3"/>
        </c:manualLayout>
      </c:layout>
      <c:overlay val="1"/>
    </c:title>
    <c:autoTitleDeleted val="0"/>
    <c:plotArea>
      <c:layout>
        <c:manualLayout>
          <c:layoutTarget val="inner"/>
          <c:xMode val="edge"/>
          <c:yMode val="edge"/>
          <c:x val="0.30385588472400382"/>
          <c:y val="0.13927808232672584"/>
          <c:w val="0.38329648990270293"/>
          <c:h val="0.83165832877247314"/>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Pt>
            <c:idx val="19"/>
            <c:bubble3D val="0"/>
          </c:dPt>
          <c:dPt>
            <c:idx val="20"/>
            <c:bubble3D val="0"/>
          </c:dPt>
          <c:dPt>
            <c:idx val="21"/>
            <c:bubble3D val="0"/>
          </c:dPt>
          <c:dPt>
            <c:idx val="22"/>
            <c:bubble3D val="0"/>
          </c:dPt>
          <c:dPt>
            <c:idx val="23"/>
            <c:bubble3D val="0"/>
          </c:dPt>
          <c:dPt>
            <c:idx val="24"/>
            <c:bubble3D val="0"/>
          </c:dPt>
          <c:dPt>
            <c:idx val="25"/>
            <c:bubble3D val="0"/>
          </c:dPt>
          <c:dPt>
            <c:idx val="26"/>
            <c:bubble3D val="0"/>
          </c:dPt>
          <c:dPt>
            <c:idx val="27"/>
            <c:bubble3D val="0"/>
          </c:dPt>
          <c:dLbls>
            <c:dLbl>
              <c:idx val="0"/>
              <c:layout>
                <c:manualLayout>
                  <c:x val="7.2640161832684166E-2"/>
                  <c:y val="0.1681783435704706"/>
                </c:manualLayout>
              </c:layout>
              <c:showLegendKey val="0"/>
              <c:showVal val="1"/>
              <c:showCatName val="1"/>
              <c:showSerName val="0"/>
              <c:showPercent val="0"/>
              <c:showBubbleSize val="0"/>
            </c:dLbl>
            <c:dLbl>
              <c:idx val="1"/>
              <c:layout>
                <c:manualLayout>
                  <c:x val="7.8681890025261006E-2"/>
                  <c:y val="-9.7225379001550288E-2"/>
                </c:manualLayout>
              </c:layout>
              <c:showLegendKey val="0"/>
              <c:showVal val="1"/>
              <c:showCatName val="1"/>
              <c:showSerName val="0"/>
              <c:showPercent val="0"/>
              <c:showBubbleSize val="0"/>
            </c:dLbl>
            <c:dLbl>
              <c:idx val="2"/>
              <c:layout>
                <c:manualLayout>
                  <c:x val="-4.70448644729594E-2"/>
                  <c:y val="-4.4480190613702553E-3"/>
                </c:manualLayout>
              </c:layout>
              <c:showLegendKey val="0"/>
              <c:showVal val="1"/>
              <c:showCatName val="1"/>
              <c:showSerName val="0"/>
              <c:showPercent val="0"/>
              <c:showBubbleSize val="0"/>
            </c:dLbl>
            <c:dLbl>
              <c:idx val="3"/>
              <c:layout>
                <c:manualLayout>
                  <c:x val="-6.4406949375319253E-2"/>
                  <c:y val="-3.7126109680547387E-2"/>
                </c:manualLayout>
              </c:layout>
              <c:showLegendKey val="0"/>
              <c:showVal val="1"/>
              <c:showCatName val="1"/>
              <c:showSerName val="0"/>
              <c:showPercent val="0"/>
              <c:showBubbleSize val="0"/>
            </c:dLbl>
            <c:dLbl>
              <c:idx val="4"/>
              <c:layout>
                <c:manualLayout>
                  <c:x val="-4.89735260081905E-2"/>
                  <c:y val="-7.1231433780736861E-2"/>
                </c:manualLayout>
              </c:layout>
              <c:showLegendKey val="0"/>
              <c:showVal val="1"/>
              <c:showCatName val="1"/>
              <c:showSerName val="0"/>
              <c:showPercent val="0"/>
              <c:showBubbleSize val="0"/>
            </c:dLbl>
            <c:dLbl>
              <c:idx val="5"/>
              <c:layout>
                <c:manualLayout>
                  <c:x val="-7.8693170655658121E-3"/>
                  <c:y val="-1.1515197209584403E-2"/>
                </c:manualLayout>
              </c:layout>
              <c:showLegendKey val="0"/>
              <c:showVal val="1"/>
              <c:showCatName val="1"/>
              <c:showSerName val="0"/>
              <c:showPercent val="0"/>
              <c:showBubbleSize val="0"/>
            </c:dLbl>
            <c:dLbl>
              <c:idx val="6"/>
              <c:layout>
                <c:manualLayout>
                  <c:x val="-3.2262349438440079E-2"/>
                  <c:y val="6.6865630900616755E-4"/>
                </c:manualLayout>
              </c:layout>
              <c:showLegendKey val="0"/>
              <c:showVal val="1"/>
              <c:showCatName val="1"/>
              <c:showSerName val="0"/>
              <c:showPercent val="0"/>
              <c:showBubbleSize val="0"/>
            </c:dLbl>
            <c:dLbl>
              <c:idx val="7"/>
              <c:layout>
                <c:manualLayout>
                  <c:x val="-3.0950120601346325E-2"/>
                  <c:y val="2.8003766488706863E-2"/>
                </c:manualLayout>
              </c:layout>
              <c:showLegendKey val="0"/>
              <c:showVal val="1"/>
              <c:showCatName val="1"/>
              <c:showSerName val="0"/>
              <c:showPercent val="0"/>
              <c:showBubbleSize val="0"/>
            </c:dLbl>
            <c:dLbl>
              <c:idx val="8"/>
              <c:layout>
                <c:manualLayout>
                  <c:x val="3.4970968220309442E-2"/>
                  <c:y val="2.2575818195926755E-2"/>
                </c:manualLayout>
              </c:layout>
              <c:showLegendKey val="0"/>
              <c:showVal val="1"/>
              <c:showCatName val="1"/>
              <c:showSerName val="0"/>
              <c:showPercent val="0"/>
              <c:showBubbleSize val="0"/>
            </c:dLbl>
            <c:numFmt formatCode="0%" sourceLinked="0"/>
            <c:showLegendKey val="0"/>
            <c:showVal val="1"/>
            <c:showCatName val="1"/>
            <c:showSerName val="0"/>
            <c:showPercent val="0"/>
            <c:showBubbleSize val="0"/>
            <c:showLeaderLines val="1"/>
          </c:dLbls>
          <c:cat>
            <c:strRef>
              <c:f>'IPOs table by MS'!$Z$5:$Z$13</c:f>
              <c:strCache>
                <c:ptCount val="9"/>
                <c:pt idx="0">
                  <c:v>United Kingdom</c:v>
                </c:pt>
                <c:pt idx="1">
                  <c:v>Germany</c:v>
                </c:pt>
                <c:pt idx="2">
                  <c:v>Spain</c:v>
                </c:pt>
                <c:pt idx="3">
                  <c:v>Italy</c:v>
                </c:pt>
                <c:pt idx="4">
                  <c:v>France</c:v>
                </c:pt>
                <c:pt idx="5">
                  <c:v>Netherlands</c:v>
                </c:pt>
                <c:pt idx="6">
                  <c:v>Sweden</c:v>
                </c:pt>
                <c:pt idx="7">
                  <c:v>Poland</c:v>
                </c:pt>
                <c:pt idx="8">
                  <c:v>Denmark</c:v>
                </c:pt>
              </c:strCache>
            </c:strRef>
          </c:cat>
          <c:val>
            <c:numRef>
              <c:f>'IPOs table by MS'!$AA$5:$AA$13</c:f>
              <c:numCache>
                <c:formatCode>0.0%</c:formatCode>
                <c:ptCount val="9"/>
                <c:pt idx="0">
                  <c:v>0.29573626464680525</c:v>
                </c:pt>
                <c:pt idx="1">
                  <c:v>0.12777848416098161</c:v>
                </c:pt>
                <c:pt idx="2">
                  <c:v>0.11289490915450859</c:v>
                </c:pt>
                <c:pt idx="3">
                  <c:v>8.4747594923906044E-2</c:v>
                </c:pt>
                <c:pt idx="4">
                  <c:v>7.7748607137919312E-2</c:v>
                </c:pt>
                <c:pt idx="5">
                  <c:v>6.5623155791066423E-2</c:v>
                </c:pt>
                <c:pt idx="6">
                  <c:v>4.3251150567860108E-2</c:v>
                </c:pt>
                <c:pt idx="7">
                  <c:v>4.1648578855846247E-2</c:v>
                </c:pt>
                <c:pt idx="8">
                  <c:v>3.4474869430224549E-2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8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v>Among all NFCs</c:v>
          </c:tx>
          <c:marker>
            <c:symbol val="none"/>
          </c:marker>
          <c:cat>
            <c:numRef>
              <c:f>'Pivot tables'!$C$108:$M$108</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'Pivot tables'!$C$136:$M$136</c:f>
              <c:numCache>
                <c:formatCode>0%</c:formatCode>
                <c:ptCount val="11"/>
                <c:pt idx="0">
                  <c:v>0.21270077141719915</c:v>
                </c:pt>
                <c:pt idx="1">
                  <c:v>0.10336500161220821</c:v>
                </c:pt>
                <c:pt idx="2">
                  <c:v>2.7803797378927145E-2</c:v>
                </c:pt>
                <c:pt idx="3">
                  <c:v>7.1147491387923922E-2</c:v>
                </c:pt>
                <c:pt idx="4">
                  <c:v>0.1815759100416455</c:v>
                </c:pt>
                <c:pt idx="5">
                  <c:v>0.2078653166105216</c:v>
                </c:pt>
                <c:pt idx="6">
                  <c:v>0.15357334957743501</c:v>
                </c:pt>
                <c:pt idx="7">
                  <c:v>0.25649307738190602</c:v>
                </c:pt>
                <c:pt idx="8">
                  <c:v>0.25610556107649934</c:v>
                </c:pt>
                <c:pt idx="9">
                  <c:v>0.20477023052772542</c:v>
                </c:pt>
                <c:pt idx="10">
                  <c:v>0.17237626906884779</c:v>
                </c:pt>
              </c:numCache>
            </c:numRef>
          </c:val>
          <c:smooth val="0"/>
        </c:ser>
        <c:dLbls>
          <c:showLegendKey val="0"/>
          <c:showVal val="0"/>
          <c:showCatName val="0"/>
          <c:showSerName val="0"/>
          <c:showPercent val="0"/>
          <c:showBubbleSize val="0"/>
        </c:dLbls>
        <c:marker val="1"/>
        <c:smooth val="0"/>
        <c:axId val="214650240"/>
        <c:axId val="214688896"/>
      </c:lineChart>
      <c:catAx>
        <c:axId val="214650240"/>
        <c:scaling>
          <c:orientation val="minMax"/>
        </c:scaling>
        <c:delete val="0"/>
        <c:axPos val="b"/>
        <c:numFmt formatCode="General" sourceLinked="1"/>
        <c:majorTickMark val="out"/>
        <c:minorTickMark val="none"/>
        <c:tickLblPos val="nextTo"/>
        <c:crossAx val="214688896"/>
        <c:crosses val="autoZero"/>
        <c:auto val="1"/>
        <c:lblAlgn val="ctr"/>
        <c:lblOffset val="100"/>
        <c:noMultiLvlLbl val="0"/>
      </c:catAx>
      <c:valAx>
        <c:axId val="214688896"/>
        <c:scaling>
          <c:orientation val="minMax"/>
        </c:scaling>
        <c:delete val="0"/>
        <c:axPos val="l"/>
        <c:majorGridlines/>
        <c:numFmt formatCode="0%" sourceLinked="1"/>
        <c:majorTickMark val="out"/>
        <c:minorTickMark val="none"/>
        <c:tickLblPos val="nextTo"/>
        <c:crossAx val="214650240"/>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1"/>
          <c:order val="0"/>
          <c:tx>
            <c:v>Number of tranches EU-27 (rhs)</c:v>
          </c:tx>
          <c:spPr>
            <a:solidFill>
              <a:schemeClr val="bg1">
                <a:lumMod val="75000"/>
              </a:schemeClr>
            </a:solidFill>
          </c:spPr>
          <c:invertIfNegative val="0"/>
          <c:cat>
            <c:numRef>
              <c:f>'Main output'!$E$104:$O$104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'Main output'!$Y$95:$AI$95</c:f>
              <c:numCache>
                <c:formatCode>General</c:formatCode>
                <c:ptCount val="11"/>
                <c:pt idx="0">
                  <c:v>298</c:v>
                </c:pt>
                <c:pt idx="1">
                  <c:v>254</c:v>
                </c:pt>
                <c:pt idx="2">
                  <c:v>244</c:v>
                </c:pt>
                <c:pt idx="3">
                  <c:v>434</c:v>
                </c:pt>
                <c:pt idx="4">
                  <c:v>420</c:v>
                </c:pt>
                <c:pt idx="5">
                  <c:v>431</c:v>
                </c:pt>
                <c:pt idx="6">
                  <c:v>759</c:v>
                </c:pt>
                <c:pt idx="7">
                  <c:v>728</c:v>
                </c:pt>
                <c:pt idx="8">
                  <c:v>776</c:v>
                </c:pt>
                <c:pt idx="9">
                  <c:v>674</c:v>
                </c:pt>
                <c:pt idx="10">
                  <c:v>665</c:v>
                </c:pt>
              </c:numCache>
            </c:numRef>
          </c:val>
        </c:ser>
        <c:ser>
          <c:idx val="3"/>
          <c:order val="3"/>
          <c:tx>
            <c:v>Number of tranches in EU-28 (rhs)</c:v>
          </c:tx>
          <c:spPr>
            <a:solidFill>
              <a:schemeClr val="tx1">
                <a:lumMod val="65000"/>
                <a:lumOff val="35000"/>
              </a:schemeClr>
            </a:solidFill>
          </c:spPr>
          <c:invertIfNegative val="0"/>
          <c:val>
            <c:numRef>
              <c:f>'Main output'!$Y$93:$AI$93</c:f>
              <c:numCache>
                <c:formatCode>General</c:formatCode>
                <c:ptCount val="11"/>
                <c:pt idx="0">
                  <c:v>108</c:v>
                </c:pt>
                <c:pt idx="1">
                  <c:v>93</c:v>
                </c:pt>
                <c:pt idx="2">
                  <c:v>79</c:v>
                </c:pt>
                <c:pt idx="3">
                  <c:v>126</c:v>
                </c:pt>
                <c:pt idx="4">
                  <c:v>84</c:v>
                </c:pt>
                <c:pt idx="5">
                  <c:v>107</c:v>
                </c:pt>
                <c:pt idx="6">
                  <c:v>139</c:v>
                </c:pt>
                <c:pt idx="7">
                  <c:v>120</c:v>
                </c:pt>
                <c:pt idx="8">
                  <c:v>160</c:v>
                </c:pt>
                <c:pt idx="9">
                  <c:v>97</c:v>
                </c:pt>
                <c:pt idx="10">
                  <c:v>123</c:v>
                </c:pt>
              </c:numCache>
            </c:numRef>
          </c:val>
        </c:ser>
        <c:dLbls>
          <c:showLegendKey val="0"/>
          <c:showVal val="0"/>
          <c:showCatName val="0"/>
          <c:showSerName val="0"/>
          <c:showPercent val="0"/>
          <c:showBubbleSize val="0"/>
        </c:dLbls>
        <c:gapWidth val="150"/>
        <c:overlap val="100"/>
        <c:axId val="214912000"/>
        <c:axId val="214926080"/>
      </c:barChart>
      <c:lineChart>
        <c:grouping val="standard"/>
        <c:varyColors val="0"/>
        <c:ser>
          <c:idx val="0"/>
          <c:order val="1"/>
          <c:tx>
            <c:v>Volume in EU-27 (bn EUR, lhs)</c:v>
          </c:tx>
          <c:spPr>
            <a:ln>
              <a:solidFill>
                <a:schemeClr val="bg1">
                  <a:lumMod val="75000"/>
                </a:schemeClr>
              </a:solidFill>
            </a:ln>
          </c:spPr>
          <c:marker>
            <c:symbol val="none"/>
          </c:marker>
          <c:cat>
            <c:numRef>
              <c:f>'Main output'!$E$104:$O$104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'Main output'!$E$133:$O$133</c:f>
              <c:numCache>
                <c:formatCode>#,##0.0</c:formatCode>
                <c:ptCount val="11"/>
                <c:pt idx="0">
                  <c:v>89.015681375</c:v>
                </c:pt>
                <c:pt idx="1">
                  <c:v>75.172961318000006</c:v>
                </c:pt>
                <c:pt idx="2">
                  <c:v>65.456891016000014</c:v>
                </c:pt>
                <c:pt idx="3">
                  <c:v>182.21693292799995</c:v>
                </c:pt>
                <c:pt idx="4">
                  <c:v>120.380001189</c:v>
                </c:pt>
                <c:pt idx="5">
                  <c:v>114.78619818600001</c:v>
                </c:pt>
                <c:pt idx="6">
                  <c:v>199.49000815899998</c:v>
                </c:pt>
                <c:pt idx="7">
                  <c:v>191.16383702200002</c:v>
                </c:pt>
                <c:pt idx="8">
                  <c:v>190.42254805599995</c:v>
                </c:pt>
                <c:pt idx="9">
                  <c:v>168.91597564599999</c:v>
                </c:pt>
                <c:pt idx="10">
                  <c:v>208.87222234700005</c:v>
                </c:pt>
              </c:numCache>
            </c:numRef>
          </c:val>
          <c:smooth val="0"/>
        </c:ser>
        <c:ser>
          <c:idx val="2"/>
          <c:order val="2"/>
          <c:tx>
            <c:v>Volume in EU-28 (bn EUR, lhs)</c:v>
          </c:tx>
          <c:spPr>
            <a:ln>
              <a:solidFill>
                <a:schemeClr val="tx1">
                  <a:lumMod val="65000"/>
                  <a:lumOff val="35000"/>
                </a:schemeClr>
              </a:solidFill>
            </a:ln>
          </c:spPr>
          <c:marker>
            <c:symbol val="none"/>
          </c:marker>
          <c:val>
            <c:numRef>
              <c:f>'Main output'!$E$132:$O$132</c:f>
              <c:numCache>
                <c:formatCode>#,##0.0</c:formatCode>
                <c:ptCount val="11"/>
                <c:pt idx="0">
                  <c:v>123.640516707</c:v>
                </c:pt>
                <c:pt idx="1">
                  <c:v>104.260131504</c:v>
                </c:pt>
                <c:pt idx="2">
                  <c:v>87.525392586999999</c:v>
                </c:pt>
                <c:pt idx="3">
                  <c:v>210.583857459</c:v>
                </c:pt>
                <c:pt idx="4">
                  <c:v>136.60710868699999</c:v>
                </c:pt>
                <c:pt idx="5">
                  <c:v>137.82335202499999</c:v>
                </c:pt>
                <c:pt idx="6">
                  <c:v>230.73602094699999</c:v>
                </c:pt>
                <c:pt idx="7">
                  <c:v>219.36010919399999</c:v>
                </c:pt>
                <c:pt idx="8">
                  <c:v>225.26717283100001</c:v>
                </c:pt>
                <c:pt idx="9">
                  <c:v>203.140408114</c:v>
                </c:pt>
                <c:pt idx="10">
                  <c:v>240.01014171200001</c:v>
                </c:pt>
              </c:numCache>
            </c:numRef>
          </c:val>
          <c:smooth val="0"/>
        </c:ser>
        <c:dLbls>
          <c:showLegendKey val="0"/>
          <c:showVal val="0"/>
          <c:showCatName val="0"/>
          <c:showSerName val="0"/>
          <c:showPercent val="0"/>
          <c:showBubbleSize val="0"/>
        </c:dLbls>
        <c:marker val="1"/>
        <c:smooth val="0"/>
        <c:axId val="214908928"/>
        <c:axId val="214910464"/>
      </c:lineChart>
      <c:catAx>
        <c:axId val="214908928"/>
        <c:scaling>
          <c:orientation val="minMax"/>
        </c:scaling>
        <c:delete val="0"/>
        <c:axPos val="b"/>
        <c:numFmt formatCode="General" sourceLinked="1"/>
        <c:majorTickMark val="out"/>
        <c:minorTickMark val="none"/>
        <c:tickLblPos val="nextTo"/>
        <c:crossAx val="214910464"/>
        <c:crosses val="autoZero"/>
        <c:auto val="1"/>
        <c:lblAlgn val="ctr"/>
        <c:lblOffset val="100"/>
        <c:noMultiLvlLbl val="0"/>
      </c:catAx>
      <c:valAx>
        <c:axId val="214910464"/>
        <c:scaling>
          <c:orientation val="minMax"/>
        </c:scaling>
        <c:delete val="0"/>
        <c:axPos val="l"/>
        <c:majorGridlines/>
        <c:numFmt formatCode="#,##0" sourceLinked="0"/>
        <c:majorTickMark val="out"/>
        <c:minorTickMark val="none"/>
        <c:tickLblPos val="nextTo"/>
        <c:crossAx val="214908928"/>
        <c:crosses val="autoZero"/>
        <c:crossBetween val="between"/>
      </c:valAx>
      <c:catAx>
        <c:axId val="214912000"/>
        <c:scaling>
          <c:orientation val="minMax"/>
        </c:scaling>
        <c:delete val="1"/>
        <c:axPos val="b"/>
        <c:numFmt formatCode="General" sourceLinked="1"/>
        <c:majorTickMark val="out"/>
        <c:minorTickMark val="none"/>
        <c:tickLblPos val="nextTo"/>
        <c:crossAx val="214926080"/>
        <c:crosses val="autoZero"/>
        <c:auto val="1"/>
        <c:lblAlgn val="ctr"/>
        <c:lblOffset val="100"/>
        <c:noMultiLvlLbl val="0"/>
      </c:catAx>
      <c:valAx>
        <c:axId val="214926080"/>
        <c:scaling>
          <c:orientation val="minMax"/>
        </c:scaling>
        <c:delete val="0"/>
        <c:axPos val="r"/>
        <c:numFmt formatCode="General" sourceLinked="1"/>
        <c:majorTickMark val="out"/>
        <c:minorTickMark val="none"/>
        <c:tickLblPos val="nextTo"/>
        <c:crossAx val="214912000"/>
        <c:crosses val="max"/>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32174103237096"/>
          <c:y val="2.7595376060080171E-2"/>
          <c:w val="0.84112270341207362"/>
          <c:h val="0.66976605875418904"/>
        </c:manualLayout>
      </c:layout>
      <c:barChart>
        <c:barDir val="col"/>
        <c:grouping val="stacked"/>
        <c:varyColors val="0"/>
        <c:ser>
          <c:idx val="1"/>
          <c:order val="0"/>
          <c:tx>
            <c:strRef>
              <c:f>EU!$J$804</c:f>
              <c:strCache>
                <c:ptCount val="1"/>
                <c:pt idx="0">
                  <c:v>Domestic inbound</c:v>
                </c:pt>
              </c:strCache>
            </c:strRef>
          </c:tx>
          <c:spPr>
            <a:solidFill>
              <a:srgbClr val="0070C0"/>
            </a:solidFill>
            <a:ln>
              <a:solidFill>
                <a:srgbClr val="0070C0"/>
              </a:solidFill>
            </a:ln>
          </c:spPr>
          <c:invertIfNegative val="0"/>
          <c:cat>
            <c:numRef>
              <c:f>EU!$I$805:$I$826</c:f>
              <c:numCache>
                <c:formatCode>####################0</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EU!$J$805:$J$826</c:f>
              <c:numCache>
                <c:formatCode>####################0</c:formatCode>
                <c:ptCount val="22"/>
                <c:pt idx="0">
                  <c:v>108.81734</c:v>
                </c:pt>
                <c:pt idx="1">
                  <c:v>122.49820000000001</c:v>
                </c:pt>
                <c:pt idx="2">
                  <c:v>184.09227999999999</c:v>
                </c:pt>
                <c:pt idx="3">
                  <c:v>419.18345999999997</c:v>
                </c:pt>
                <c:pt idx="4">
                  <c:v>433.90911999999997</c:v>
                </c:pt>
                <c:pt idx="5">
                  <c:v>782.08421999999996</c:v>
                </c:pt>
                <c:pt idx="6">
                  <c:v>351.19722999999999</c:v>
                </c:pt>
                <c:pt idx="7">
                  <c:v>301.85401000000002</c:v>
                </c:pt>
                <c:pt idx="8">
                  <c:v>329.28411</c:v>
                </c:pt>
                <c:pt idx="9">
                  <c:v>338.20888000000002</c:v>
                </c:pt>
                <c:pt idx="10">
                  <c:v>372.81757999999991</c:v>
                </c:pt>
                <c:pt idx="11">
                  <c:v>540.01609000000008</c:v>
                </c:pt>
                <c:pt idx="12">
                  <c:v>507.37286999999998</c:v>
                </c:pt>
                <c:pt idx="13">
                  <c:v>397.81295</c:v>
                </c:pt>
                <c:pt idx="14">
                  <c:v>326.13576</c:v>
                </c:pt>
                <c:pt idx="15">
                  <c:v>200.42842999999999</c:v>
                </c:pt>
                <c:pt idx="16">
                  <c:v>234.98711999999998</c:v>
                </c:pt>
                <c:pt idx="17">
                  <c:v>170.53414000000001</c:v>
                </c:pt>
                <c:pt idx="18">
                  <c:v>213.50397000000004</c:v>
                </c:pt>
                <c:pt idx="19">
                  <c:v>222.95857000000007</c:v>
                </c:pt>
                <c:pt idx="20">
                  <c:v>235.8735099999999</c:v>
                </c:pt>
                <c:pt idx="21">
                  <c:v>223.26292000000004</c:v>
                </c:pt>
              </c:numCache>
            </c:numRef>
          </c:val>
        </c:ser>
        <c:ser>
          <c:idx val="2"/>
          <c:order val="1"/>
          <c:tx>
            <c:strRef>
              <c:f>EU!$K$804</c:f>
              <c:strCache>
                <c:ptCount val="1"/>
                <c:pt idx="0">
                  <c:v>Intra-EU inbound</c:v>
                </c:pt>
              </c:strCache>
            </c:strRef>
          </c:tx>
          <c:spPr>
            <a:pattFill prst="smCheck">
              <a:fgClr>
                <a:srgbClr val="89A54E"/>
              </a:fgClr>
              <a:bgClr>
                <a:srgbClr val="FFFFFF"/>
              </a:bgClr>
            </a:pattFill>
            <a:ln w="9525">
              <a:solidFill>
                <a:srgbClr val="00B050"/>
              </a:solidFill>
            </a:ln>
          </c:spPr>
          <c:invertIfNegative val="0"/>
          <c:cat>
            <c:numRef>
              <c:f>EU!$I$805:$I$826</c:f>
              <c:numCache>
                <c:formatCode>####################0</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EU!$K$805:$K$826</c:f>
              <c:numCache>
                <c:formatCode>####################0</c:formatCode>
                <c:ptCount val="22"/>
                <c:pt idx="0">
                  <c:v>45.337329999999994</c:v>
                </c:pt>
                <c:pt idx="1">
                  <c:v>32.519570000000002</c:v>
                </c:pt>
                <c:pt idx="2">
                  <c:v>57.36739</c:v>
                </c:pt>
                <c:pt idx="3">
                  <c:v>116.19798999999999</c:v>
                </c:pt>
                <c:pt idx="4">
                  <c:v>303.62781000000001</c:v>
                </c:pt>
                <c:pt idx="5">
                  <c:v>546.43178</c:v>
                </c:pt>
                <c:pt idx="6">
                  <c:v>172.01849000000001</c:v>
                </c:pt>
                <c:pt idx="7">
                  <c:v>165.87127000000001</c:v>
                </c:pt>
                <c:pt idx="8">
                  <c:v>66.018330000000006</c:v>
                </c:pt>
                <c:pt idx="9">
                  <c:v>96.666149999999988</c:v>
                </c:pt>
                <c:pt idx="10">
                  <c:v>168.01889000000003</c:v>
                </c:pt>
                <c:pt idx="11">
                  <c:v>229.88610999999997</c:v>
                </c:pt>
                <c:pt idx="12">
                  <c:v>350.67517000000004</c:v>
                </c:pt>
                <c:pt idx="13">
                  <c:v>173.72165000000001</c:v>
                </c:pt>
                <c:pt idx="14">
                  <c:v>104.35116000000001</c:v>
                </c:pt>
                <c:pt idx="15">
                  <c:v>54.309429999999999</c:v>
                </c:pt>
                <c:pt idx="16">
                  <c:v>108.86701000000001</c:v>
                </c:pt>
                <c:pt idx="17">
                  <c:v>59.089469999999999</c:v>
                </c:pt>
                <c:pt idx="18">
                  <c:v>65.253119999999996</c:v>
                </c:pt>
                <c:pt idx="19">
                  <c:v>101.79447999999999</c:v>
                </c:pt>
                <c:pt idx="20">
                  <c:v>92.867960000000011</c:v>
                </c:pt>
                <c:pt idx="21">
                  <c:v>284.642</c:v>
                </c:pt>
              </c:numCache>
            </c:numRef>
          </c:val>
        </c:ser>
        <c:ser>
          <c:idx val="3"/>
          <c:order val="2"/>
          <c:tx>
            <c:strRef>
              <c:f>EU!$L$804</c:f>
              <c:strCache>
                <c:ptCount val="1"/>
                <c:pt idx="0">
                  <c:v>Extra-EU inbound</c:v>
                </c:pt>
              </c:strCache>
            </c:strRef>
          </c:tx>
          <c:spPr>
            <a:pattFill prst="pct80">
              <a:fgClr>
                <a:srgbClr val="FF0000"/>
              </a:fgClr>
              <a:bgClr>
                <a:srgbClr val="FFFFFF"/>
              </a:bgClr>
            </a:pattFill>
            <a:ln>
              <a:solidFill>
                <a:srgbClr val="FF0000"/>
              </a:solidFill>
            </a:ln>
          </c:spPr>
          <c:invertIfNegative val="0"/>
          <c:cat>
            <c:numRef>
              <c:f>EU!$I$805:$I$826</c:f>
              <c:numCache>
                <c:formatCode>####################0</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EU!$L$805:$L$826</c:f>
              <c:numCache>
                <c:formatCode>####################0</c:formatCode>
                <c:ptCount val="22"/>
                <c:pt idx="0">
                  <c:v>22.704909999999995</c:v>
                </c:pt>
                <c:pt idx="1">
                  <c:v>36.24548999999999</c:v>
                </c:pt>
                <c:pt idx="2">
                  <c:v>87.502629999999996</c:v>
                </c:pt>
                <c:pt idx="3">
                  <c:v>116.21624000000001</c:v>
                </c:pt>
                <c:pt idx="4">
                  <c:v>133.12052999999997</c:v>
                </c:pt>
                <c:pt idx="5">
                  <c:v>158.62441999999993</c:v>
                </c:pt>
                <c:pt idx="6">
                  <c:v>97.903729999999953</c:v>
                </c:pt>
                <c:pt idx="7">
                  <c:v>73.714459999999988</c:v>
                </c:pt>
                <c:pt idx="8">
                  <c:v>66.701880000000017</c:v>
                </c:pt>
                <c:pt idx="9">
                  <c:v>68.424779999999998</c:v>
                </c:pt>
                <c:pt idx="10">
                  <c:v>102.79670000000002</c:v>
                </c:pt>
                <c:pt idx="11">
                  <c:v>125.42754999999998</c:v>
                </c:pt>
                <c:pt idx="12">
                  <c:v>177.40273999999999</c:v>
                </c:pt>
                <c:pt idx="13">
                  <c:v>137.89166999999998</c:v>
                </c:pt>
                <c:pt idx="14">
                  <c:v>57.800880000000006</c:v>
                </c:pt>
                <c:pt idx="15">
                  <c:v>107.36582000000001</c:v>
                </c:pt>
                <c:pt idx="16">
                  <c:v>133.65955000000002</c:v>
                </c:pt>
                <c:pt idx="17">
                  <c:v>116.40452999999999</c:v>
                </c:pt>
                <c:pt idx="18">
                  <c:v>132.8673</c:v>
                </c:pt>
                <c:pt idx="19">
                  <c:v>145.83101000000002</c:v>
                </c:pt>
                <c:pt idx="20">
                  <c:v>248.19890999999998</c:v>
                </c:pt>
                <c:pt idx="21">
                  <c:v>261.39043999999996</c:v>
                </c:pt>
              </c:numCache>
            </c:numRef>
          </c:val>
        </c:ser>
        <c:dLbls>
          <c:showLegendKey val="0"/>
          <c:showVal val="0"/>
          <c:showCatName val="0"/>
          <c:showSerName val="0"/>
          <c:showPercent val="0"/>
          <c:showBubbleSize val="0"/>
        </c:dLbls>
        <c:gapWidth val="150"/>
        <c:overlap val="100"/>
        <c:axId val="214946560"/>
        <c:axId val="214948096"/>
      </c:barChart>
      <c:lineChart>
        <c:grouping val="standard"/>
        <c:varyColors val="0"/>
        <c:ser>
          <c:idx val="4"/>
          <c:order val="3"/>
          <c:tx>
            <c:strRef>
              <c:f>EU!$M$804</c:f>
              <c:strCache>
                <c:ptCount val="1"/>
                <c:pt idx="0">
                  <c:v>Share of cross-border</c:v>
                </c:pt>
              </c:strCache>
            </c:strRef>
          </c:tx>
          <c:spPr>
            <a:ln w="19050">
              <a:solidFill>
                <a:srgbClr val="00B050"/>
              </a:solidFill>
            </a:ln>
          </c:spPr>
          <c:marker>
            <c:symbol val="none"/>
          </c:marker>
          <c:cat>
            <c:numRef>
              <c:f>EU!$I$805:$I$826</c:f>
              <c:numCache>
                <c:formatCode>####################0</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EU!$M$805:$M$826</c:f>
              <c:numCache>
                <c:formatCode>0.00</c:formatCode>
                <c:ptCount val="22"/>
                <c:pt idx="0">
                  <c:v>0.38472464991718286</c:v>
                </c:pt>
                <c:pt idx="1">
                  <c:v>0.35953094180241407</c:v>
                </c:pt>
                <c:pt idx="2">
                  <c:v>0.44038487084994238</c:v>
                </c:pt>
                <c:pt idx="3">
                  <c:v>0.35668363096867339</c:v>
                </c:pt>
                <c:pt idx="4">
                  <c:v>0.50163050345884586</c:v>
                </c:pt>
                <c:pt idx="5">
                  <c:v>0.47410196812483918</c:v>
                </c:pt>
                <c:pt idx="6">
                  <c:v>0.43457376837901307</c:v>
                </c:pt>
                <c:pt idx="7">
                  <c:v>0.44249749750544726</c:v>
                </c:pt>
                <c:pt idx="8">
                  <c:v>0.28727049565250823</c:v>
                </c:pt>
                <c:pt idx="9">
                  <c:v>0.32801707197147562</c:v>
                </c:pt>
                <c:pt idx="10">
                  <c:v>0.42076077278615093</c:v>
                </c:pt>
                <c:pt idx="11">
                  <c:v>0.39685228822118329</c:v>
                </c:pt>
                <c:pt idx="12">
                  <c:v>0.5099980802564078</c:v>
                </c:pt>
                <c:pt idx="13">
                  <c:v>0.43924694246239288</c:v>
                </c:pt>
                <c:pt idx="14">
                  <c:v>0.33208292322683464</c:v>
                </c:pt>
                <c:pt idx="15">
                  <c:v>0.4464888343581595</c:v>
                </c:pt>
                <c:pt idx="16">
                  <c:v>0.50789447540016031</c:v>
                </c:pt>
                <c:pt idx="17">
                  <c:v>0.50716684486989982</c:v>
                </c:pt>
                <c:pt idx="18">
                  <c:v>0.48131360729134631</c:v>
                </c:pt>
                <c:pt idx="19">
                  <c:v>0.52620883503788884</c:v>
                </c:pt>
                <c:pt idx="20">
                  <c:v>0.59116484445065198</c:v>
                </c:pt>
                <c:pt idx="21">
                  <c:v>0.70978257297691216</c:v>
                </c:pt>
              </c:numCache>
            </c:numRef>
          </c:val>
          <c:smooth val="0"/>
        </c:ser>
        <c:ser>
          <c:idx val="5"/>
          <c:order val="4"/>
          <c:tx>
            <c:strRef>
              <c:f>EU!$N$804</c:f>
              <c:strCache>
                <c:ptCount val="1"/>
                <c:pt idx="0">
                  <c:v>Share of extra-EU in IM&amp;As</c:v>
                </c:pt>
              </c:strCache>
            </c:strRef>
          </c:tx>
          <c:spPr>
            <a:ln w="22225">
              <a:solidFill>
                <a:srgbClr val="FF0000"/>
              </a:solidFill>
              <a:prstDash val="sysDash"/>
            </a:ln>
          </c:spPr>
          <c:marker>
            <c:symbol val="none"/>
          </c:marker>
          <c:cat>
            <c:numRef>
              <c:f>EU!$I$805:$I$826</c:f>
              <c:numCache>
                <c:formatCode>####################0</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EU!$N$805:$N$826</c:f>
              <c:numCache>
                <c:formatCode>0.00</c:formatCode>
                <c:ptCount val="22"/>
                <c:pt idx="0">
                  <c:v>0.33368845587682006</c:v>
                </c:pt>
                <c:pt idx="1">
                  <c:v>0.52709166544753971</c:v>
                </c:pt>
                <c:pt idx="2">
                  <c:v>0.60400785476525787</c:v>
                </c:pt>
                <c:pt idx="3">
                  <c:v>0.50003926179563107</c:v>
                </c:pt>
                <c:pt idx="4">
                  <c:v>0.30479916649482852</c:v>
                </c:pt>
                <c:pt idx="5">
                  <c:v>0.22498124263002003</c:v>
                </c:pt>
                <c:pt idx="6">
                  <c:v>0.36271089501264464</c:v>
                </c:pt>
                <c:pt idx="7">
                  <c:v>0.30767466827010104</c:v>
                </c:pt>
                <c:pt idx="8">
                  <c:v>0.50257515415323717</c:v>
                </c:pt>
                <c:pt idx="9">
                  <c:v>0.41446722724258689</c:v>
                </c:pt>
                <c:pt idx="10">
                  <c:v>0.37958191402496438</c:v>
                </c:pt>
                <c:pt idx="11">
                  <c:v>0.35300514480642259</c:v>
                </c:pt>
                <c:pt idx="12">
                  <c:v>0.33594046757229434</c:v>
                </c:pt>
                <c:pt idx="13">
                  <c:v>0.44250890815578736</c:v>
                </c:pt>
                <c:pt idx="14">
                  <c:v>0.3564610102962627</c:v>
                </c:pt>
                <c:pt idx="15">
                  <c:v>0.66408321620037702</c:v>
                </c:pt>
                <c:pt idx="16">
                  <c:v>0.55111304097992397</c:v>
                </c:pt>
                <c:pt idx="17">
                  <c:v>0.66329635201203463</c:v>
                </c:pt>
                <c:pt idx="18">
                  <c:v>0.67063909919028031</c:v>
                </c:pt>
                <c:pt idx="19">
                  <c:v>0.58891760294951867</c:v>
                </c:pt>
                <c:pt idx="20">
                  <c:v>0.72771333668380034</c:v>
                </c:pt>
                <c:pt idx="21">
                  <c:v>0.47870862764124411</c:v>
                </c:pt>
              </c:numCache>
            </c:numRef>
          </c:val>
          <c:smooth val="0"/>
        </c:ser>
        <c:dLbls>
          <c:showLegendKey val="0"/>
          <c:showVal val="0"/>
          <c:showCatName val="0"/>
          <c:showSerName val="0"/>
          <c:showPercent val="0"/>
          <c:showBubbleSize val="0"/>
        </c:dLbls>
        <c:marker val="1"/>
        <c:smooth val="0"/>
        <c:axId val="219353088"/>
        <c:axId val="219354624"/>
      </c:lineChart>
      <c:catAx>
        <c:axId val="214946560"/>
        <c:scaling>
          <c:orientation val="minMax"/>
        </c:scaling>
        <c:delete val="0"/>
        <c:axPos val="b"/>
        <c:numFmt formatCode="####################0" sourceLinked="1"/>
        <c:majorTickMark val="out"/>
        <c:minorTickMark val="none"/>
        <c:tickLblPos val="low"/>
        <c:txPr>
          <a:bodyPr/>
          <a:lstStyle/>
          <a:p>
            <a:pPr>
              <a:defRPr sz="800"/>
            </a:pPr>
            <a:endParaRPr lang="en-US"/>
          </a:p>
        </c:txPr>
        <c:crossAx val="214948096"/>
        <c:crosses val="autoZero"/>
        <c:auto val="1"/>
        <c:lblAlgn val="ctr"/>
        <c:lblOffset val="100"/>
        <c:noMultiLvlLbl val="0"/>
      </c:catAx>
      <c:valAx>
        <c:axId val="214948096"/>
        <c:scaling>
          <c:orientation val="minMax"/>
        </c:scaling>
        <c:delete val="0"/>
        <c:axPos val="l"/>
        <c:majorGridlines>
          <c:spPr>
            <a:ln w="12700">
              <a:solidFill>
                <a:schemeClr val="bg1">
                  <a:lumMod val="75000"/>
                </a:schemeClr>
              </a:solidFill>
              <a:prstDash val="sysDot"/>
            </a:ln>
          </c:spPr>
        </c:majorGridlines>
        <c:numFmt formatCode="#,##0" sourceLinked="0"/>
        <c:majorTickMark val="out"/>
        <c:minorTickMark val="none"/>
        <c:tickLblPos val="nextTo"/>
        <c:crossAx val="214946560"/>
        <c:crosses val="autoZero"/>
        <c:crossBetween val="between"/>
      </c:valAx>
      <c:catAx>
        <c:axId val="219353088"/>
        <c:scaling>
          <c:orientation val="minMax"/>
        </c:scaling>
        <c:delete val="1"/>
        <c:axPos val="b"/>
        <c:numFmt formatCode="####################0" sourceLinked="1"/>
        <c:majorTickMark val="out"/>
        <c:minorTickMark val="none"/>
        <c:tickLblPos val="none"/>
        <c:crossAx val="219354624"/>
        <c:crosses val="autoZero"/>
        <c:auto val="1"/>
        <c:lblAlgn val="ctr"/>
        <c:lblOffset val="100"/>
        <c:noMultiLvlLbl val="0"/>
      </c:catAx>
      <c:valAx>
        <c:axId val="219354624"/>
        <c:scaling>
          <c:orientation val="minMax"/>
        </c:scaling>
        <c:delete val="0"/>
        <c:axPos val="r"/>
        <c:numFmt formatCode="0%" sourceLinked="0"/>
        <c:majorTickMark val="out"/>
        <c:minorTickMark val="none"/>
        <c:tickLblPos val="nextTo"/>
        <c:crossAx val="219353088"/>
        <c:crosses val="max"/>
        <c:crossBetween val="between"/>
      </c:valAx>
      <c:spPr>
        <a:solidFill>
          <a:schemeClr val="accent1">
            <a:lumMod val="40000"/>
            <a:lumOff val="60000"/>
          </a:schemeClr>
        </a:solidFill>
      </c:spPr>
    </c:plotArea>
    <c:legend>
      <c:legendPos val="b"/>
      <c:layout>
        <c:manualLayout>
          <c:xMode val="edge"/>
          <c:yMode val="edge"/>
          <c:x val="5.5023163684581036E-3"/>
          <c:y val="0.80787958435888763"/>
          <c:w val="0.98622314622314622"/>
          <c:h val="0.18740565845110982"/>
        </c:manualLayout>
      </c:layout>
      <c:overlay val="0"/>
      <c:spPr>
        <a:ln>
          <a:solidFill>
            <a:schemeClr val="bg1"/>
          </a:solidFill>
        </a:ln>
      </c:spPr>
    </c:legend>
    <c:plotVisOnly val="1"/>
    <c:dispBlanksAs val="gap"/>
    <c:showDLblsOverMax val="0"/>
  </c:chart>
  <c:spPr>
    <a:solidFill>
      <a:schemeClr val="accent1">
        <a:lumMod val="40000"/>
        <a:lumOff val="60000"/>
      </a:schemeClr>
    </a:solid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1"/>
          <c:tx>
            <c:strRef>
              <c:f>'[afme-stn-securitisation-data-excel-4q-2016.xls]2'!$O$14</c:f>
              <c:strCache>
                <c:ptCount val="1"/>
                <c:pt idx="0">
                  <c:v>outstanding</c:v>
                </c:pt>
              </c:strCache>
            </c:strRef>
          </c:tx>
          <c:spPr>
            <a:solidFill>
              <a:srgbClr val="DADADA"/>
            </a:solidFill>
          </c:spPr>
          <c:cat>
            <c:numRef>
              <c:f>'[afme-stn-securitisation-data-excel-4q-2016.xls]2'!$M$15:$M$23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'[afme-stn-securitisation-data-excel-4q-2016.xls]2'!$O$15:$O$23</c:f>
              <c:numCache>
                <c:formatCode>General</c:formatCode>
                <c:ptCount val="9"/>
                <c:pt idx="0">
                  <c:v>2194.7334068376681</c:v>
                </c:pt>
                <c:pt idx="1">
                  <c:v>2290.3470228613078</c:v>
                </c:pt>
                <c:pt idx="2">
                  <c:v>2169.1557733602258</c:v>
                </c:pt>
                <c:pt idx="3">
                  <c:v>2022.2422261477464</c:v>
                </c:pt>
                <c:pt idx="4">
                  <c:v>2022.2422261477464</c:v>
                </c:pt>
                <c:pt idx="5">
                  <c:v>1532.6994039193708</c:v>
                </c:pt>
                <c:pt idx="6">
                  <c:v>1441.104793749053</c:v>
                </c:pt>
                <c:pt idx="7">
                  <c:v>1301.8859999999997</c:v>
                </c:pt>
                <c:pt idx="8">
                  <c:v>1273.970699999998</c:v>
                </c:pt>
              </c:numCache>
            </c:numRef>
          </c:val>
        </c:ser>
        <c:dLbls>
          <c:showLegendKey val="0"/>
          <c:showVal val="0"/>
          <c:showCatName val="0"/>
          <c:showSerName val="0"/>
          <c:showPercent val="0"/>
          <c:showBubbleSize val="0"/>
        </c:dLbls>
        <c:axId val="219443200"/>
        <c:axId val="219396352"/>
      </c:areaChart>
      <c:barChart>
        <c:barDir val="col"/>
        <c:grouping val="clustered"/>
        <c:varyColors val="0"/>
        <c:ser>
          <c:idx val="0"/>
          <c:order val="0"/>
          <c:tx>
            <c:strRef>
              <c:f>'[afme-stn-securitisation-data-excel-4q-2016.xls]2'!$N$14</c:f>
              <c:strCache>
                <c:ptCount val="1"/>
                <c:pt idx="0">
                  <c:v>issuance</c:v>
                </c:pt>
              </c:strCache>
            </c:strRef>
          </c:tx>
          <c:spPr>
            <a:solidFill>
              <a:schemeClr val="bg1">
                <a:lumMod val="50000"/>
              </a:schemeClr>
            </a:solidFill>
          </c:spPr>
          <c:invertIfNegative val="0"/>
          <c:cat>
            <c:numRef>
              <c:f>'[afme-stn-securitisation-data-excel-4q-2016.xls]2'!$M$15:$M$23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'[afme-stn-securitisation-data-excel-4q-2016.xls]2'!$N$15:$N$23</c:f>
              <c:numCache>
                <c:formatCode>#,##0.0_);\(#,##0.0\)</c:formatCode>
                <c:ptCount val="9"/>
                <c:pt idx="0">
                  <c:v>818.72676031201945</c:v>
                </c:pt>
                <c:pt idx="1">
                  <c:v>423.94000636003011</c:v>
                </c:pt>
                <c:pt idx="2">
                  <c:v>377.95240856890001</c:v>
                </c:pt>
                <c:pt idx="3">
                  <c:v>376.79999838485003</c:v>
                </c:pt>
                <c:pt idx="4">
                  <c:v>257.82422183730995</c:v>
                </c:pt>
                <c:pt idx="5">
                  <c:v>180.77284959930003</c:v>
                </c:pt>
                <c:pt idx="6">
                  <c:v>217.00690693579008</c:v>
                </c:pt>
                <c:pt idx="7">
                  <c:v>216.39469999999994</c:v>
                </c:pt>
                <c:pt idx="8">
                  <c:v>237.56369999999998</c:v>
                </c:pt>
              </c:numCache>
            </c:numRef>
          </c:val>
        </c:ser>
        <c:dLbls>
          <c:showLegendKey val="0"/>
          <c:showVal val="0"/>
          <c:showCatName val="0"/>
          <c:showSerName val="0"/>
          <c:showPercent val="0"/>
          <c:showBubbleSize val="0"/>
        </c:dLbls>
        <c:gapWidth val="75"/>
        <c:overlap val="-25"/>
        <c:axId val="219364352"/>
        <c:axId val="219394816"/>
      </c:barChart>
      <c:catAx>
        <c:axId val="219364352"/>
        <c:scaling>
          <c:orientation val="minMax"/>
        </c:scaling>
        <c:delete val="0"/>
        <c:axPos val="b"/>
        <c:numFmt formatCode="General" sourceLinked="1"/>
        <c:majorTickMark val="none"/>
        <c:minorTickMark val="none"/>
        <c:tickLblPos val="nextTo"/>
        <c:crossAx val="219394816"/>
        <c:crosses val="autoZero"/>
        <c:auto val="1"/>
        <c:lblAlgn val="ctr"/>
        <c:lblOffset val="100"/>
        <c:noMultiLvlLbl val="0"/>
      </c:catAx>
      <c:valAx>
        <c:axId val="219394816"/>
        <c:scaling>
          <c:orientation val="minMax"/>
        </c:scaling>
        <c:delete val="0"/>
        <c:axPos val="l"/>
        <c:majorGridlines/>
        <c:numFmt formatCode="#,##0" sourceLinked="0"/>
        <c:majorTickMark val="none"/>
        <c:minorTickMark val="none"/>
        <c:tickLblPos val="nextTo"/>
        <c:spPr>
          <a:ln w="9525">
            <a:noFill/>
          </a:ln>
        </c:spPr>
        <c:crossAx val="219364352"/>
        <c:crosses val="autoZero"/>
        <c:crossBetween val="between"/>
      </c:valAx>
      <c:valAx>
        <c:axId val="219396352"/>
        <c:scaling>
          <c:orientation val="minMax"/>
        </c:scaling>
        <c:delete val="0"/>
        <c:axPos val="r"/>
        <c:numFmt formatCode="General" sourceLinked="1"/>
        <c:majorTickMark val="out"/>
        <c:minorTickMark val="none"/>
        <c:tickLblPos val="nextTo"/>
        <c:crossAx val="219443200"/>
        <c:crosses val="max"/>
        <c:crossBetween val="between"/>
      </c:valAx>
      <c:catAx>
        <c:axId val="219443200"/>
        <c:scaling>
          <c:orientation val="minMax"/>
        </c:scaling>
        <c:delete val="1"/>
        <c:axPos val="b"/>
        <c:numFmt formatCode="General" sourceLinked="1"/>
        <c:majorTickMark val="out"/>
        <c:minorTickMark val="none"/>
        <c:tickLblPos val="nextTo"/>
        <c:crossAx val="21939635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6000962775864889"/>
          <c:y val="0.12283982878442992"/>
          <c:w val="0.44426741233868799"/>
          <c:h val="0.82005476824996437"/>
        </c:manualLayout>
      </c:layout>
      <c:pieChart>
        <c:varyColors val="1"/>
        <c:ser>
          <c:idx val="0"/>
          <c:order val="0"/>
          <c:dLbls>
            <c:dLbl>
              <c:idx val="0"/>
              <c:layout>
                <c:manualLayout>
                  <c:x val="2.0033175273375392E-2"/>
                  <c:y val="-4.3976889457855916E-3"/>
                </c:manualLayout>
              </c:layout>
              <c:showLegendKey val="0"/>
              <c:showVal val="1"/>
              <c:showCatName val="1"/>
              <c:showSerName val="0"/>
              <c:showPercent val="0"/>
              <c:showBubbleSize val="0"/>
            </c:dLbl>
            <c:dLbl>
              <c:idx val="1"/>
              <c:layout>
                <c:manualLayout>
                  <c:x val="2.2701402413538581E-2"/>
                  <c:y val="-3.4513349633547519E-2"/>
                </c:manualLayout>
              </c:layout>
              <c:showLegendKey val="0"/>
              <c:showVal val="1"/>
              <c:showCatName val="1"/>
              <c:showSerName val="0"/>
              <c:showPercent val="0"/>
              <c:showBubbleSize val="0"/>
            </c:dLbl>
            <c:dLbl>
              <c:idx val="2"/>
              <c:layout>
                <c:manualLayout>
                  <c:x val="3.3627876216165364E-2"/>
                  <c:y val="-4.0039182708815721E-2"/>
                </c:manualLayout>
              </c:layout>
              <c:showLegendKey val="0"/>
              <c:showVal val="1"/>
              <c:showCatName val="1"/>
              <c:showSerName val="0"/>
              <c:showPercent val="0"/>
              <c:showBubbleSize val="0"/>
            </c:dLbl>
            <c:dLbl>
              <c:idx val="3"/>
              <c:layout>
                <c:manualLayout>
                  <c:x val="3.8177541070080423E-2"/>
                  <c:y val="-5.6713861271960909E-3"/>
                </c:manualLayout>
              </c:layout>
              <c:showLegendKey val="0"/>
              <c:showVal val="1"/>
              <c:showCatName val="1"/>
              <c:showSerName val="0"/>
              <c:showPercent val="0"/>
              <c:showBubbleSize val="0"/>
            </c:dLbl>
            <c:dLbl>
              <c:idx val="4"/>
              <c:layout>
                <c:manualLayout>
                  <c:x val="2.8378010897103761E-2"/>
                  <c:y val="6.414700080810018E-2"/>
                </c:manualLayout>
              </c:layout>
              <c:showLegendKey val="0"/>
              <c:showVal val="1"/>
              <c:showCatName val="1"/>
              <c:showSerName val="0"/>
              <c:showPercent val="0"/>
              <c:showBubbleSize val="0"/>
            </c:dLbl>
            <c:dLbl>
              <c:idx val="5"/>
              <c:layout>
                <c:manualLayout>
                  <c:x val="9.2821728306305876E-2"/>
                  <c:y val="1.9726973571971233E-2"/>
                </c:manualLayout>
              </c:layout>
              <c:showLegendKey val="0"/>
              <c:showVal val="1"/>
              <c:showCatName val="1"/>
              <c:showSerName val="0"/>
              <c:showPercent val="0"/>
              <c:showBubbleSize val="0"/>
            </c:dLbl>
            <c:dLbl>
              <c:idx val="6"/>
              <c:layout>
                <c:manualLayout>
                  <c:x val="-1.3380334757604735E-2"/>
                  <c:y val="5.345209080264518E-2"/>
                </c:manualLayout>
              </c:layout>
              <c:showLegendKey val="0"/>
              <c:showVal val="1"/>
              <c:showCatName val="1"/>
              <c:showSerName val="0"/>
              <c:showPercent val="0"/>
              <c:showBubbleSize val="0"/>
            </c:dLbl>
            <c:dLbl>
              <c:idx val="7"/>
              <c:layout>
                <c:manualLayout>
                  <c:x val="-2.8711963458522248E-2"/>
                  <c:y val="-4.1539631677354236E-2"/>
                </c:manualLayout>
              </c:layout>
              <c:showLegendKey val="0"/>
              <c:showVal val="1"/>
              <c:showCatName val="1"/>
              <c:showSerName val="0"/>
              <c:showPercent val="0"/>
              <c:showBubbleSize val="0"/>
            </c:dLbl>
            <c:dLbl>
              <c:idx val="8"/>
              <c:layout>
                <c:manualLayout>
                  <c:x val="-6.2851299606698899E-2"/>
                  <c:y val="2.9407331295590606E-2"/>
                </c:manualLayout>
              </c:layout>
              <c:showLegendKey val="0"/>
              <c:showVal val="1"/>
              <c:showCatName val="1"/>
              <c:showSerName val="0"/>
              <c:showPercent val="0"/>
              <c:showBubbleSize val="0"/>
            </c:dLbl>
            <c:dLbl>
              <c:idx val="9"/>
              <c:layout>
                <c:manualLayout>
                  <c:x val="-3.1710281760479954E-3"/>
                  <c:y val="-2.0520820781002262E-2"/>
                </c:manualLayout>
              </c:layout>
              <c:showLegendKey val="0"/>
              <c:showVal val="1"/>
              <c:showCatName val="1"/>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0"/>
            <c:showBubbleSize val="0"/>
            <c:showLeaderLines val="1"/>
          </c:dLbls>
          <c:cat>
            <c:strRef>
              <c:f>('Issuance, Collateral'!$C$69:$G$69,'Issuance, Collateral'!$I$69,'Issuance, Collateral'!$K$69,'Issuance, Collateral'!$M$69,'Issuance, Collateral'!$O$69,'Issuance, Collateral'!$Q$69)</c:f>
              <c:strCache>
                <c:ptCount val="10"/>
                <c:pt idx="0">
                  <c:v>Auto ABS</c:v>
                </c:pt>
                <c:pt idx="1">
                  <c:v>Consumer ABS</c:v>
                </c:pt>
                <c:pt idx="2">
                  <c:v>Credit Card ABS</c:v>
                </c:pt>
                <c:pt idx="3">
                  <c:v>Lease ABS</c:v>
                </c:pt>
                <c:pt idx="4">
                  <c:v>Other</c:v>
                </c:pt>
                <c:pt idx="5">
                  <c:v>CDO</c:v>
                </c:pt>
                <c:pt idx="6">
                  <c:v>CMBS</c:v>
                </c:pt>
                <c:pt idx="7">
                  <c:v>RMBS</c:v>
                </c:pt>
                <c:pt idx="8">
                  <c:v>SME</c:v>
                </c:pt>
                <c:pt idx="9">
                  <c:v>WBS/PFI</c:v>
                </c:pt>
              </c:strCache>
            </c:strRef>
          </c:cat>
          <c:val>
            <c:numRef>
              <c:f>('Issuance, Collateral'!$C$70:$G$70,'Issuance, Collateral'!$I$70,'Issuance, Collateral'!$K$70,'Issuance, Collateral'!$M$70,'Issuance, Collateral'!$O$70,'Issuance, Collateral'!$Q$70)</c:f>
              <c:numCache>
                <c:formatCode>0%</c:formatCode>
                <c:ptCount val="10"/>
                <c:pt idx="0">
                  <c:v>0.11806600691856008</c:v>
                </c:pt>
                <c:pt idx="1">
                  <c:v>0.11795613957992063</c:v>
                </c:pt>
                <c:pt idx="2">
                  <c:v>1.1518818481389814E-2</c:v>
                </c:pt>
                <c:pt idx="3">
                  <c:v>4.4148190381349373E-2</c:v>
                </c:pt>
                <c:pt idx="4">
                  <c:v>5.9802198054534524E-3</c:v>
                </c:pt>
                <c:pt idx="5">
                  <c:v>8.8976073768073052E-2</c:v>
                </c:pt>
                <c:pt idx="6">
                  <c:v>1.5604523664644604E-2</c:v>
                </c:pt>
                <c:pt idx="7">
                  <c:v>0.5036376368190052</c:v>
                </c:pt>
                <c:pt idx="8">
                  <c:v>8.1931674591553053E-2</c:v>
                </c:pt>
                <c:pt idx="9">
                  <c:v>1.2180715990050911E-2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7383141542639333E-2"/>
          <c:y val="2.4481703332338699E-2"/>
          <c:w val="0.95767911561390395"/>
          <c:h val="0.93848354298650349"/>
        </c:manualLayout>
      </c:layout>
      <c:pieChart>
        <c:varyColors val="1"/>
        <c:ser>
          <c:idx val="0"/>
          <c:order val="0"/>
          <c:tx>
            <c:strRef>
              <c:f>Sheet1!$C$5</c:f>
              <c:strCache>
                <c:ptCount val="1"/>
                <c:pt idx="0">
                  <c:v>2009</c:v>
                </c:pt>
              </c:strCache>
            </c:strRef>
          </c:tx>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Sheet1!$B$6:$B$10</c:f>
              <c:strCache>
                <c:ptCount val="5"/>
                <c:pt idx="0">
                  <c:v>Banks</c:v>
                </c:pt>
                <c:pt idx="1">
                  <c:v>Central banks</c:v>
                </c:pt>
                <c:pt idx="2">
                  <c:v>Asset managers</c:v>
                </c:pt>
                <c:pt idx="3">
                  <c:v>Pension funds/insurance</c:v>
                </c:pt>
                <c:pt idx="4">
                  <c:v>Hedge funds, retail, corporates and others</c:v>
                </c:pt>
              </c:strCache>
            </c:strRef>
          </c:cat>
          <c:val>
            <c:numRef>
              <c:f>Sheet1!$C$6:$C$10</c:f>
              <c:numCache>
                <c:formatCode>0%</c:formatCode>
                <c:ptCount val="5"/>
                <c:pt idx="0">
                  <c:v>0.35</c:v>
                </c:pt>
                <c:pt idx="1">
                  <c:v>0.09</c:v>
                </c:pt>
                <c:pt idx="2">
                  <c:v>0.37</c:v>
                </c:pt>
                <c:pt idx="3">
                  <c:v>0.14000000000000001</c:v>
                </c:pt>
                <c:pt idx="4">
                  <c:v>0.05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23506606417203E-2"/>
          <c:y val="5.7909976309555099E-2"/>
          <c:w val="0.85881964398999899"/>
          <c:h val="0.747318919277418"/>
        </c:manualLayout>
      </c:layout>
      <c:lineChart>
        <c:grouping val="standard"/>
        <c:varyColors val="0"/>
        <c:ser>
          <c:idx val="0"/>
          <c:order val="0"/>
          <c:tx>
            <c:strRef>
              <c:f>'Capital returns'!$B$35</c:f>
              <c:strCache>
                <c:ptCount val="1"/>
                <c:pt idx="0">
                  <c:v>United States</c:v>
                </c:pt>
              </c:strCache>
            </c:strRef>
          </c:tx>
          <c:spPr>
            <a:ln>
              <a:solidFill>
                <a:schemeClr val="bg1">
                  <a:lumMod val="65000"/>
                </a:schemeClr>
              </a:solidFill>
            </a:ln>
          </c:spPr>
          <c:marker>
            <c:symbol val="none"/>
          </c:marker>
          <c:cat>
            <c:numRef>
              <c:f>'Capital returns'!$I$5:$AA$5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'Capital returns'!$I$35:$AA$35</c:f>
              <c:numCache>
                <c:formatCode>0</c:formatCode>
                <c:ptCount val="19"/>
                <c:pt idx="0">
                  <c:v>92.188504799999976</c:v>
                </c:pt>
                <c:pt idx="1">
                  <c:v>90.102807299999952</c:v>
                </c:pt>
                <c:pt idx="2">
                  <c:v>94.312675400000003</c:v>
                </c:pt>
                <c:pt idx="3">
                  <c:v>97.743361500000006</c:v>
                </c:pt>
                <c:pt idx="4">
                  <c:v>99.804593999999994</c:v>
                </c:pt>
                <c:pt idx="5">
                  <c:v>101.1963119</c:v>
                </c:pt>
                <c:pt idx="6">
                  <c:v>98.781834099999998</c:v>
                </c:pt>
                <c:pt idx="7">
                  <c:v>96.070070799999954</c:v>
                </c:pt>
                <c:pt idx="8">
                  <c:v>91.907736299999982</c:v>
                </c:pt>
                <c:pt idx="9">
                  <c:v>91.654795999999976</c:v>
                </c:pt>
                <c:pt idx="10">
                  <c:v>100</c:v>
                </c:pt>
                <c:pt idx="11">
                  <c:v>101.5855123</c:v>
                </c:pt>
                <c:pt idx="12">
                  <c:v>103.10271880000001</c:v>
                </c:pt>
                <c:pt idx="13">
                  <c:v>104.76361900000001</c:v>
                </c:pt>
                <c:pt idx="14">
                  <c:v>104.33110790000001</c:v>
                </c:pt>
                <c:pt idx="15">
                  <c:v>103.4259067</c:v>
                </c:pt>
                <c:pt idx="16">
                  <c:v>101.2658137</c:v>
                </c:pt>
                <c:pt idx="17">
                  <c:v>102.3113644</c:v>
                </c:pt>
                <c:pt idx="18">
                  <c:v>102.2752472</c:v>
                </c:pt>
              </c:numCache>
            </c:numRef>
          </c:val>
          <c:smooth val="0"/>
        </c:ser>
        <c:ser>
          <c:idx val="1"/>
          <c:order val="1"/>
          <c:tx>
            <c:strRef>
              <c:f>'Capital returns'!$B$36</c:f>
              <c:strCache>
                <c:ptCount val="1"/>
                <c:pt idx="0">
                  <c:v>Japan</c:v>
                </c:pt>
              </c:strCache>
            </c:strRef>
          </c:tx>
          <c:spPr>
            <a:ln>
              <a:solidFill>
                <a:schemeClr val="bg1">
                  <a:lumMod val="95000"/>
                </a:schemeClr>
              </a:solidFill>
            </a:ln>
          </c:spPr>
          <c:marker>
            <c:symbol val="square"/>
            <c:size val="3"/>
            <c:spPr>
              <a:solidFill>
                <a:schemeClr val="bg2">
                  <a:lumMod val="50000"/>
                </a:schemeClr>
              </a:solidFill>
              <a:ln>
                <a:solidFill>
                  <a:schemeClr val="bg2">
                    <a:lumMod val="50000"/>
                  </a:schemeClr>
                </a:solidFill>
              </a:ln>
            </c:spPr>
          </c:marker>
          <c:cat>
            <c:numRef>
              <c:f>'Capital returns'!$I$5:$AA$5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'Capital returns'!$I$36:$AA$36</c:f>
              <c:numCache>
                <c:formatCode>0</c:formatCode>
                <c:ptCount val="19"/>
                <c:pt idx="0">
                  <c:v>85.5272741</c:v>
                </c:pt>
                <c:pt idx="1">
                  <c:v>93.354239000000007</c:v>
                </c:pt>
                <c:pt idx="2">
                  <c:v>99.433532299999982</c:v>
                </c:pt>
                <c:pt idx="3">
                  <c:v>106.3091163</c:v>
                </c:pt>
                <c:pt idx="4">
                  <c:v>111.7294888</c:v>
                </c:pt>
                <c:pt idx="5">
                  <c:v>109.2619153</c:v>
                </c:pt>
                <c:pt idx="6">
                  <c:v>108.23184329999999</c:v>
                </c:pt>
                <c:pt idx="7">
                  <c:v>109.24407720000001</c:v>
                </c:pt>
                <c:pt idx="8">
                  <c:v>94.970168400000006</c:v>
                </c:pt>
                <c:pt idx="9">
                  <c:v>83.220124100000007</c:v>
                </c:pt>
                <c:pt idx="10">
                  <c:v>100</c:v>
                </c:pt>
                <c:pt idx="11">
                  <c:v>92.677056099999973</c:v>
                </c:pt>
                <c:pt idx="12">
                  <c:v>101.1918623</c:v>
                </c:pt>
                <c:pt idx="13">
                  <c:v>107.1501583</c:v>
                </c:pt>
                <c:pt idx="14">
                  <c:v>108.292496</c:v>
                </c:pt>
                <c:pt idx="15">
                  <c:v>120.1913256</c:v>
                </c:pt>
                <c:pt idx="16">
                  <c:v>125.880561</c:v>
                </c:pt>
                <c:pt idx="17">
                  <c:v>127.1060284</c:v>
                </c:pt>
                <c:pt idx="18">
                  <c:v>126.4011325</c:v>
                </c:pt>
              </c:numCache>
            </c:numRef>
          </c:val>
          <c:smooth val="0"/>
        </c:ser>
        <c:ser>
          <c:idx val="2"/>
          <c:order val="2"/>
          <c:tx>
            <c:strRef>
              <c:f>'Capital returns'!$B$39</c:f>
              <c:strCache>
                <c:ptCount val="1"/>
                <c:pt idx="0">
                  <c:v>EU 27</c:v>
                </c:pt>
              </c:strCache>
            </c:strRef>
          </c:tx>
          <c:spPr>
            <a:ln>
              <a:solidFill>
                <a:schemeClr val="tx1"/>
              </a:solidFill>
            </a:ln>
          </c:spPr>
          <c:marker>
            <c:symbol val="none"/>
          </c:marker>
          <c:cat>
            <c:numRef>
              <c:f>'Capital returns'!$I$5:$AA$5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'Capital returns'!$I$39:$AA$39</c:f>
              <c:numCache>
                <c:formatCode>0</c:formatCode>
                <c:ptCount val="19"/>
                <c:pt idx="0">
                  <c:v>112.5598072094286</c:v>
                </c:pt>
                <c:pt idx="1">
                  <c:v>113.4425515466892</c:v>
                </c:pt>
                <c:pt idx="2">
                  <c:v>113.20427260715699</c:v>
                </c:pt>
                <c:pt idx="3">
                  <c:v>112.667296045342</c:v>
                </c:pt>
                <c:pt idx="4">
                  <c:v>115.9720259465085</c:v>
                </c:pt>
                <c:pt idx="5">
                  <c:v>115.26639474664491</c:v>
                </c:pt>
                <c:pt idx="6">
                  <c:v>117.664497570501</c:v>
                </c:pt>
                <c:pt idx="7">
                  <c:v>119.7235921260624</c:v>
                </c:pt>
                <c:pt idx="8">
                  <c:v>111.5524785713358</c:v>
                </c:pt>
                <c:pt idx="9">
                  <c:v>96.063709919008986</c:v>
                </c:pt>
                <c:pt idx="10">
                  <c:v>100</c:v>
                </c:pt>
                <c:pt idx="11">
                  <c:v>101.0181582367989</c:v>
                </c:pt>
                <c:pt idx="12">
                  <c:v>96.85766315303411</c:v>
                </c:pt>
                <c:pt idx="13">
                  <c:v>97.253434514092959</c:v>
                </c:pt>
                <c:pt idx="14">
                  <c:v>98.942267695196151</c:v>
                </c:pt>
                <c:pt idx="15">
                  <c:v>102.81329138600761</c:v>
                </c:pt>
                <c:pt idx="16">
                  <c:v>104.7552205300438</c:v>
                </c:pt>
                <c:pt idx="17">
                  <c:v>105.9981771125653</c:v>
                </c:pt>
                <c:pt idx="18">
                  <c:v>107.3081769285487</c:v>
                </c:pt>
              </c:numCache>
            </c:numRef>
          </c:val>
          <c:smooth val="0"/>
        </c:ser>
        <c:ser>
          <c:idx val="3"/>
          <c:order val="3"/>
          <c:tx>
            <c:strRef>
              <c:f>'Capital returns'!$B$40</c:f>
              <c:strCache>
                <c:ptCount val="1"/>
                <c:pt idx="0">
                  <c:v>EU 28</c:v>
                </c:pt>
              </c:strCache>
            </c:strRef>
          </c:tx>
          <c:spPr>
            <a:ln>
              <a:solidFill>
                <a:schemeClr val="bg1">
                  <a:lumMod val="85000"/>
                </a:schemeClr>
              </a:solidFill>
            </a:ln>
          </c:spPr>
          <c:marker>
            <c:symbol val="none"/>
          </c:marker>
          <c:cat>
            <c:numRef>
              <c:f>'Capital returns'!$I$5:$AA$5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'Capital returns'!$I$40:$AA$40</c:f>
              <c:numCache>
                <c:formatCode>0</c:formatCode>
                <c:ptCount val="19"/>
                <c:pt idx="0">
                  <c:v>112.7534724264919</c:v>
                </c:pt>
                <c:pt idx="1">
                  <c:v>112.0258347438197</c:v>
                </c:pt>
                <c:pt idx="2">
                  <c:v>112.2005487775149</c:v>
                </c:pt>
                <c:pt idx="3">
                  <c:v>112.64182564992861</c:v>
                </c:pt>
                <c:pt idx="4">
                  <c:v>115.4589320028651</c:v>
                </c:pt>
                <c:pt idx="5">
                  <c:v>115.5474126760371</c:v>
                </c:pt>
                <c:pt idx="6">
                  <c:v>116.87777477242879</c:v>
                </c:pt>
                <c:pt idx="7">
                  <c:v>118.437678925073</c:v>
                </c:pt>
                <c:pt idx="8">
                  <c:v>111.5460430576493</c:v>
                </c:pt>
                <c:pt idx="9">
                  <c:v>95.972271358285283</c:v>
                </c:pt>
                <c:pt idx="10">
                  <c:v>100</c:v>
                </c:pt>
                <c:pt idx="11">
                  <c:v>101.54750314198751</c:v>
                </c:pt>
                <c:pt idx="12">
                  <c:v>97.980246058328873</c:v>
                </c:pt>
                <c:pt idx="13">
                  <c:v>98.583439014377987</c:v>
                </c:pt>
                <c:pt idx="14">
                  <c:v>101.1201508001038</c:v>
                </c:pt>
                <c:pt idx="15">
                  <c:v>104.52565011915139</c:v>
                </c:pt>
                <c:pt idx="16">
                  <c:v>105.76982284108171</c:v>
                </c:pt>
                <c:pt idx="17">
                  <c:v>107.0105309361423</c:v>
                </c:pt>
                <c:pt idx="18">
                  <c:v>108.61301865804811</c:v>
                </c:pt>
              </c:numCache>
            </c:numRef>
          </c:val>
          <c:smooth val="0"/>
        </c:ser>
        <c:dLbls>
          <c:showLegendKey val="0"/>
          <c:showVal val="0"/>
          <c:showCatName val="0"/>
          <c:showSerName val="0"/>
          <c:showPercent val="0"/>
          <c:showBubbleSize val="0"/>
        </c:dLbls>
        <c:marker val="1"/>
        <c:smooth val="0"/>
        <c:axId val="165069568"/>
        <c:axId val="167025664"/>
      </c:lineChart>
      <c:catAx>
        <c:axId val="165069568"/>
        <c:scaling>
          <c:orientation val="minMax"/>
        </c:scaling>
        <c:delete val="0"/>
        <c:axPos val="b"/>
        <c:numFmt formatCode="General" sourceLinked="1"/>
        <c:majorTickMark val="none"/>
        <c:minorTickMark val="none"/>
        <c:tickLblPos val="nextTo"/>
        <c:txPr>
          <a:bodyPr/>
          <a:lstStyle/>
          <a:p>
            <a:pPr>
              <a:defRPr sz="800"/>
            </a:pPr>
            <a:endParaRPr lang="en-US"/>
          </a:p>
        </c:txPr>
        <c:crossAx val="167025664"/>
        <c:crosses val="autoZero"/>
        <c:auto val="1"/>
        <c:lblAlgn val="ctr"/>
        <c:lblOffset val="100"/>
        <c:noMultiLvlLbl val="0"/>
      </c:catAx>
      <c:valAx>
        <c:axId val="167025664"/>
        <c:scaling>
          <c:orientation val="minMax"/>
          <c:max val="140"/>
          <c:min val="60"/>
        </c:scaling>
        <c:delete val="0"/>
        <c:axPos val="l"/>
        <c:majorGridlines/>
        <c:numFmt formatCode="0" sourceLinked="1"/>
        <c:majorTickMark val="none"/>
        <c:minorTickMark val="none"/>
        <c:tickLblPos val="nextTo"/>
        <c:spPr>
          <a:ln w="9525">
            <a:noFill/>
          </a:ln>
        </c:spPr>
        <c:crossAx val="165069568"/>
        <c:crosses val="autoZero"/>
        <c:crossBetween val="between"/>
      </c:valAx>
    </c:plotArea>
    <c:legend>
      <c:legendPos val="b"/>
      <c:layout>
        <c:manualLayout>
          <c:xMode val="edge"/>
          <c:yMode val="edge"/>
          <c:x val="0"/>
          <c:y val="0.90781446145031208"/>
          <c:w val="0.97513212202439903"/>
          <c:h val="7.0143957914388683E-2"/>
        </c:manualLayout>
      </c:layout>
      <c:overlay val="0"/>
    </c:legend>
    <c:plotVisOnly val="1"/>
    <c:dispBlanksAs val="gap"/>
    <c:showDLblsOverMax val="0"/>
  </c:chart>
  <c:spPr>
    <a:noFill/>
    <a:ln>
      <a:noFill/>
    </a:ln>
  </c:spPr>
  <c:txPr>
    <a:bodyPr/>
    <a:lstStyle/>
    <a:p>
      <a:pPr>
        <a:defRPr sz="800">
          <a:latin typeface="+mn-lt"/>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1.5255136528189021E-2"/>
          <c:y val="4.0863364548347977E-2"/>
          <c:w val="0.61053499032916381"/>
          <c:h val="0.95356955380577413"/>
        </c:manualLayout>
      </c:layout>
      <c:pieChart>
        <c:varyColors val="1"/>
        <c:ser>
          <c:idx val="0"/>
          <c:order val="0"/>
          <c:tx>
            <c:strRef>
              <c:f>Sheet1!$D$5</c:f>
              <c:strCache>
                <c:ptCount val="1"/>
                <c:pt idx="0">
                  <c:v>2015</c:v>
                </c:pt>
              </c:strCache>
            </c:strRef>
          </c:tx>
          <c:dPt>
            <c:idx val="1"/>
            <c:bubble3D val="0"/>
          </c:dPt>
          <c:dPt>
            <c:idx val="2"/>
            <c:bubble3D val="0"/>
          </c:dPt>
          <c:dPt>
            <c:idx val="3"/>
            <c:bubble3D val="0"/>
          </c:dPt>
          <c:dPt>
            <c:idx val="4"/>
            <c:bubble3D val="0"/>
          </c:dPt>
          <c:dLbls>
            <c:dLbl>
              <c:idx val="4"/>
              <c:layout>
                <c:manualLayout>
                  <c:x val="2.1757133445324282E-2"/>
                  <c:y val="4.6474358974358976E-2"/>
                </c:manualLayout>
              </c:layout>
              <c:showLegendKey val="0"/>
              <c:showVal val="1"/>
              <c:showCatName val="0"/>
              <c:showSerName val="0"/>
              <c:showPercent val="0"/>
              <c:showBubbleSize val="0"/>
            </c:dLbl>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Sheet1!$B$6:$B$10</c:f>
              <c:strCache>
                <c:ptCount val="5"/>
                <c:pt idx="0">
                  <c:v>Banks</c:v>
                </c:pt>
                <c:pt idx="1">
                  <c:v>Central banks</c:v>
                </c:pt>
                <c:pt idx="2">
                  <c:v>Asset managers</c:v>
                </c:pt>
                <c:pt idx="3">
                  <c:v>Pension funds/insurance</c:v>
                </c:pt>
                <c:pt idx="4">
                  <c:v>Hedge funds, retail, corporates and others</c:v>
                </c:pt>
              </c:strCache>
            </c:strRef>
          </c:cat>
          <c:val>
            <c:numRef>
              <c:f>Sheet1!$D$6:$D$10</c:f>
              <c:numCache>
                <c:formatCode>0%</c:formatCode>
                <c:ptCount val="5"/>
                <c:pt idx="0">
                  <c:v>0.35</c:v>
                </c:pt>
                <c:pt idx="1">
                  <c:v>0.31</c:v>
                </c:pt>
                <c:pt idx="2">
                  <c:v>0.26</c:v>
                </c:pt>
                <c:pt idx="3">
                  <c:v>0.06</c:v>
                </c:pt>
                <c:pt idx="4">
                  <c:v>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397871267278064"/>
          <c:y val="9.2331920048455488E-2"/>
          <c:w val="0.32191785690744623"/>
          <c:h val="0.8714279224712296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percentStacked"/>
        <c:varyColors val="0"/>
        <c:ser>
          <c:idx val="0"/>
          <c:order val="0"/>
          <c:tx>
            <c:strRef>
              <c:f>'34'!$B$28</c:f>
              <c:strCache>
                <c:ptCount val="1"/>
                <c:pt idx="0">
                  <c:v>Equities</c:v>
                </c:pt>
              </c:strCache>
            </c:strRef>
          </c:tx>
          <c:spPr>
            <a:solidFill>
              <a:schemeClr val="tx1"/>
            </a:solidFill>
          </c:spPr>
          <c:invertIfNegative val="0"/>
          <c:cat>
            <c:strRef>
              <c:f>'34'!$A$29:$A$44</c:f>
              <c:strCache>
                <c:ptCount val="16"/>
                <c:pt idx="0">
                  <c:v>Poland</c:v>
                </c:pt>
                <c:pt idx="1">
                  <c:v>Ireland (1)</c:v>
                </c:pt>
                <c:pt idx="2">
                  <c:v>United States</c:v>
                </c:pt>
                <c:pt idx="3">
                  <c:v>Belgium</c:v>
                </c:pt>
                <c:pt idx="4">
                  <c:v>Finland</c:v>
                </c:pt>
                <c:pt idx="5">
                  <c:v>Netherlands</c:v>
                </c:pt>
                <c:pt idx="6">
                  <c:v>Estonia</c:v>
                </c:pt>
                <c:pt idx="7">
                  <c:v>Austria</c:v>
                </c:pt>
                <c:pt idx="8">
                  <c:v>Switzerland</c:v>
                </c:pt>
                <c:pt idx="9">
                  <c:v>Luxembourg</c:v>
                </c:pt>
                <c:pt idx="10">
                  <c:v>Latvia</c:v>
                </c:pt>
                <c:pt idx="11">
                  <c:v>United Kingdom</c:v>
                </c:pt>
                <c:pt idx="12">
                  <c:v>Portugal</c:v>
                </c:pt>
                <c:pt idx="13">
                  <c:v>Italy</c:v>
                </c:pt>
                <c:pt idx="14">
                  <c:v>Sweden</c:v>
                </c:pt>
                <c:pt idx="15">
                  <c:v>Denmark</c:v>
                </c:pt>
              </c:strCache>
            </c:strRef>
          </c:cat>
          <c:val>
            <c:numRef>
              <c:f>'34'!$B$29:$B$44</c:f>
              <c:numCache>
                <c:formatCode>0.0</c:formatCode>
                <c:ptCount val="16"/>
                <c:pt idx="0">
                  <c:v>82.3</c:v>
                </c:pt>
                <c:pt idx="1">
                  <c:v>52.9</c:v>
                </c:pt>
                <c:pt idx="2">
                  <c:v>44.2</c:v>
                </c:pt>
                <c:pt idx="3">
                  <c:v>41.8</c:v>
                </c:pt>
                <c:pt idx="4">
                  <c:v>38.799999999999997</c:v>
                </c:pt>
                <c:pt idx="5">
                  <c:v>38.200000000000003</c:v>
                </c:pt>
                <c:pt idx="6">
                  <c:v>31</c:v>
                </c:pt>
                <c:pt idx="7">
                  <c:v>30.1</c:v>
                </c:pt>
                <c:pt idx="8">
                  <c:v>29.8</c:v>
                </c:pt>
                <c:pt idx="9">
                  <c:v>22.1</c:v>
                </c:pt>
                <c:pt idx="10">
                  <c:v>21.1</c:v>
                </c:pt>
                <c:pt idx="11">
                  <c:v>20.2</c:v>
                </c:pt>
                <c:pt idx="12">
                  <c:v>20</c:v>
                </c:pt>
                <c:pt idx="13">
                  <c:v>19.5</c:v>
                </c:pt>
                <c:pt idx="14">
                  <c:v>18.3</c:v>
                </c:pt>
                <c:pt idx="15">
                  <c:v>17.8</c:v>
                </c:pt>
              </c:numCache>
            </c:numRef>
          </c:val>
        </c:ser>
        <c:ser>
          <c:idx val="1"/>
          <c:order val="1"/>
          <c:tx>
            <c:strRef>
              <c:f>'34'!$C$28</c:f>
              <c:strCache>
                <c:ptCount val="1"/>
                <c:pt idx="0">
                  <c:v>Bills and bonds</c:v>
                </c:pt>
              </c:strCache>
            </c:strRef>
          </c:tx>
          <c:invertIfNegative val="0"/>
          <c:cat>
            <c:strRef>
              <c:f>'34'!$A$29:$A$44</c:f>
              <c:strCache>
                <c:ptCount val="16"/>
                <c:pt idx="0">
                  <c:v>Poland</c:v>
                </c:pt>
                <c:pt idx="1">
                  <c:v>Ireland (1)</c:v>
                </c:pt>
                <c:pt idx="2">
                  <c:v>United States</c:v>
                </c:pt>
                <c:pt idx="3">
                  <c:v>Belgium</c:v>
                </c:pt>
                <c:pt idx="4">
                  <c:v>Finland</c:v>
                </c:pt>
                <c:pt idx="5">
                  <c:v>Netherlands</c:v>
                </c:pt>
                <c:pt idx="6">
                  <c:v>Estonia</c:v>
                </c:pt>
                <c:pt idx="7">
                  <c:v>Austria</c:v>
                </c:pt>
                <c:pt idx="8">
                  <c:v>Switzerland</c:v>
                </c:pt>
                <c:pt idx="9">
                  <c:v>Luxembourg</c:v>
                </c:pt>
                <c:pt idx="10">
                  <c:v>Latvia</c:v>
                </c:pt>
                <c:pt idx="11">
                  <c:v>United Kingdom</c:v>
                </c:pt>
                <c:pt idx="12">
                  <c:v>Portugal</c:v>
                </c:pt>
                <c:pt idx="13">
                  <c:v>Italy</c:v>
                </c:pt>
                <c:pt idx="14">
                  <c:v>Sweden</c:v>
                </c:pt>
                <c:pt idx="15">
                  <c:v>Denmark</c:v>
                </c:pt>
              </c:strCache>
            </c:strRef>
          </c:cat>
          <c:val>
            <c:numRef>
              <c:f>'34'!$C$29:$C$44</c:f>
              <c:numCache>
                <c:formatCode>0.0</c:formatCode>
                <c:ptCount val="16"/>
                <c:pt idx="0">
                  <c:v>10.4</c:v>
                </c:pt>
                <c:pt idx="1">
                  <c:v>26.2</c:v>
                </c:pt>
                <c:pt idx="2">
                  <c:v>37</c:v>
                </c:pt>
                <c:pt idx="3">
                  <c:v>43.9</c:v>
                </c:pt>
                <c:pt idx="4">
                  <c:v>32</c:v>
                </c:pt>
                <c:pt idx="5">
                  <c:v>46.5</c:v>
                </c:pt>
                <c:pt idx="6">
                  <c:v>48.5</c:v>
                </c:pt>
                <c:pt idx="7">
                  <c:v>46.4</c:v>
                </c:pt>
                <c:pt idx="8">
                  <c:v>32.9</c:v>
                </c:pt>
                <c:pt idx="9">
                  <c:v>71</c:v>
                </c:pt>
                <c:pt idx="10">
                  <c:v>59.5</c:v>
                </c:pt>
                <c:pt idx="11">
                  <c:v>34.4</c:v>
                </c:pt>
                <c:pt idx="12">
                  <c:v>50.3</c:v>
                </c:pt>
                <c:pt idx="13">
                  <c:v>49.7</c:v>
                </c:pt>
                <c:pt idx="14">
                  <c:v>66.7</c:v>
                </c:pt>
                <c:pt idx="15">
                  <c:v>63.1</c:v>
                </c:pt>
              </c:numCache>
            </c:numRef>
          </c:val>
        </c:ser>
        <c:ser>
          <c:idx val="2"/>
          <c:order val="2"/>
          <c:tx>
            <c:strRef>
              <c:f>'34'!$D$28</c:f>
              <c:strCache>
                <c:ptCount val="1"/>
                <c:pt idx="0">
                  <c:v>Cash and Deposits</c:v>
                </c:pt>
              </c:strCache>
            </c:strRef>
          </c:tx>
          <c:invertIfNegative val="0"/>
          <c:cat>
            <c:strRef>
              <c:f>'34'!$A$29:$A$44</c:f>
              <c:strCache>
                <c:ptCount val="16"/>
                <c:pt idx="0">
                  <c:v>Poland</c:v>
                </c:pt>
                <c:pt idx="1">
                  <c:v>Ireland (1)</c:v>
                </c:pt>
                <c:pt idx="2">
                  <c:v>United States</c:v>
                </c:pt>
                <c:pt idx="3">
                  <c:v>Belgium</c:v>
                </c:pt>
                <c:pt idx="4">
                  <c:v>Finland</c:v>
                </c:pt>
                <c:pt idx="5">
                  <c:v>Netherlands</c:v>
                </c:pt>
                <c:pt idx="6">
                  <c:v>Estonia</c:v>
                </c:pt>
                <c:pt idx="7">
                  <c:v>Austria</c:v>
                </c:pt>
                <c:pt idx="8">
                  <c:v>Switzerland</c:v>
                </c:pt>
                <c:pt idx="9">
                  <c:v>Luxembourg</c:v>
                </c:pt>
                <c:pt idx="10">
                  <c:v>Latvia</c:v>
                </c:pt>
                <c:pt idx="11">
                  <c:v>United Kingdom</c:v>
                </c:pt>
                <c:pt idx="12">
                  <c:v>Portugal</c:v>
                </c:pt>
                <c:pt idx="13">
                  <c:v>Italy</c:v>
                </c:pt>
                <c:pt idx="14">
                  <c:v>Sweden</c:v>
                </c:pt>
                <c:pt idx="15">
                  <c:v>Denmark</c:v>
                </c:pt>
              </c:strCache>
            </c:strRef>
          </c:cat>
          <c:val>
            <c:numRef>
              <c:f>'34'!$D$29:$D$44</c:f>
              <c:numCache>
                <c:formatCode>0.0</c:formatCode>
                <c:ptCount val="16"/>
                <c:pt idx="0">
                  <c:v>6.9</c:v>
                </c:pt>
                <c:pt idx="1">
                  <c:v>6.6</c:v>
                </c:pt>
                <c:pt idx="2">
                  <c:v>1</c:v>
                </c:pt>
                <c:pt idx="3">
                  <c:v>4.4000000000000004</c:v>
                </c:pt>
                <c:pt idx="4">
                  <c:v>3.7</c:v>
                </c:pt>
                <c:pt idx="5">
                  <c:v>2.8</c:v>
                </c:pt>
                <c:pt idx="6">
                  <c:v>20.2</c:v>
                </c:pt>
                <c:pt idx="7">
                  <c:v>9</c:v>
                </c:pt>
                <c:pt idx="8">
                  <c:v>5.3</c:v>
                </c:pt>
                <c:pt idx="9">
                  <c:v>1.7</c:v>
                </c:pt>
                <c:pt idx="10">
                  <c:v>17.100000000000001</c:v>
                </c:pt>
                <c:pt idx="11">
                  <c:v>2.4</c:v>
                </c:pt>
                <c:pt idx="12">
                  <c:v>11</c:v>
                </c:pt>
                <c:pt idx="13">
                  <c:v>4.0999999999999996</c:v>
                </c:pt>
                <c:pt idx="14">
                  <c:v>2.2000000000000002</c:v>
                </c:pt>
                <c:pt idx="15">
                  <c:v>0.3</c:v>
                </c:pt>
              </c:numCache>
            </c:numRef>
          </c:val>
        </c:ser>
        <c:ser>
          <c:idx val="3"/>
          <c:order val="3"/>
          <c:tx>
            <c:strRef>
              <c:f>'34'!$E$28</c:f>
              <c:strCache>
                <c:ptCount val="1"/>
                <c:pt idx="0">
                  <c:v>Other (2)</c:v>
                </c:pt>
              </c:strCache>
            </c:strRef>
          </c:tx>
          <c:spPr>
            <a:pattFill prst="pct10">
              <a:fgClr>
                <a:schemeClr val="tx1"/>
              </a:fgClr>
              <a:bgClr>
                <a:schemeClr val="bg1"/>
              </a:bgClr>
            </a:pattFill>
          </c:spPr>
          <c:invertIfNegative val="0"/>
          <c:cat>
            <c:strRef>
              <c:f>'34'!$A$29:$A$44</c:f>
              <c:strCache>
                <c:ptCount val="16"/>
                <c:pt idx="0">
                  <c:v>Poland</c:v>
                </c:pt>
                <c:pt idx="1">
                  <c:v>Ireland (1)</c:v>
                </c:pt>
                <c:pt idx="2">
                  <c:v>United States</c:v>
                </c:pt>
                <c:pt idx="3">
                  <c:v>Belgium</c:v>
                </c:pt>
                <c:pt idx="4">
                  <c:v>Finland</c:v>
                </c:pt>
                <c:pt idx="5">
                  <c:v>Netherlands</c:v>
                </c:pt>
                <c:pt idx="6">
                  <c:v>Estonia</c:v>
                </c:pt>
                <c:pt idx="7">
                  <c:v>Austria</c:v>
                </c:pt>
                <c:pt idx="8">
                  <c:v>Switzerland</c:v>
                </c:pt>
                <c:pt idx="9">
                  <c:v>Luxembourg</c:v>
                </c:pt>
                <c:pt idx="10">
                  <c:v>Latvia</c:v>
                </c:pt>
                <c:pt idx="11">
                  <c:v>United Kingdom</c:v>
                </c:pt>
                <c:pt idx="12">
                  <c:v>Portugal</c:v>
                </c:pt>
                <c:pt idx="13">
                  <c:v>Italy</c:v>
                </c:pt>
                <c:pt idx="14">
                  <c:v>Sweden</c:v>
                </c:pt>
                <c:pt idx="15">
                  <c:v>Denmark</c:v>
                </c:pt>
              </c:strCache>
            </c:strRef>
          </c:cat>
          <c:val>
            <c:numRef>
              <c:f>'34'!$E$29:$E$44</c:f>
              <c:numCache>
                <c:formatCode>0.0</c:formatCode>
                <c:ptCount val="16"/>
                <c:pt idx="0">
                  <c:v>0.5</c:v>
                </c:pt>
                <c:pt idx="1">
                  <c:v>14.3</c:v>
                </c:pt>
                <c:pt idx="2">
                  <c:v>17.899999999999999</c:v>
                </c:pt>
                <c:pt idx="3">
                  <c:v>9.9</c:v>
                </c:pt>
                <c:pt idx="4">
                  <c:v>25.6</c:v>
                </c:pt>
                <c:pt idx="5">
                  <c:v>12.5</c:v>
                </c:pt>
                <c:pt idx="6">
                  <c:v>0.3</c:v>
                </c:pt>
                <c:pt idx="7">
                  <c:v>14.4</c:v>
                </c:pt>
                <c:pt idx="8">
                  <c:v>32</c:v>
                </c:pt>
                <c:pt idx="9">
                  <c:v>5.3</c:v>
                </c:pt>
                <c:pt idx="10">
                  <c:v>2.2000000000000002</c:v>
                </c:pt>
                <c:pt idx="11">
                  <c:v>43</c:v>
                </c:pt>
                <c:pt idx="12">
                  <c:v>18.8</c:v>
                </c:pt>
                <c:pt idx="13">
                  <c:v>26.7</c:v>
                </c:pt>
                <c:pt idx="14">
                  <c:v>12.8</c:v>
                </c:pt>
                <c:pt idx="15">
                  <c:v>18.7</c:v>
                </c:pt>
              </c:numCache>
            </c:numRef>
          </c:val>
        </c:ser>
        <c:dLbls>
          <c:showLegendKey val="0"/>
          <c:showVal val="0"/>
          <c:showCatName val="0"/>
          <c:showSerName val="0"/>
          <c:showPercent val="0"/>
          <c:showBubbleSize val="0"/>
        </c:dLbls>
        <c:gapWidth val="150"/>
        <c:overlap val="100"/>
        <c:axId val="233387136"/>
        <c:axId val="233388672"/>
      </c:barChart>
      <c:catAx>
        <c:axId val="233387136"/>
        <c:scaling>
          <c:orientation val="minMax"/>
        </c:scaling>
        <c:delete val="0"/>
        <c:axPos val="l"/>
        <c:majorTickMark val="out"/>
        <c:minorTickMark val="none"/>
        <c:tickLblPos val="nextTo"/>
        <c:crossAx val="233388672"/>
        <c:crosses val="autoZero"/>
        <c:auto val="1"/>
        <c:lblAlgn val="ctr"/>
        <c:lblOffset val="100"/>
        <c:noMultiLvlLbl val="0"/>
      </c:catAx>
      <c:valAx>
        <c:axId val="233388672"/>
        <c:scaling>
          <c:orientation val="minMax"/>
        </c:scaling>
        <c:delete val="0"/>
        <c:axPos val="b"/>
        <c:majorGridlines/>
        <c:numFmt formatCode="0%" sourceLinked="1"/>
        <c:majorTickMark val="out"/>
        <c:minorTickMark val="none"/>
        <c:tickLblPos val="nextTo"/>
        <c:crossAx val="2333871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889390648827246E-2"/>
          <c:y val="0.10995074540834505"/>
          <c:w val="0.94411063200433276"/>
          <c:h val="0.89004939726506582"/>
        </c:manualLayout>
      </c:layout>
      <c:ofPieChart>
        <c:ofPieType val="pie"/>
        <c:varyColors val="1"/>
        <c:ser>
          <c:idx val="0"/>
          <c:order val="0"/>
          <c:explosion val="6"/>
          <c:dPt>
            <c:idx val="1"/>
            <c:bubble3D val="0"/>
            <c:spPr>
              <a:solidFill>
                <a:schemeClr val="accent1">
                  <a:lumMod val="40000"/>
                  <a:lumOff val="60000"/>
                </a:schemeClr>
              </a:solidFill>
            </c:spPr>
          </c:dPt>
          <c:dPt>
            <c:idx val="3"/>
            <c:bubble3D val="0"/>
            <c:spPr>
              <a:solidFill>
                <a:schemeClr val="accent3">
                  <a:lumMod val="50000"/>
                </a:schemeClr>
              </a:solidFill>
            </c:spPr>
          </c:dPt>
          <c:dPt>
            <c:idx val="4"/>
            <c:bubble3D val="0"/>
            <c:spPr>
              <a:solidFill>
                <a:srgbClr val="00B050"/>
              </a:solidFill>
            </c:spPr>
          </c:dPt>
          <c:dPt>
            <c:idx val="5"/>
            <c:bubble3D val="0"/>
            <c:spPr>
              <a:solidFill>
                <a:srgbClr val="92D050"/>
              </a:solidFill>
            </c:spPr>
          </c:dPt>
          <c:dPt>
            <c:idx val="6"/>
            <c:bubble3D val="0"/>
            <c:spPr>
              <a:solidFill>
                <a:schemeClr val="accent3">
                  <a:lumMod val="20000"/>
                  <a:lumOff val="80000"/>
                </a:schemeClr>
              </a:solidFill>
            </c:spPr>
          </c:dPt>
          <c:dPt>
            <c:idx val="7"/>
            <c:bubble3D val="0"/>
            <c:spPr>
              <a:solidFill>
                <a:schemeClr val="accent3"/>
              </a:solidFill>
            </c:spPr>
          </c:dPt>
          <c:dPt>
            <c:idx val="8"/>
            <c:bubble3D val="0"/>
            <c:spPr>
              <a:solidFill>
                <a:schemeClr val="accent3">
                  <a:lumMod val="75000"/>
                </a:schemeClr>
              </a:solidFill>
            </c:spPr>
          </c:dPt>
          <c:dPt>
            <c:idx val="9"/>
            <c:bubble3D val="0"/>
            <c:spPr>
              <a:solidFill>
                <a:schemeClr val="accent3">
                  <a:lumMod val="40000"/>
                  <a:lumOff val="60000"/>
                </a:schemeClr>
              </a:solidFill>
            </c:spPr>
          </c:dPt>
          <c:dPt>
            <c:idx val="10"/>
            <c:bubble3D val="0"/>
            <c:spPr>
              <a:solidFill>
                <a:schemeClr val="tx2"/>
              </a:solidFill>
            </c:spPr>
          </c:dPt>
          <c:dLbls>
            <c:dLbl>
              <c:idx val="0"/>
              <c:layout>
                <c:manualLayout>
                  <c:x val="6.511678425454295E-4"/>
                  <c:y val="0.29788209671508115"/>
                </c:manualLayout>
              </c:layout>
              <c:tx>
                <c:rich>
                  <a:bodyPr/>
                  <a:lstStyle/>
                  <a:p>
                    <a:r>
                      <a:rPr lang="en-US">
                        <a:solidFill>
                          <a:sysClr val="windowText" lastClr="000000"/>
                        </a:solidFill>
                      </a:rPr>
                      <a:t>Loans and mortgages, 8%</a:t>
                    </a:r>
                  </a:p>
                </c:rich>
              </c:tx>
              <c:showLegendKey val="0"/>
              <c:showVal val="1"/>
              <c:showCatName val="1"/>
              <c:showSerName val="0"/>
              <c:showPercent val="0"/>
              <c:showBubbleSize val="0"/>
            </c:dLbl>
            <c:dLbl>
              <c:idx val="1"/>
              <c:layout>
                <c:manualLayout>
                  <c:x val="2.3586525368539458E-4"/>
                  <c:y val="-0.24038883445695058"/>
                </c:manualLayout>
              </c:layout>
              <c:showLegendKey val="0"/>
              <c:showVal val="1"/>
              <c:showCatName val="1"/>
              <c:showSerName val="0"/>
              <c:showPercent val="0"/>
              <c:showBubbleSize val="0"/>
            </c:dLbl>
            <c:dLbl>
              <c:idx val="2"/>
              <c:layout>
                <c:manualLayout>
                  <c:x val="-8.7805340121958446E-3"/>
                  <c:y val="0.13046507039217861"/>
                </c:manualLayout>
              </c:layout>
              <c:tx>
                <c:rich>
                  <a:bodyPr/>
                  <a:lstStyle/>
                  <a:p>
                    <a:r>
                      <a:rPr lang="en-US">
                        <a:solidFill>
                          <a:sysClr val="windowText" lastClr="000000"/>
                        </a:solidFill>
                      </a:rPr>
                      <a:t>Derivatives, 0.1%</a:t>
                    </a:r>
                  </a:p>
                </c:rich>
              </c:tx>
              <c:showLegendKey val="0"/>
              <c:showVal val="1"/>
              <c:showCatName val="1"/>
              <c:showSerName val="0"/>
              <c:showPercent val="0"/>
              <c:showBubbleSize val="0"/>
            </c:dLbl>
            <c:dLbl>
              <c:idx val="3"/>
              <c:layout>
                <c:manualLayout>
                  <c:x val="-1.6204921753201901E-2"/>
                  <c:y val="5.8808108324257626E-2"/>
                </c:manualLayout>
              </c:layout>
              <c:tx>
                <c:rich>
                  <a:bodyPr/>
                  <a:lstStyle/>
                  <a:p>
                    <a:pPr>
                      <a:defRPr/>
                    </a:pPr>
                    <a:r>
                      <a:rPr lang="en-US"/>
                      <a:t>Deposits other than cash equivalents, 3%</a:t>
                    </a:r>
                  </a:p>
                </c:rich>
              </c:tx>
              <c:spPr/>
              <c:showLegendKey val="0"/>
              <c:showVal val="1"/>
              <c:showCatName val="1"/>
              <c:showSerName val="0"/>
              <c:showPercent val="0"/>
              <c:showBubbleSize val="0"/>
            </c:dLbl>
            <c:dLbl>
              <c:idx val="4"/>
              <c:layout>
                <c:manualLayout>
                  <c:x val="-2.3772817871450277E-3"/>
                  <c:y val="8.2547501172611139E-3"/>
                </c:manualLayout>
              </c:layout>
              <c:showLegendKey val="0"/>
              <c:showVal val="1"/>
              <c:showCatName val="1"/>
              <c:showSerName val="0"/>
              <c:showPercent val="0"/>
              <c:showBubbleSize val="0"/>
            </c:dLbl>
            <c:dLbl>
              <c:idx val="5"/>
              <c:layout>
                <c:manualLayout>
                  <c:x val="5.3145462080397849E-3"/>
                  <c:y val="-4.1325008900728391E-2"/>
                </c:manualLayout>
              </c:layout>
              <c:showLegendKey val="0"/>
              <c:showVal val="1"/>
              <c:showCatName val="1"/>
              <c:showSerName val="0"/>
              <c:showPercent val="0"/>
              <c:showBubbleSize val="0"/>
            </c:dLbl>
            <c:dLbl>
              <c:idx val="6"/>
              <c:layout>
                <c:manualLayout>
                  <c:x val="-3.363495352554615E-2"/>
                  <c:y val="-6.1143140695735898E-2"/>
                </c:manualLayout>
              </c:layout>
              <c:showLegendKey val="0"/>
              <c:showVal val="1"/>
              <c:showCatName val="1"/>
              <c:showSerName val="0"/>
              <c:showPercent val="0"/>
              <c:showBubbleSize val="0"/>
            </c:dLbl>
            <c:dLbl>
              <c:idx val="7"/>
              <c:layout>
                <c:manualLayout>
                  <c:x val="-3.7151066642985418E-2"/>
                  <c:y val="-3.2496536203963623E-2"/>
                </c:manualLayout>
              </c:layout>
              <c:dLblPos val="bestFit"/>
              <c:showLegendKey val="0"/>
              <c:showVal val="1"/>
              <c:showCatName val="1"/>
              <c:showSerName val="0"/>
              <c:showPercent val="0"/>
              <c:showBubbleSize val="0"/>
            </c:dLbl>
            <c:dLbl>
              <c:idx val="8"/>
              <c:layout>
                <c:manualLayout>
                  <c:x val="-6.3064339179824749E-2"/>
                  <c:y val="8.5220112989752253E-2"/>
                </c:manualLayout>
              </c:layout>
              <c:showLegendKey val="0"/>
              <c:showVal val="1"/>
              <c:showCatName val="1"/>
              <c:showSerName val="0"/>
              <c:showPercent val="0"/>
              <c:showBubbleSize val="0"/>
            </c:dLbl>
            <c:dLbl>
              <c:idx val="9"/>
              <c:layout>
                <c:manualLayout>
                  <c:x val="5.6177451502772681E-2"/>
                  <c:y val="-0.15052559843310126"/>
                </c:manualLayout>
              </c:layout>
              <c:showLegendKey val="0"/>
              <c:showVal val="1"/>
              <c:showCatName val="1"/>
              <c:showSerName val="0"/>
              <c:showPercent val="0"/>
              <c:showBubbleSize val="0"/>
            </c:dLbl>
            <c:dLbl>
              <c:idx val="10"/>
              <c:layout>
                <c:manualLayout>
                  <c:x val="-0.24742926634159257"/>
                  <c:y val="-0.1581958184949262"/>
                </c:manualLayout>
              </c:layout>
              <c:tx>
                <c:rich>
                  <a:bodyPr/>
                  <a:lstStyle/>
                  <a:p>
                    <a:pPr>
                      <a:defRPr>
                        <a:solidFill>
                          <a:schemeClr val="bg1"/>
                        </a:solidFill>
                      </a:defRPr>
                    </a:pPr>
                    <a:r>
                      <a:rPr lang="en-US">
                        <a:solidFill>
                          <a:schemeClr val="bg1"/>
                        </a:solidFill>
                      </a:rPr>
                      <a:t>Investments (other than assets for index-linked or unit-linked funds), 85%</a:t>
                    </a:r>
                  </a:p>
                </c:rich>
              </c:tx>
              <c:spPr/>
              <c:showLegendKey val="0"/>
              <c:showVal val="1"/>
              <c:showCatName val="1"/>
              <c:showSerName val="0"/>
              <c:showPercent val="0"/>
              <c:showBubbleSize val="0"/>
            </c:dLbl>
            <c:showLegendKey val="0"/>
            <c:showVal val="1"/>
            <c:showCatName val="1"/>
            <c:showSerName val="0"/>
            <c:showPercent val="0"/>
            <c:showBubbleSize val="0"/>
            <c:showLeaderLines val="1"/>
          </c:dLbls>
          <c:cat>
            <c:strRef>
              <c:f>'35'!$A$4:$A$13</c:f>
              <c:strCache>
                <c:ptCount val="10"/>
                <c:pt idx="0">
                  <c:v>Loans and mortgages</c:v>
                </c:pt>
                <c:pt idx="1">
                  <c:v>Assets held for index-linked and unit-linked funds</c:v>
                </c:pt>
                <c:pt idx="2">
                  <c:v>Derivatives</c:v>
                </c:pt>
                <c:pt idx="3">
                  <c:v>Deposits other than cash equivalents</c:v>
                </c:pt>
                <c:pt idx="4">
                  <c:v>Other investment</c:v>
                </c:pt>
                <c:pt idx="5">
                  <c:v>Property, other than for own use</c:v>
                </c:pt>
                <c:pt idx="6">
                  <c:v>Equities</c:v>
                </c:pt>
                <c:pt idx="7">
                  <c:v>Participations</c:v>
                </c:pt>
                <c:pt idx="8">
                  <c:v>Bonds</c:v>
                </c:pt>
                <c:pt idx="9">
                  <c:v>Investment funds</c:v>
                </c:pt>
              </c:strCache>
            </c:strRef>
          </c:cat>
          <c:val>
            <c:numRef>
              <c:f>'35'!$B$4:$B$13</c:f>
              <c:numCache>
                <c:formatCode>0%</c:formatCode>
                <c:ptCount val="10"/>
                <c:pt idx="0">
                  <c:v>0.08</c:v>
                </c:pt>
                <c:pt idx="1">
                  <c:v>7.0000000000000007E-2</c:v>
                </c:pt>
                <c:pt idx="2" formatCode="0.0%">
                  <c:v>1E-3</c:v>
                </c:pt>
                <c:pt idx="3">
                  <c:v>0.03</c:v>
                </c:pt>
                <c:pt idx="4">
                  <c:v>0.03</c:v>
                </c:pt>
                <c:pt idx="5">
                  <c:v>0.03</c:v>
                </c:pt>
                <c:pt idx="6">
                  <c:v>0.06</c:v>
                </c:pt>
                <c:pt idx="7">
                  <c:v>0.06</c:v>
                </c:pt>
                <c:pt idx="8">
                  <c:v>0.48</c:v>
                </c:pt>
                <c:pt idx="9">
                  <c:v>0.32</c:v>
                </c:pt>
              </c:numCache>
            </c:numRef>
          </c:val>
        </c:ser>
        <c:dLbls>
          <c:showLegendKey val="0"/>
          <c:showVal val="0"/>
          <c:showCatName val="0"/>
          <c:showSerName val="0"/>
          <c:showPercent val="0"/>
          <c:showBubbleSize val="0"/>
          <c:showLeaderLines val="1"/>
        </c:dLbls>
        <c:gapWidth val="100"/>
        <c:splitType val="pos"/>
        <c:splitPos val="8"/>
        <c:secondPieSize val="75"/>
        <c:serLines/>
      </c:ofPieChart>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'37'!$B$21</c:f>
              <c:strCache>
                <c:ptCount val="1"/>
                <c:pt idx="0">
                  <c:v>Project loans</c:v>
                </c:pt>
              </c:strCache>
            </c:strRef>
          </c:tx>
          <c:spPr>
            <a:solidFill>
              <a:schemeClr val="bg1">
                <a:lumMod val="50000"/>
              </a:schemeClr>
            </a:solidFill>
          </c:spPr>
          <c:invertIfNegative val="0"/>
          <c:cat>
            <c:strRef>
              <c:f>'37'!$A$22:$A$37</c:f>
              <c:strCach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1H2016-LTM</c:v>
                </c:pt>
              </c:strCache>
            </c:strRef>
          </c:cat>
          <c:val>
            <c:numRef>
              <c:f>'37'!$B$22:$B$37</c:f>
              <c:numCache>
                <c:formatCode>0</c:formatCode>
                <c:ptCount val="16"/>
                <c:pt idx="0">
                  <c:v>35294.117647058825</c:v>
                </c:pt>
                <c:pt idx="1">
                  <c:v>22352.941176470587</c:v>
                </c:pt>
                <c:pt idx="2">
                  <c:v>28235.294117647059</c:v>
                </c:pt>
                <c:pt idx="3">
                  <c:v>24705.882352941178</c:v>
                </c:pt>
                <c:pt idx="4">
                  <c:v>56470.588235294119</c:v>
                </c:pt>
                <c:pt idx="5">
                  <c:v>56470.588235294119</c:v>
                </c:pt>
                <c:pt idx="6">
                  <c:v>68235.294117647063</c:v>
                </c:pt>
                <c:pt idx="7">
                  <c:v>84705.882352941175</c:v>
                </c:pt>
                <c:pt idx="8">
                  <c:v>34117.647058823532</c:v>
                </c:pt>
                <c:pt idx="9">
                  <c:v>54117.647058823524</c:v>
                </c:pt>
                <c:pt idx="10">
                  <c:v>44705.882352941175</c:v>
                </c:pt>
                <c:pt idx="11">
                  <c:v>31764.705882352944</c:v>
                </c:pt>
                <c:pt idx="12">
                  <c:v>35294.117647058825</c:v>
                </c:pt>
                <c:pt idx="13">
                  <c:v>49411.764705882357</c:v>
                </c:pt>
                <c:pt idx="14">
                  <c:v>51764.705882352944</c:v>
                </c:pt>
                <c:pt idx="15">
                  <c:v>60000</c:v>
                </c:pt>
              </c:numCache>
            </c:numRef>
          </c:val>
        </c:ser>
        <c:ser>
          <c:idx val="1"/>
          <c:order val="1"/>
          <c:tx>
            <c:strRef>
              <c:f>'37'!$C$21</c:f>
              <c:strCache>
                <c:ptCount val="1"/>
                <c:pt idx="0">
                  <c:v>Offschore wind project bonds</c:v>
                </c:pt>
              </c:strCache>
            </c:strRef>
          </c:tx>
          <c:spPr>
            <a:solidFill>
              <a:schemeClr val="bg1">
                <a:lumMod val="75000"/>
              </a:schemeClr>
            </a:solidFill>
          </c:spPr>
          <c:invertIfNegative val="0"/>
          <c:cat>
            <c:strRef>
              <c:f>'37'!$A$22:$A$37</c:f>
              <c:strCach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1H2016-LTM</c:v>
                </c:pt>
              </c:strCache>
            </c:strRef>
          </c:cat>
          <c:val>
            <c:numRef>
              <c:f>'37'!$C$22:$C$37</c:f>
              <c:numCache>
                <c:formatCode>General</c:formatCode>
                <c:ptCount val="16"/>
                <c:pt idx="14" formatCode="0">
                  <c:v>1176.4705882352941</c:v>
                </c:pt>
              </c:numCache>
            </c:numRef>
          </c:val>
        </c:ser>
        <c:ser>
          <c:idx val="2"/>
          <c:order val="2"/>
          <c:tx>
            <c:strRef>
              <c:f>'37'!$D$21</c:f>
              <c:strCache>
                <c:ptCount val="1"/>
                <c:pt idx="0">
                  <c:v>Project bonds</c:v>
                </c:pt>
              </c:strCache>
            </c:strRef>
          </c:tx>
          <c:spPr>
            <a:pattFill prst="zigZag">
              <a:fgClr>
                <a:schemeClr val="tx1"/>
              </a:fgClr>
              <a:bgClr>
                <a:schemeClr val="bg1"/>
              </a:bgClr>
            </a:pattFill>
          </c:spPr>
          <c:invertIfNegative val="0"/>
          <c:cat>
            <c:strRef>
              <c:f>'37'!$A$22:$A$37</c:f>
              <c:strCach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1H2016-LTM</c:v>
                </c:pt>
              </c:strCache>
            </c:strRef>
          </c:cat>
          <c:val>
            <c:numRef>
              <c:f>'37'!$D$22:$D$37</c:f>
              <c:numCache>
                <c:formatCode>0</c:formatCode>
                <c:ptCount val="16"/>
                <c:pt idx="1">
                  <c:v>1176.4705882352941</c:v>
                </c:pt>
                <c:pt idx="2">
                  <c:v>7058.8235294117649</c:v>
                </c:pt>
                <c:pt idx="3">
                  <c:v>5882.3529411764712</c:v>
                </c:pt>
                <c:pt idx="4">
                  <c:v>3529.4117647058824</c:v>
                </c:pt>
                <c:pt idx="5">
                  <c:v>10000</c:v>
                </c:pt>
                <c:pt idx="6">
                  <c:v>8235.2941176470576</c:v>
                </c:pt>
                <c:pt idx="7">
                  <c:v>1176.4705882352941</c:v>
                </c:pt>
                <c:pt idx="9">
                  <c:v>2352.9411764705883</c:v>
                </c:pt>
                <c:pt idx="10">
                  <c:v>3529.4117647058824</c:v>
                </c:pt>
                <c:pt idx="11">
                  <c:v>1411.7647058823529</c:v>
                </c:pt>
                <c:pt idx="12">
                  <c:v>8235.2941176470576</c:v>
                </c:pt>
                <c:pt idx="13">
                  <c:v>10588.235294117647</c:v>
                </c:pt>
                <c:pt idx="14">
                  <c:v>5882.3529411764712</c:v>
                </c:pt>
                <c:pt idx="15">
                  <c:v>11764.705882352942</c:v>
                </c:pt>
              </c:numCache>
            </c:numRef>
          </c:val>
        </c:ser>
        <c:ser>
          <c:idx val="3"/>
          <c:order val="3"/>
          <c:tx>
            <c:strRef>
              <c:f>'37'!$E$21</c:f>
              <c:strCache>
                <c:ptCount val="1"/>
                <c:pt idx="0">
                  <c:v>Offshore wind project loans</c:v>
                </c:pt>
              </c:strCache>
            </c:strRef>
          </c:tx>
          <c:spPr>
            <a:solidFill>
              <a:schemeClr val="tx1"/>
            </a:solidFill>
          </c:spPr>
          <c:invertIfNegative val="0"/>
          <c:cat>
            <c:strRef>
              <c:f>'37'!$A$22:$A$37</c:f>
              <c:strCach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1H2016-LTM</c:v>
                </c:pt>
              </c:strCache>
            </c:strRef>
          </c:cat>
          <c:val>
            <c:numRef>
              <c:f>'37'!$E$22:$E$37</c:f>
              <c:numCache>
                <c:formatCode>General</c:formatCode>
                <c:ptCount val="16"/>
                <c:pt idx="8" formatCode="0">
                  <c:v>235.29411764705881</c:v>
                </c:pt>
                <c:pt idx="9" formatCode="0">
                  <c:v>400</c:v>
                </c:pt>
                <c:pt idx="10" formatCode="0">
                  <c:v>1176.4705882352941</c:v>
                </c:pt>
                <c:pt idx="11" formatCode="0">
                  <c:v>588.23529411764707</c:v>
                </c:pt>
                <c:pt idx="12" formatCode="0">
                  <c:v>1176.4705882352941</c:v>
                </c:pt>
                <c:pt idx="13" formatCode="0">
                  <c:v>2352.9411764705883</c:v>
                </c:pt>
                <c:pt idx="14" formatCode="0">
                  <c:v>8235.2941176470576</c:v>
                </c:pt>
              </c:numCache>
            </c:numRef>
          </c:val>
        </c:ser>
        <c:dLbls>
          <c:showLegendKey val="0"/>
          <c:showVal val="0"/>
          <c:showCatName val="0"/>
          <c:showSerName val="0"/>
          <c:showPercent val="0"/>
          <c:showBubbleSize val="0"/>
        </c:dLbls>
        <c:gapWidth val="150"/>
        <c:overlap val="100"/>
        <c:axId val="233520512"/>
        <c:axId val="233542784"/>
      </c:barChart>
      <c:catAx>
        <c:axId val="233520512"/>
        <c:scaling>
          <c:orientation val="minMax"/>
        </c:scaling>
        <c:delete val="0"/>
        <c:axPos val="b"/>
        <c:majorTickMark val="out"/>
        <c:minorTickMark val="none"/>
        <c:tickLblPos val="nextTo"/>
        <c:crossAx val="233542784"/>
        <c:crosses val="autoZero"/>
        <c:auto val="1"/>
        <c:lblAlgn val="ctr"/>
        <c:lblOffset val="100"/>
        <c:noMultiLvlLbl val="0"/>
      </c:catAx>
      <c:valAx>
        <c:axId val="233542784"/>
        <c:scaling>
          <c:orientation val="minMax"/>
        </c:scaling>
        <c:delete val="0"/>
        <c:axPos val="l"/>
        <c:majorGridlines/>
        <c:numFmt formatCode="#,##0" sourceLinked="0"/>
        <c:majorTickMark val="out"/>
        <c:minorTickMark val="none"/>
        <c:tickLblPos val="nextTo"/>
        <c:crossAx val="233520512"/>
        <c:crosses val="autoZero"/>
        <c:crossBetween val="between"/>
        <c:majorUnit val="20000"/>
      </c:valAx>
    </c:plotArea>
    <c:legend>
      <c:legendPos val="t"/>
      <c:layout>
        <c:manualLayout>
          <c:xMode val="edge"/>
          <c:yMode val="edge"/>
          <c:x val="0.10012174507107635"/>
          <c:y val="4.1666666666666664E-2"/>
          <c:w val="0.84148183111988384"/>
          <c:h val="8.3717191601049873E-2"/>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900"/>
            </a:pPr>
            <a:r>
              <a:rPr lang="en-GB" sz="900"/>
              <a:t>Value (EUR billion)</a:t>
            </a:r>
          </a:p>
        </c:rich>
      </c:tx>
      <c:layout>
        <c:manualLayout>
          <c:xMode val="edge"/>
          <c:yMode val="edge"/>
          <c:x val="2.0925346933968465E-3"/>
          <c:y val="3.1372553325106384E-2"/>
        </c:manualLayout>
      </c:layout>
      <c:overlay val="0"/>
    </c:title>
    <c:autoTitleDeleted val="0"/>
    <c:plotArea>
      <c:layout/>
      <c:barChart>
        <c:barDir val="col"/>
        <c:grouping val="stacked"/>
        <c:varyColors val="0"/>
        <c:ser>
          <c:idx val="0"/>
          <c:order val="0"/>
          <c:tx>
            <c:strRef>
              <c:f>'38'!$B$15</c:f>
              <c:strCache>
                <c:ptCount val="1"/>
                <c:pt idx="0">
                  <c:v>Value in H1</c:v>
                </c:pt>
              </c:strCache>
            </c:strRef>
          </c:tx>
          <c:invertIfNegative val="0"/>
          <c:cat>
            <c:numRef>
              <c:f>'38'!$A$16:$A$25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'38'!$B$16:$B$25</c:f>
              <c:numCache>
                <c:formatCode>General</c:formatCode>
                <c:ptCount val="10"/>
                <c:pt idx="0">
                  <c:v>13.25</c:v>
                </c:pt>
                <c:pt idx="1">
                  <c:v>14.25</c:v>
                </c:pt>
                <c:pt idx="2">
                  <c:v>10</c:v>
                </c:pt>
                <c:pt idx="3">
                  <c:v>11.25</c:v>
                </c:pt>
                <c:pt idx="4">
                  <c:v>11.5</c:v>
                </c:pt>
                <c:pt idx="5">
                  <c:v>5.5</c:v>
                </c:pt>
                <c:pt idx="6">
                  <c:v>13.5</c:v>
                </c:pt>
                <c:pt idx="7">
                  <c:v>8.875</c:v>
                </c:pt>
                <c:pt idx="8">
                  <c:v>4.5</c:v>
                </c:pt>
                <c:pt idx="9">
                  <c:v>7.25</c:v>
                </c:pt>
              </c:numCache>
            </c:numRef>
          </c:val>
        </c:ser>
        <c:ser>
          <c:idx val="1"/>
          <c:order val="1"/>
          <c:tx>
            <c:strRef>
              <c:f>'38'!$C$15</c:f>
              <c:strCache>
                <c:ptCount val="1"/>
                <c:pt idx="0">
                  <c:v>Value in H2</c:v>
                </c:pt>
              </c:strCache>
            </c:strRef>
          </c:tx>
          <c:invertIfNegative val="0"/>
          <c:cat>
            <c:numRef>
              <c:f>'38'!$A$16:$A$25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'38'!$C$16:$C$25</c:f>
              <c:numCache>
                <c:formatCode>General</c:formatCode>
                <c:ptCount val="10"/>
                <c:pt idx="0">
                  <c:v>13.25</c:v>
                </c:pt>
                <c:pt idx="1">
                  <c:v>9.25</c:v>
                </c:pt>
                <c:pt idx="2">
                  <c:v>5</c:v>
                </c:pt>
                <c:pt idx="3">
                  <c:v>6.75</c:v>
                </c:pt>
                <c:pt idx="4">
                  <c:v>5.7</c:v>
                </c:pt>
                <c:pt idx="5">
                  <c:v>6.625</c:v>
                </c:pt>
                <c:pt idx="6">
                  <c:v>7.125</c:v>
                </c:pt>
                <c:pt idx="7">
                  <c:v>9.25</c:v>
                </c:pt>
                <c:pt idx="8">
                  <c:v>10.75</c:v>
                </c:pt>
                <c:pt idx="9">
                  <c:v>4.625</c:v>
                </c:pt>
              </c:numCache>
            </c:numRef>
          </c:val>
        </c:ser>
        <c:dLbls>
          <c:showLegendKey val="0"/>
          <c:showVal val="0"/>
          <c:showCatName val="0"/>
          <c:showSerName val="0"/>
          <c:showPercent val="0"/>
          <c:showBubbleSize val="0"/>
        </c:dLbls>
        <c:gapWidth val="150"/>
        <c:overlap val="100"/>
        <c:axId val="233557376"/>
        <c:axId val="233825408"/>
      </c:barChart>
      <c:lineChart>
        <c:grouping val="standard"/>
        <c:varyColors val="0"/>
        <c:ser>
          <c:idx val="2"/>
          <c:order val="2"/>
          <c:tx>
            <c:strRef>
              <c:f>'38'!$D$15</c:f>
              <c:strCache>
                <c:ptCount val="1"/>
                <c:pt idx="0">
                  <c:v>Number of projects</c:v>
                </c:pt>
              </c:strCache>
            </c:strRef>
          </c:tx>
          <c:marker>
            <c:symbol val="none"/>
          </c:marker>
          <c:cat>
            <c:numRef>
              <c:f>'38'!$A$16:$A$25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'38'!$D$16:$D$25</c:f>
              <c:numCache>
                <c:formatCode>0</c:formatCode>
                <c:ptCount val="10"/>
                <c:pt idx="0">
                  <c:v>129.41176470588235</c:v>
                </c:pt>
                <c:pt idx="1">
                  <c:v>111.76470588235294</c:v>
                </c:pt>
                <c:pt idx="2">
                  <c:v>102.35294117647059</c:v>
                </c:pt>
                <c:pt idx="3">
                  <c:v>104.70588235294117</c:v>
                </c:pt>
                <c:pt idx="4">
                  <c:v>82.352941176470594</c:v>
                </c:pt>
                <c:pt idx="5">
                  <c:v>62.352941176470587</c:v>
                </c:pt>
                <c:pt idx="6">
                  <c:v>78.82352941176471</c:v>
                </c:pt>
                <c:pt idx="7">
                  <c:v>80</c:v>
                </c:pt>
                <c:pt idx="8">
                  <c:v>48.235294117647058</c:v>
                </c:pt>
                <c:pt idx="9">
                  <c:v>70.588235294117652</c:v>
                </c:pt>
              </c:numCache>
            </c:numRef>
          </c:val>
          <c:smooth val="0"/>
        </c:ser>
        <c:dLbls>
          <c:showLegendKey val="0"/>
          <c:showVal val="0"/>
          <c:showCatName val="0"/>
          <c:showSerName val="0"/>
          <c:showPercent val="0"/>
          <c:showBubbleSize val="0"/>
        </c:dLbls>
        <c:marker val="1"/>
        <c:smooth val="0"/>
        <c:axId val="282079616"/>
        <c:axId val="233826944"/>
      </c:lineChart>
      <c:catAx>
        <c:axId val="233557376"/>
        <c:scaling>
          <c:orientation val="minMax"/>
        </c:scaling>
        <c:delete val="0"/>
        <c:axPos val="b"/>
        <c:numFmt formatCode="General" sourceLinked="1"/>
        <c:majorTickMark val="out"/>
        <c:minorTickMark val="none"/>
        <c:tickLblPos val="nextTo"/>
        <c:crossAx val="233825408"/>
        <c:crosses val="autoZero"/>
        <c:auto val="1"/>
        <c:lblAlgn val="ctr"/>
        <c:lblOffset val="100"/>
        <c:noMultiLvlLbl val="0"/>
      </c:catAx>
      <c:valAx>
        <c:axId val="233825408"/>
        <c:scaling>
          <c:orientation val="minMax"/>
        </c:scaling>
        <c:delete val="0"/>
        <c:axPos val="l"/>
        <c:majorGridlines/>
        <c:numFmt formatCode="General" sourceLinked="1"/>
        <c:majorTickMark val="out"/>
        <c:minorTickMark val="none"/>
        <c:tickLblPos val="nextTo"/>
        <c:crossAx val="233557376"/>
        <c:crosses val="autoZero"/>
        <c:crossBetween val="between"/>
      </c:valAx>
      <c:valAx>
        <c:axId val="233826944"/>
        <c:scaling>
          <c:orientation val="minMax"/>
        </c:scaling>
        <c:delete val="0"/>
        <c:axPos val="r"/>
        <c:numFmt formatCode="0" sourceLinked="1"/>
        <c:majorTickMark val="out"/>
        <c:minorTickMark val="none"/>
        <c:tickLblPos val="nextTo"/>
        <c:crossAx val="282079616"/>
        <c:crosses val="max"/>
        <c:crossBetween val="between"/>
      </c:valAx>
      <c:catAx>
        <c:axId val="282079616"/>
        <c:scaling>
          <c:orientation val="minMax"/>
        </c:scaling>
        <c:delete val="1"/>
        <c:axPos val="b"/>
        <c:numFmt formatCode="General" sourceLinked="1"/>
        <c:majorTickMark val="out"/>
        <c:minorTickMark val="none"/>
        <c:tickLblPos val="nextTo"/>
        <c:crossAx val="233826944"/>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7421043850034704E-2"/>
          <c:y val="5.4716707296155992E-2"/>
          <c:w val="0.89682331761016432"/>
          <c:h val="0.69260023260565484"/>
        </c:manualLayout>
      </c:layout>
      <c:lineChart>
        <c:grouping val="standard"/>
        <c:varyColors val="0"/>
        <c:ser>
          <c:idx val="0"/>
          <c:order val="0"/>
          <c:tx>
            <c:strRef>
              <c:f>Sheet1!$B$15</c:f>
              <c:strCache>
                <c:ptCount val="1"/>
                <c:pt idx="0">
                  <c:v>EU 28</c:v>
                </c:pt>
              </c:strCache>
            </c:strRef>
          </c:tx>
          <c:marker>
            <c:symbol val="none"/>
          </c:marker>
          <c:cat>
            <c:strRef>
              <c:f>Sheet1!$W$14:$BR$14</c:f>
              <c:strCache>
                <c:ptCount val="48"/>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pt idx="33">
                  <c:v>2013Q2</c:v>
                </c:pt>
                <c:pt idx="34">
                  <c:v>2013Q3</c:v>
                </c:pt>
                <c:pt idx="35">
                  <c:v>2013Q4</c:v>
                </c:pt>
                <c:pt idx="36">
                  <c:v>2014Q1</c:v>
                </c:pt>
                <c:pt idx="37">
                  <c:v>2014Q2</c:v>
                </c:pt>
                <c:pt idx="38">
                  <c:v>2014Q3</c:v>
                </c:pt>
                <c:pt idx="39">
                  <c:v>2014Q4</c:v>
                </c:pt>
                <c:pt idx="40">
                  <c:v>2015Q1</c:v>
                </c:pt>
                <c:pt idx="41">
                  <c:v>2015Q2</c:v>
                </c:pt>
                <c:pt idx="42">
                  <c:v>2015Q3</c:v>
                </c:pt>
                <c:pt idx="43">
                  <c:v>2015Q4</c:v>
                </c:pt>
                <c:pt idx="44">
                  <c:v>2016Q1</c:v>
                </c:pt>
                <c:pt idx="45">
                  <c:v>2016Q2</c:v>
                </c:pt>
                <c:pt idx="46">
                  <c:v>2016Q3</c:v>
                </c:pt>
                <c:pt idx="47">
                  <c:v>2016Q4</c:v>
                </c:pt>
              </c:strCache>
            </c:strRef>
          </c:cat>
          <c:val>
            <c:numRef>
              <c:f>Sheet1!$W$15:$BR$15</c:f>
              <c:numCache>
                <c:formatCode>0.0%</c:formatCode>
                <c:ptCount val="48"/>
                <c:pt idx="0">
                  <c:v>0.11677752904719672</c:v>
                </c:pt>
                <c:pt idx="1">
                  <c:v>0.11729194411757216</c:v>
                </c:pt>
                <c:pt idx="2">
                  <c:v>0.11383764251608766</c:v>
                </c:pt>
                <c:pt idx="3">
                  <c:v>0.11350664556737453</c:v>
                </c:pt>
                <c:pt idx="4">
                  <c:v>0.11201070801896867</c:v>
                </c:pt>
                <c:pt idx="5">
                  <c:v>0.10973170026322869</c:v>
                </c:pt>
                <c:pt idx="6">
                  <c:v>0.10914814526480207</c:v>
                </c:pt>
                <c:pt idx="7">
                  <c:v>0.10975701416823004</c:v>
                </c:pt>
                <c:pt idx="8">
                  <c:v>0.10931691273116209</c:v>
                </c:pt>
                <c:pt idx="9">
                  <c:v>0.11068730980730807</c:v>
                </c:pt>
                <c:pt idx="10">
                  <c:v>0.10961958025928134</c:v>
                </c:pt>
                <c:pt idx="11">
                  <c:v>0.10726839977867868</c:v>
                </c:pt>
                <c:pt idx="12">
                  <c:v>0.10518237678443883</c:v>
                </c:pt>
                <c:pt idx="13">
                  <c:v>0.10591411252018074</c:v>
                </c:pt>
                <c:pt idx="14">
                  <c:v>0.10564306251225644</c:v>
                </c:pt>
                <c:pt idx="15">
                  <c:v>0.10887665257795345</c:v>
                </c:pt>
                <c:pt idx="16">
                  <c:v>0.11389543200553627</c:v>
                </c:pt>
                <c:pt idx="17">
                  <c:v>0.11918681437590722</c:v>
                </c:pt>
                <c:pt idx="18">
                  <c:v>0.12525588266917173</c:v>
                </c:pt>
                <c:pt idx="19">
                  <c:v>0.12903485572594975</c:v>
                </c:pt>
                <c:pt idx="20">
                  <c:v>0.12829128948515228</c:v>
                </c:pt>
                <c:pt idx="21">
                  <c:v>0.1259565142007755</c:v>
                </c:pt>
                <c:pt idx="22">
                  <c:v>0.12335809441601221</c:v>
                </c:pt>
                <c:pt idx="23">
                  <c:v>0.11958934301345792</c:v>
                </c:pt>
                <c:pt idx="24">
                  <c:v>0.11633360960931723</c:v>
                </c:pt>
                <c:pt idx="25">
                  <c:v>0.1156472030095993</c:v>
                </c:pt>
                <c:pt idx="26">
                  <c:v>0.11291013345808321</c:v>
                </c:pt>
                <c:pt idx="27">
                  <c:v>0.11253855370269378</c:v>
                </c:pt>
                <c:pt idx="28">
                  <c:v>0.11292677540399414</c:v>
                </c:pt>
                <c:pt idx="29">
                  <c:v>0.11172355134421251</c:v>
                </c:pt>
                <c:pt idx="30">
                  <c:v>0.11152962402780031</c:v>
                </c:pt>
                <c:pt idx="31">
                  <c:v>0.10871641428232057</c:v>
                </c:pt>
                <c:pt idx="32">
                  <c:v>0.10833843521056771</c:v>
                </c:pt>
                <c:pt idx="33">
                  <c:v>0.1075835480268976</c:v>
                </c:pt>
                <c:pt idx="34">
                  <c:v>0.10725271062324258</c:v>
                </c:pt>
                <c:pt idx="35">
                  <c:v>0.10816710857651643</c:v>
                </c:pt>
                <c:pt idx="36">
                  <c:v>0.10768570031285629</c:v>
                </c:pt>
                <c:pt idx="37">
                  <c:v>0.10652782870779753</c:v>
                </c:pt>
                <c:pt idx="38">
                  <c:v>0.10588783479682719</c:v>
                </c:pt>
                <c:pt idx="39">
                  <c:v>0.1060976679511258</c:v>
                </c:pt>
                <c:pt idx="40">
                  <c:v>0.10555109133641073</c:v>
                </c:pt>
                <c:pt idx="41">
                  <c:v>0.10543758743009925</c:v>
                </c:pt>
                <c:pt idx="42">
                  <c:v>0.10403238531653705</c:v>
                </c:pt>
                <c:pt idx="43">
                  <c:v>0.10368189193260278</c:v>
                </c:pt>
                <c:pt idx="44">
                  <c:v>0.1038786343052583</c:v>
                </c:pt>
                <c:pt idx="45">
                  <c:v>0.10498513343913178</c:v>
                </c:pt>
                <c:pt idx="46">
                  <c:v>0.10444681951242259</c:v>
                </c:pt>
                <c:pt idx="47">
                  <c:v>0.10341375457773595</c:v>
                </c:pt>
              </c:numCache>
            </c:numRef>
          </c:val>
          <c:smooth val="0"/>
        </c:ser>
        <c:ser>
          <c:idx val="1"/>
          <c:order val="1"/>
          <c:tx>
            <c:strRef>
              <c:f>Sheet1!$B$16</c:f>
              <c:strCache>
                <c:ptCount val="1"/>
                <c:pt idx="0">
                  <c:v>Euro area</c:v>
                </c:pt>
              </c:strCache>
            </c:strRef>
          </c:tx>
          <c:marker>
            <c:symbol val="none"/>
          </c:marker>
          <c:cat>
            <c:strRef>
              <c:f>Sheet1!$W$14:$BR$14</c:f>
              <c:strCache>
                <c:ptCount val="48"/>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pt idx="33">
                  <c:v>2013Q2</c:v>
                </c:pt>
                <c:pt idx="34">
                  <c:v>2013Q3</c:v>
                </c:pt>
                <c:pt idx="35">
                  <c:v>2013Q4</c:v>
                </c:pt>
                <c:pt idx="36">
                  <c:v>2014Q1</c:v>
                </c:pt>
                <c:pt idx="37">
                  <c:v>2014Q2</c:v>
                </c:pt>
                <c:pt idx="38">
                  <c:v>2014Q3</c:v>
                </c:pt>
                <c:pt idx="39">
                  <c:v>2014Q4</c:v>
                </c:pt>
                <c:pt idx="40">
                  <c:v>2015Q1</c:v>
                </c:pt>
                <c:pt idx="41">
                  <c:v>2015Q2</c:v>
                </c:pt>
                <c:pt idx="42">
                  <c:v>2015Q3</c:v>
                </c:pt>
                <c:pt idx="43">
                  <c:v>2015Q4</c:v>
                </c:pt>
                <c:pt idx="44">
                  <c:v>2016Q1</c:v>
                </c:pt>
                <c:pt idx="45">
                  <c:v>2016Q2</c:v>
                </c:pt>
                <c:pt idx="46">
                  <c:v>2016Q3</c:v>
                </c:pt>
                <c:pt idx="47">
                  <c:v>2016Q4</c:v>
                </c:pt>
              </c:strCache>
            </c:strRef>
          </c:cat>
          <c:val>
            <c:numRef>
              <c:f>Sheet1!$W$16:$BR$16</c:f>
              <c:numCache>
                <c:formatCode>0.0%</c:formatCode>
                <c:ptCount val="48"/>
                <c:pt idx="0">
                  <c:v>0.13845071513067186</c:v>
                </c:pt>
                <c:pt idx="1">
                  <c:v>0.13685735873334182</c:v>
                </c:pt>
                <c:pt idx="2">
                  <c:v>0.13327284507959417</c:v>
                </c:pt>
                <c:pt idx="3">
                  <c:v>0.13232846854885383</c:v>
                </c:pt>
                <c:pt idx="4">
                  <c:v>0.12956053765981931</c:v>
                </c:pt>
                <c:pt idx="5">
                  <c:v>0.12946686392590573</c:v>
                </c:pt>
                <c:pt idx="6">
                  <c:v>0.12901554787928785</c:v>
                </c:pt>
                <c:pt idx="7">
                  <c:v>0.12903346258221451</c:v>
                </c:pt>
                <c:pt idx="8">
                  <c:v>0.12973739714078594</c:v>
                </c:pt>
                <c:pt idx="9">
                  <c:v>0.13122807479440324</c:v>
                </c:pt>
                <c:pt idx="10">
                  <c:v>0.1298013960482042</c:v>
                </c:pt>
                <c:pt idx="11">
                  <c:v>0.12779371082780347</c:v>
                </c:pt>
                <c:pt idx="12">
                  <c:v>0.1263339408116422</c:v>
                </c:pt>
                <c:pt idx="13">
                  <c:v>0.12791628622277057</c:v>
                </c:pt>
                <c:pt idx="14">
                  <c:v>0.12860406013603026</c:v>
                </c:pt>
                <c:pt idx="15">
                  <c:v>0.13047298695829673</c:v>
                </c:pt>
                <c:pt idx="16">
                  <c:v>0.13491526889918828</c:v>
                </c:pt>
                <c:pt idx="17">
                  <c:v>0.13744613995911031</c:v>
                </c:pt>
                <c:pt idx="18">
                  <c:v>0.14128052922188639</c:v>
                </c:pt>
                <c:pt idx="19">
                  <c:v>0.14334260753306652</c:v>
                </c:pt>
                <c:pt idx="20">
                  <c:v>0.14002062624683118</c:v>
                </c:pt>
                <c:pt idx="21">
                  <c:v>0.1375467370587497</c:v>
                </c:pt>
                <c:pt idx="22">
                  <c:v>0.13387810695684602</c:v>
                </c:pt>
                <c:pt idx="23">
                  <c:v>0.12995578330220575</c:v>
                </c:pt>
                <c:pt idx="24">
                  <c:v>0.12804900289710797</c:v>
                </c:pt>
                <c:pt idx="25">
                  <c:v>0.12751176571677547</c:v>
                </c:pt>
                <c:pt idx="26">
                  <c:v>0.12560284033350663</c:v>
                </c:pt>
                <c:pt idx="27">
                  <c:v>0.12615662338819081</c:v>
                </c:pt>
                <c:pt idx="28">
                  <c:v>0.12666559008653028</c:v>
                </c:pt>
                <c:pt idx="29">
                  <c:v>0.12553018971473659</c:v>
                </c:pt>
                <c:pt idx="30">
                  <c:v>0.12565597250243701</c:v>
                </c:pt>
                <c:pt idx="31">
                  <c:v>0.12343807133217854</c:v>
                </c:pt>
                <c:pt idx="32">
                  <c:v>0.12394014639779392</c:v>
                </c:pt>
                <c:pt idx="33">
                  <c:v>0.12266919947562416</c:v>
                </c:pt>
                <c:pt idx="34">
                  <c:v>0.12320399885882279</c:v>
                </c:pt>
                <c:pt idx="35">
                  <c:v>0.12489978219137572</c:v>
                </c:pt>
                <c:pt idx="36">
                  <c:v>0.12466173103723051</c:v>
                </c:pt>
                <c:pt idx="37">
                  <c:v>0.12415243285497687</c:v>
                </c:pt>
                <c:pt idx="38">
                  <c:v>0.12497020410322926</c:v>
                </c:pt>
                <c:pt idx="39">
                  <c:v>0.12601953285702897</c:v>
                </c:pt>
                <c:pt idx="40">
                  <c:v>0.12556891848503188</c:v>
                </c:pt>
                <c:pt idx="41">
                  <c:v>0.12592046730883782</c:v>
                </c:pt>
                <c:pt idx="42">
                  <c:v>0.12452899548515831</c:v>
                </c:pt>
                <c:pt idx="43">
                  <c:v>0.12408488831068019</c:v>
                </c:pt>
                <c:pt idx="44">
                  <c:v>0.12449895664581404</c:v>
                </c:pt>
                <c:pt idx="45">
                  <c:v>0.12524502253102573</c:v>
                </c:pt>
                <c:pt idx="46">
                  <c:v>0.12480075648876975</c:v>
                </c:pt>
                <c:pt idx="47">
                  <c:v>0.12287279790288475</c:v>
                </c:pt>
              </c:numCache>
            </c:numRef>
          </c:val>
          <c:smooth val="0"/>
        </c:ser>
        <c:dLbls>
          <c:showLegendKey val="0"/>
          <c:showVal val="0"/>
          <c:showCatName val="0"/>
          <c:showSerName val="0"/>
          <c:showPercent val="0"/>
          <c:showBubbleSize val="0"/>
        </c:dLbls>
        <c:marker val="1"/>
        <c:smooth val="0"/>
        <c:axId val="282106112"/>
        <c:axId val="282112000"/>
      </c:lineChart>
      <c:catAx>
        <c:axId val="282106112"/>
        <c:scaling>
          <c:orientation val="minMax"/>
        </c:scaling>
        <c:delete val="0"/>
        <c:axPos val="b"/>
        <c:majorTickMark val="out"/>
        <c:minorTickMark val="none"/>
        <c:tickLblPos val="nextTo"/>
        <c:crossAx val="282112000"/>
        <c:crosses val="autoZero"/>
        <c:auto val="1"/>
        <c:lblAlgn val="ctr"/>
        <c:lblOffset val="100"/>
        <c:noMultiLvlLbl val="0"/>
      </c:catAx>
      <c:valAx>
        <c:axId val="282112000"/>
        <c:scaling>
          <c:orientation val="minMax"/>
          <c:max val="0.15000000000000002"/>
          <c:min val="9.0000000000000024E-2"/>
        </c:scaling>
        <c:delete val="0"/>
        <c:axPos val="l"/>
        <c:majorGridlines/>
        <c:numFmt formatCode="0%" sourceLinked="0"/>
        <c:majorTickMark val="out"/>
        <c:minorTickMark val="none"/>
        <c:tickLblPos val="nextTo"/>
        <c:crossAx val="282106112"/>
        <c:crosses val="autoZero"/>
        <c:crossBetween val="between"/>
      </c:valAx>
    </c:plotArea>
    <c:legend>
      <c:legendPos val="b"/>
      <c:layout>
        <c:manualLayout>
          <c:xMode val="edge"/>
          <c:yMode val="edge"/>
          <c:x val="0.34420134014127807"/>
          <c:y val="0.94045177361811805"/>
          <c:w val="0.31159713535353162"/>
          <c:h val="5.954839565904757E-2"/>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1610679269934294E-2"/>
          <c:y val="4.42998717618601E-2"/>
          <c:w val="0.85677864146013205"/>
          <c:h val="0.68126612649839602"/>
        </c:manualLayout>
      </c:layout>
      <c:barChart>
        <c:barDir val="col"/>
        <c:grouping val="stacked"/>
        <c:varyColors val="0"/>
        <c:ser>
          <c:idx val="0"/>
          <c:order val="0"/>
          <c:tx>
            <c:strRef>
              <c:f>Output!$B$28</c:f>
              <c:strCache>
                <c:ptCount val="1"/>
                <c:pt idx="0">
                  <c:v>Insurance, pensions and standardised guarantees</c:v>
                </c:pt>
              </c:strCache>
            </c:strRef>
          </c:tx>
          <c:spPr>
            <a:solidFill>
              <a:schemeClr val="tx1"/>
            </a:solidFill>
          </c:spPr>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Output!$C$28:$R$28</c:f>
              <c:numCache>
                <c:formatCode>0</c:formatCode>
                <c:ptCount val="16"/>
                <c:pt idx="0">
                  <c:v>10937.754999999999</c:v>
                </c:pt>
                <c:pt idx="1">
                  <c:v>10990.254199999999</c:v>
                </c:pt>
                <c:pt idx="2">
                  <c:v>10825.624299999999</c:v>
                </c:pt>
                <c:pt idx="3">
                  <c:v>11020.129800000001</c:v>
                </c:pt>
                <c:pt idx="4">
                  <c:v>11036.8469</c:v>
                </c:pt>
                <c:pt idx="5">
                  <c:v>11300.6903</c:v>
                </c:pt>
                <c:pt idx="6">
                  <c:v>11689.9548</c:v>
                </c:pt>
                <c:pt idx="7">
                  <c:v>12177.677799999999</c:v>
                </c:pt>
                <c:pt idx="8">
                  <c:v>12668.4359</c:v>
                </c:pt>
                <c:pt idx="9">
                  <c:v>13257.557199999999</c:v>
                </c:pt>
                <c:pt idx="10">
                  <c:v>13013.6445</c:v>
                </c:pt>
                <c:pt idx="11">
                  <c:v>13059.2184</c:v>
                </c:pt>
                <c:pt idx="12">
                  <c:v>13166.5314</c:v>
                </c:pt>
                <c:pt idx="13">
                  <c:v>13261.410999999989</c:v>
                </c:pt>
                <c:pt idx="14">
                  <c:v>13447.4506</c:v>
                </c:pt>
                <c:pt idx="15">
                  <c:v>13590.528</c:v>
                </c:pt>
              </c:numCache>
            </c:numRef>
          </c:val>
        </c:ser>
        <c:ser>
          <c:idx val="1"/>
          <c:order val="1"/>
          <c:tx>
            <c:strRef>
              <c:f>Output!$B$29</c:f>
              <c:strCache>
                <c:ptCount val="1"/>
                <c:pt idx="0">
                  <c:v>Currency and deposits</c:v>
                </c:pt>
              </c:strCache>
            </c:strRef>
          </c:tx>
          <c:spPr>
            <a:solidFill>
              <a:schemeClr val="bg1">
                <a:lumMod val="50000"/>
              </a:schemeClr>
            </a:solidFill>
          </c:spPr>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Output!$C$29:$R$29</c:f>
              <c:numCache>
                <c:formatCode>0</c:formatCode>
                <c:ptCount val="16"/>
                <c:pt idx="0">
                  <c:v>8911.3243000000002</c:v>
                </c:pt>
                <c:pt idx="1">
                  <c:v>8923.7878000000001</c:v>
                </c:pt>
                <c:pt idx="2">
                  <c:v>8985.1915000000008</c:v>
                </c:pt>
                <c:pt idx="3">
                  <c:v>9038.9366999999929</c:v>
                </c:pt>
                <c:pt idx="4">
                  <c:v>9111.0091000000011</c:v>
                </c:pt>
                <c:pt idx="5">
                  <c:v>9147.8063999999904</c:v>
                </c:pt>
                <c:pt idx="6">
                  <c:v>9308.6579999999922</c:v>
                </c:pt>
                <c:pt idx="7">
                  <c:v>9384.9458000000013</c:v>
                </c:pt>
                <c:pt idx="8">
                  <c:v>9490.7945</c:v>
                </c:pt>
                <c:pt idx="9">
                  <c:v>9678.4983000000011</c:v>
                </c:pt>
                <c:pt idx="10">
                  <c:v>9838.6684999999961</c:v>
                </c:pt>
                <c:pt idx="11">
                  <c:v>9786.2389999999959</c:v>
                </c:pt>
                <c:pt idx="12">
                  <c:v>9926.061700000002</c:v>
                </c:pt>
                <c:pt idx="13">
                  <c:v>9856.2665999999954</c:v>
                </c:pt>
                <c:pt idx="14">
                  <c:v>9924.7776000000013</c:v>
                </c:pt>
                <c:pt idx="15">
                  <c:v>9913.5047000000031</c:v>
                </c:pt>
              </c:numCache>
            </c:numRef>
          </c:val>
        </c:ser>
        <c:ser>
          <c:idx val="2"/>
          <c:order val="2"/>
          <c:tx>
            <c:strRef>
              <c:f>Output!$B$30</c:f>
              <c:strCache>
                <c:ptCount val="1"/>
                <c:pt idx="0">
                  <c:v>Equity</c:v>
                </c:pt>
              </c:strCache>
            </c:strRef>
          </c:tx>
          <c:spPr>
            <a:solidFill>
              <a:schemeClr val="bg1">
                <a:lumMod val="75000"/>
              </a:schemeClr>
            </a:solidFill>
          </c:spPr>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Output!$C$30:$R$30</c:f>
              <c:numCache>
                <c:formatCode>0</c:formatCode>
                <c:ptCount val="16"/>
                <c:pt idx="0">
                  <c:v>4449.2570000000014</c:v>
                </c:pt>
                <c:pt idx="1">
                  <c:v>4568.4362000000001</c:v>
                </c:pt>
                <c:pt idx="2">
                  <c:v>4519.4205000000002</c:v>
                </c:pt>
                <c:pt idx="3">
                  <c:v>4806.1840000000002</c:v>
                </c:pt>
                <c:pt idx="4">
                  <c:v>5006.645300000001</c:v>
                </c:pt>
                <c:pt idx="5">
                  <c:v>5147.5106000000014</c:v>
                </c:pt>
                <c:pt idx="6">
                  <c:v>5222.8289000000004</c:v>
                </c:pt>
                <c:pt idx="7">
                  <c:v>5277.9560000000001</c:v>
                </c:pt>
                <c:pt idx="8">
                  <c:v>5233.2160000000003</c:v>
                </c:pt>
                <c:pt idx="9">
                  <c:v>5683.12</c:v>
                </c:pt>
                <c:pt idx="10">
                  <c:v>5574.3952000000008</c:v>
                </c:pt>
                <c:pt idx="11">
                  <c:v>5375.1975000000002</c:v>
                </c:pt>
                <c:pt idx="12">
                  <c:v>5528.1631000000016</c:v>
                </c:pt>
                <c:pt idx="13">
                  <c:v>5353.8530000000001</c:v>
                </c:pt>
                <c:pt idx="14">
                  <c:v>5222.600300000001</c:v>
                </c:pt>
                <c:pt idx="15">
                  <c:v>5300.2775999999994</c:v>
                </c:pt>
              </c:numCache>
            </c:numRef>
          </c:val>
        </c:ser>
        <c:ser>
          <c:idx val="3"/>
          <c:order val="3"/>
          <c:tx>
            <c:strRef>
              <c:f>Output!$B$31</c:f>
              <c:strCache>
                <c:ptCount val="1"/>
                <c:pt idx="0">
                  <c:v>Investment fund shares/ units</c:v>
                </c:pt>
              </c:strCache>
            </c:strRef>
          </c:tx>
          <c:spPr>
            <a:solidFill>
              <a:schemeClr val="bg1">
                <a:lumMod val="85000"/>
              </a:schemeClr>
            </a:solidFill>
          </c:spPr>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Output!$C$31:$R$31</c:f>
              <c:numCache>
                <c:formatCode>0</c:formatCode>
                <c:ptCount val="16"/>
                <c:pt idx="0">
                  <c:v>1603.7406000000001</c:v>
                </c:pt>
                <c:pt idx="1">
                  <c:v>1668.0547999999999</c:v>
                </c:pt>
                <c:pt idx="2">
                  <c:v>1674.6953000000001</c:v>
                </c:pt>
                <c:pt idx="3">
                  <c:v>1727.1561999999999</c:v>
                </c:pt>
                <c:pt idx="4">
                  <c:v>1843.5410999999999</c:v>
                </c:pt>
                <c:pt idx="5">
                  <c:v>1874.5708999999999</c:v>
                </c:pt>
                <c:pt idx="6">
                  <c:v>1981.8814999999991</c:v>
                </c:pt>
                <c:pt idx="7">
                  <c:v>2067.1028000000001</c:v>
                </c:pt>
                <c:pt idx="8">
                  <c:v>2142.8391000000011</c:v>
                </c:pt>
                <c:pt idx="9">
                  <c:v>2371.1257999999998</c:v>
                </c:pt>
                <c:pt idx="10">
                  <c:v>2332.0957000000012</c:v>
                </c:pt>
                <c:pt idx="11">
                  <c:v>2241.1733000000008</c:v>
                </c:pt>
                <c:pt idx="12">
                  <c:v>2323.262499999998</c:v>
                </c:pt>
                <c:pt idx="13">
                  <c:v>2273.5232000000001</c:v>
                </c:pt>
                <c:pt idx="14">
                  <c:v>2258.7112000000002</c:v>
                </c:pt>
                <c:pt idx="15">
                  <c:v>2265.3357000000001</c:v>
                </c:pt>
              </c:numCache>
            </c:numRef>
          </c:val>
        </c:ser>
        <c:ser>
          <c:idx val="4"/>
          <c:order val="4"/>
          <c:tx>
            <c:strRef>
              <c:f>Output!$B$32</c:f>
              <c:strCache>
                <c:ptCount val="1"/>
                <c:pt idx="0">
                  <c:v>Debt securities</c:v>
                </c:pt>
              </c:strCache>
            </c:strRef>
          </c:tx>
          <c:spPr>
            <a:pattFill prst="lgCheck">
              <a:fgClr>
                <a:schemeClr val="tx1"/>
              </a:fgClr>
              <a:bgClr>
                <a:schemeClr val="bg1"/>
              </a:bgClr>
            </a:pattFill>
          </c:spPr>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Output!$C$32:$R$32</c:f>
              <c:numCache>
                <c:formatCode>0</c:formatCode>
                <c:ptCount val="16"/>
                <c:pt idx="0">
                  <c:v>1432.9028000000001</c:v>
                </c:pt>
                <c:pt idx="1">
                  <c:v>1361.6110000000001</c:v>
                </c:pt>
                <c:pt idx="2">
                  <c:v>1319.4058</c:v>
                </c:pt>
                <c:pt idx="3">
                  <c:v>1292.9211</c:v>
                </c:pt>
                <c:pt idx="4">
                  <c:v>1266.9774000000009</c:v>
                </c:pt>
                <c:pt idx="5">
                  <c:v>1273.4355</c:v>
                </c:pt>
                <c:pt idx="6">
                  <c:v>1246.2285999999999</c:v>
                </c:pt>
                <c:pt idx="7">
                  <c:v>1187.6550999999999</c:v>
                </c:pt>
                <c:pt idx="8">
                  <c:v>1125.7997</c:v>
                </c:pt>
                <c:pt idx="9">
                  <c:v>1098.2637</c:v>
                </c:pt>
                <c:pt idx="10">
                  <c:v>1035.5467000000001</c:v>
                </c:pt>
                <c:pt idx="11">
                  <c:v>1004.6482</c:v>
                </c:pt>
                <c:pt idx="12">
                  <c:v>985.84259999999938</c:v>
                </c:pt>
                <c:pt idx="13">
                  <c:v>958.96129999999971</c:v>
                </c:pt>
                <c:pt idx="14">
                  <c:v>946.36669999999992</c:v>
                </c:pt>
                <c:pt idx="15">
                  <c:v>931.71289999999942</c:v>
                </c:pt>
              </c:numCache>
            </c:numRef>
          </c:val>
        </c:ser>
        <c:ser>
          <c:idx val="5"/>
          <c:order val="5"/>
          <c:tx>
            <c:strRef>
              <c:f>Output!$B$33</c:f>
              <c:strCache>
                <c:ptCount val="1"/>
                <c:pt idx="0">
                  <c:v>Other accounts receivable / payable</c:v>
                </c:pt>
              </c:strCache>
            </c:strRef>
          </c:tx>
          <c:spPr>
            <a:pattFill prst="zigZag">
              <a:fgClr>
                <a:schemeClr val="tx1"/>
              </a:fgClr>
              <a:bgClr>
                <a:schemeClr val="bg1"/>
              </a:bgClr>
            </a:pattFill>
          </c:spPr>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Output!$C$33:$R$33</c:f>
              <c:numCache>
                <c:formatCode>0</c:formatCode>
                <c:ptCount val="16"/>
                <c:pt idx="0">
                  <c:v>793.28570000000002</c:v>
                </c:pt>
                <c:pt idx="1">
                  <c:v>806.60530000000006</c:v>
                </c:pt>
                <c:pt idx="2">
                  <c:v>804.35619999999949</c:v>
                </c:pt>
                <c:pt idx="3">
                  <c:v>804.68910000000005</c:v>
                </c:pt>
                <c:pt idx="4">
                  <c:v>784.77900000000034</c:v>
                </c:pt>
                <c:pt idx="5">
                  <c:v>853.73500000000001</c:v>
                </c:pt>
                <c:pt idx="6">
                  <c:v>876.66309999999987</c:v>
                </c:pt>
                <c:pt idx="7">
                  <c:v>873.1475999999999</c:v>
                </c:pt>
                <c:pt idx="8">
                  <c:v>883.48950000000002</c:v>
                </c:pt>
                <c:pt idx="9">
                  <c:v>928.93179999999961</c:v>
                </c:pt>
                <c:pt idx="10">
                  <c:v>909.00599999999997</c:v>
                </c:pt>
                <c:pt idx="11">
                  <c:v>896.2133</c:v>
                </c:pt>
                <c:pt idx="12">
                  <c:v>924.1318</c:v>
                </c:pt>
                <c:pt idx="13">
                  <c:v>918.03369999999973</c:v>
                </c:pt>
                <c:pt idx="14">
                  <c:v>912.71030000000042</c:v>
                </c:pt>
                <c:pt idx="15">
                  <c:v>900.17559999999969</c:v>
                </c:pt>
              </c:numCache>
            </c:numRef>
          </c:val>
        </c:ser>
        <c:ser>
          <c:idx val="6"/>
          <c:order val="6"/>
          <c:tx>
            <c:strRef>
              <c:f>Output!$B$34</c:f>
              <c:strCache>
                <c:ptCount val="1"/>
                <c:pt idx="0">
                  <c:v>Loans</c:v>
                </c:pt>
              </c:strCache>
            </c:strRef>
          </c:tx>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Output!$C$34:$R$34</c:f>
              <c:numCache>
                <c:formatCode>0</c:formatCode>
                <c:ptCount val="16"/>
                <c:pt idx="0">
                  <c:v>105.1223</c:v>
                </c:pt>
                <c:pt idx="1">
                  <c:v>104.6641</c:v>
                </c:pt>
                <c:pt idx="2">
                  <c:v>104.5741</c:v>
                </c:pt>
                <c:pt idx="3">
                  <c:v>105.0493</c:v>
                </c:pt>
                <c:pt idx="4">
                  <c:v>103.9276</c:v>
                </c:pt>
                <c:pt idx="5">
                  <c:v>106.8447</c:v>
                </c:pt>
                <c:pt idx="6">
                  <c:v>108.59610000000001</c:v>
                </c:pt>
                <c:pt idx="7">
                  <c:v>109.7876</c:v>
                </c:pt>
                <c:pt idx="8">
                  <c:v>111.0986</c:v>
                </c:pt>
                <c:pt idx="9">
                  <c:v>114.43689999999999</c:v>
                </c:pt>
                <c:pt idx="10">
                  <c:v>114.6152</c:v>
                </c:pt>
                <c:pt idx="11">
                  <c:v>113.64830000000001</c:v>
                </c:pt>
                <c:pt idx="12">
                  <c:v>113.3254</c:v>
                </c:pt>
                <c:pt idx="13">
                  <c:v>110.97280000000001</c:v>
                </c:pt>
                <c:pt idx="14">
                  <c:v>109.8583</c:v>
                </c:pt>
                <c:pt idx="15">
                  <c:v>109.3918</c:v>
                </c:pt>
              </c:numCache>
            </c:numRef>
          </c:val>
        </c:ser>
        <c:ser>
          <c:idx val="7"/>
          <c:order val="7"/>
          <c:tx>
            <c:strRef>
              <c:f>Output!$B$35</c:f>
              <c:strCache>
                <c:ptCount val="1"/>
                <c:pt idx="0">
                  <c:v>Financial derivatives and employee stock options</c:v>
                </c:pt>
              </c:strCache>
            </c:strRef>
          </c:tx>
          <c:invertIfNegative val="0"/>
          <c:cat>
            <c:strRef>
              <c:f>Output!$C$25:$R$25</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Output!$C$35:$R$35</c:f>
              <c:numCache>
                <c:formatCode>0</c:formatCode>
                <c:ptCount val="16"/>
                <c:pt idx="0">
                  <c:v>9.2367000000000008</c:v>
                </c:pt>
                <c:pt idx="1">
                  <c:v>9.6168000000000013</c:v>
                </c:pt>
                <c:pt idx="2">
                  <c:v>9.4161000000000001</c:v>
                </c:pt>
                <c:pt idx="3">
                  <c:v>9.8527000000000005</c:v>
                </c:pt>
                <c:pt idx="4">
                  <c:v>13.092000000000001</c:v>
                </c:pt>
                <c:pt idx="5">
                  <c:v>10.1562</c:v>
                </c:pt>
                <c:pt idx="6">
                  <c:v>10.844900000000001</c:v>
                </c:pt>
                <c:pt idx="7">
                  <c:v>11.2745</c:v>
                </c:pt>
                <c:pt idx="8">
                  <c:v>12.0754</c:v>
                </c:pt>
                <c:pt idx="9">
                  <c:v>11.9244</c:v>
                </c:pt>
                <c:pt idx="10">
                  <c:v>11.5023</c:v>
                </c:pt>
                <c:pt idx="11">
                  <c:v>10.766400000000001</c:v>
                </c:pt>
                <c:pt idx="12">
                  <c:v>10.831300000000001</c:v>
                </c:pt>
                <c:pt idx="13">
                  <c:v>10.1646</c:v>
                </c:pt>
                <c:pt idx="14">
                  <c:v>9.9916</c:v>
                </c:pt>
                <c:pt idx="15">
                  <c:v>9.4433000000000007</c:v>
                </c:pt>
              </c:numCache>
            </c:numRef>
          </c:val>
        </c:ser>
        <c:dLbls>
          <c:showLegendKey val="0"/>
          <c:showVal val="0"/>
          <c:showCatName val="0"/>
          <c:showSerName val="0"/>
          <c:showPercent val="0"/>
          <c:showBubbleSize val="0"/>
        </c:dLbls>
        <c:gapWidth val="75"/>
        <c:overlap val="100"/>
        <c:axId val="283028864"/>
        <c:axId val="283030656"/>
      </c:barChart>
      <c:lineChart>
        <c:grouping val="standard"/>
        <c:varyColors val="0"/>
        <c:ser>
          <c:idx val="8"/>
          <c:order val="8"/>
          <c:tx>
            <c:strRef>
              <c:f>Output!$B$40</c:f>
              <c:strCache>
                <c:ptCount val="1"/>
                <c:pt idx="0">
                  <c:v>Net financial wealth (rhs)</c:v>
                </c:pt>
              </c:strCache>
            </c:strRef>
          </c:tx>
          <c:spPr>
            <a:ln>
              <a:solidFill>
                <a:schemeClr val="tx1"/>
              </a:solidFill>
            </a:ln>
          </c:spPr>
          <c:marker>
            <c:symbol val="none"/>
          </c:marker>
          <c:val>
            <c:numRef>
              <c:f>Output!$C$40:$R$40</c:f>
              <c:numCache>
                <c:formatCode>#,##0</c:formatCode>
                <c:ptCount val="16"/>
                <c:pt idx="0">
                  <c:v>18634.092799999999</c:v>
                </c:pt>
                <c:pt idx="1">
                  <c:v>18842.734199999999</c:v>
                </c:pt>
                <c:pt idx="2">
                  <c:v>18732.957300000009</c:v>
                </c:pt>
                <c:pt idx="3">
                  <c:v>19241.572800000009</c:v>
                </c:pt>
                <c:pt idx="4">
                  <c:v>19648.561600000001</c:v>
                </c:pt>
                <c:pt idx="5">
                  <c:v>20140.756000000008</c:v>
                </c:pt>
                <c:pt idx="6">
                  <c:v>20777.337500000001</c:v>
                </c:pt>
                <c:pt idx="7">
                  <c:v>21350.360700000001</c:v>
                </c:pt>
                <c:pt idx="8">
                  <c:v>21890.5134</c:v>
                </c:pt>
                <c:pt idx="9">
                  <c:v>23129.413100000009</c:v>
                </c:pt>
                <c:pt idx="10">
                  <c:v>22770.4647</c:v>
                </c:pt>
                <c:pt idx="11">
                  <c:v>22490.757300000001</c:v>
                </c:pt>
                <c:pt idx="12">
                  <c:v>22878.914300000011</c:v>
                </c:pt>
                <c:pt idx="13">
                  <c:v>22739.191599999991</c:v>
                </c:pt>
                <c:pt idx="14">
                  <c:v>22859.76400000001</c:v>
                </c:pt>
                <c:pt idx="15">
                  <c:v>23078.296600000001</c:v>
                </c:pt>
              </c:numCache>
            </c:numRef>
          </c:val>
          <c:smooth val="0"/>
        </c:ser>
        <c:dLbls>
          <c:showLegendKey val="0"/>
          <c:showVal val="0"/>
          <c:showCatName val="0"/>
          <c:showSerName val="0"/>
          <c:showPercent val="0"/>
          <c:showBubbleSize val="0"/>
        </c:dLbls>
        <c:marker val="1"/>
        <c:smooth val="0"/>
        <c:axId val="283042176"/>
        <c:axId val="283032192"/>
      </c:lineChart>
      <c:catAx>
        <c:axId val="283028864"/>
        <c:scaling>
          <c:orientation val="minMax"/>
        </c:scaling>
        <c:delete val="0"/>
        <c:axPos val="b"/>
        <c:numFmt formatCode="General" sourceLinked="0"/>
        <c:majorTickMark val="none"/>
        <c:minorTickMark val="none"/>
        <c:tickLblPos val="nextTo"/>
        <c:crossAx val="283030656"/>
        <c:crosses val="autoZero"/>
        <c:auto val="1"/>
        <c:lblAlgn val="ctr"/>
        <c:lblOffset val="100"/>
        <c:noMultiLvlLbl val="0"/>
      </c:catAx>
      <c:valAx>
        <c:axId val="283030656"/>
        <c:scaling>
          <c:orientation val="minMax"/>
        </c:scaling>
        <c:delete val="0"/>
        <c:axPos val="l"/>
        <c:majorGridlines/>
        <c:numFmt formatCode="#,##0" sourceLinked="0"/>
        <c:majorTickMark val="none"/>
        <c:minorTickMark val="none"/>
        <c:tickLblPos val="nextTo"/>
        <c:crossAx val="283028864"/>
        <c:crosses val="autoZero"/>
        <c:crossBetween val="between"/>
      </c:valAx>
      <c:valAx>
        <c:axId val="283032192"/>
        <c:scaling>
          <c:orientation val="minMax"/>
          <c:max val="35000"/>
        </c:scaling>
        <c:delete val="0"/>
        <c:axPos val="r"/>
        <c:numFmt formatCode="#,##0" sourceLinked="1"/>
        <c:majorTickMark val="out"/>
        <c:minorTickMark val="none"/>
        <c:tickLblPos val="nextTo"/>
        <c:crossAx val="283042176"/>
        <c:crosses val="max"/>
        <c:crossBetween val="between"/>
      </c:valAx>
      <c:catAx>
        <c:axId val="283042176"/>
        <c:scaling>
          <c:orientation val="minMax"/>
        </c:scaling>
        <c:delete val="1"/>
        <c:axPos val="b"/>
        <c:majorTickMark val="out"/>
        <c:minorTickMark val="none"/>
        <c:tickLblPos val="nextTo"/>
        <c:crossAx val="283032192"/>
        <c:crosses val="autoZero"/>
        <c:auto val="1"/>
        <c:lblAlgn val="ctr"/>
        <c:lblOffset val="100"/>
        <c:noMultiLvlLbl val="0"/>
      </c:catAx>
    </c:plotArea>
    <c:legend>
      <c:legendPos val="b"/>
      <c:layout>
        <c:manualLayout>
          <c:xMode val="edge"/>
          <c:yMode val="edge"/>
          <c:x val="5.9338147955567396E-4"/>
          <c:y val="0.79588367657186698"/>
          <c:w val="0.99878546838434301"/>
          <c:h val="0.20078528419778899"/>
        </c:manualLayout>
      </c:layout>
      <c:overlay val="0"/>
    </c:legend>
    <c:plotVisOnly val="1"/>
    <c:dispBlanksAs val="zero"/>
    <c:showDLblsOverMax val="0"/>
  </c:chart>
  <c:spPr>
    <a:ln>
      <a:noFill/>
    </a:ln>
  </c:spPr>
  <c:txPr>
    <a:bodyPr/>
    <a:lstStyle/>
    <a:p>
      <a:pPr>
        <a:defRPr sz="700"/>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1610679269934294E-2"/>
          <c:y val="4.42998717618601E-2"/>
          <c:w val="0.85677864146013205"/>
          <c:h val="0.68126612649839602"/>
        </c:manualLayout>
      </c:layout>
      <c:barChart>
        <c:barDir val="col"/>
        <c:grouping val="percentStacked"/>
        <c:varyColors val="0"/>
        <c:ser>
          <c:idx val="1"/>
          <c:order val="0"/>
          <c:tx>
            <c:strRef>
              <c:f>'Across MS'!$F$71</c:f>
              <c:strCache>
                <c:ptCount val="1"/>
                <c:pt idx="0">
                  <c:v>Currency and deposits</c:v>
                </c:pt>
              </c:strCache>
            </c:strRef>
          </c:tx>
          <c:spPr>
            <a:solidFill>
              <a:schemeClr val="bg1">
                <a:lumMod val="50000"/>
              </a:schemeClr>
            </a:solid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MS'!$F$72:$F$100</c:f>
              <c:numCache>
                <c:formatCode>0.0%</c:formatCode>
                <c:ptCount val="29"/>
                <c:pt idx="0">
                  <c:v>0.14077505613345104</c:v>
                </c:pt>
                <c:pt idx="1">
                  <c:v>0.16584165307725754</c:v>
                </c:pt>
                <c:pt idx="2">
                  <c:v>0.1727432628590771</c:v>
                </c:pt>
                <c:pt idx="3">
                  <c:v>0.23180355882519416</c:v>
                </c:pt>
                <c:pt idx="4">
                  <c:v>0.26645566476040178</c:v>
                </c:pt>
                <c:pt idx="5">
                  <c:v>0.27734268501418347</c:v>
                </c:pt>
                <c:pt idx="6">
                  <c:v>0.28933592398862906</c:v>
                </c:pt>
                <c:pt idx="7">
                  <c:v>0.29011181984866874</c:v>
                </c:pt>
                <c:pt idx="8">
                  <c:v>0.30022395694157861</c:v>
                </c:pt>
                <c:pt idx="9">
                  <c:v>0.3120935153228464</c:v>
                </c:pt>
                <c:pt idx="10">
                  <c:v>0.3200635689420312</c:v>
                </c:pt>
                <c:pt idx="11">
                  <c:v>0.3376468229436434</c:v>
                </c:pt>
                <c:pt idx="12">
                  <c:v>0.34022777282657563</c:v>
                </c:pt>
                <c:pt idx="13">
                  <c:v>0.35564730516961945</c:v>
                </c:pt>
                <c:pt idx="14">
                  <c:v>0.36834953257767178</c:v>
                </c:pt>
                <c:pt idx="15">
                  <c:v>0.37366097435329576</c:v>
                </c:pt>
                <c:pt idx="16">
                  <c:v>0.39230882420597335</c:v>
                </c:pt>
                <c:pt idx="17">
                  <c:v>0.40882777996255137</c:v>
                </c:pt>
                <c:pt idx="18">
                  <c:v>0.42704276073010466</c:v>
                </c:pt>
                <c:pt idx="19">
                  <c:v>0.45967437043855608</c:v>
                </c:pt>
                <c:pt idx="20">
                  <c:v>0.461525167399362</c:v>
                </c:pt>
                <c:pt idx="21">
                  <c:v>0.47986274354753294</c:v>
                </c:pt>
                <c:pt idx="22">
                  <c:v>0.49463574675348138</c:v>
                </c:pt>
                <c:pt idx="23">
                  <c:v>0.50081614893397619</c:v>
                </c:pt>
                <c:pt idx="24">
                  <c:v>0.5301852930150196</c:v>
                </c:pt>
                <c:pt idx="25">
                  <c:v>0.54237985881379969</c:v>
                </c:pt>
                <c:pt idx="26">
                  <c:v>0.597590120382824</c:v>
                </c:pt>
                <c:pt idx="27">
                  <c:v>0.62900769769687914</c:v>
                </c:pt>
                <c:pt idx="28">
                  <c:v>0.66870378668150565</c:v>
                </c:pt>
              </c:numCache>
            </c:numRef>
          </c:val>
        </c:ser>
        <c:ser>
          <c:idx val="0"/>
          <c:order val="1"/>
          <c:tx>
            <c:strRef>
              <c:f>'Across MS'!$G$71</c:f>
              <c:strCache>
                <c:ptCount val="1"/>
                <c:pt idx="0">
                  <c:v>Equity</c:v>
                </c:pt>
              </c:strCache>
            </c:strRef>
          </c:tx>
          <c:spPr>
            <a:solidFill>
              <a:schemeClr val="bg1">
                <a:lumMod val="75000"/>
              </a:schemeClr>
            </a:solid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MS'!$G$72:$G$100</c:f>
              <c:numCache>
                <c:formatCode>0.0%</c:formatCode>
                <c:ptCount val="29"/>
                <c:pt idx="0">
                  <c:v>0.36544893579108223</c:v>
                </c:pt>
                <c:pt idx="1">
                  <c:v>0.19689026892004521</c:v>
                </c:pt>
                <c:pt idx="2">
                  <c:v>7.1360012625974203E-2</c:v>
                </c:pt>
                <c:pt idx="3">
                  <c:v>7.9484536492660574E-2</c:v>
                </c:pt>
                <c:pt idx="4">
                  <c:v>0.31658061715177671</c:v>
                </c:pt>
                <c:pt idx="5">
                  <c:v>0.21010648843740323</c:v>
                </c:pt>
                <c:pt idx="6">
                  <c:v>0.27912814354022986</c:v>
                </c:pt>
                <c:pt idx="7">
                  <c:v>0.52099527412648816</c:v>
                </c:pt>
                <c:pt idx="8">
                  <c:v>0.16051541428742286</c:v>
                </c:pt>
                <c:pt idx="9">
                  <c:v>0.37674604138122408</c:v>
                </c:pt>
                <c:pt idx="10">
                  <c:v>0.20305761566015842</c:v>
                </c:pt>
                <c:pt idx="11">
                  <c:v>0.3823355777959711</c:v>
                </c:pt>
                <c:pt idx="12">
                  <c:v>0.24730071849392318</c:v>
                </c:pt>
                <c:pt idx="13">
                  <c:v>0.20130824884613499</c:v>
                </c:pt>
                <c:pt idx="14">
                  <c:v>0.12556006090406518</c:v>
                </c:pt>
                <c:pt idx="15">
                  <c:v>0.43453679140969415</c:v>
                </c:pt>
                <c:pt idx="16">
                  <c:v>0.10277143468472251</c:v>
                </c:pt>
                <c:pt idx="17">
                  <c:v>0.21448326868021875</c:v>
                </c:pt>
                <c:pt idx="18">
                  <c:v>0.22587447448615572</c:v>
                </c:pt>
                <c:pt idx="19">
                  <c:v>0.17971267012952855</c:v>
                </c:pt>
                <c:pt idx="20">
                  <c:v>0.20861350609935311</c:v>
                </c:pt>
                <c:pt idx="21">
                  <c:v>0.19953105642898392</c:v>
                </c:pt>
                <c:pt idx="22">
                  <c:v>0.12749044291402598</c:v>
                </c:pt>
                <c:pt idx="23">
                  <c:v>0.21743515451497616</c:v>
                </c:pt>
                <c:pt idx="24">
                  <c:v>0.19320778395509788</c:v>
                </c:pt>
                <c:pt idx="25">
                  <c:v>0.15144287570888471</c:v>
                </c:pt>
                <c:pt idx="26">
                  <c:v>4.1175657929212175E-3</c:v>
                </c:pt>
                <c:pt idx="27">
                  <c:v>0.19514313561251168</c:v>
                </c:pt>
                <c:pt idx="28">
                  <c:v>0.1888641573100957</c:v>
                </c:pt>
              </c:numCache>
            </c:numRef>
          </c:val>
        </c:ser>
        <c:ser>
          <c:idx val="2"/>
          <c:order val="2"/>
          <c:tx>
            <c:strRef>
              <c:f>'Across MS'!$K$71</c:f>
              <c:strCache>
                <c:ptCount val="1"/>
                <c:pt idx="0">
                  <c:v>Debt securities</c:v>
                </c:pt>
              </c:strCache>
            </c:strRef>
          </c:tx>
          <c:spPr>
            <a:pattFill prst="lgCheck">
              <a:fgClr>
                <a:schemeClr val="tx1"/>
              </a:fgClr>
              <a:bgClr>
                <a:schemeClr val="bg1"/>
              </a:bgClr>
            </a:patt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MS'!$K$72:$K$100</c:f>
              <c:numCache>
                <c:formatCode>0.0%</c:formatCode>
                <c:ptCount val="29"/>
                <c:pt idx="0">
                  <c:v>7.4962654460294627E-3</c:v>
                </c:pt>
                <c:pt idx="1">
                  <c:v>1.3575835035714747E-2</c:v>
                </c:pt>
                <c:pt idx="2">
                  <c:v>2.3885518962842673E-3</c:v>
                </c:pt>
                <c:pt idx="3">
                  <c:v>1.726369958000477E-2</c:v>
                </c:pt>
                <c:pt idx="4">
                  <c:v>9.9502566365883366E-2</c:v>
                </c:pt>
                <c:pt idx="5">
                  <c:v>1.3151058011965183E-2</c:v>
                </c:pt>
                <c:pt idx="6">
                  <c:v>4.4275145704976211E-2</c:v>
                </c:pt>
                <c:pt idx="7">
                  <c:v>2.1778615637562519E-3</c:v>
                </c:pt>
                <c:pt idx="8">
                  <c:v>2.821631118725482E-2</c:v>
                </c:pt>
                <c:pt idx="9">
                  <c:v>1.2029344941813073E-2</c:v>
                </c:pt>
                <c:pt idx="10">
                  <c:v>9.9957116189899595E-2</c:v>
                </c:pt>
                <c:pt idx="11">
                  <c:v>1.376752268132529E-2</c:v>
                </c:pt>
                <c:pt idx="12">
                  <c:v>9.085675076699818E-3</c:v>
                </c:pt>
                <c:pt idx="13">
                  <c:v>1.2072698142830829E-2</c:v>
                </c:pt>
                <c:pt idx="14">
                  <c:v>2.3302899491920389E-3</c:v>
                </c:pt>
                <c:pt idx="15">
                  <c:v>1.7316058999776931E-3</c:v>
                </c:pt>
                <c:pt idx="16">
                  <c:v>2.3846906010818028E-2</c:v>
                </c:pt>
                <c:pt idx="17">
                  <c:v>5.6168101334653907E-2</c:v>
                </c:pt>
                <c:pt idx="18">
                  <c:v>1.8818181166771249E-2</c:v>
                </c:pt>
                <c:pt idx="19">
                  <c:v>0.1388856926819646</c:v>
                </c:pt>
                <c:pt idx="20">
                  <c:v>2.3100421197083883E-2</c:v>
                </c:pt>
                <c:pt idx="21">
                  <c:v>3.8344583665811212E-3</c:v>
                </c:pt>
                <c:pt idx="22">
                  <c:v>6.303991212539474E-2</c:v>
                </c:pt>
                <c:pt idx="23">
                  <c:v>3.4683185822901967E-3</c:v>
                </c:pt>
                <c:pt idx="24">
                  <c:v>4.0757550377950959E-2</c:v>
                </c:pt>
                <c:pt idx="25">
                  <c:v>1.7426748582230625E-3</c:v>
                </c:pt>
                <c:pt idx="26">
                  <c:v>3.1451025103971311E-2</c:v>
                </c:pt>
                <c:pt idx="27">
                  <c:v>1.2489142998587761E-2</c:v>
                </c:pt>
                <c:pt idx="28">
                  <c:v>1.1011528762053274E-2</c:v>
                </c:pt>
              </c:numCache>
            </c:numRef>
          </c:val>
        </c:ser>
        <c:ser>
          <c:idx val="3"/>
          <c:order val="3"/>
          <c:tx>
            <c:strRef>
              <c:f>'Across MS'!$L$71</c:f>
              <c:strCache>
                <c:ptCount val="1"/>
                <c:pt idx="0">
                  <c:v>Loans</c:v>
                </c:pt>
              </c:strCache>
            </c:strRef>
          </c:tx>
          <c:spPr>
            <a:solidFill>
              <a:schemeClr val="tx1">
                <a:lumMod val="75000"/>
                <a:lumOff val="25000"/>
              </a:schemeClr>
            </a:solid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MS'!$L$72:$L$100</c:f>
              <c:numCache>
                <c:formatCode>0.0%</c:formatCode>
                <c:ptCount val="29"/>
                <c:pt idx="0">
                  <c:v>8.5014107609151731E-4</c:v>
                </c:pt>
                <c:pt idx="1">
                  <c:v>1.2265732181417539E-7</c:v>
                </c:pt>
                <c:pt idx="2">
                  <c:v>3.1963650484791721E-3</c:v>
                </c:pt>
                <c:pt idx="3">
                  <c:v>2.7813918613362452E-3</c:v>
                </c:pt>
                <c:pt idx="4">
                  <c:v>2.8386620194408786E-2</c:v>
                </c:pt>
                <c:pt idx="5">
                  <c:v>6.6704483748550782E-3</c:v>
                </c:pt>
                <c:pt idx="6">
                  <c:v>1.8248255831940193E-3</c:v>
                </c:pt>
                <c:pt idx="7">
                  <c:v>3.004243817197359E-3</c:v>
                </c:pt>
                <c:pt idx="8">
                  <c:v>3.312858574925756E-3</c:v>
                </c:pt>
                <c:pt idx="9">
                  <c:v>5.8967377165750359E-5</c:v>
                </c:pt>
                <c:pt idx="10">
                  <c:v>3.5200040361233038E-3</c:v>
                </c:pt>
                <c:pt idx="11">
                  <c:v>6.655416506546814E-3</c:v>
                </c:pt>
                <c:pt idx="12">
                  <c:v>7.6904876452170076E-2</c:v>
                </c:pt>
                <c:pt idx="13">
                  <c:v>1.1162619336935341E-3</c:v>
                </c:pt>
                <c:pt idx="14">
                  <c:v>0</c:v>
                </c:pt>
                <c:pt idx="15">
                  <c:v>1.7075335288009874E-3</c:v>
                </c:pt>
                <c:pt idx="16">
                  <c:v>0</c:v>
                </c:pt>
                <c:pt idx="17">
                  <c:v>2.6880806844976558E-3</c:v>
                </c:pt>
                <c:pt idx="18">
                  <c:v>0</c:v>
                </c:pt>
                <c:pt idx="19">
                  <c:v>5.2070320205141685E-2</c:v>
                </c:pt>
                <c:pt idx="20">
                  <c:v>4.3431056438350525E-2</c:v>
                </c:pt>
                <c:pt idx="21">
                  <c:v>7.6212316178673016E-3</c:v>
                </c:pt>
                <c:pt idx="22">
                  <c:v>3.0582675116889121E-3</c:v>
                </c:pt>
                <c:pt idx="23">
                  <c:v>1.7960306741214137E-2</c:v>
                </c:pt>
                <c:pt idx="24">
                  <c:v>0</c:v>
                </c:pt>
                <c:pt idx="25">
                  <c:v>0</c:v>
                </c:pt>
                <c:pt idx="26">
                  <c:v>2.2136084517285679E-3</c:v>
                </c:pt>
                <c:pt idx="27">
                  <c:v>1.1403995376519703E-2</c:v>
                </c:pt>
                <c:pt idx="28">
                  <c:v>0</c:v>
                </c:pt>
              </c:numCache>
            </c:numRef>
          </c:val>
        </c:ser>
        <c:ser>
          <c:idx val="4"/>
          <c:order val="4"/>
          <c:tx>
            <c:strRef>
              <c:f>'Across MS'!$I$71</c:f>
              <c:strCache>
                <c:ptCount val="1"/>
                <c:pt idx="0">
                  <c:v>Investment fund shares/ units</c:v>
                </c:pt>
              </c:strCache>
            </c:strRef>
          </c:tx>
          <c:spPr>
            <a:solidFill>
              <a:schemeClr val="bg1">
                <a:lumMod val="85000"/>
              </a:schemeClr>
            </a:solid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MS'!$I$72:$I$100</c:f>
              <c:numCache>
                <c:formatCode>0.0%</c:formatCode>
                <c:ptCount val="29"/>
                <c:pt idx="0">
                  <c:v>6.9243140983025461E-2</c:v>
                </c:pt>
                <c:pt idx="1">
                  <c:v>7.7725001057919393E-2</c:v>
                </c:pt>
                <c:pt idx="2">
                  <c:v>2.9846723165132375E-2</c:v>
                </c:pt>
                <c:pt idx="3">
                  <c:v>2.0476933248058504E-2</c:v>
                </c:pt>
                <c:pt idx="4">
                  <c:v>9.3322264852991041E-2</c:v>
                </c:pt>
                <c:pt idx="5">
                  <c:v>6.1496862010864774E-2</c:v>
                </c:pt>
                <c:pt idx="6">
                  <c:v>0.13410913426195906</c:v>
                </c:pt>
                <c:pt idx="7">
                  <c:v>8.3240795737244879E-3</c:v>
                </c:pt>
                <c:pt idx="8">
                  <c:v>6.8604198841507674E-2</c:v>
                </c:pt>
                <c:pt idx="9">
                  <c:v>7.3001612931198945E-2</c:v>
                </c:pt>
                <c:pt idx="10">
                  <c:v>0.119506079410726</c:v>
                </c:pt>
                <c:pt idx="11">
                  <c:v>1.1417241705791606E-2</c:v>
                </c:pt>
                <c:pt idx="12">
                  <c:v>8.1944586846277017E-3</c:v>
                </c:pt>
                <c:pt idx="13">
                  <c:v>4.242893864699928E-2</c:v>
                </c:pt>
                <c:pt idx="14">
                  <c:v>4.8133857966917524E-3</c:v>
                </c:pt>
                <c:pt idx="15">
                  <c:v>6.4337424031608624E-3</c:v>
                </c:pt>
                <c:pt idx="16">
                  <c:v>9.2217030906665123E-2</c:v>
                </c:pt>
                <c:pt idx="17">
                  <c:v>8.7311644195865762E-2</c:v>
                </c:pt>
                <c:pt idx="18">
                  <c:v>0.13087508355503782</c:v>
                </c:pt>
                <c:pt idx="19">
                  <c:v>5.1207344335590758E-2</c:v>
                </c:pt>
                <c:pt idx="20">
                  <c:v>3.6986462044722362E-2</c:v>
                </c:pt>
                <c:pt idx="21">
                  <c:v>6.1877068252017026E-2</c:v>
                </c:pt>
                <c:pt idx="22">
                  <c:v>0.13481669906560967</c:v>
                </c:pt>
                <c:pt idx="23">
                  <c:v>3.8797884300513834E-2</c:v>
                </c:pt>
                <c:pt idx="24">
                  <c:v>7.0150249795935732E-2</c:v>
                </c:pt>
                <c:pt idx="25">
                  <c:v>2.0793950850661626E-2</c:v>
                </c:pt>
                <c:pt idx="26">
                  <c:v>8.0933272567611125E-2</c:v>
                </c:pt>
                <c:pt idx="27">
                  <c:v>3.3615265441252844E-3</c:v>
                </c:pt>
                <c:pt idx="28">
                  <c:v>3.7980452706517225E-2</c:v>
                </c:pt>
              </c:numCache>
            </c:numRef>
          </c:val>
        </c:ser>
        <c:ser>
          <c:idx val="5"/>
          <c:order val="5"/>
          <c:tx>
            <c:strRef>
              <c:f>'Across MS'!$H$71</c:f>
              <c:strCache>
                <c:ptCount val="1"/>
                <c:pt idx="0">
                  <c:v>Insurance, pensions and standardised guarantees</c:v>
                </c:pt>
              </c:strCache>
            </c:strRef>
          </c:tx>
          <c:spPr>
            <a:solidFill>
              <a:schemeClr val="tx1"/>
            </a:solid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MS'!$H$72:$H$100</c:f>
              <c:numCache>
                <c:formatCode>0.0%</c:formatCode>
                <c:ptCount val="29"/>
                <c:pt idx="0">
                  <c:v>0.39886719853025487</c:v>
                </c:pt>
                <c:pt idx="1">
                  <c:v>0.5264134569800909</c:v>
                </c:pt>
                <c:pt idx="2">
                  <c:v>0.706986856942313</c:v>
                </c:pt>
                <c:pt idx="3">
                  <c:v>0.62072349096983959</c:v>
                </c:pt>
                <c:pt idx="4">
                  <c:v>8.5745203678517762E-2</c:v>
                </c:pt>
                <c:pt idx="5">
                  <c:v>0.37713663602058561</c:v>
                </c:pt>
                <c:pt idx="6">
                  <c:v>0.24532355006616591</c:v>
                </c:pt>
                <c:pt idx="7">
                  <c:v>0.15375444395664939</c:v>
                </c:pt>
                <c:pt idx="8">
                  <c:v>0.41158018446143657</c:v>
                </c:pt>
                <c:pt idx="9">
                  <c:v>0.20647947414974246</c:v>
                </c:pt>
                <c:pt idx="10">
                  <c:v>0.22742091720902075</c:v>
                </c:pt>
                <c:pt idx="11">
                  <c:v>9.6846056596102556E-2</c:v>
                </c:pt>
                <c:pt idx="12">
                  <c:v>0.1351494167659098</c:v>
                </c:pt>
                <c:pt idx="13">
                  <c:v>7.6491405374619542E-2</c:v>
                </c:pt>
                <c:pt idx="14">
                  <c:v>0.47080588739296764</c:v>
                </c:pt>
                <c:pt idx="15">
                  <c:v>0.10397980488540749</c:v>
                </c:pt>
                <c:pt idx="16">
                  <c:v>0.38282497712470087</c:v>
                </c:pt>
                <c:pt idx="17">
                  <c:v>0.20306580376201827</c:v>
                </c:pt>
                <c:pt idx="18">
                  <c:v>0.17843415044103753</c:v>
                </c:pt>
                <c:pt idx="19">
                  <c:v>0.10496252219080807</c:v>
                </c:pt>
                <c:pt idx="20">
                  <c:v>0.19256147909007992</c:v>
                </c:pt>
                <c:pt idx="21">
                  <c:v>0.15044941423987768</c:v>
                </c:pt>
                <c:pt idx="22">
                  <c:v>0.17696037693580671</c:v>
                </c:pt>
                <c:pt idx="23">
                  <c:v>0.1763787132261399</c:v>
                </c:pt>
                <c:pt idx="24">
                  <c:v>0.13666961795446508</c:v>
                </c:pt>
                <c:pt idx="25">
                  <c:v>0.25038582525992437</c:v>
                </c:pt>
                <c:pt idx="26">
                  <c:v>0.20588305350929983</c:v>
                </c:pt>
                <c:pt idx="27">
                  <c:v>0.12364936692355123</c:v>
                </c:pt>
                <c:pt idx="28">
                  <c:v>5.0494343999365893E-2</c:v>
                </c:pt>
              </c:numCache>
            </c:numRef>
          </c:val>
        </c:ser>
        <c:ser>
          <c:idx val="6"/>
          <c:order val="6"/>
          <c:tx>
            <c:strRef>
              <c:f>'Across MS'!$M$71</c:f>
              <c:strCache>
                <c:ptCount val="1"/>
                <c:pt idx="0">
                  <c:v>Financial derivatives and employee stock options</c:v>
                </c:pt>
              </c:strCache>
            </c:strRef>
          </c:tx>
          <c:spPr>
            <a:solidFill>
              <a:schemeClr val="tx1">
                <a:lumMod val="65000"/>
                <a:lumOff val="35000"/>
              </a:schemeClr>
            </a:solid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MS'!$M$72:$M$100</c:f>
              <c:numCache>
                <c:formatCode>0.0%</c:formatCode>
                <c:ptCount val="29"/>
                <c:pt idx="0">
                  <c:v>1.1553850791268053E-4</c:v>
                </c:pt>
                <c:pt idx="1">
                  <c:v>1.9477982704091051E-4</c:v>
                </c:pt>
                <c:pt idx="2">
                  <c:v>2.0517208081454147E-4</c:v>
                </c:pt>
                <c:pt idx="3">
                  <c:v>8.3237938212711929E-4</c:v>
                </c:pt>
                <c:pt idx="4">
                  <c:v>1.5119563347010539E-5</c:v>
                </c:pt>
                <c:pt idx="5">
                  <c:v>0</c:v>
                </c:pt>
                <c:pt idx="6">
                  <c:v>1.5507334465213676E-7</c:v>
                </c:pt>
                <c:pt idx="7">
                  <c:v>2.1520371183362171E-5</c:v>
                </c:pt>
                <c:pt idx="8">
                  <c:v>2.8598411746215332E-4</c:v>
                </c:pt>
                <c:pt idx="9">
                  <c:v>0</c:v>
                </c:pt>
                <c:pt idx="10">
                  <c:v>2.3258160536804398E-4</c:v>
                </c:pt>
                <c:pt idx="11">
                  <c:v>3.3416317187682749E-5</c:v>
                </c:pt>
                <c:pt idx="12">
                  <c:v>3.5885261804673759E-4</c:v>
                </c:pt>
                <c:pt idx="13">
                  <c:v>2.1378824316764888E-4</c:v>
                </c:pt>
                <c:pt idx="14">
                  <c:v>1.0914707021976763E-3</c:v>
                </c:pt>
                <c:pt idx="15">
                  <c:v>1.1410303937758476E-3</c:v>
                </c:pt>
                <c:pt idx="16">
                  <c:v>0</c:v>
                </c:pt>
                <c:pt idx="17">
                  <c:v>1.7640023757389795E-4</c:v>
                </c:pt>
                <c:pt idx="18">
                  <c:v>2.9736892479381228E-4</c:v>
                </c:pt>
                <c:pt idx="19">
                  <c:v>0</c:v>
                </c:pt>
                <c:pt idx="20">
                  <c:v>6.1761486349763434E-5</c:v>
                </c:pt>
                <c:pt idx="21">
                  <c:v>0</c:v>
                </c:pt>
                <c:pt idx="22">
                  <c:v>0</c:v>
                </c:pt>
                <c:pt idx="23">
                  <c:v>1.7102658708900172E-4</c:v>
                </c:pt>
                <c:pt idx="24">
                  <c:v>2.127054269130859E-5</c:v>
                </c:pt>
                <c:pt idx="25">
                  <c:v>0</c:v>
                </c:pt>
                <c:pt idx="26">
                  <c:v>7.3045902998216717E-5</c:v>
                </c:pt>
                <c:pt idx="27">
                  <c:v>0</c:v>
                </c:pt>
                <c:pt idx="28">
                  <c:v>0</c:v>
                </c:pt>
              </c:numCache>
            </c:numRef>
          </c:val>
        </c:ser>
        <c:ser>
          <c:idx val="7"/>
          <c:order val="7"/>
          <c:tx>
            <c:strRef>
              <c:f>'Across MS'!$J$71</c:f>
              <c:strCache>
                <c:ptCount val="1"/>
                <c:pt idx="0">
                  <c:v>Other accounts receivable / payable</c:v>
                </c:pt>
              </c:strCache>
            </c:strRef>
          </c:tx>
          <c:spPr>
            <a:pattFill prst="wave">
              <a:fgClr>
                <a:schemeClr val="bg1">
                  <a:lumMod val="50000"/>
                </a:schemeClr>
              </a:fgClr>
              <a:bgClr>
                <a:schemeClr val="bg1"/>
              </a:bgClr>
            </a:pattFill>
          </c:spPr>
          <c:invertIfNegative val="0"/>
          <c:cat>
            <c:strRef>
              <c:f>'Across MS'!$E$72:$E$100</c:f>
              <c:strCache>
                <c:ptCount val="29"/>
                <c:pt idx="0">
                  <c:v>SE</c:v>
                </c:pt>
                <c:pt idx="1">
                  <c:v>DK</c:v>
                </c:pt>
                <c:pt idx="2">
                  <c:v>NL</c:v>
                </c:pt>
                <c:pt idx="3">
                  <c:v>UK</c:v>
                </c:pt>
                <c:pt idx="4">
                  <c:v>HU</c:v>
                </c:pt>
                <c:pt idx="5">
                  <c:v>FR</c:v>
                </c:pt>
                <c:pt idx="6">
                  <c:v>BE</c:v>
                </c:pt>
                <c:pt idx="7">
                  <c:v>EE</c:v>
                </c:pt>
                <c:pt idx="8">
                  <c:v>EU avg.</c:v>
                </c:pt>
                <c:pt idx="9">
                  <c:v>FI</c:v>
                </c:pt>
                <c:pt idx="10">
                  <c:v>IT</c:v>
                </c:pt>
                <c:pt idx="11">
                  <c:v>LT</c:v>
                </c:pt>
                <c:pt idx="12">
                  <c:v>LV</c:v>
                </c:pt>
                <c:pt idx="13">
                  <c:v>RO</c:v>
                </c:pt>
                <c:pt idx="14">
                  <c:v>IE</c:v>
                </c:pt>
                <c:pt idx="15">
                  <c:v>BG</c:v>
                </c:pt>
                <c:pt idx="16">
                  <c:v>DE</c:v>
                </c:pt>
                <c:pt idx="17">
                  <c:v>AT</c:v>
                </c:pt>
                <c:pt idx="18">
                  <c:v>ES</c:v>
                </c:pt>
                <c:pt idx="19">
                  <c:v>MT</c:v>
                </c:pt>
                <c:pt idx="20">
                  <c:v>PT</c:v>
                </c:pt>
                <c:pt idx="21">
                  <c:v>PL</c:v>
                </c:pt>
                <c:pt idx="22">
                  <c:v>LU</c:v>
                </c:pt>
                <c:pt idx="23">
                  <c:v>SI</c:v>
                </c:pt>
                <c:pt idx="24">
                  <c:v>CZ</c:v>
                </c:pt>
                <c:pt idx="25">
                  <c:v>HR</c:v>
                </c:pt>
                <c:pt idx="26">
                  <c:v>SK</c:v>
                </c:pt>
                <c:pt idx="27">
                  <c:v>CY</c:v>
                </c:pt>
                <c:pt idx="28">
                  <c:v>EL</c:v>
                </c:pt>
              </c:strCache>
            </c:strRef>
          </c:cat>
          <c:val>
            <c:numRef>
              <c:f>'Across MS'!$J$72:$J$100</c:f>
              <c:numCache>
                <c:formatCode>0.0%</c:formatCode>
                <c:ptCount val="29"/>
                <c:pt idx="0">
                  <c:v>1.7203723532152739E-2</c:v>
                </c:pt>
                <c:pt idx="1">
                  <c:v>1.9358882444609486E-2</c:v>
                </c:pt>
                <c:pt idx="2">
                  <c:v>1.3273055381925336E-2</c:v>
                </c:pt>
                <c:pt idx="3">
                  <c:v>2.6634022475642317E-2</c:v>
                </c:pt>
                <c:pt idx="4">
                  <c:v>0.10999194343267367</c:v>
                </c:pt>
                <c:pt idx="5">
                  <c:v>5.4096027583322048E-2</c:v>
                </c:pt>
                <c:pt idx="6">
                  <c:v>6.0031993181735178E-3</c:v>
                </c:pt>
                <c:pt idx="7">
                  <c:v>2.1610756742332295E-2</c:v>
                </c:pt>
                <c:pt idx="8">
                  <c:v>2.7261224839512065E-2</c:v>
                </c:pt>
                <c:pt idx="9">
                  <c:v>1.9591043896009297E-2</c:v>
                </c:pt>
                <c:pt idx="10">
                  <c:v>2.6242369204379192E-2</c:v>
                </c:pt>
                <c:pt idx="11">
                  <c:v>0.15130073014653056</c:v>
                </c:pt>
                <c:pt idx="12">
                  <c:v>0.1827821725174103</c:v>
                </c:pt>
                <c:pt idx="13">
                  <c:v>0.31072050863011591</c:v>
                </c:pt>
                <c:pt idx="14">
                  <c:v>2.7052101353969404E-2</c:v>
                </c:pt>
                <c:pt idx="15">
                  <c:v>7.6819750899103062E-2</c:v>
                </c:pt>
                <c:pt idx="16">
                  <c:v>6.030827067120108E-3</c:v>
                </c:pt>
                <c:pt idx="17">
                  <c:v>2.7278921142620403E-2</c:v>
                </c:pt>
                <c:pt idx="18">
                  <c:v>1.8657980696099197E-2</c:v>
                </c:pt>
                <c:pt idx="19">
                  <c:v>1.348708001841015E-2</c:v>
                </c:pt>
                <c:pt idx="20">
                  <c:v>3.3720146244698469E-2</c:v>
                </c:pt>
                <c:pt idx="21">
                  <c:v>9.6824027547139965E-2</c:v>
                </c:pt>
                <c:pt idx="22">
                  <c:v>0</c:v>
                </c:pt>
                <c:pt idx="23">
                  <c:v>4.4972447113800586E-2</c:v>
                </c:pt>
                <c:pt idx="24">
                  <c:v>2.9007702595272092E-2</c:v>
                </c:pt>
                <c:pt idx="25">
                  <c:v>3.3254814508506619E-2</c:v>
                </c:pt>
                <c:pt idx="26">
                  <c:v>7.7741484197471664E-2</c:v>
                </c:pt>
                <c:pt idx="27">
                  <c:v>2.4947344924448528E-2</c:v>
                </c:pt>
                <c:pt idx="28">
                  <c:v>4.2946134944912027E-2</c:v>
                </c:pt>
              </c:numCache>
            </c:numRef>
          </c:val>
        </c:ser>
        <c:dLbls>
          <c:showLegendKey val="0"/>
          <c:showVal val="0"/>
          <c:showCatName val="0"/>
          <c:showSerName val="0"/>
          <c:showPercent val="0"/>
          <c:showBubbleSize val="0"/>
        </c:dLbls>
        <c:gapWidth val="75"/>
        <c:overlap val="100"/>
        <c:axId val="283165440"/>
        <c:axId val="283166976"/>
      </c:barChart>
      <c:catAx>
        <c:axId val="283165440"/>
        <c:scaling>
          <c:orientation val="minMax"/>
        </c:scaling>
        <c:delete val="0"/>
        <c:axPos val="b"/>
        <c:numFmt formatCode="General" sourceLinked="0"/>
        <c:majorTickMark val="none"/>
        <c:minorTickMark val="none"/>
        <c:tickLblPos val="nextTo"/>
        <c:crossAx val="283166976"/>
        <c:crosses val="autoZero"/>
        <c:auto val="1"/>
        <c:lblAlgn val="ctr"/>
        <c:lblOffset val="100"/>
        <c:noMultiLvlLbl val="0"/>
      </c:catAx>
      <c:valAx>
        <c:axId val="283166976"/>
        <c:scaling>
          <c:orientation val="minMax"/>
        </c:scaling>
        <c:delete val="0"/>
        <c:axPos val="l"/>
        <c:majorGridlines/>
        <c:numFmt formatCode="0%" sourceLinked="0"/>
        <c:majorTickMark val="none"/>
        <c:minorTickMark val="none"/>
        <c:tickLblPos val="nextTo"/>
        <c:crossAx val="283165440"/>
        <c:crosses val="autoZero"/>
        <c:crossBetween val="between"/>
      </c:valAx>
    </c:plotArea>
    <c:legend>
      <c:legendPos val="b"/>
      <c:layout>
        <c:manualLayout>
          <c:xMode val="edge"/>
          <c:yMode val="edge"/>
          <c:x val="4.8471492750022133E-2"/>
          <c:y val="0.80668121823581074"/>
          <c:w val="0.8848536152785037"/>
          <c:h val="0.15446652330676325"/>
        </c:manualLayout>
      </c:layout>
      <c:overlay val="0"/>
      <c:spPr>
        <a:noFill/>
        <a:ln w="22225" cap="flat"/>
        <a:effectLst/>
      </c:spPr>
    </c:legend>
    <c:plotVisOnly val="1"/>
    <c:dispBlanksAs val="zero"/>
    <c:showDLblsOverMax val="0"/>
  </c:chart>
  <c:spPr>
    <a:ln>
      <a:noFill/>
    </a:ln>
  </c:spPr>
  <c:txPr>
    <a:bodyPr/>
    <a:lstStyle/>
    <a:p>
      <a:pPr>
        <a:defRPr sz="700"/>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928566788572701E-2"/>
          <c:y val="2.7083337776138101E-2"/>
          <c:w val="0.91868249100773003"/>
          <c:h val="0.70836667491319805"/>
        </c:manualLayout>
      </c:layout>
      <c:barChart>
        <c:barDir val="col"/>
        <c:grouping val="stacked"/>
        <c:varyColors val="0"/>
        <c:ser>
          <c:idx val="0"/>
          <c:order val="0"/>
          <c:tx>
            <c:strRef>
              <c:f>Output!$B$126</c:f>
              <c:strCache>
                <c:ptCount val="1"/>
                <c:pt idx="0">
                  <c:v>Insurance, pensions and standardised guarantees</c:v>
                </c:pt>
              </c:strCache>
            </c:strRef>
          </c:tx>
          <c:spPr>
            <a:solidFill>
              <a:schemeClr val="tx1"/>
            </a:solid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Output!$C$126:$R$126</c:f>
              <c:numCache>
                <c:formatCode>0%</c:formatCode>
                <c:ptCount val="16"/>
                <c:pt idx="0">
                  <c:v>2.68177575812499E-2</c:v>
                </c:pt>
                <c:pt idx="1">
                  <c:v>3.9851659912333803E-2</c:v>
                </c:pt>
                <c:pt idx="2">
                  <c:v>3.1444945161705699E-2</c:v>
                </c:pt>
                <c:pt idx="3">
                  <c:v>2.7309563836742299E-2</c:v>
                </c:pt>
                <c:pt idx="4">
                  <c:v>2.81733979126618E-2</c:v>
                </c:pt>
                <c:pt idx="5">
                  <c:v>3.4156921916258E-2</c:v>
                </c:pt>
                <c:pt idx="6">
                  <c:v>3.8585643163613299E-2</c:v>
                </c:pt>
                <c:pt idx="7">
                  <c:v>3.6608880445544403E-2</c:v>
                </c:pt>
                <c:pt idx="8">
                  <c:v>3.6382259468066003E-2</c:v>
                </c:pt>
                <c:pt idx="9">
                  <c:v>5.0264569258909098E-2</c:v>
                </c:pt>
                <c:pt idx="10">
                  <c:v>3.6630670512807002E-2</c:v>
                </c:pt>
                <c:pt idx="11">
                  <c:v>4.1228690248574298E-2</c:v>
                </c:pt>
                <c:pt idx="12">
                  <c:v>4.6275853751422701E-2</c:v>
                </c:pt>
                <c:pt idx="13">
                  <c:v>5.52051613554344E-2</c:v>
                </c:pt>
                <c:pt idx="14">
                  <c:v>4.69036711172943E-2</c:v>
                </c:pt>
                <c:pt idx="15">
                  <c:v>4.3211956993851601E-2</c:v>
                </c:pt>
              </c:numCache>
            </c:numRef>
          </c:val>
        </c:ser>
        <c:ser>
          <c:idx val="1"/>
          <c:order val="1"/>
          <c:tx>
            <c:strRef>
              <c:f>Output!$B$127</c:f>
              <c:strCache>
                <c:ptCount val="1"/>
                <c:pt idx="0">
                  <c:v>Currency and deposits</c:v>
                </c:pt>
              </c:strCache>
            </c:strRef>
          </c:tx>
          <c:spPr>
            <a:solidFill>
              <a:schemeClr val="bg1">
                <a:lumMod val="50000"/>
              </a:schemeClr>
            </a:solid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Output!$C$127:$R$127</c:f>
              <c:numCache>
                <c:formatCode>0%</c:formatCode>
                <c:ptCount val="16"/>
                <c:pt idx="0">
                  <c:v>5.06107228241423E-2</c:v>
                </c:pt>
                <c:pt idx="1">
                  <c:v>2.2588158253854199E-2</c:v>
                </c:pt>
                <c:pt idx="2">
                  <c:v>4.6408671122399998E-2</c:v>
                </c:pt>
                <c:pt idx="3">
                  <c:v>4.7510974129074401E-3</c:v>
                </c:pt>
                <c:pt idx="4">
                  <c:v>3.9401272323025503E-2</c:v>
                </c:pt>
                <c:pt idx="5">
                  <c:v>1.2742370618560501E-2</c:v>
                </c:pt>
                <c:pt idx="6">
                  <c:v>4.5061469347881397E-2</c:v>
                </c:pt>
                <c:pt idx="7">
                  <c:v>9.7835663457095205E-3</c:v>
                </c:pt>
                <c:pt idx="8">
                  <c:v>5.1530396939929002E-2</c:v>
                </c:pt>
                <c:pt idx="9">
                  <c:v>1.9609326559438402E-2</c:v>
                </c:pt>
                <c:pt idx="10">
                  <c:v>5.5115217520994103E-2</c:v>
                </c:pt>
                <c:pt idx="11">
                  <c:v>1.04212259774858E-2</c:v>
                </c:pt>
                <c:pt idx="12">
                  <c:v>5.4225799911729697E-2</c:v>
                </c:pt>
                <c:pt idx="13">
                  <c:v>3.3496217117283303E-2</c:v>
                </c:pt>
                <c:pt idx="14">
                  <c:v>6.8817143213992696E-2</c:v>
                </c:pt>
                <c:pt idx="15">
                  <c:v>2.4222634824169899E-2</c:v>
                </c:pt>
              </c:numCache>
            </c:numRef>
          </c:val>
        </c:ser>
        <c:ser>
          <c:idx val="2"/>
          <c:order val="2"/>
          <c:tx>
            <c:strRef>
              <c:f>Output!$B$128</c:f>
              <c:strCache>
                <c:ptCount val="1"/>
                <c:pt idx="0">
                  <c:v>Investment fund shares/ units</c:v>
                </c:pt>
              </c:strCache>
            </c:strRef>
          </c:tx>
          <c:spPr>
            <a:solidFill>
              <a:schemeClr val="bg1">
                <a:lumMod val="75000"/>
              </a:schemeClr>
            </a:solid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Output!$C$128:$R$128</c:f>
              <c:numCache>
                <c:formatCode>0%</c:formatCode>
                <c:ptCount val="16"/>
                <c:pt idx="0">
                  <c:v>7.4506409459897498E-3</c:v>
                </c:pt>
                <c:pt idx="1">
                  <c:v>1.09569575108855E-2</c:v>
                </c:pt>
                <c:pt idx="2">
                  <c:v>1.17999367925743E-2</c:v>
                </c:pt>
                <c:pt idx="3">
                  <c:v>-1.64383113850752E-3</c:v>
                </c:pt>
                <c:pt idx="4">
                  <c:v>1.1317672877146599E-2</c:v>
                </c:pt>
                <c:pt idx="5">
                  <c:v>9.8586548916058305E-3</c:v>
                </c:pt>
                <c:pt idx="6">
                  <c:v>2.9511616227632601E-2</c:v>
                </c:pt>
                <c:pt idx="7">
                  <c:v>1.6780980483121499E-2</c:v>
                </c:pt>
                <c:pt idx="8">
                  <c:v>1.32196891313443E-2</c:v>
                </c:pt>
                <c:pt idx="9">
                  <c:v>3.0843160223178599E-2</c:v>
                </c:pt>
                <c:pt idx="10">
                  <c:v>1.9867016890030599E-2</c:v>
                </c:pt>
                <c:pt idx="11">
                  <c:v>1.03118025178264E-2</c:v>
                </c:pt>
                <c:pt idx="12">
                  <c:v>3.4021671611157698E-3</c:v>
                </c:pt>
                <c:pt idx="13">
                  <c:v>-4.3703257733680896E-3</c:v>
                </c:pt>
                <c:pt idx="14">
                  <c:v>9.77894888398936E-3</c:v>
                </c:pt>
                <c:pt idx="15">
                  <c:v>6.4088479718791098E-3</c:v>
                </c:pt>
              </c:numCache>
            </c:numRef>
          </c:val>
        </c:ser>
        <c:ser>
          <c:idx val="3"/>
          <c:order val="3"/>
          <c:tx>
            <c:strRef>
              <c:f>Output!$B$129</c:f>
              <c:strCache>
                <c:ptCount val="1"/>
                <c:pt idx="0">
                  <c:v>Financial derivatives and employee stock options</c:v>
                </c:pt>
              </c:strCache>
            </c:strRef>
          </c:tx>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Output!$C$129:$R$129</c:f>
              <c:numCache>
                <c:formatCode>0%</c:formatCode>
                <c:ptCount val="16"/>
                <c:pt idx="0">
                  <c:v>3.4062955741513901E-4</c:v>
                </c:pt>
                <c:pt idx="1">
                  <c:v>2.8176067066367801E-4</c:v>
                </c:pt>
                <c:pt idx="2">
                  <c:v>4.8763358421218998E-4</c:v>
                </c:pt>
                <c:pt idx="3">
                  <c:v>2.8602783225927002E-4</c:v>
                </c:pt>
                <c:pt idx="4">
                  <c:v>6.9251202500420395E-4</c:v>
                </c:pt>
                <c:pt idx="5">
                  <c:v>5.7557821317889704E-4</c:v>
                </c:pt>
                <c:pt idx="6">
                  <c:v>3.7516826388363402E-4</c:v>
                </c:pt>
                <c:pt idx="7">
                  <c:v>2.71081641193504E-4</c:v>
                </c:pt>
                <c:pt idx="8">
                  <c:v>2.02549878415855E-4</c:v>
                </c:pt>
                <c:pt idx="9">
                  <c:v>3.3807426199159802E-4</c:v>
                </c:pt>
                <c:pt idx="10">
                  <c:v>1.8344615578974E-4</c:v>
                </c:pt>
                <c:pt idx="11">
                  <c:v>3.0353380824071202E-4</c:v>
                </c:pt>
                <c:pt idx="12">
                  <c:v>1.59941279936569E-6</c:v>
                </c:pt>
                <c:pt idx="13">
                  <c:v>1.0050131026250501E-3</c:v>
                </c:pt>
                <c:pt idx="14">
                  <c:v>-1.4966008815677401E-4</c:v>
                </c:pt>
                <c:pt idx="15">
                  <c:v>3.74193503098756E-4</c:v>
                </c:pt>
              </c:numCache>
            </c:numRef>
          </c:val>
        </c:ser>
        <c:ser>
          <c:idx val="4"/>
          <c:order val="4"/>
          <c:tx>
            <c:strRef>
              <c:f>Output!$B$130</c:f>
              <c:strCache>
                <c:ptCount val="1"/>
                <c:pt idx="0">
                  <c:v>Equity</c:v>
                </c:pt>
              </c:strCache>
            </c:strRef>
          </c:tx>
          <c:spPr>
            <a:solidFill>
              <a:schemeClr val="bg1">
                <a:lumMod val="85000"/>
              </a:schemeClr>
            </a:solid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Output!$C$130:$R$130</c:f>
              <c:numCache>
                <c:formatCode>0%</c:formatCode>
                <c:ptCount val="16"/>
                <c:pt idx="0">
                  <c:v>1.3411377924102999E-2</c:v>
                </c:pt>
                <c:pt idx="1">
                  <c:v>7.7972732444332596E-3</c:v>
                </c:pt>
                <c:pt idx="2">
                  <c:v>8.1005232170238608E-3</c:v>
                </c:pt>
                <c:pt idx="3">
                  <c:v>-2.2787428784907101E-3</c:v>
                </c:pt>
                <c:pt idx="4">
                  <c:v>-4.2369267276100801E-3</c:v>
                </c:pt>
                <c:pt idx="5">
                  <c:v>1.04236932419139E-2</c:v>
                </c:pt>
                <c:pt idx="6">
                  <c:v>-1.8048482930532E-2</c:v>
                </c:pt>
                <c:pt idx="7">
                  <c:v>-2.1233062509172702E-3</c:v>
                </c:pt>
                <c:pt idx="8">
                  <c:v>-7.6899373871020501E-3</c:v>
                </c:pt>
                <c:pt idx="9">
                  <c:v>-1.00855423614407E-2</c:v>
                </c:pt>
                <c:pt idx="10">
                  <c:v>-4.4588996388979498E-3</c:v>
                </c:pt>
                <c:pt idx="11">
                  <c:v>8.9138167441803803E-3</c:v>
                </c:pt>
                <c:pt idx="12">
                  <c:v>-5.7954506648153804E-3</c:v>
                </c:pt>
                <c:pt idx="13">
                  <c:v>3.8443502107208399E-3</c:v>
                </c:pt>
                <c:pt idx="14">
                  <c:v>-3.57024526734123E-3</c:v>
                </c:pt>
                <c:pt idx="15">
                  <c:v>-1.7574634690795701E-2</c:v>
                </c:pt>
              </c:numCache>
            </c:numRef>
          </c:val>
        </c:ser>
        <c:ser>
          <c:idx val="5"/>
          <c:order val="5"/>
          <c:tx>
            <c:strRef>
              <c:f>Output!$B$131</c:f>
              <c:strCache>
                <c:ptCount val="1"/>
                <c:pt idx="0">
                  <c:v>Other accounts receivable / payable</c:v>
                </c:pt>
              </c:strCache>
            </c:strRef>
          </c:tx>
          <c:spPr>
            <a:pattFill prst="zigZag">
              <a:fgClr>
                <a:schemeClr val="tx1"/>
              </a:fgClr>
              <a:bgClr>
                <a:schemeClr val="bg1"/>
              </a:bgClr>
            </a:patt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Output!$C$131:$R$131</c:f>
              <c:numCache>
                <c:formatCode>0%</c:formatCode>
                <c:ptCount val="16"/>
                <c:pt idx="0">
                  <c:v>-1.91235095121224E-2</c:v>
                </c:pt>
                <c:pt idx="1">
                  <c:v>1.22400537027007E-2</c:v>
                </c:pt>
                <c:pt idx="2">
                  <c:v>-1.3830721149907E-4</c:v>
                </c:pt>
                <c:pt idx="3">
                  <c:v>-8.1243111982814992E-3</c:v>
                </c:pt>
                <c:pt idx="4">
                  <c:v>-4.48276919331896E-3</c:v>
                </c:pt>
                <c:pt idx="5">
                  <c:v>2.5786005650845802E-2</c:v>
                </c:pt>
                <c:pt idx="6">
                  <c:v>1.6543177601812501E-4</c:v>
                </c:pt>
                <c:pt idx="7">
                  <c:v>-8.5736498284952004E-3</c:v>
                </c:pt>
                <c:pt idx="8">
                  <c:v>-1.55545023182767E-2</c:v>
                </c:pt>
                <c:pt idx="9">
                  <c:v>1.20604048470311E-2</c:v>
                </c:pt>
                <c:pt idx="10">
                  <c:v>-1.55298444348525E-2</c:v>
                </c:pt>
                <c:pt idx="11">
                  <c:v>-6.0479393871416803E-3</c:v>
                </c:pt>
                <c:pt idx="12">
                  <c:v>-4.83333902493744E-3</c:v>
                </c:pt>
                <c:pt idx="13">
                  <c:v>4.2226384823923699E-3</c:v>
                </c:pt>
                <c:pt idx="14">
                  <c:v>-2.8554676454925002E-3</c:v>
                </c:pt>
                <c:pt idx="15">
                  <c:v>-8.2455506115468695E-3</c:v>
                </c:pt>
              </c:numCache>
            </c:numRef>
          </c:val>
        </c:ser>
        <c:ser>
          <c:idx val="6"/>
          <c:order val="6"/>
          <c:tx>
            <c:strRef>
              <c:f>Output!$B$132</c:f>
              <c:strCache>
                <c:ptCount val="1"/>
                <c:pt idx="0">
                  <c:v>Loans</c:v>
                </c:pt>
              </c:strCache>
            </c:strRef>
          </c:tx>
          <c:spPr>
            <a:pattFill prst="pct10">
              <a:fgClr>
                <a:schemeClr val="tx1"/>
              </a:fgClr>
              <a:bgClr>
                <a:schemeClr val="bg1"/>
              </a:bgClr>
            </a:patt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Output!$C$132:$R$132</c:f>
              <c:numCache>
                <c:formatCode>0%</c:formatCode>
                <c:ptCount val="16"/>
                <c:pt idx="0">
                  <c:v>-1.91106634989177E-3</c:v>
                </c:pt>
                <c:pt idx="1">
                  <c:v>-2.9652045771311601E-3</c:v>
                </c:pt>
                <c:pt idx="2">
                  <c:v>-1.31864736108998E-3</c:v>
                </c:pt>
                <c:pt idx="3">
                  <c:v>-1.3898851218828801E-3</c:v>
                </c:pt>
                <c:pt idx="4">
                  <c:v>-1.9213527096094999E-3</c:v>
                </c:pt>
                <c:pt idx="5">
                  <c:v>-2.5267472134081802E-3</c:v>
                </c:pt>
                <c:pt idx="6">
                  <c:v>-1.8294268593875801E-3</c:v>
                </c:pt>
                <c:pt idx="7">
                  <c:v>-2.3229143048500698E-3</c:v>
                </c:pt>
                <c:pt idx="8">
                  <c:v>-2.7798536291353702E-3</c:v>
                </c:pt>
                <c:pt idx="9">
                  <c:v>-4.1657858032742804E-3</c:v>
                </c:pt>
                <c:pt idx="10">
                  <c:v>-1.59495509911883E-3</c:v>
                </c:pt>
                <c:pt idx="11">
                  <c:v>-3.4346880627135101E-3</c:v>
                </c:pt>
                <c:pt idx="12">
                  <c:v>-4.0202753670112003E-3</c:v>
                </c:pt>
                <c:pt idx="13">
                  <c:v>-3.0384430670930998E-3</c:v>
                </c:pt>
                <c:pt idx="14">
                  <c:v>-2.2927353059033098E-3</c:v>
                </c:pt>
                <c:pt idx="15">
                  <c:v>-3.23506933262902E-3</c:v>
                </c:pt>
              </c:numCache>
            </c:numRef>
          </c:val>
        </c:ser>
        <c:ser>
          <c:idx val="7"/>
          <c:order val="7"/>
          <c:tx>
            <c:strRef>
              <c:f>Output!$B$133</c:f>
              <c:strCache>
                <c:ptCount val="1"/>
                <c:pt idx="0">
                  <c:v>Debt securities</c:v>
                </c:pt>
              </c:strCache>
            </c:strRef>
          </c:tx>
          <c:spPr>
            <a:pattFill prst="lgCheck">
              <a:fgClr>
                <a:schemeClr val="tx1"/>
              </a:fgClr>
              <a:bgClr>
                <a:schemeClr val="bg1"/>
              </a:bgClr>
            </a:pattFill>
          </c:spPr>
          <c:invertIfNegative val="0"/>
          <c:cat>
            <c:strRef>
              <c:f>Output!$C$123:$R$123</c:f>
              <c:strCache>
                <c:ptCount val="16"/>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strCache>
            </c:strRef>
          </c:cat>
          <c:val>
            <c:numRef>
              <c:f>Output!$C$133:$R$133</c:f>
              <c:numCache>
                <c:formatCode>0%</c:formatCode>
                <c:ptCount val="16"/>
                <c:pt idx="0">
                  <c:v>-2.5120589029411299E-2</c:v>
                </c:pt>
                <c:pt idx="1">
                  <c:v>-3.9134950583838403E-2</c:v>
                </c:pt>
                <c:pt idx="2">
                  <c:v>-2.0127257617080001E-2</c:v>
                </c:pt>
                <c:pt idx="3">
                  <c:v>-1.0778602783225901E-2</c:v>
                </c:pt>
                <c:pt idx="4">
                  <c:v>-1.25136695286347E-2</c:v>
                </c:pt>
                <c:pt idx="5">
                  <c:v>-1.3289657620875601E-2</c:v>
                </c:pt>
                <c:pt idx="6">
                  <c:v>-1.7128265809925401E-2</c:v>
                </c:pt>
                <c:pt idx="7">
                  <c:v>-2.96827127066225E-2</c:v>
                </c:pt>
                <c:pt idx="8">
                  <c:v>-2.1654583555100498E-2</c:v>
                </c:pt>
                <c:pt idx="9">
                  <c:v>-2.8681709819000801E-2</c:v>
                </c:pt>
                <c:pt idx="10">
                  <c:v>-1.7398389604191399E-2</c:v>
                </c:pt>
                <c:pt idx="11">
                  <c:v>-1.44573735413466E-2</c:v>
                </c:pt>
                <c:pt idx="12">
                  <c:v>-7.0752402685457299E-3</c:v>
                </c:pt>
                <c:pt idx="13">
                  <c:v>-1.0544307057320901E-2</c:v>
                </c:pt>
                <c:pt idx="14">
                  <c:v>-5.4795280958518404E-3</c:v>
                </c:pt>
                <c:pt idx="15">
                  <c:v>-1.19061888244735E-2</c:v>
                </c:pt>
              </c:numCache>
            </c:numRef>
          </c:val>
        </c:ser>
        <c:dLbls>
          <c:showLegendKey val="0"/>
          <c:showVal val="0"/>
          <c:showCatName val="0"/>
          <c:showSerName val="0"/>
          <c:showPercent val="0"/>
          <c:showBubbleSize val="0"/>
        </c:dLbls>
        <c:gapWidth val="150"/>
        <c:overlap val="100"/>
        <c:axId val="283402240"/>
        <c:axId val="283403776"/>
      </c:barChart>
      <c:catAx>
        <c:axId val="283402240"/>
        <c:scaling>
          <c:orientation val="minMax"/>
        </c:scaling>
        <c:delete val="0"/>
        <c:axPos val="b"/>
        <c:numFmt formatCode="General" sourceLinked="0"/>
        <c:majorTickMark val="out"/>
        <c:minorTickMark val="none"/>
        <c:tickLblPos val="low"/>
        <c:crossAx val="283403776"/>
        <c:crosses val="autoZero"/>
        <c:auto val="1"/>
        <c:lblAlgn val="ctr"/>
        <c:lblOffset val="100"/>
        <c:noMultiLvlLbl val="0"/>
      </c:catAx>
      <c:valAx>
        <c:axId val="283403776"/>
        <c:scaling>
          <c:orientation val="minMax"/>
        </c:scaling>
        <c:delete val="0"/>
        <c:axPos val="l"/>
        <c:majorGridlines/>
        <c:numFmt formatCode="0%" sourceLinked="1"/>
        <c:majorTickMark val="out"/>
        <c:minorTickMark val="none"/>
        <c:tickLblPos val="nextTo"/>
        <c:crossAx val="283402240"/>
        <c:crosses val="autoZero"/>
        <c:crossBetween val="between"/>
      </c:valAx>
    </c:plotArea>
    <c:legend>
      <c:legendPos val="b"/>
      <c:layout>
        <c:manualLayout>
          <c:xMode val="edge"/>
          <c:yMode val="edge"/>
          <c:x val="7.4804433619268902E-3"/>
          <c:y val="0.79597896281382996"/>
          <c:w val="0.97932276150368702"/>
          <c:h val="0.20366572542462499"/>
        </c:manualLayout>
      </c:layout>
      <c:overlay val="0"/>
    </c:legend>
    <c:plotVisOnly val="1"/>
    <c:dispBlanksAs val="gap"/>
    <c:showDLblsOverMax val="0"/>
  </c:chart>
  <c:spPr>
    <a:ln>
      <a:noFill/>
    </a:ln>
  </c:spPr>
  <c:txPr>
    <a:bodyPr/>
    <a:lstStyle/>
    <a:p>
      <a:pPr>
        <a:defRPr sz="7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[Diversification_FISMA_upd2015.xlsx]table weighted!PivotTable2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s>
    <c:plotArea>
      <c:layout>
        <c:manualLayout>
          <c:layoutTarget val="inner"/>
          <c:xMode val="edge"/>
          <c:yMode val="edge"/>
          <c:x val="7.5373323084401922E-2"/>
          <c:y val="6.1671768456722488E-2"/>
          <c:w val="0.89015374630933597"/>
          <c:h val="0.71135073052754805"/>
        </c:manualLayout>
      </c:layout>
      <c:lineChart>
        <c:grouping val="standard"/>
        <c:varyColors val="0"/>
        <c:ser>
          <c:idx val="0"/>
          <c:order val="0"/>
          <c:tx>
            <c:strRef>
              <c:f>'table weighted'!$X$22:$X$23</c:f>
              <c:strCache>
                <c:ptCount val="1"/>
                <c:pt idx="0">
                  <c:v>EMU</c:v>
                </c:pt>
              </c:strCache>
            </c:strRef>
          </c:tx>
          <c:spPr>
            <a:ln w="19050">
              <a:solidFill>
                <a:schemeClr val="bg1">
                  <a:lumMod val="50000"/>
                </a:schemeClr>
              </a:solidFill>
            </a:ln>
          </c:spPr>
          <c:marker>
            <c:symbol val="none"/>
          </c:marker>
          <c:cat>
            <c:strRef>
              <c:f>'table weighted'!$W$24:$W$39</c:f>
              <c:strCache>
                <c:ptCount val="16"/>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strCache>
            </c:strRef>
          </c:cat>
          <c:val>
            <c:numRef>
              <c:f>'table weighted'!$X$24:$X$39</c:f>
              <c:numCache>
                <c:formatCode>0.00</c:formatCode>
                <c:ptCount val="16"/>
                <c:pt idx="0">
                  <c:v>0.46122350409683899</c:v>
                </c:pt>
                <c:pt idx="1">
                  <c:v>0.53264445567058905</c:v>
                </c:pt>
                <c:pt idx="2">
                  <c:v>0.53727018689397599</c:v>
                </c:pt>
                <c:pt idx="3">
                  <c:v>0.55218263192037798</c:v>
                </c:pt>
                <c:pt idx="4">
                  <c:v>0.53305837341655604</c:v>
                </c:pt>
                <c:pt idx="5">
                  <c:v>0.52253022244647096</c:v>
                </c:pt>
                <c:pt idx="6">
                  <c:v>0.45305206321944702</c:v>
                </c:pt>
                <c:pt idx="7">
                  <c:v>0.43220229842742902</c:v>
                </c:pt>
                <c:pt idx="8">
                  <c:v>0.45813307489413202</c:v>
                </c:pt>
                <c:pt idx="9">
                  <c:v>0.46779426772093402</c:v>
                </c:pt>
                <c:pt idx="10">
                  <c:v>0.43943134375465098</c:v>
                </c:pt>
                <c:pt idx="11">
                  <c:v>0.46494287997399503</c:v>
                </c:pt>
                <c:pt idx="12">
                  <c:v>0.42925753907590403</c:v>
                </c:pt>
                <c:pt idx="13">
                  <c:v>0.42118026998303698</c:v>
                </c:pt>
                <c:pt idx="14">
                  <c:v>0.44388224107963697</c:v>
                </c:pt>
                <c:pt idx="15">
                  <c:v>0.425766069908598</c:v>
                </c:pt>
              </c:numCache>
            </c:numRef>
          </c:val>
          <c:smooth val="0"/>
        </c:ser>
        <c:ser>
          <c:idx val="1"/>
          <c:order val="1"/>
          <c:tx>
            <c:strRef>
              <c:f>'table weighted'!$Y$22:$Y$23</c:f>
              <c:strCache>
                <c:ptCount val="1"/>
                <c:pt idx="0">
                  <c:v>EU27</c:v>
                </c:pt>
              </c:strCache>
            </c:strRef>
          </c:tx>
          <c:spPr>
            <a:ln w="19050">
              <a:solidFill>
                <a:schemeClr val="tx1"/>
              </a:solidFill>
            </a:ln>
          </c:spPr>
          <c:marker>
            <c:symbol val="none"/>
          </c:marker>
          <c:cat>
            <c:strRef>
              <c:f>'table weighted'!$W$24:$W$39</c:f>
              <c:strCache>
                <c:ptCount val="16"/>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strCache>
            </c:strRef>
          </c:cat>
          <c:val>
            <c:numRef>
              <c:f>'table weighted'!$Y$24:$Y$39</c:f>
              <c:numCache>
                <c:formatCode>0.00</c:formatCode>
                <c:ptCount val="16"/>
                <c:pt idx="0">
                  <c:v>0.452087218372766</c:v>
                </c:pt>
                <c:pt idx="1">
                  <c:v>0.51656033605412399</c:v>
                </c:pt>
                <c:pt idx="2">
                  <c:v>0.52654546963157101</c:v>
                </c:pt>
                <c:pt idx="3">
                  <c:v>0.53935777022980502</c:v>
                </c:pt>
                <c:pt idx="4">
                  <c:v>0.52318947132972005</c:v>
                </c:pt>
                <c:pt idx="5">
                  <c:v>0.51352822780333995</c:v>
                </c:pt>
                <c:pt idx="6">
                  <c:v>0.44365131820036102</c:v>
                </c:pt>
                <c:pt idx="7">
                  <c:v>0.420473806913576</c:v>
                </c:pt>
                <c:pt idx="8">
                  <c:v>0.449699530306716</c:v>
                </c:pt>
                <c:pt idx="9">
                  <c:v>0.452693542619659</c:v>
                </c:pt>
                <c:pt idx="10">
                  <c:v>0.42577165954465102</c:v>
                </c:pt>
                <c:pt idx="11">
                  <c:v>0.44817019784156797</c:v>
                </c:pt>
                <c:pt idx="12">
                  <c:v>0.414397494936599</c:v>
                </c:pt>
                <c:pt idx="13">
                  <c:v>0.404879822635898</c:v>
                </c:pt>
                <c:pt idx="14">
                  <c:v>0.42740560979227399</c:v>
                </c:pt>
                <c:pt idx="15">
                  <c:v>0.40450319927520501</c:v>
                </c:pt>
              </c:numCache>
            </c:numRef>
          </c:val>
          <c:smooth val="0"/>
        </c:ser>
        <c:ser>
          <c:idx val="2"/>
          <c:order val="2"/>
          <c:tx>
            <c:strRef>
              <c:f>'table weighted'!$Z$22:$Z$23</c:f>
              <c:strCache>
                <c:ptCount val="1"/>
                <c:pt idx="0">
                  <c:v>EU28 </c:v>
                </c:pt>
              </c:strCache>
            </c:strRef>
          </c:tx>
          <c:spPr>
            <a:ln w="19050">
              <a:solidFill>
                <a:schemeClr val="bg1">
                  <a:lumMod val="85000"/>
                </a:schemeClr>
              </a:solidFill>
            </a:ln>
          </c:spPr>
          <c:marker>
            <c:symbol val="none"/>
          </c:marker>
          <c:cat>
            <c:strRef>
              <c:f>'table weighted'!$W$24:$W$39</c:f>
              <c:strCache>
                <c:ptCount val="16"/>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strCache>
            </c:strRef>
          </c:cat>
          <c:val>
            <c:numRef>
              <c:f>'table weighted'!$Z$24:$Z$39</c:f>
              <c:numCache>
                <c:formatCode>0.00</c:formatCode>
                <c:ptCount val="16"/>
                <c:pt idx="0">
                  <c:v>0.50795003968199703</c:v>
                </c:pt>
                <c:pt idx="1">
                  <c:v>0.54597606896865503</c:v>
                </c:pt>
                <c:pt idx="2">
                  <c:v>0.55032970028693395</c:v>
                </c:pt>
                <c:pt idx="3">
                  <c:v>0.58252006268637102</c:v>
                </c:pt>
                <c:pt idx="4">
                  <c:v>0.57988327907776105</c:v>
                </c:pt>
                <c:pt idx="5">
                  <c:v>0.56042133140461603</c:v>
                </c:pt>
                <c:pt idx="6">
                  <c:v>0.54685095995518695</c:v>
                </c:pt>
                <c:pt idx="7">
                  <c:v>0.54374249442246103</c:v>
                </c:pt>
                <c:pt idx="8">
                  <c:v>0.57553994168175904</c:v>
                </c:pt>
                <c:pt idx="9">
                  <c:v>0.54181304941193997</c:v>
                </c:pt>
                <c:pt idx="10">
                  <c:v>0.52498941255450304</c:v>
                </c:pt>
                <c:pt idx="11">
                  <c:v>0.52638691731527398</c:v>
                </c:pt>
                <c:pt idx="12">
                  <c:v>0.48168106086254198</c:v>
                </c:pt>
                <c:pt idx="13">
                  <c:v>0.48901256394981801</c:v>
                </c:pt>
                <c:pt idx="14">
                  <c:v>0.50791450781193603</c:v>
                </c:pt>
                <c:pt idx="15">
                  <c:v>0.50362514758532095</c:v>
                </c:pt>
              </c:numCache>
            </c:numRef>
          </c:val>
          <c:smooth val="0"/>
        </c:ser>
        <c:dLbls>
          <c:showLegendKey val="0"/>
          <c:showVal val="0"/>
          <c:showCatName val="0"/>
          <c:showSerName val="0"/>
          <c:showPercent val="0"/>
          <c:showBubbleSize val="0"/>
        </c:dLbls>
        <c:marker val="1"/>
        <c:smooth val="0"/>
        <c:axId val="205312000"/>
        <c:axId val="209126144"/>
      </c:lineChart>
      <c:catAx>
        <c:axId val="205312000"/>
        <c:scaling>
          <c:orientation val="minMax"/>
        </c:scaling>
        <c:delete val="0"/>
        <c:axPos val="b"/>
        <c:numFmt formatCode="General" sourceLinked="0"/>
        <c:majorTickMark val="cross"/>
        <c:minorTickMark val="none"/>
        <c:tickLblPos val="nextTo"/>
        <c:txPr>
          <a:bodyPr rot="-2520000" vert="horz"/>
          <a:lstStyle/>
          <a:p>
            <a:pPr>
              <a:defRPr sz="800"/>
            </a:pPr>
            <a:endParaRPr lang="en-US"/>
          </a:p>
        </c:txPr>
        <c:crossAx val="209126144"/>
        <c:crosses val="autoZero"/>
        <c:auto val="1"/>
        <c:lblAlgn val="ctr"/>
        <c:lblOffset val="100"/>
        <c:noMultiLvlLbl val="0"/>
      </c:catAx>
      <c:valAx>
        <c:axId val="209126144"/>
        <c:scaling>
          <c:orientation val="minMax"/>
          <c:min val="0.30000000000000004"/>
        </c:scaling>
        <c:delete val="0"/>
        <c:axPos val="l"/>
        <c:majorGridlines/>
        <c:numFmt formatCode="0.00" sourceLinked="0"/>
        <c:majorTickMark val="none"/>
        <c:minorTickMark val="none"/>
        <c:tickLblPos val="nextTo"/>
        <c:spPr>
          <a:ln w="9525">
            <a:noFill/>
          </a:ln>
        </c:spPr>
        <c:txPr>
          <a:bodyPr/>
          <a:lstStyle/>
          <a:p>
            <a:pPr>
              <a:defRPr sz="800"/>
            </a:pPr>
            <a:endParaRPr lang="en-US"/>
          </a:p>
        </c:txPr>
        <c:crossAx val="205312000"/>
        <c:crosses val="autoZero"/>
        <c:crossBetween val="between"/>
      </c:valAx>
    </c:plotArea>
    <c:legend>
      <c:legendPos val="b"/>
      <c:layout>
        <c:manualLayout>
          <c:xMode val="edge"/>
          <c:yMode val="edge"/>
          <c:x val="0.26685577014427059"/>
          <c:y val="0.93458669699948094"/>
          <c:w val="0.46628845971145888"/>
          <c:h val="6.5413130215281709E-2"/>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6334905496843"/>
          <c:y val="5.426357492471269E-2"/>
          <c:w val="0.86603477028621345"/>
          <c:h val="0.78847295408735463"/>
        </c:manualLayout>
      </c:layout>
      <c:areaChart>
        <c:grouping val="stacked"/>
        <c:varyColors val="0"/>
        <c:ser>
          <c:idx val="0"/>
          <c:order val="2"/>
          <c:tx>
            <c:strRef>
              <c:f>'interactive sheet'!$I$38</c:f>
              <c:strCache>
                <c:ptCount val="1"/>
                <c:pt idx="0">
                  <c:v>Portf. Equity (EU27)</c:v>
                </c:pt>
              </c:strCache>
            </c:strRef>
          </c:tx>
          <c:spPr>
            <a:pattFill prst="ltHorz">
              <a:fgClr>
                <a:schemeClr val="tx1"/>
              </a:fgClr>
              <a:bgClr>
                <a:schemeClr val="bg1"/>
              </a:bgClr>
            </a:pattFill>
            <a:ln w="19050">
              <a:noFill/>
            </a:ln>
          </c:spPr>
          <c:val>
            <c:numRef>
              <c:f>'interactive sheet'!$I$39:$I$54</c:f>
              <c:numCache>
                <c:formatCode>_(* #,##0_);_(* \(#,##0\);_(* "-"??_);_(@_)</c:formatCode>
                <c:ptCount val="16"/>
                <c:pt idx="0">
                  <c:v>1013209.3821382952</c:v>
                </c:pt>
                <c:pt idx="1">
                  <c:v>920560.88628081453</c:v>
                </c:pt>
                <c:pt idx="2">
                  <c:v>911458.46935032273</c:v>
                </c:pt>
                <c:pt idx="3">
                  <c:v>1337397.2551537673</c:v>
                </c:pt>
                <c:pt idx="4">
                  <c:v>1721251.1557881273</c:v>
                </c:pt>
                <c:pt idx="5">
                  <c:v>1965173.0596097037</c:v>
                </c:pt>
                <c:pt idx="6">
                  <c:v>2855891.7861309475</c:v>
                </c:pt>
                <c:pt idx="7">
                  <c:v>3360645.3860271904</c:v>
                </c:pt>
                <c:pt idx="8">
                  <c:v>2007842.1989848707</c:v>
                </c:pt>
                <c:pt idx="9">
                  <c:v>2594931.210002814</c:v>
                </c:pt>
                <c:pt idx="10">
                  <c:v>2741511.4771930175</c:v>
                </c:pt>
                <c:pt idx="11">
                  <c:v>2394398.0748008471</c:v>
                </c:pt>
                <c:pt idx="12">
                  <c:v>2849376.6026000525</c:v>
                </c:pt>
                <c:pt idx="13">
                  <c:v>3591140.9132648567</c:v>
                </c:pt>
                <c:pt idx="14">
                  <c:v>3675425.5011436651</c:v>
                </c:pt>
                <c:pt idx="15">
                  <c:v>3938057.1427146778</c:v>
                </c:pt>
              </c:numCache>
            </c:numRef>
          </c:val>
        </c:ser>
        <c:ser>
          <c:idx val="3"/>
          <c:order val="3"/>
          <c:tx>
            <c:strRef>
              <c:f>'interactive sheet'!$J$38</c:f>
              <c:strCache>
                <c:ptCount val="1"/>
                <c:pt idx="0">
                  <c:v>Portf. Debt (EU27)</c:v>
                </c:pt>
              </c:strCache>
            </c:strRef>
          </c:tx>
          <c:spPr>
            <a:pattFill prst="pct20">
              <a:fgClr>
                <a:schemeClr val="tx1"/>
              </a:fgClr>
              <a:bgClr>
                <a:schemeClr val="bg1"/>
              </a:bgClr>
            </a:pattFill>
            <a:ln w="19050">
              <a:noFill/>
            </a:ln>
          </c:spPr>
          <c:val>
            <c:numRef>
              <c:f>'interactive sheet'!$J$39:$J$54</c:f>
              <c:numCache>
                <c:formatCode>_(* #,##0_);_(* \(#,##0\);_(* "-"??_);_(@_)</c:formatCode>
                <c:ptCount val="16"/>
                <c:pt idx="0">
                  <c:v>1785391.3068871133</c:v>
                </c:pt>
                <c:pt idx="1">
                  <c:v>1826787.7911266906</c:v>
                </c:pt>
                <c:pt idx="2">
                  <c:v>2578229.5783053455</c:v>
                </c:pt>
                <c:pt idx="3">
                  <c:v>3651214.9838580159</c:v>
                </c:pt>
                <c:pt idx="4">
                  <c:v>4544533.2608002676</c:v>
                </c:pt>
                <c:pt idx="5">
                  <c:v>4711942.5852339407</c:v>
                </c:pt>
                <c:pt idx="6">
                  <c:v>5615160.2565420195</c:v>
                </c:pt>
                <c:pt idx="7">
                  <c:v>6585971.5114000449</c:v>
                </c:pt>
                <c:pt idx="8">
                  <c:v>6387348.1870265137</c:v>
                </c:pt>
                <c:pt idx="9">
                  <c:v>7364163.7649009265</c:v>
                </c:pt>
                <c:pt idx="10">
                  <c:v>6701297.1908343388</c:v>
                </c:pt>
                <c:pt idx="11">
                  <c:v>6258988.1726391865</c:v>
                </c:pt>
                <c:pt idx="12">
                  <c:v>6765676.6183678592</c:v>
                </c:pt>
                <c:pt idx="13">
                  <c:v>7167079.9204311986</c:v>
                </c:pt>
                <c:pt idx="14">
                  <c:v>7042856.4409727622</c:v>
                </c:pt>
                <c:pt idx="15">
                  <c:v>6230163.0777958641</c:v>
                </c:pt>
              </c:numCache>
            </c:numRef>
          </c:val>
        </c:ser>
        <c:dLbls>
          <c:showLegendKey val="0"/>
          <c:showVal val="0"/>
          <c:showCatName val="0"/>
          <c:showSerName val="0"/>
          <c:showPercent val="0"/>
          <c:showBubbleSize val="0"/>
        </c:dLbls>
        <c:axId val="233571840"/>
        <c:axId val="234007552"/>
      </c:areaChart>
      <c:barChart>
        <c:barDir val="col"/>
        <c:grouping val="stacked"/>
        <c:varyColors val="0"/>
        <c:ser>
          <c:idx val="1"/>
          <c:order val="0"/>
          <c:tx>
            <c:strRef>
              <c:f>'interactive sheet'!$I$6</c:f>
              <c:strCache>
                <c:ptCount val="1"/>
                <c:pt idx="0">
                  <c:v>Portf. Equity</c:v>
                </c:pt>
              </c:strCache>
            </c:strRef>
          </c:tx>
          <c:spPr>
            <a:solidFill>
              <a:schemeClr val="tx1"/>
            </a:solidFill>
            <a:ln>
              <a:noFill/>
            </a:ln>
            <a:effectLst/>
          </c:spPr>
          <c:invertIfNegative val="0"/>
          <c:cat>
            <c:strRef>
              <c:f>'interactive sheet'!$G$7:$G$22</c:f>
              <c:strCache>
                <c:ptCount val="16"/>
                <c:pt idx="0">
                  <c:v>2000 </c:v>
                </c:pt>
                <c:pt idx="1">
                  <c:v>2001 </c:v>
                </c:pt>
                <c:pt idx="2">
                  <c:v>2002 </c:v>
                </c:pt>
                <c:pt idx="3">
                  <c:v>2003 </c:v>
                </c:pt>
                <c:pt idx="4">
                  <c:v>2004 </c:v>
                </c:pt>
                <c:pt idx="5">
                  <c:v>2005 </c:v>
                </c:pt>
                <c:pt idx="6">
                  <c:v>2006 </c:v>
                </c:pt>
                <c:pt idx="7">
                  <c:v>2007 </c:v>
                </c:pt>
                <c:pt idx="8">
                  <c:v>2008 </c:v>
                </c:pt>
                <c:pt idx="9">
                  <c:v>2009 </c:v>
                </c:pt>
                <c:pt idx="10">
                  <c:v>2010 </c:v>
                </c:pt>
                <c:pt idx="11">
                  <c:v> 2011 </c:v>
                </c:pt>
                <c:pt idx="12">
                  <c:v>2012 </c:v>
                </c:pt>
                <c:pt idx="13">
                  <c:v>2013 </c:v>
                </c:pt>
                <c:pt idx="14">
                  <c:v>2014 </c:v>
                </c:pt>
                <c:pt idx="15">
                  <c:v>2015 </c:v>
                </c:pt>
              </c:strCache>
            </c:strRef>
          </c:cat>
          <c:val>
            <c:numRef>
              <c:f>'interactive sheet'!$I$7:$I$22</c:f>
              <c:numCache>
                <c:formatCode>_(* #,##0_);_(* \(#,##0\);_(* "-"??_);_(@_)</c:formatCode>
                <c:ptCount val="16"/>
                <c:pt idx="0">
                  <c:v>1487794.3019451001</c:v>
                </c:pt>
                <c:pt idx="1">
                  <c:v>1395148.3025935122</c:v>
                </c:pt>
                <c:pt idx="2">
                  <c:v>1283740.9693498602</c:v>
                </c:pt>
                <c:pt idx="3">
                  <c:v>1849585.9034132108</c:v>
                </c:pt>
                <c:pt idx="4">
                  <c:v>2392534.6374985157</c:v>
                </c:pt>
                <c:pt idx="5">
                  <c:v>2688932.6672953325</c:v>
                </c:pt>
                <c:pt idx="6">
                  <c:v>3814097.1323779691</c:v>
                </c:pt>
                <c:pt idx="7">
                  <c:v>4371808.8437681841</c:v>
                </c:pt>
                <c:pt idx="8">
                  <c:v>2557883.405252879</c:v>
                </c:pt>
                <c:pt idx="9">
                  <c:v>3308928.5147206103</c:v>
                </c:pt>
                <c:pt idx="10">
                  <c:v>3526345.6460096957</c:v>
                </c:pt>
                <c:pt idx="11">
                  <c:v>3095166.2248159996</c:v>
                </c:pt>
                <c:pt idx="12">
                  <c:v>3681349.3994306563</c:v>
                </c:pt>
                <c:pt idx="13">
                  <c:v>4618073.5110601457</c:v>
                </c:pt>
                <c:pt idx="14">
                  <c:v>4750066.6561424788</c:v>
                </c:pt>
                <c:pt idx="15">
                  <c:v>4977865.9259770596</c:v>
                </c:pt>
              </c:numCache>
            </c:numRef>
          </c:val>
        </c:ser>
        <c:ser>
          <c:idx val="2"/>
          <c:order val="1"/>
          <c:tx>
            <c:strRef>
              <c:f>'interactive sheet'!$J$6</c:f>
              <c:strCache>
                <c:ptCount val="1"/>
                <c:pt idx="0">
                  <c:v>Portf. Debt</c:v>
                </c:pt>
              </c:strCache>
            </c:strRef>
          </c:tx>
          <c:spPr>
            <a:solidFill>
              <a:schemeClr val="bg1">
                <a:lumMod val="85000"/>
              </a:schemeClr>
            </a:solidFill>
            <a:ln>
              <a:noFill/>
            </a:ln>
            <a:effectLst/>
          </c:spPr>
          <c:invertIfNegative val="0"/>
          <c:cat>
            <c:strRef>
              <c:f>'interactive sheet'!$G$7:$G$22</c:f>
              <c:strCache>
                <c:ptCount val="16"/>
                <c:pt idx="0">
                  <c:v>2000 </c:v>
                </c:pt>
                <c:pt idx="1">
                  <c:v>2001 </c:v>
                </c:pt>
                <c:pt idx="2">
                  <c:v>2002 </c:v>
                </c:pt>
                <c:pt idx="3">
                  <c:v>2003 </c:v>
                </c:pt>
                <c:pt idx="4">
                  <c:v>2004 </c:v>
                </c:pt>
                <c:pt idx="5">
                  <c:v>2005 </c:v>
                </c:pt>
                <c:pt idx="6">
                  <c:v>2006 </c:v>
                </c:pt>
                <c:pt idx="7">
                  <c:v>2007 </c:v>
                </c:pt>
                <c:pt idx="8">
                  <c:v>2008 </c:v>
                </c:pt>
                <c:pt idx="9">
                  <c:v>2009 </c:v>
                </c:pt>
                <c:pt idx="10">
                  <c:v>2010 </c:v>
                </c:pt>
                <c:pt idx="11">
                  <c:v> 2011 </c:v>
                </c:pt>
                <c:pt idx="12">
                  <c:v>2012 </c:v>
                </c:pt>
                <c:pt idx="13">
                  <c:v>2013 </c:v>
                </c:pt>
                <c:pt idx="14">
                  <c:v>2014 </c:v>
                </c:pt>
                <c:pt idx="15">
                  <c:v>2015 </c:v>
                </c:pt>
              </c:strCache>
            </c:strRef>
          </c:cat>
          <c:val>
            <c:numRef>
              <c:f>'interactive sheet'!$J$7:$J$22</c:f>
              <c:numCache>
                <c:formatCode>_(* #,##0_);_(* \(#,##0\);_(* "-"??_);_(@_)</c:formatCode>
                <c:ptCount val="16"/>
                <c:pt idx="0">
                  <c:v>2333650.2815025761</c:v>
                </c:pt>
                <c:pt idx="1">
                  <c:v>2375144.0140649211</c:v>
                </c:pt>
                <c:pt idx="2">
                  <c:v>3284144.8114597737</c:v>
                </c:pt>
                <c:pt idx="3">
                  <c:v>4569279.2111383798</c:v>
                </c:pt>
                <c:pt idx="4">
                  <c:v>5686962.5892722299</c:v>
                </c:pt>
                <c:pt idx="5">
                  <c:v>5864490.7678963738</c:v>
                </c:pt>
                <c:pt idx="6">
                  <c:v>7192918.8623036807</c:v>
                </c:pt>
                <c:pt idx="7">
                  <c:v>8374429.0457471572</c:v>
                </c:pt>
                <c:pt idx="8">
                  <c:v>8148714.1528327102</c:v>
                </c:pt>
                <c:pt idx="9">
                  <c:v>9428535.0461306069</c:v>
                </c:pt>
                <c:pt idx="10">
                  <c:v>8500895.4276110772</c:v>
                </c:pt>
                <c:pt idx="11">
                  <c:v>8066874.783747768</c:v>
                </c:pt>
                <c:pt idx="12">
                  <c:v>8808957.1105345506</c:v>
                </c:pt>
                <c:pt idx="13">
                  <c:v>9282426.3456506208</c:v>
                </c:pt>
                <c:pt idx="14">
                  <c:v>9158477.6566667166</c:v>
                </c:pt>
                <c:pt idx="15">
                  <c:v>8245575.340773413</c:v>
                </c:pt>
              </c:numCache>
            </c:numRef>
          </c:val>
        </c:ser>
        <c:dLbls>
          <c:showLegendKey val="0"/>
          <c:showVal val="0"/>
          <c:showCatName val="0"/>
          <c:showSerName val="0"/>
          <c:showPercent val="0"/>
          <c:showBubbleSize val="0"/>
        </c:dLbls>
        <c:gapWidth val="150"/>
        <c:overlap val="100"/>
        <c:axId val="233571840"/>
        <c:axId val="234007552"/>
      </c:barChart>
      <c:catAx>
        <c:axId val="2335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34007552"/>
        <c:crosses val="autoZero"/>
        <c:auto val="1"/>
        <c:lblAlgn val="ctr"/>
        <c:lblOffset val="100"/>
        <c:noMultiLvlLbl val="0"/>
      </c:catAx>
      <c:valAx>
        <c:axId val="234007552"/>
        <c:scaling>
          <c:orientation val="minMax"/>
          <c:max val="1400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233571840"/>
        <c:crosses val="autoZero"/>
        <c:crossBetween val="between"/>
        <c:dispUnits>
          <c:builtInUnit val="thousands"/>
        </c:dispUnits>
      </c:valAx>
      <c:spPr>
        <a:noFill/>
        <a:ln>
          <a:noFill/>
        </a:ln>
        <a:effectLst/>
      </c:spPr>
    </c:plotArea>
    <c:legend>
      <c:legendPos val="b"/>
      <c:layout>
        <c:manualLayout>
          <c:xMode val="edge"/>
          <c:yMode val="edge"/>
          <c:x val="0.12725992016905377"/>
          <c:y val="0.92271219121554515"/>
          <c:w val="0.74548015966189252"/>
          <c:h val="7.7287722409768847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Word]Tables!PivotTable3</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s>
    <c:plotArea>
      <c:layout/>
      <c:lineChart>
        <c:grouping val="standard"/>
        <c:varyColors val="0"/>
        <c:ser>
          <c:idx val="0"/>
          <c:order val="0"/>
          <c:tx>
            <c:strRef>
              <c:f>Tables!$X$22:$X$23</c:f>
              <c:strCache>
                <c:ptCount val="1"/>
                <c:pt idx="0">
                  <c:v>EA</c:v>
                </c:pt>
              </c:strCache>
            </c:strRef>
          </c:tx>
          <c:spPr>
            <a:ln w="19050">
              <a:solidFill>
                <a:schemeClr val="tx1"/>
              </a:solidFill>
            </a:ln>
          </c:spPr>
          <c:marker>
            <c:symbol val="none"/>
          </c:marker>
          <c:cat>
            <c:strRef>
              <c:f>Tables!$W$24:$W$40</c:f>
              <c:strCache>
                <c:ptCount val="17"/>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pt idx="16">
                  <c:v>2016 </c:v>
                </c:pt>
              </c:strCache>
            </c:strRef>
          </c:cat>
          <c:val>
            <c:numRef>
              <c:f>Tables!$X$24:$X$40</c:f>
              <c:numCache>
                <c:formatCode>0.0000</c:formatCode>
                <c:ptCount val="17"/>
                <c:pt idx="0">
                  <c:v>0.24920561050201501</c:v>
                </c:pt>
                <c:pt idx="1">
                  <c:v>0.395738100405431</c:v>
                </c:pt>
                <c:pt idx="2">
                  <c:v>0.324200414803128</c:v>
                </c:pt>
                <c:pt idx="3">
                  <c:v>0.324973030013676</c:v>
                </c:pt>
                <c:pt idx="4">
                  <c:v>0.40124580995346998</c:v>
                </c:pt>
                <c:pt idx="5">
                  <c:v>0.38227900361668499</c:v>
                </c:pt>
                <c:pt idx="6">
                  <c:v>0.44547120637460502</c:v>
                </c:pt>
                <c:pt idx="7">
                  <c:v>0.65110386015459698</c:v>
                </c:pt>
                <c:pt idx="8">
                  <c:v>0.78820301396987902</c:v>
                </c:pt>
                <c:pt idx="9">
                  <c:v>0.56359123046798199</c:v>
                </c:pt>
                <c:pt idx="10">
                  <c:v>0.61336769533079805</c:v>
                </c:pt>
                <c:pt idx="11">
                  <c:v>0.71382049624189603</c:v>
                </c:pt>
                <c:pt idx="12">
                  <c:v>0.58339512722693798</c:v>
                </c:pt>
                <c:pt idx="13">
                  <c:v>0.436083800135041</c:v>
                </c:pt>
                <c:pt idx="14">
                  <c:v>0.64349450387113205</c:v>
                </c:pt>
                <c:pt idx="15">
                  <c:v>0.65307427637203197</c:v>
                </c:pt>
                <c:pt idx="16">
                  <c:v>0.60341887718896503</c:v>
                </c:pt>
              </c:numCache>
            </c:numRef>
          </c:val>
          <c:smooth val="0"/>
        </c:ser>
        <c:ser>
          <c:idx val="1"/>
          <c:order val="1"/>
          <c:tx>
            <c:strRef>
              <c:f>Tables!$Y$22:$Y$23</c:f>
              <c:strCache>
                <c:ptCount val="1"/>
                <c:pt idx="0">
                  <c:v>EU28  </c:v>
                </c:pt>
              </c:strCache>
            </c:strRef>
          </c:tx>
          <c:spPr>
            <a:ln w="19050">
              <a:solidFill>
                <a:schemeClr val="bg1">
                  <a:lumMod val="65000"/>
                </a:schemeClr>
              </a:solidFill>
            </a:ln>
          </c:spPr>
          <c:marker>
            <c:symbol val="none"/>
          </c:marker>
          <c:cat>
            <c:strRef>
              <c:f>Tables!$W$24:$W$40</c:f>
              <c:strCache>
                <c:ptCount val="17"/>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pt idx="16">
                  <c:v>2016 </c:v>
                </c:pt>
              </c:strCache>
            </c:strRef>
          </c:cat>
          <c:val>
            <c:numRef>
              <c:f>Tables!$Y$24:$Y$40</c:f>
              <c:numCache>
                <c:formatCode>0.0000</c:formatCode>
                <c:ptCount val="17"/>
                <c:pt idx="0">
                  <c:v>0.30359385181697102</c:v>
                </c:pt>
                <c:pt idx="1">
                  <c:v>0.42599203760672399</c:v>
                </c:pt>
                <c:pt idx="2">
                  <c:v>0.34163077342669301</c:v>
                </c:pt>
                <c:pt idx="3">
                  <c:v>0.324973030013676</c:v>
                </c:pt>
                <c:pt idx="4">
                  <c:v>0.37277486085492301</c:v>
                </c:pt>
                <c:pt idx="5">
                  <c:v>0.34064995215302302</c:v>
                </c:pt>
                <c:pt idx="6">
                  <c:v>0.44466068623502852</c:v>
                </c:pt>
                <c:pt idx="7">
                  <c:v>0.62349518797009851</c:v>
                </c:pt>
                <c:pt idx="8">
                  <c:v>0.7707793913507055</c:v>
                </c:pt>
                <c:pt idx="9">
                  <c:v>0.57340119181163751</c:v>
                </c:pt>
                <c:pt idx="10">
                  <c:v>0.64501962935470059</c:v>
                </c:pt>
                <c:pt idx="11">
                  <c:v>0.67570190252588447</c:v>
                </c:pt>
                <c:pt idx="12">
                  <c:v>0.549355673571572</c:v>
                </c:pt>
                <c:pt idx="13">
                  <c:v>0.420638363444654</c:v>
                </c:pt>
                <c:pt idx="14">
                  <c:v>0.45779291802446898</c:v>
                </c:pt>
                <c:pt idx="15">
                  <c:v>0.62067401038033942</c:v>
                </c:pt>
                <c:pt idx="16">
                  <c:v>0.46116345655479496</c:v>
                </c:pt>
              </c:numCache>
            </c:numRef>
          </c:val>
          <c:smooth val="0"/>
        </c:ser>
        <c:ser>
          <c:idx val="2"/>
          <c:order val="2"/>
          <c:tx>
            <c:strRef>
              <c:f>Tables!$Z$22:$Z$23</c:f>
              <c:strCache>
                <c:ptCount val="1"/>
                <c:pt idx="0">
                  <c:v>EU27   </c:v>
                </c:pt>
              </c:strCache>
            </c:strRef>
          </c:tx>
          <c:spPr>
            <a:ln w="19050">
              <a:solidFill>
                <a:schemeClr val="tx1"/>
              </a:solidFill>
              <a:prstDash val="dash"/>
            </a:ln>
          </c:spPr>
          <c:marker>
            <c:symbol val="none"/>
          </c:marker>
          <c:cat>
            <c:strRef>
              <c:f>Tables!$W$24:$W$40</c:f>
              <c:strCache>
                <c:ptCount val="17"/>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pt idx="16">
                  <c:v>2016 </c:v>
                </c:pt>
              </c:strCache>
            </c:strRef>
          </c:cat>
          <c:val>
            <c:numRef>
              <c:f>Tables!$Z$24:$Z$40</c:f>
              <c:numCache>
                <c:formatCode>0.0000</c:formatCode>
                <c:ptCount val="17"/>
                <c:pt idx="0">
                  <c:v>0.29549826596782203</c:v>
                </c:pt>
                <c:pt idx="1">
                  <c:v>0.41836351341831801</c:v>
                </c:pt>
                <c:pt idx="2">
                  <c:v>0.33291559411491051</c:v>
                </c:pt>
                <c:pt idx="3">
                  <c:v>0.28982350408033852</c:v>
                </c:pt>
                <c:pt idx="4">
                  <c:v>0.34926758812759501</c:v>
                </c:pt>
                <c:pt idx="5">
                  <c:v>0.33257444733060348</c:v>
                </c:pt>
                <c:pt idx="6">
                  <c:v>0.44385016609545203</c:v>
                </c:pt>
                <c:pt idx="7">
                  <c:v>0.60327110516500804</c:v>
                </c:pt>
                <c:pt idx="8">
                  <c:v>0.76728726739076203</c:v>
                </c:pt>
                <c:pt idx="9">
                  <c:v>0.569189306842246</c:v>
                </c:pt>
                <c:pt idx="10">
                  <c:v>0.61336769533079805</c:v>
                </c:pt>
                <c:pt idx="11">
                  <c:v>0.63801613536979296</c:v>
                </c:pt>
                <c:pt idx="12">
                  <c:v>0.522049704041322</c:v>
                </c:pt>
                <c:pt idx="13">
                  <c:v>0.40519292675426699</c:v>
                </c:pt>
                <c:pt idx="14">
                  <c:v>0.40709821494070603</c:v>
                </c:pt>
                <c:pt idx="15">
                  <c:v>0.61793747317588699</c:v>
                </c:pt>
                <c:pt idx="16">
                  <c:v>0.43088538189860298</c:v>
                </c:pt>
              </c:numCache>
            </c:numRef>
          </c:val>
          <c:smooth val="0"/>
        </c:ser>
        <c:dLbls>
          <c:showLegendKey val="0"/>
          <c:showVal val="0"/>
          <c:showCatName val="0"/>
          <c:showSerName val="0"/>
          <c:showPercent val="0"/>
          <c:showBubbleSize val="0"/>
        </c:dLbls>
        <c:marker val="1"/>
        <c:smooth val="0"/>
        <c:axId val="88016000"/>
        <c:axId val="88017536"/>
      </c:lineChart>
      <c:catAx>
        <c:axId val="88016000"/>
        <c:scaling>
          <c:orientation val="minMax"/>
        </c:scaling>
        <c:delete val="0"/>
        <c:axPos val="b"/>
        <c:numFmt formatCode="#,##0" sourceLinked="0"/>
        <c:majorTickMark val="none"/>
        <c:minorTickMark val="none"/>
        <c:tickLblPos val="nextTo"/>
        <c:txPr>
          <a:bodyPr/>
          <a:lstStyle/>
          <a:p>
            <a:pPr>
              <a:defRPr sz="800"/>
            </a:pPr>
            <a:endParaRPr lang="en-US"/>
          </a:p>
        </c:txPr>
        <c:crossAx val="88017536"/>
        <c:crosses val="autoZero"/>
        <c:auto val="1"/>
        <c:lblAlgn val="ctr"/>
        <c:lblOffset val="100"/>
        <c:noMultiLvlLbl val="0"/>
      </c:catAx>
      <c:valAx>
        <c:axId val="88017536"/>
        <c:scaling>
          <c:orientation val="minMax"/>
          <c:max val="1"/>
        </c:scaling>
        <c:delete val="0"/>
        <c:axPos val="l"/>
        <c:majorGridlines>
          <c:spPr>
            <a:ln>
              <a:solidFill>
                <a:schemeClr val="bg1">
                  <a:lumMod val="65000"/>
                </a:schemeClr>
              </a:solidFill>
            </a:ln>
          </c:spPr>
        </c:majorGridlines>
        <c:numFmt formatCode="0.0" sourceLinked="0"/>
        <c:majorTickMark val="none"/>
        <c:minorTickMark val="none"/>
        <c:tickLblPos val="nextTo"/>
        <c:spPr>
          <a:ln w="9525">
            <a:noFill/>
          </a:ln>
        </c:spPr>
        <c:txPr>
          <a:bodyPr/>
          <a:lstStyle/>
          <a:p>
            <a:pPr>
              <a:defRPr sz="800"/>
            </a:pPr>
            <a:endParaRPr lang="en-US"/>
          </a:p>
        </c:txPr>
        <c:crossAx val="88016000"/>
        <c:crosses val="autoZero"/>
        <c:crossBetween val="between"/>
      </c:valAx>
    </c:plotArea>
    <c:legend>
      <c:legendPos val="b"/>
      <c:layout/>
      <c:overlay val="0"/>
      <c:txPr>
        <a:bodyPr/>
        <a:lstStyle/>
        <a:p>
          <a:pPr>
            <a:defRPr sz="800"/>
          </a:pPr>
          <a:endParaRPr lang="en-US"/>
        </a:p>
      </c:txPr>
    </c:legend>
    <c:plotVisOnly val="1"/>
    <c:dispBlanksAs val="gap"/>
    <c:showDLblsOverMax val="0"/>
  </c:chart>
  <c:spPr>
    <a:noFill/>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[Resuls_PCA1F_equity+bonds.xlsx]Tables!PivotTable3</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s>
    <c:plotArea>
      <c:layout/>
      <c:lineChart>
        <c:grouping val="standard"/>
        <c:varyColors val="0"/>
        <c:ser>
          <c:idx val="0"/>
          <c:order val="0"/>
          <c:tx>
            <c:strRef>
              <c:f>Tables!$X$22:$X$23</c:f>
              <c:strCache>
                <c:ptCount val="1"/>
                <c:pt idx="0">
                  <c:v>EA</c:v>
                </c:pt>
              </c:strCache>
            </c:strRef>
          </c:tx>
          <c:spPr>
            <a:ln w="19050">
              <a:solidFill>
                <a:schemeClr val="tx1"/>
              </a:solidFill>
            </a:ln>
          </c:spPr>
          <c:marker>
            <c:symbol val="none"/>
          </c:marker>
          <c:cat>
            <c:strRef>
              <c:f>Tables!$W$24:$W$40</c:f>
              <c:strCache>
                <c:ptCount val="17"/>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pt idx="16">
                  <c:v>2016 </c:v>
                </c:pt>
              </c:strCache>
            </c:strRef>
          </c:cat>
          <c:val>
            <c:numRef>
              <c:f>Tables!$X$24:$X$40</c:f>
              <c:numCache>
                <c:formatCode>0.0000</c:formatCode>
                <c:ptCount val="17"/>
                <c:pt idx="0">
                  <c:v>0.95893836384995301</c:v>
                </c:pt>
                <c:pt idx="1">
                  <c:v>0.97248725150535198</c:v>
                </c:pt>
                <c:pt idx="2">
                  <c:v>0.96894929696295995</c:v>
                </c:pt>
                <c:pt idx="3">
                  <c:v>0.97258124427786996</c:v>
                </c:pt>
                <c:pt idx="4">
                  <c:v>0.95391195591663003</c:v>
                </c:pt>
                <c:pt idx="5">
                  <c:v>0.98245226786443096</c:v>
                </c:pt>
                <c:pt idx="6">
                  <c:v>0.98434231581009901</c:v>
                </c:pt>
                <c:pt idx="7">
                  <c:v>0.94321331458959101</c:v>
                </c:pt>
                <c:pt idx="8">
                  <c:v>0.93098089237778048</c:v>
                </c:pt>
                <c:pt idx="9">
                  <c:v>0.74419912574790659</c:v>
                </c:pt>
                <c:pt idx="10">
                  <c:v>0.50331081647808495</c:v>
                </c:pt>
                <c:pt idx="11">
                  <c:v>0.15090287007198999</c:v>
                </c:pt>
                <c:pt idx="12">
                  <c:v>0.1010799363021552</c:v>
                </c:pt>
                <c:pt idx="13">
                  <c:v>0.50587532261808699</c:v>
                </c:pt>
                <c:pt idx="14">
                  <c:v>0.34009795816155602</c:v>
                </c:pt>
                <c:pt idx="15">
                  <c:v>0.65761985578861903</c:v>
                </c:pt>
                <c:pt idx="16">
                  <c:v>0.62415082299917701</c:v>
                </c:pt>
              </c:numCache>
            </c:numRef>
          </c:val>
          <c:smooth val="0"/>
        </c:ser>
        <c:ser>
          <c:idx val="1"/>
          <c:order val="1"/>
          <c:tx>
            <c:strRef>
              <c:f>Tables!$Y$22:$Y$23</c:f>
              <c:strCache>
                <c:ptCount val="1"/>
                <c:pt idx="0">
                  <c:v>EU28  </c:v>
                </c:pt>
              </c:strCache>
            </c:strRef>
          </c:tx>
          <c:spPr>
            <a:ln w="19050">
              <a:solidFill>
                <a:schemeClr val="bg1">
                  <a:lumMod val="65000"/>
                </a:schemeClr>
              </a:solidFill>
            </a:ln>
          </c:spPr>
          <c:marker>
            <c:symbol val="none"/>
          </c:marker>
          <c:cat>
            <c:strRef>
              <c:f>Tables!$W$24:$W$40</c:f>
              <c:strCache>
                <c:ptCount val="17"/>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pt idx="16">
                  <c:v>2016 </c:v>
                </c:pt>
              </c:strCache>
            </c:strRef>
          </c:cat>
          <c:val>
            <c:numRef>
              <c:f>Tables!$Y$24:$Y$40</c:f>
              <c:numCache>
                <c:formatCode>0.0000</c:formatCode>
                <c:ptCount val="17"/>
                <c:pt idx="0">
                  <c:v>0.93368969254841805</c:v>
                </c:pt>
                <c:pt idx="1">
                  <c:v>0.9579664422481905</c:v>
                </c:pt>
                <c:pt idx="2">
                  <c:v>0.96793711164516849</c:v>
                </c:pt>
                <c:pt idx="3">
                  <c:v>0.96350520351499847</c:v>
                </c:pt>
                <c:pt idx="4">
                  <c:v>0.94401801463900303</c:v>
                </c:pt>
                <c:pt idx="5">
                  <c:v>0.97887675303587796</c:v>
                </c:pt>
                <c:pt idx="6">
                  <c:v>0.97939116382796898</c:v>
                </c:pt>
                <c:pt idx="7">
                  <c:v>0.94236579242387297</c:v>
                </c:pt>
                <c:pt idx="8">
                  <c:v>0.90283325451372998</c:v>
                </c:pt>
                <c:pt idx="9">
                  <c:v>0.56509504825030599</c:v>
                </c:pt>
                <c:pt idx="10">
                  <c:v>0.50331081647808495</c:v>
                </c:pt>
                <c:pt idx="11">
                  <c:v>0.23707906359870151</c:v>
                </c:pt>
                <c:pt idx="12">
                  <c:v>0.1010799363021552</c:v>
                </c:pt>
                <c:pt idx="13">
                  <c:v>0.31234516843724802</c:v>
                </c:pt>
                <c:pt idx="14">
                  <c:v>0.25488410178234999</c:v>
                </c:pt>
                <c:pt idx="15">
                  <c:v>0.44774309767447501</c:v>
                </c:pt>
                <c:pt idx="16">
                  <c:v>0.40335224492440602</c:v>
                </c:pt>
              </c:numCache>
            </c:numRef>
          </c:val>
          <c:smooth val="0"/>
        </c:ser>
        <c:ser>
          <c:idx val="2"/>
          <c:order val="2"/>
          <c:tx>
            <c:strRef>
              <c:f>Tables!$Z$22:$Z$23</c:f>
              <c:strCache>
                <c:ptCount val="1"/>
                <c:pt idx="0">
                  <c:v>EU27   </c:v>
                </c:pt>
              </c:strCache>
            </c:strRef>
          </c:tx>
          <c:spPr>
            <a:ln w="19050">
              <a:solidFill>
                <a:schemeClr val="tx1"/>
              </a:solidFill>
              <a:prstDash val="dash"/>
            </a:ln>
          </c:spPr>
          <c:marker>
            <c:symbol val="none"/>
          </c:marker>
          <c:cat>
            <c:strRef>
              <c:f>Tables!$W$24:$W$40</c:f>
              <c:strCache>
                <c:ptCount val="17"/>
                <c:pt idx="0">
                  <c:v>2000 </c:v>
                </c:pt>
                <c:pt idx="1">
                  <c:v>2001 </c:v>
                </c:pt>
                <c:pt idx="2">
                  <c:v>2002 </c:v>
                </c:pt>
                <c:pt idx="3">
                  <c:v>2003 </c:v>
                </c:pt>
                <c:pt idx="4">
                  <c:v>2004 </c:v>
                </c:pt>
                <c:pt idx="5">
                  <c:v>2005 </c:v>
                </c:pt>
                <c:pt idx="6">
                  <c:v>2006 </c:v>
                </c:pt>
                <c:pt idx="7">
                  <c:v>2007 </c:v>
                </c:pt>
                <c:pt idx="8">
                  <c:v>2008 </c:v>
                </c:pt>
                <c:pt idx="9">
                  <c:v>2009 </c:v>
                </c:pt>
                <c:pt idx="10">
                  <c:v>2010 </c:v>
                </c:pt>
                <c:pt idx="11">
                  <c:v>2011 </c:v>
                </c:pt>
                <c:pt idx="12">
                  <c:v>2012 </c:v>
                </c:pt>
                <c:pt idx="13">
                  <c:v>2013 </c:v>
                </c:pt>
                <c:pt idx="14">
                  <c:v>2014 </c:v>
                </c:pt>
                <c:pt idx="15">
                  <c:v>2015 </c:v>
                </c:pt>
                <c:pt idx="16">
                  <c:v>2016 </c:v>
                </c:pt>
              </c:strCache>
            </c:strRef>
          </c:cat>
          <c:val>
            <c:numRef>
              <c:f>Tables!$Z$24:$Z$40</c:f>
              <c:numCache>
                <c:formatCode>0.0000</c:formatCode>
                <c:ptCount val="17"/>
                <c:pt idx="0">
                  <c:v>0.94539563261521053</c:v>
                </c:pt>
                <c:pt idx="1">
                  <c:v>0.96510850834665596</c:v>
                </c:pt>
                <c:pt idx="2">
                  <c:v>0.96825253117960297</c:v>
                </c:pt>
                <c:pt idx="3">
                  <c:v>0.96485149169537598</c:v>
                </c:pt>
                <c:pt idx="4">
                  <c:v>0.94896498527781659</c:v>
                </c:pt>
                <c:pt idx="5">
                  <c:v>0.97976874587639995</c:v>
                </c:pt>
                <c:pt idx="6">
                  <c:v>0.98186673981903394</c:v>
                </c:pt>
                <c:pt idx="7">
                  <c:v>0.94261545296917248</c:v>
                </c:pt>
                <c:pt idx="8">
                  <c:v>0.91631251566740146</c:v>
                </c:pt>
                <c:pt idx="9">
                  <c:v>0.62328177013457997</c:v>
                </c:pt>
                <c:pt idx="10">
                  <c:v>0.40375220493442648</c:v>
                </c:pt>
                <c:pt idx="11">
                  <c:v>0.20463528438978601</c:v>
                </c:pt>
                <c:pt idx="12">
                  <c:v>7.1297407630816406E-2</c:v>
                </c:pt>
                <c:pt idx="13">
                  <c:v>0.29967936123919248</c:v>
                </c:pt>
                <c:pt idx="14">
                  <c:v>0.25044241318611798</c:v>
                </c:pt>
                <c:pt idx="15">
                  <c:v>0.4753580223753785</c:v>
                </c:pt>
                <c:pt idx="16">
                  <c:v>0.38384300663129001</c:v>
                </c:pt>
              </c:numCache>
            </c:numRef>
          </c:val>
          <c:smooth val="0"/>
        </c:ser>
        <c:dLbls>
          <c:showLegendKey val="0"/>
          <c:showVal val="0"/>
          <c:showCatName val="0"/>
          <c:showSerName val="0"/>
          <c:showPercent val="0"/>
          <c:showBubbleSize val="0"/>
        </c:dLbls>
        <c:marker val="1"/>
        <c:smooth val="0"/>
        <c:axId val="164331520"/>
        <c:axId val="164333056"/>
      </c:lineChart>
      <c:catAx>
        <c:axId val="164331520"/>
        <c:scaling>
          <c:orientation val="minMax"/>
        </c:scaling>
        <c:delete val="0"/>
        <c:axPos val="b"/>
        <c:numFmt formatCode="#,##0" sourceLinked="0"/>
        <c:majorTickMark val="none"/>
        <c:minorTickMark val="none"/>
        <c:tickLblPos val="nextTo"/>
        <c:txPr>
          <a:bodyPr/>
          <a:lstStyle/>
          <a:p>
            <a:pPr>
              <a:defRPr sz="800"/>
            </a:pPr>
            <a:endParaRPr lang="en-US"/>
          </a:p>
        </c:txPr>
        <c:crossAx val="164333056"/>
        <c:crosses val="autoZero"/>
        <c:auto val="1"/>
        <c:lblAlgn val="ctr"/>
        <c:lblOffset val="100"/>
        <c:noMultiLvlLbl val="0"/>
      </c:catAx>
      <c:valAx>
        <c:axId val="164333056"/>
        <c:scaling>
          <c:orientation val="minMax"/>
          <c:max val="1"/>
        </c:scaling>
        <c:delete val="0"/>
        <c:axPos val="l"/>
        <c:majorGridlines>
          <c:spPr>
            <a:ln>
              <a:solidFill>
                <a:schemeClr val="bg1">
                  <a:lumMod val="65000"/>
                </a:schemeClr>
              </a:solidFill>
            </a:ln>
          </c:spPr>
        </c:majorGridlines>
        <c:numFmt formatCode="0.0" sourceLinked="0"/>
        <c:majorTickMark val="none"/>
        <c:minorTickMark val="none"/>
        <c:tickLblPos val="nextTo"/>
        <c:spPr>
          <a:ln w="9525">
            <a:noFill/>
          </a:ln>
        </c:spPr>
        <c:txPr>
          <a:bodyPr/>
          <a:lstStyle/>
          <a:p>
            <a:pPr>
              <a:defRPr sz="800"/>
            </a:pPr>
            <a:endParaRPr lang="en-US"/>
          </a:p>
        </c:txPr>
        <c:crossAx val="164331520"/>
        <c:crosses val="autoZero"/>
        <c:crossBetween val="between"/>
      </c:valAx>
    </c:plotArea>
    <c:legend>
      <c:legendPos val="b"/>
      <c:layout/>
      <c:overlay val="0"/>
      <c:txPr>
        <a:bodyPr/>
        <a:lstStyle/>
        <a:p>
          <a:pPr>
            <a:defRPr sz="800"/>
          </a:pPr>
          <a:endParaRPr lang="en-US"/>
        </a:p>
      </c:txPr>
    </c:legend>
    <c:plotVisOnly val="1"/>
    <c:dispBlanksAs val="gap"/>
    <c:showDLblsOverMax val="0"/>
  </c:chart>
  <c:spPr>
    <a:noFill/>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7217902886037"/>
          <c:y val="7.2441748433712955E-2"/>
          <c:w val="0.83599400109900501"/>
          <c:h val="0.79057074971246277"/>
        </c:manualLayout>
      </c:layout>
      <c:scatterChart>
        <c:scatterStyle val="lineMarker"/>
        <c:varyColors val="0"/>
        <c:ser>
          <c:idx val="0"/>
          <c:order val="0"/>
          <c:spPr>
            <a:ln w="28575">
              <a:noFill/>
            </a:ln>
          </c:spPr>
          <c:marker>
            <c:symbol val="diamond"/>
            <c:size val="4"/>
          </c:marker>
          <c:trendline>
            <c:trendlineType val="linear"/>
            <c:dispRSqr val="0"/>
            <c:dispEq val="1"/>
            <c:trendlineLbl>
              <c:layout>
                <c:manualLayout>
                  <c:x val="-0.28608217938909342"/>
                  <c:y val="-0.20428417492633966"/>
                </c:manualLayout>
              </c:layout>
              <c:numFmt formatCode="General" sourceLinked="0"/>
            </c:trendlineLbl>
          </c:trendline>
          <c:xVal>
            <c:numRef>
              <c:f>tables1!$X$6:$X$33</c:f>
              <c:numCache>
                <c:formatCode>0.000</c:formatCode>
                <c:ptCount val="28"/>
                <c:pt idx="0">
                  <c:v>0.19236235152849873</c:v>
                </c:pt>
                <c:pt idx="1">
                  <c:v>0.5030183179946438</c:v>
                </c:pt>
                <c:pt idx="2">
                  <c:v>0.29445905020727831</c:v>
                </c:pt>
                <c:pt idx="3">
                  <c:v>0.43161654239200031</c:v>
                </c:pt>
                <c:pt idx="4">
                  <c:v>0.43754911962160109</c:v>
                </c:pt>
                <c:pt idx="5">
                  <c:v>0.60540591342745387</c:v>
                </c:pt>
                <c:pt idx="6">
                  <c:v>0.35954152086755325</c:v>
                </c:pt>
                <c:pt idx="7">
                  <c:v>9.9560467288180785E-2</c:v>
                </c:pt>
                <c:pt idx="8">
                  <c:v>0.19382557515536775</c:v>
                </c:pt>
                <c:pt idx="9">
                  <c:v>0.63909575167722921</c:v>
                </c:pt>
                <c:pt idx="10">
                  <c:v>0.25764397671356232</c:v>
                </c:pt>
                <c:pt idx="11">
                  <c:v>0.60373739122055869</c:v>
                </c:pt>
                <c:pt idx="12">
                  <c:v>0.44615391456221304</c:v>
                </c:pt>
                <c:pt idx="13">
                  <c:v>0.21401461984721984</c:v>
                </c:pt>
                <c:pt idx="14">
                  <c:v>0.43841780175916317</c:v>
                </c:pt>
                <c:pt idx="15">
                  <c:v>0.60656434351378186</c:v>
                </c:pt>
                <c:pt idx="16">
                  <c:v>0.28054265597673922</c:v>
                </c:pt>
                <c:pt idx="17">
                  <c:v>0.63254246695291605</c:v>
                </c:pt>
                <c:pt idx="18">
                  <c:v>0.42396204670305232</c:v>
                </c:pt>
                <c:pt idx="19">
                  <c:v>0.5298907298528327</c:v>
                </c:pt>
                <c:pt idx="20">
                  <c:v>0.59313186316362454</c:v>
                </c:pt>
                <c:pt idx="21">
                  <c:v>0.48306956250285016</c:v>
                </c:pt>
                <c:pt idx="22">
                  <c:v>0.54711819005361917</c:v>
                </c:pt>
                <c:pt idx="23">
                  <c:v>0.34364816327737185</c:v>
                </c:pt>
                <c:pt idx="24">
                  <c:v>0.42410560131517627</c:v>
                </c:pt>
                <c:pt idx="25">
                  <c:v>0.53607964731895186</c:v>
                </c:pt>
                <c:pt idx="26">
                  <c:v>0.38723593238774168</c:v>
                </c:pt>
                <c:pt idx="27">
                  <c:v>0.55896279205034816</c:v>
                </c:pt>
              </c:numCache>
            </c:numRef>
          </c:xVal>
          <c:yVal>
            <c:numRef>
              <c:f>tables1!$Y$6:$Y$33</c:f>
              <c:numCache>
                <c:formatCode>General</c:formatCode>
                <c:ptCount val="28"/>
                <c:pt idx="0">
                  <c:v>-8</c:v>
                </c:pt>
                <c:pt idx="1">
                  <c:v>-6</c:v>
                </c:pt>
                <c:pt idx="2">
                  <c:v>5</c:v>
                </c:pt>
                <c:pt idx="3">
                  <c:v>-57</c:v>
                </c:pt>
                <c:pt idx="4">
                  <c:v>5</c:v>
                </c:pt>
                <c:pt idx="5">
                  <c:v>17</c:v>
                </c:pt>
                <c:pt idx="6">
                  <c:v>6</c:v>
                </c:pt>
                <c:pt idx="7">
                  <c:v>27</c:v>
                </c:pt>
                <c:pt idx="8">
                  <c:v>-4</c:v>
                </c:pt>
                <c:pt idx="9">
                  <c:v>5</c:v>
                </c:pt>
                <c:pt idx="10">
                  <c:v>9</c:v>
                </c:pt>
                <c:pt idx="11">
                  <c:v>4</c:v>
                </c:pt>
                <c:pt idx="12">
                  <c:v>-6</c:v>
                </c:pt>
                <c:pt idx="13">
                  <c:v>-9</c:v>
                </c:pt>
                <c:pt idx="14">
                  <c:v>36</c:v>
                </c:pt>
                <c:pt idx="15">
                  <c:v>4</c:v>
                </c:pt>
                <c:pt idx="16">
                  <c:v>23</c:v>
                </c:pt>
                <c:pt idx="17">
                  <c:v>49</c:v>
                </c:pt>
                <c:pt idx="18">
                  <c:v>39</c:v>
                </c:pt>
                <c:pt idx="19">
                  <c:v>28</c:v>
                </c:pt>
                <c:pt idx="20">
                  <c:v>10</c:v>
                </c:pt>
                <c:pt idx="21">
                  <c:v>22</c:v>
                </c:pt>
                <c:pt idx="22">
                  <c:v>19</c:v>
                </c:pt>
                <c:pt idx="23">
                  <c:v>2</c:v>
                </c:pt>
                <c:pt idx="24">
                  <c:v>-7</c:v>
                </c:pt>
                <c:pt idx="25">
                  <c:v>13</c:v>
                </c:pt>
                <c:pt idx="26">
                  <c:v>-21</c:v>
                </c:pt>
                <c:pt idx="27">
                  <c:v>17</c:v>
                </c:pt>
              </c:numCache>
            </c:numRef>
          </c:yVal>
          <c:smooth val="0"/>
        </c:ser>
        <c:dLbls>
          <c:showLegendKey val="0"/>
          <c:showVal val="0"/>
          <c:showCatName val="0"/>
          <c:showSerName val="0"/>
          <c:showPercent val="0"/>
          <c:showBubbleSize val="0"/>
        </c:dLbls>
        <c:axId val="203261440"/>
        <c:axId val="203263360"/>
      </c:scatterChart>
      <c:valAx>
        <c:axId val="203261440"/>
        <c:scaling>
          <c:orientation val="minMax"/>
        </c:scaling>
        <c:delete val="0"/>
        <c:axPos val="b"/>
        <c:title>
          <c:tx>
            <c:rich>
              <a:bodyPr/>
              <a:lstStyle/>
              <a:p>
                <a:pPr>
                  <a:defRPr/>
                </a:pPr>
                <a:r>
                  <a:rPr lang="en-GB"/>
                  <a:t>Diversification of assets, average 2000-2014</a:t>
                </a:r>
              </a:p>
            </c:rich>
          </c:tx>
          <c:layout>
            <c:manualLayout>
              <c:xMode val="edge"/>
              <c:yMode val="edge"/>
              <c:x val="0.30322586404474844"/>
              <c:y val="0.9319153355088774"/>
            </c:manualLayout>
          </c:layout>
          <c:overlay val="0"/>
        </c:title>
        <c:numFmt formatCode="0.0" sourceLinked="0"/>
        <c:majorTickMark val="cross"/>
        <c:minorTickMark val="none"/>
        <c:tickLblPos val="low"/>
        <c:crossAx val="203263360"/>
        <c:crosses val="autoZero"/>
        <c:crossBetween val="midCat"/>
      </c:valAx>
      <c:valAx>
        <c:axId val="203263360"/>
        <c:scaling>
          <c:orientation val="minMax"/>
        </c:scaling>
        <c:delete val="0"/>
        <c:axPos val="l"/>
        <c:majorGridlines/>
        <c:title>
          <c:tx>
            <c:rich>
              <a:bodyPr/>
              <a:lstStyle/>
              <a:p>
                <a:pPr>
                  <a:defRPr/>
                </a:pPr>
                <a:r>
                  <a:rPr lang="en-GB"/>
                  <a:t>Risk Sharing (1995-2015)</a:t>
                </a:r>
              </a:p>
            </c:rich>
          </c:tx>
          <c:layout>
            <c:manualLayout>
              <c:xMode val="edge"/>
              <c:yMode val="edge"/>
              <c:x val="4.1999160016799666E-3"/>
              <c:y val="0.20199485450075416"/>
            </c:manualLayout>
          </c:layout>
          <c:overlay val="0"/>
        </c:title>
        <c:numFmt formatCode="General" sourceLinked="1"/>
        <c:majorTickMark val="none"/>
        <c:minorTickMark val="none"/>
        <c:tickLblPos val="nextTo"/>
        <c:crossAx val="203261440"/>
        <c:crosses val="autoZero"/>
        <c:crossBetween val="midCat"/>
      </c:valAx>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5796150481188"/>
          <c:y val="5.1400554097404488E-2"/>
          <c:w val="0.84579615048118983"/>
          <c:h val="0.79647140785163695"/>
        </c:manualLayout>
      </c:layout>
      <c:scatterChart>
        <c:scatterStyle val="lineMarker"/>
        <c:varyColors val="0"/>
        <c:ser>
          <c:idx val="0"/>
          <c:order val="0"/>
          <c:spPr>
            <a:ln w="28575">
              <a:noFill/>
            </a:ln>
          </c:spPr>
          <c:marker>
            <c:symbol val="diamond"/>
            <c:size val="4"/>
          </c:marker>
          <c:trendline>
            <c:trendlineType val="linear"/>
            <c:dispRSqr val="0"/>
            <c:dispEq val="1"/>
            <c:trendlineLbl>
              <c:layout>
                <c:manualLayout>
                  <c:x val="-0.18209726128215928"/>
                  <c:y val="-0.25514306259472319"/>
                </c:manualLayout>
              </c:layout>
              <c:numFmt formatCode="General" sourceLinked="0"/>
            </c:trendlineLbl>
          </c:trendline>
          <c:xVal>
            <c:numRef>
              <c:f>tables1!$P$6:$P$32</c:f>
              <c:numCache>
                <c:formatCode>0.000</c:formatCode>
                <c:ptCount val="27"/>
                <c:pt idx="0">
                  <c:v>0.76407358159495287</c:v>
                </c:pt>
                <c:pt idx="1">
                  <c:v>0.65490106018314576</c:v>
                </c:pt>
                <c:pt idx="2">
                  <c:v>0.99334498780062574</c:v>
                </c:pt>
                <c:pt idx="3">
                  <c:v>0.72569521201037146</c:v>
                </c:pt>
                <c:pt idx="4">
                  <c:v>0.48932926394236387</c:v>
                </c:pt>
                <c:pt idx="5">
                  <c:v>0.76643539062421973</c:v>
                </c:pt>
                <c:pt idx="6">
                  <c:v>0.88681581788179065</c:v>
                </c:pt>
                <c:pt idx="7">
                  <c:v>0.70843944667394265</c:v>
                </c:pt>
                <c:pt idx="8">
                  <c:v>0.83510105495246345</c:v>
                </c:pt>
                <c:pt idx="9">
                  <c:v>0.85215516628490706</c:v>
                </c:pt>
                <c:pt idx="10">
                  <c:v>0.61624688540069006</c:v>
                </c:pt>
                <c:pt idx="11">
                  <c:v>0.78321378483963988</c:v>
                </c:pt>
                <c:pt idx="12">
                  <c:v>0.9671580177051794</c:v>
                </c:pt>
                <c:pt idx="13">
                  <c:v>0.15563169386303269</c:v>
                </c:pt>
                <c:pt idx="14">
                  <c:v>0.839475477536899</c:v>
                </c:pt>
                <c:pt idx="15">
                  <c:v>0.94615214218088972</c:v>
                </c:pt>
                <c:pt idx="16">
                  <c:v>0.26722029969165945</c:v>
                </c:pt>
                <c:pt idx="17">
                  <c:v>0.93681368055252723</c:v>
                </c:pt>
                <c:pt idx="18">
                  <c:v>0.67714458727952598</c:v>
                </c:pt>
                <c:pt idx="19">
                  <c:v>0.67005201914346624</c:v>
                </c:pt>
                <c:pt idx="20">
                  <c:v>0.97797829741696252</c:v>
                </c:pt>
                <c:pt idx="21">
                  <c:v>0.74030383474039152</c:v>
                </c:pt>
                <c:pt idx="22">
                  <c:v>0.99193123832289665</c:v>
                </c:pt>
                <c:pt idx="23">
                  <c:v>0.84767528739669096</c:v>
                </c:pt>
                <c:pt idx="24">
                  <c:v>0.767158477673894</c:v>
                </c:pt>
                <c:pt idx="25">
                  <c:v>0.80319881545993177</c:v>
                </c:pt>
                <c:pt idx="26">
                  <c:v>0.84016352305322572</c:v>
                </c:pt>
              </c:numCache>
            </c:numRef>
          </c:xVal>
          <c:yVal>
            <c:numRef>
              <c:f>tables1!$Q$6:$Q$32</c:f>
              <c:numCache>
                <c:formatCode>General</c:formatCode>
                <c:ptCount val="27"/>
                <c:pt idx="0">
                  <c:v>-8</c:v>
                </c:pt>
                <c:pt idx="1">
                  <c:v>-6</c:v>
                </c:pt>
                <c:pt idx="2">
                  <c:v>5</c:v>
                </c:pt>
                <c:pt idx="3">
                  <c:v>-57</c:v>
                </c:pt>
                <c:pt idx="4">
                  <c:v>5</c:v>
                </c:pt>
                <c:pt idx="5">
                  <c:v>17</c:v>
                </c:pt>
                <c:pt idx="6">
                  <c:v>6</c:v>
                </c:pt>
                <c:pt idx="7">
                  <c:v>27</c:v>
                </c:pt>
                <c:pt idx="8">
                  <c:v>-4</c:v>
                </c:pt>
                <c:pt idx="9">
                  <c:v>5</c:v>
                </c:pt>
                <c:pt idx="10">
                  <c:v>9</c:v>
                </c:pt>
                <c:pt idx="11">
                  <c:v>4</c:v>
                </c:pt>
                <c:pt idx="12">
                  <c:v>-9</c:v>
                </c:pt>
                <c:pt idx="13">
                  <c:v>10</c:v>
                </c:pt>
                <c:pt idx="14">
                  <c:v>4</c:v>
                </c:pt>
                <c:pt idx="15">
                  <c:v>23</c:v>
                </c:pt>
                <c:pt idx="16">
                  <c:v>49</c:v>
                </c:pt>
                <c:pt idx="17">
                  <c:v>39</c:v>
                </c:pt>
                <c:pt idx="18">
                  <c:v>28</c:v>
                </c:pt>
                <c:pt idx="19">
                  <c:v>10</c:v>
                </c:pt>
                <c:pt idx="20">
                  <c:v>22</c:v>
                </c:pt>
                <c:pt idx="21">
                  <c:v>19</c:v>
                </c:pt>
                <c:pt idx="22">
                  <c:v>2</c:v>
                </c:pt>
                <c:pt idx="23">
                  <c:v>-7</c:v>
                </c:pt>
                <c:pt idx="24">
                  <c:v>13</c:v>
                </c:pt>
                <c:pt idx="25">
                  <c:v>-21</c:v>
                </c:pt>
                <c:pt idx="26">
                  <c:v>17</c:v>
                </c:pt>
              </c:numCache>
            </c:numRef>
          </c:yVal>
          <c:smooth val="0"/>
        </c:ser>
        <c:dLbls>
          <c:showLegendKey val="0"/>
          <c:showVal val="0"/>
          <c:showCatName val="0"/>
          <c:showSerName val="0"/>
          <c:showPercent val="0"/>
          <c:showBubbleSize val="0"/>
        </c:dLbls>
        <c:axId val="203284864"/>
        <c:axId val="203286784"/>
      </c:scatterChart>
      <c:valAx>
        <c:axId val="203284864"/>
        <c:scaling>
          <c:orientation val="minMax"/>
          <c:max val="1"/>
        </c:scaling>
        <c:delete val="0"/>
        <c:axPos val="b"/>
        <c:title>
          <c:tx>
            <c:rich>
              <a:bodyPr/>
              <a:lstStyle/>
              <a:p>
                <a:pPr>
                  <a:defRPr/>
                </a:pPr>
                <a:r>
                  <a:rPr lang="en-GB"/>
                  <a:t>Home Bias, average 2004-2014</a:t>
                </a:r>
              </a:p>
            </c:rich>
          </c:tx>
          <c:layout>
            <c:manualLayout>
              <c:xMode val="edge"/>
              <c:yMode val="edge"/>
              <c:x val="0.35425459317585295"/>
              <c:y val="0.92960629921259841"/>
            </c:manualLayout>
          </c:layout>
          <c:overlay val="0"/>
        </c:title>
        <c:numFmt formatCode="0.0" sourceLinked="0"/>
        <c:majorTickMark val="none"/>
        <c:minorTickMark val="none"/>
        <c:tickLblPos val="low"/>
        <c:crossAx val="203286784"/>
        <c:crosses val="autoZero"/>
        <c:crossBetween val="midCat"/>
      </c:valAx>
      <c:valAx>
        <c:axId val="203286784"/>
        <c:scaling>
          <c:orientation val="minMax"/>
        </c:scaling>
        <c:delete val="0"/>
        <c:axPos val="l"/>
        <c:majorGridlines/>
        <c:title>
          <c:tx>
            <c:rich>
              <a:bodyPr/>
              <a:lstStyle/>
              <a:p>
                <a:pPr>
                  <a:defRPr/>
                </a:pPr>
                <a:r>
                  <a:rPr lang="en-GB"/>
                  <a:t>Risk Sharing (1995-2015)</a:t>
                </a:r>
              </a:p>
            </c:rich>
          </c:tx>
          <c:layout>
            <c:manualLayout>
              <c:xMode val="edge"/>
              <c:yMode val="edge"/>
              <c:x val="2.7777777777777779E-3"/>
              <c:y val="0.16773330417031204"/>
            </c:manualLayout>
          </c:layout>
          <c:overlay val="0"/>
        </c:title>
        <c:numFmt formatCode="General" sourceLinked="1"/>
        <c:majorTickMark val="none"/>
        <c:minorTickMark val="none"/>
        <c:tickLblPos val="nextTo"/>
        <c:crossAx val="203284864"/>
        <c:crosses val="autoZero"/>
        <c:crossBetween val="midCat"/>
      </c:valAx>
    </c:plotArea>
    <c:plotVisOnly val="1"/>
    <c:dispBlanksAs val="gap"/>
    <c:showDLblsOverMax val="0"/>
  </c:chart>
  <c:spPr>
    <a:ln>
      <a:noFill/>
    </a:ln>
  </c:spPr>
  <c:txPr>
    <a:bodyPr/>
    <a:lstStyle/>
    <a:p>
      <a:pPr>
        <a:defRPr sz="600"/>
      </a:pPr>
      <a:endParaRPr lang="en-US"/>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065499-A2E8-48B3-8F95-2D375332F2B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5F6A98BB-BB5A-46F0-A262-AD9B513AE871}">
      <dgm:prSet phldrT="[Text]"/>
      <dgm:spPr/>
      <dgm:t>
        <a:bodyPr/>
        <a:lstStyle/>
        <a:p>
          <a:pPr algn="ctr"/>
          <a:r>
            <a:rPr lang="en-GB"/>
            <a:t>1. Structural information asymmetry</a:t>
          </a:r>
        </a:p>
      </dgm:t>
    </dgm:pt>
    <dgm:pt modelId="{34DBEDD1-86B4-4AE2-9C2E-7C0EBDA1F3FE}" type="parTrans" cxnId="{5CD686E9-333F-4101-8C2E-278729ED32FD}">
      <dgm:prSet/>
      <dgm:spPr/>
      <dgm:t>
        <a:bodyPr/>
        <a:lstStyle/>
        <a:p>
          <a:pPr algn="ctr"/>
          <a:endParaRPr lang="en-GB"/>
        </a:p>
      </dgm:t>
    </dgm:pt>
    <dgm:pt modelId="{7ED336E7-0EDA-4D30-8691-F9502C52E2F3}" type="sibTrans" cxnId="{5CD686E9-333F-4101-8C2E-278729ED32FD}">
      <dgm:prSet/>
      <dgm:spPr/>
      <dgm:t>
        <a:bodyPr/>
        <a:lstStyle/>
        <a:p>
          <a:pPr algn="ctr"/>
          <a:endParaRPr lang="en-GB"/>
        </a:p>
      </dgm:t>
    </dgm:pt>
    <dgm:pt modelId="{0D99F509-70F5-414D-BD78-77B6F0601246}">
      <dgm:prSet phldrT="[Text]"/>
      <dgm:spPr/>
      <dgm:t>
        <a:bodyPr/>
        <a:lstStyle/>
        <a:p>
          <a:pPr algn="ctr"/>
          <a:r>
            <a:rPr lang="en-GB"/>
            <a:t>3. Behavioural  biases</a:t>
          </a:r>
        </a:p>
      </dgm:t>
    </dgm:pt>
    <dgm:pt modelId="{70ABC223-343A-41A0-98AB-436304C22D68}" type="parTrans" cxnId="{59677C7C-1711-421C-B7CC-FFD03714E4D7}">
      <dgm:prSet/>
      <dgm:spPr/>
      <dgm:t>
        <a:bodyPr/>
        <a:lstStyle/>
        <a:p>
          <a:pPr algn="ctr"/>
          <a:endParaRPr lang="en-GB"/>
        </a:p>
      </dgm:t>
    </dgm:pt>
    <dgm:pt modelId="{D517CE0B-788F-4690-BCE6-5DD87C5D0496}" type="sibTrans" cxnId="{59677C7C-1711-421C-B7CC-FFD03714E4D7}">
      <dgm:prSet/>
      <dgm:spPr/>
      <dgm:t>
        <a:bodyPr/>
        <a:lstStyle/>
        <a:p>
          <a:pPr algn="ctr"/>
          <a:endParaRPr lang="en-GB"/>
        </a:p>
      </dgm:t>
    </dgm:pt>
    <dgm:pt modelId="{38C1A79C-3F01-45E3-975D-8F685361D797}">
      <dgm:prSet phldrT="[Text]"/>
      <dgm:spPr/>
      <dgm:t>
        <a:bodyPr/>
        <a:lstStyle/>
        <a:p>
          <a:pPr algn="ctr"/>
          <a:r>
            <a:rPr lang="en-GB"/>
            <a:t>2. Transaction costs </a:t>
          </a:r>
        </a:p>
      </dgm:t>
    </dgm:pt>
    <dgm:pt modelId="{54644588-8627-49F7-BB5B-F6404902FB09}" type="parTrans" cxnId="{B3AC3D35-D4F0-45F4-A3F9-9D0D215D0004}">
      <dgm:prSet/>
      <dgm:spPr/>
      <dgm:t>
        <a:bodyPr/>
        <a:lstStyle/>
        <a:p>
          <a:pPr algn="ctr"/>
          <a:endParaRPr lang="en-GB"/>
        </a:p>
      </dgm:t>
    </dgm:pt>
    <dgm:pt modelId="{1834ADC2-A62F-472F-9FEB-7A0F9FE0F98D}" type="sibTrans" cxnId="{B3AC3D35-D4F0-45F4-A3F9-9D0D215D0004}">
      <dgm:prSet/>
      <dgm:spPr/>
      <dgm:t>
        <a:bodyPr/>
        <a:lstStyle/>
        <a:p>
          <a:pPr algn="ctr"/>
          <a:endParaRPr lang="en-GB"/>
        </a:p>
      </dgm:t>
    </dgm:pt>
    <dgm:pt modelId="{F732B6A2-E477-4260-B4DD-164B7A86D1C5}">
      <dgm:prSet phldrT="[Text]"/>
      <dgm:spPr>
        <a:blipFill rotWithShape="0">
          <a:blip xmlns:r="http://schemas.openxmlformats.org/officeDocument/2006/relationships" r:embed="rId1"/>
          <a:stretch>
            <a:fillRect/>
          </a:stretch>
        </a:blipFill>
      </dgm:spPr>
      <dgm:t>
        <a:bodyPr/>
        <a:lstStyle/>
        <a:p>
          <a:pPr algn="ctr"/>
          <a:endParaRPr lang="en-GB"/>
        </a:p>
      </dgm:t>
    </dgm:pt>
    <dgm:pt modelId="{CB64DA57-0127-4C46-9E20-140A2A194D5E}" type="sibTrans" cxnId="{8FDE3147-E1BA-42D5-848E-94F59029E7D0}">
      <dgm:prSet/>
      <dgm:spPr/>
      <dgm:t>
        <a:bodyPr/>
        <a:lstStyle/>
        <a:p>
          <a:pPr algn="ctr"/>
          <a:endParaRPr lang="en-GB"/>
        </a:p>
      </dgm:t>
    </dgm:pt>
    <dgm:pt modelId="{E8F6D2B1-CB40-49CB-A5F7-818DA78D78D9}" type="parTrans" cxnId="{8FDE3147-E1BA-42D5-848E-94F59029E7D0}">
      <dgm:prSet/>
      <dgm:spPr/>
      <dgm:t>
        <a:bodyPr/>
        <a:lstStyle/>
        <a:p>
          <a:pPr algn="ctr"/>
          <a:endParaRPr lang="en-GB"/>
        </a:p>
      </dgm:t>
    </dgm:pt>
    <dgm:pt modelId="{C8F75563-E2CB-4446-9807-8101927D977D}" type="pres">
      <dgm:prSet presAssocID="{BA065499-A2E8-48B3-8F95-2D375332F2BD}" presName="Name0" presStyleCnt="0">
        <dgm:presLayoutVars>
          <dgm:chMax val="1"/>
          <dgm:dir/>
          <dgm:animLvl val="ctr"/>
          <dgm:resizeHandles val="exact"/>
        </dgm:presLayoutVars>
      </dgm:prSet>
      <dgm:spPr/>
      <dgm:t>
        <a:bodyPr/>
        <a:lstStyle/>
        <a:p>
          <a:endParaRPr lang="en-GB"/>
        </a:p>
      </dgm:t>
    </dgm:pt>
    <dgm:pt modelId="{A6D057EB-F919-42F1-8F38-FAB4BEA27FCB}" type="pres">
      <dgm:prSet presAssocID="{F732B6A2-E477-4260-B4DD-164B7A86D1C5}" presName="centerShape" presStyleLbl="node0" presStyleIdx="0" presStyleCnt="1" custScaleX="143591" custScaleY="162737" custLinFactNeighborY="5029"/>
      <dgm:spPr/>
      <dgm:t>
        <a:bodyPr/>
        <a:lstStyle/>
        <a:p>
          <a:endParaRPr lang="en-GB"/>
        </a:p>
      </dgm:t>
    </dgm:pt>
    <dgm:pt modelId="{F2238EB6-7AA4-47E2-94D9-6A04791A9BF9}" type="pres">
      <dgm:prSet presAssocID="{5F6A98BB-BB5A-46F0-A262-AD9B513AE871}" presName="node" presStyleLbl="node1" presStyleIdx="0" presStyleCnt="3">
        <dgm:presLayoutVars>
          <dgm:bulletEnabled val="1"/>
        </dgm:presLayoutVars>
      </dgm:prSet>
      <dgm:spPr/>
      <dgm:t>
        <a:bodyPr/>
        <a:lstStyle/>
        <a:p>
          <a:endParaRPr lang="en-GB"/>
        </a:p>
      </dgm:t>
    </dgm:pt>
    <dgm:pt modelId="{7B42733F-E0E6-49BD-BEBE-8EE5FC294202}" type="pres">
      <dgm:prSet presAssocID="{5F6A98BB-BB5A-46F0-A262-AD9B513AE871}" presName="dummy" presStyleCnt="0"/>
      <dgm:spPr/>
    </dgm:pt>
    <dgm:pt modelId="{B3FB8F8C-8D21-4B51-8D52-1F21B0E877E2}" type="pres">
      <dgm:prSet presAssocID="{7ED336E7-0EDA-4D30-8691-F9502C52E2F3}" presName="sibTrans" presStyleLbl="sibTrans2D1" presStyleIdx="0" presStyleCnt="3"/>
      <dgm:spPr/>
      <dgm:t>
        <a:bodyPr/>
        <a:lstStyle/>
        <a:p>
          <a:endParaRPr lang="en-GB"/>
        </a:p>
      </dgm:t>
    </dgm:pt>
    <dgm:pt modelId="{24AD1DCA-9B1B-46D5-A955-C4840ECF3019}" type="pres">
      <dgm:prSet presAssocID="{0D99F509-70F5-414D-BD78-77B6F0601246}" presName="node" presStyleLbl="node1" presStyleIdx="1" presStyleCnt="3">
        <dgm:presLayoutVars>
          <dgm:bulletEnabled val="1"/>
        </dgm:presLayoutVars>
      </dgm:prSet>
      <dgm:spPr/>
      <dgm:t>
        <a:bodyPr/>
        <a:lstStyle/>
        <a:p>
          <a:endParaRPr lang="en-GB"/>
        </a:p>
      </dgm:t>
    </dgm:pt>
    <dgm:pt modelId="{92FEE1CA-FA7A-41E0-9AD8-87EE62BC2B55}" type="pres">
      <dgm:prSet presAssocID="{0D99F509-70F5-414D-BD78-77B6F0601246}" presName="dummy" presStyleCnt="0"/>
      <dgm:spPr/>
    </dgm:pt>
    <dgm:pt modelId="{86D6BA1B-88BB-4478-AE81-5B197C5BEF61}" type="pres">
      <dgm:prSet presAssocID="{D517CE0B-788F-4690-BCE6-5DD87C5D0496}" presName="sibTrans" presStyleLbl="sibTrans2D1" presStyleIdx="1" presStyleCnt="3"/>
      <dgm:spPr/>
      <dgm:t>
        <a:bodyPr/>
        <a:lstStyle/>
        <a:p>
          <a:endParaRPr lang="en-GB"/>
        </a:p>
      </dgm:t>
    </dgm:pt>
    <dgm:pt modelId="{02E8216D-E0E5-4A1B-A3F4-4C57BEB9BEB5}" type="pres">
      <dgm:prSet presAssocID="{38C1A79C-3F01-45E3-975D-8F685361D797}" presName="node" presStyleLbl="node1" presStyleIdx="2" presStyleCnt="3">
        <dgm:presLayoutVars>
          <dgm:bulletEnabled val="1"/>
        </dgm:presLayoutVars>
      </dgm:prSet>
      <dgm:spPr/>
      <dgm:t>
        <a:bodyPr/>
        <a:lstStyle/>
        <a:p>
          <a:endParaRPr lang="en-GB"/>
        </a:p>
      </dgm:t>
    </dgm:pt>
    <dgm:pt modelId="{7B85542A-E23D-4284-B028-02219E874AC1}" type="pres">
      <dgm:prSet presAssocID="{38C1A79C-3F01-45E3-975D-8F685361D797}" presName="dummy" presStyleCnt="0"/>
      <dgm:spPr/>
    </dgm:pt>
    <dgm:pt modelId="{C1251192-496F-46A4-8E7F-4F8978B0B7DB}" type="pres">
      <dgm:prSet presAssocID="{1834ADC2-A62F-472F-9FEB-7A0F9FE0F98D}" presName="sibTrans" presStyleLbl="sibTrans2D1" presStyleIdx="2" presStyleCnt="3"/>
      <dgm:spPr/>
      <dgm:t>
        <a:bodyPr/>
        <a:lstStyle/>
        <a:p>
          <a:endParaRPr lang="en-GB"/>
        </a:p>
      </dgm:t>
    </dgm:pt>
  </dgm:ptLst>
  <dgm:cxnLst>
    <dgm:cxn modelId="{B3AC3D35-D4F0-45F4-A3F9-9D0D215D0004}" srcId="{F732B6A2-E477-4260-B4DD-164B7A86D1C5}" destId="{38C1A79C-3F01-45E3-975D-8F685361D797}" srcOrd="2" destOrd="0" parTransId="{54644588-8627-49F7-BB5B-F6404902FB09}" sibTransId="{1834ADC2-A62F-472F-9FEB-7A0F9FE0F98D}"/>
    <dgm:cxn modelId="{59677C7C-1711-421C-B7CC-FFD03714E4D7}" srcId="{F732B6A2-E477-4260-B4DD-164B7A86D1C5}" destId="{0D99F509-70F5-414D-BD78-77B6F0601246}" srcOrd="1" destOrd="0" parTransId="{70ABC223-343A-41A0-98AB-436304C22D68}" sibTransId="{D517CE0B-788F-4690-BCE6-5DD87C5D0496}"/>
    <dgm:cxn modelId="{D06255A3-D622-47D8-95C4-C97CF597AE8D}" type="presOf" srcId="{1834ADC2-A62F-472F-9FEB-7A0F9FE0F98D}" destId="{C1251192-496F-46A4-8E7F-4F8978B0B7DB}" srcOrd="0" destOrd="0" presId="urn:microsoft.com/office/officeart/2005/8/layout/radial6"/>
    <dgm:cxn modelId="{3FFF4BA3-6038-4923-A1DC-DDF2A82BE00A}" type="presOf" srcId="{5F6A98BB-BB5A-46F0-A262-AD9B513AE871}" destId="{F2238EB6-7AA4-47E2-94D9-6A04791A9BF9}" srcOrd="0" destOrd="0" presId="urn:microsoft.com/office/officeart/2005/8/layout/radial6"/>
    <dgm:cxn modelId="{30B0E9F6-D2CF-4B70-9914-997FF2343CC2}" type="presOf" srcId="{38C1A79C-3F01-45E3-975D-8F685361D797}" destId="{02E8216D-E0E5-4A1B-A3F4-4C57BEB9BEB5}" srcOrd="0" destOrd="0" presId="urn:microsoft.com/office/officeart/2005/8/layout/radial6"/>
    <dgm:cxn modelId="{8FDE3147-E1BA-42D5-848E-94F59029E7D0}" srcId="{BA065499-A2E8-48B3-8F95-2D375332F2BD}" destId="{F732B6A2-E477-4260-B4DD-164B7A86D1C5}" srcOrd="0" destOrd="0" parTransId="{E8F6D2B1-CB40-49CB-A5F7-818DA78D78D9}" sibTransId="{CB64DA57-0127-4C46-9E20-140A2A194D5E}"/>
    <dgm:cxn modelId="{DEBC0ACE-4D3C-486B-905B-64E4C0F6A92F}" type="presOf" srcId="{BA065499-A2E8-48B3-8F95-2D375332F2BD}" destId="{C8F75563-E2CB-4446-9807-8101927D977D}" srcOrd="0" destOrd="0" presId="urn:microsoft.com/office/officeart/2005/8/layout/radial6"/>
    <dgm:cxn modelId="{62D88A8B-BAB9-408B-B028-99C56F1AB0A8}" type="presOf" srcId="{D517CE0B-788F-4690-BCE6-5DD87C5D0496}" destId="{86D6BA1B-88BB-4478-AE81-5B197C5BEF61}" srcOrd="0" destOrd="0" presId="urn:microsoft.com/office/officeart/2005/8/layout/radial6"/>
    <dgm:cxn modelId="{E62AF62F-ECF6-490E-93A8-BF6C7FAC2EF4}" type="presOf" srcId="{7ED336E7-0EDA-4D30-8691-F9502C52E2F3}" destId="{B3FB8F8C-8D21-4B51-8D52-1F21B0E877E2}" srcOrd="0" destOrd="0" presId="urn:microsoft.com/office/officeart/2005/8/layout/radial6"/>
    <dgm:cxn modelId="{EBA8B63A-6A3A-4114-9214-6E9031E718CF}" type="presOf" srcId="{0D99F509-70F5-414D-BD78-77B6F0601246}" destId="{24AD1DCA-9B1B-46D5-A955-C4840ECF3019}" srcOrd="0" destOrd="0" presId="urn:microsoft.com/office/officeart/2005/8/layout/radial6"/>
    <dgm:cxn modelId="{CD1E2AE0-4A88-4889-A052-EFA0ADFC0AE1}" type="presOf" srcId="{F732B6A2-E477-4260-B4DD-164B7A86D1C5}" destId="{A6D057EB-F919-42F1-8F38-FAB4BEA27FCB}" srcOrd="0" destOrd="0" presId="urn:microsoft.com/office/officeart/2005/8/layout/radial6"/>
    <dgm:cxn modelId="{5CD686E9-333F-4101-8C2E-278729ED32FD}" srcId="{F732B6A2-E477-4260-B4DD-164B7A86D1C5}" destId="{5F6A98BB-BB5A-46F0-A262-AD9B513AE871}" srcOrd="0" destOrd="0" parTransId="{34DBEDD1-86B4-4AE2-9C2E-7C0EBDA1F3FE}" sibTransId="{7ED336E7-0EDA-4D30-8691-F9502C52E2F3}"/>
    <dgm:cxn modelId="{29D861A2-CE6C-4105-9DAA-D3E87B9EB8D8}" type="presParOf" srcId="{C8F75563-E2CB-4446-9807-8101927D977D}" destId="{A6D057EB-F919-42F1-8F38-FAB4BEA27FCB}" srcOrd="0" destOrd="0" presId="urn:microsoft.com/office/officeart/2005/8/layout/radial6"/>
    <dgm:cxn modelId="{26750E79-AFCA-4792-8B0E-5BD3D18E071D}" type="presParOf" srcId="{C8F75563-E2CB-4446-9807-8101927D977D}" destId="{F2238EB6-7AA4-47E2-94D9-6A04791A9BF9}" srcOrd="1" destOrd="0" presId="urn:microsoft.com/office/officeart/2005/8/layout/radial6"/>
    <dgm:cxn modelId="{41A360B1-EBA7-4120-8CA4-099E36FFB3BB}" type="presParOf" srcId="{C8F75563-E2CB-4446-9807-8101927D977D}" destId="{7B42733F-E0E6-49BD-BEBE-8EE5FC294202}" srcOrd="2" destOrd="0" presId="urn:microsoft.com/office/officeart/2005/8/layout/radial6"/>
    <dgm:cxn modelId="{7B16A569-C061-4C42-A5BC-676A372A6142}" type="presParOf" srcId="{C8F75563-E2CB-4446-9807-8101927D977D}" destId="{B3FB8F8C-8D21-4B51-8D52-1F21B0E877E2}" srcOrd="3" destOrd="0" presId="urn:microsoft.com/office/officeart/2005/8/layout/radial6"/>
    <dgm:cxn modelId="{1F3EBF79-AE77-4744-8A1B-066CAA4147CE}" type="presParOf" srcId="{C8F75563-E2CB-4446-9807-8101927D977D}" destId="{24AD1DCA-9B1B-46D5-A955-C4840ECF3019}" srcOrd="4" destOrd="0" presId="urn:microsoft.com/office/officeart/2005/8/layout/radial6"/>
    <dgm:cxn modelId="{243011B9-5C53-4B01-81E4-98675556109B}" type="presParOf" srcId="{C8F75563-E2CB-4446-9807-8101927D977D}" destId="{92FEE1CA-FA7A-41E0-9AD8-87EE62BC2B55}" srcOrd="5" destOrd="0" presId="urn:microsoft.com/office/officeart/2005/8/layout/radial6"/>
    <dgm:cxn modelId="{5BB9567A-1A74-4147-A4C0-66F8C17EE447}" type="presParOf" srcId="{C8F75563-E2CB-4446-9807-8101927D977D}" destId="{86D6BA1B-88BB-4478-AE81-5B197C5BEF61}" srcOrd="6" destOrd="0" presId="urn:microsoft.com/office/officeart/2005/8/layout/radial6"/>
    <dgm:cxn modelId="{0CE623F9-3E46-4DE9-A6A0-0DBD45BEE210}" type="presParOf" srcId="{C8F75563-E2CB-4446-9807-8101927D977D}" destId="{02E8216D-E0E5-4A1B-A3F4-4C57BEB9BEB5}" srcOrd="7" destOrd="0" presId="urn:microsoft.com/office/officeart/2005/8/layout/radial6"/>
    <dgm:cxn modelId="{9AD06675-E3B7-4735-AB3D-CC5E047EC571}" type="presParOf" srcId="{C8F75563-E2CB-4446-9807-8101927D977D}" destId="{7B85542A-E23D-4284-B028-02219E874AC1}" srcOrd="8" destOrd="0" presId="urn:microsoft.com/office/officeart/2005/8/layout/radial6"/>
    <dgm:cxn modelId="{6844EC56-160D-417E-A4A8-E39FD19DD86B}" type="presParOf" srcId="{C8F75563-E2CB-4446-9807-8101927D977D}" destId="{C1251192-496F-46A4-8E7F-4F8978B0B7DB}" srcOrd="9" destOrd="0" presId="urn:microsoft.com/office/officeart/2005/8/layout/radial6"/>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51192-496F-46A4-8E7F-4F8978B0B7DB}">
      <dsp:nvSpPr>
        <dsp:cNvPr id="0" name=""/>
        <dsp:cNvSpPr/>
      </dsp:nvSpPr>
      <dsp:spPr>
        <a:xfrm>
          <a:off x="1008288" y="397206"/>
          <a:ext cx="2643205" cy="2643205"/>
        </a:xfrm>
        <a:prstGeom prst="blockArc">
          <a:avLst>
            <a:gd name="adj1" fmla="val 9000000"/>
            <a:gd name="adj2" fmla="val 162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D6BA1B-88BB-4478-AE81-5B197C5BEF61}">
      <dsp:nvSpPr>
        <dsp:cNvPr id="0" name=""/>
        <dsp:cNvSpPr/>
      </dsp:nvSpPr>
      <dsp:spPr>
        <a:xfrm>
          <a:off x="1008288" y="397206"/>
          <a:ext cx="2643205" cy="2643205"/>
        </a:xfrm>
        <a:prstGeom prst="blockArc">
          <a:avLst>
            <a:gd name="adj1" fmla="val 1800000"/>
            <a:gd name="adj2" fmla="val 90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FB8F8C-8D21-4B51-8D52-1F21B0E877E2}">
      <dsp:nvSpPr>
        <dsp:cNvPr id="0" name=""/>
        <dsp:cNvSpPr/>
      </dsp:nvSpPr>
      <dsp:spPr>
        <a:xfrm>
          <a:off x="1008288" y="397206"/>
          <a:ext cx="2643205" cy="2643205"/>
        </a:xfrm>
        <a:prstGeom prst="blockArc">
          <a:avLst>
            <a:gd name="adj1" fmla="val 16200000"/>
            <a:gd name="adj2" fmla="val 18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D057EB-F919-42F1-8F38-FAB4BEA27FCB}">
      <dsp:nvSpPr>
        <dsp:cNvPr id="0" name=""/>
        <dsp:cNvSpPr/>
      </dsp:nvSpPr>
      <dsp:spPr>
        <a:xfrm>
          <a:off x="1455941" y="858171"/>
          <a:ext cx="1747900" cy="1980960"/>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GB" sz="6500" kern="1200"/>
        </a:p>
      </dsp:txBody>
      <dsp:txXfrm>
        <a:off x="1711915" y="1148276"/>
        <a:ext cx="1235952" cy="1400750"/>
      </dsp:txXfrm>
    </dsp:sp>
    <dsp:sp modelId="{F2238EB6-7AA4-47E2-94D9-6A04791A9BF9}">
      <dsp:nvSpPr>
        <dsp:cNvPr id="0" name=""/>
        <dsp:cNvSpPr/>
      </dsp:nvSpPr>
      <dsp:spPr>
        <a:xfrm>
          <a:off x="1903844" y="1835"/>
          <a:ext cx="852094" cy="8520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1. Structural information asymmetry</a:t>
          </a:r>
        </a:p>
      </dsp:txBody>
      <dsp:txXfrm>
        <a:off x="2028630" y="126621"/>
        <a:ext cx="602522" cy="602522"/>
      </dsp:txXfrm>
    </dsp:sp>
    <dsp:sp modelId="{24AD1DCA-9B1B-46D5-A955-C4840ECF3019}">
      <dsp:nvSpPr>
        <dsp:cNvPr id="0" name=""/>
        <dsp:cNvSpPr/>
      </dsp:nvSpPr>
      <dsp:spPr>
        <a:xfrm>
          <a:off x="3021820" y="1938226"/>
          <a:ext cx="852094" cy="8520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3. Behavioural  biases</a:t>
          </a:r>
        </a:p>
      </dsp:txBody>
      <dsp:txXfrm>
        <a:off x="3146606" y="2063012"/>
        <a:ext cx="602522" cy="602522"/>
      </dsp:txXfrm>
    </dsp:sp>
    <dsp:sp modelId="{02E8216D-E0E5-4A1B-A3F4-4C57BEB9BEB5}">
      <dsp:nvSpPr>
        <dsp:cNvPr id="0" name=""/>
        <dsp:cNvSpPr/>
      </dsp:nvSpPr>
      <dsp:spPr>
        <a:xfrm>
          <a:off x="785868" y="1938226"/>
          <a:ext cx="852094" cy="8520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2. Transaction costs </a:t>
          </a:r>
        </a:p>
      </dsp:txBody>
      <dsp:txXfrm>
        <a:off x="910654" y="2063012"/>
        <a:ext cx="602522" cy="6025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0.54504</cdr:x>
      <cdr:y>0</cdr:y>
    </cdr:from>
    <cdr:to>
      <cdr:x>0.54504</cdr:x>
      <cdr:y>0.89466</cdr:y>
    </cdr:to>
    <cdr:cxnSp macro="">
      <cdr:nvCxnSpPr>
        <cdr:cNvPr id="3" name="Straight Connector 2"/>
        <cdr:cNvCxnSpPr/>
      </cdr:nvCxnSpPr>
      <cdr:spPr>
        <a:xfrm xmlns:a="http://schemas.openxmlformats.org/drawingml/2006/main">
          <a:off x="1590692" y="0"/>
          <a:ext cx="0" cy="1908847"/>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0.7753</cdr:x>
      <cdr:y>0.02353</cdr:y>
    </cdr:from>
    <cdr:to>
      <cdr:x>1</cdr:x>
      <cdr:y>0.0915</cdr:y>
    </cdr:to>
    <cdr:sp macro="" textlink="">
      <cdr:nvSpPr>
        <cdr:cNvPr id="2" name="TextBox 1"/>
        <cdr:cNvSpPr txBox="1"/>
      </cdr:nvSpPr>
      <cdr:spPr>
        <a:xfrm xmlns:a="http://schemas.openxmlformats.org/drawingml/2006/main">
          <a:off x="4305299" y="85724"/>
          <a:ext cx="1247775" cy="247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t>Number</a:t>
          </a:r>
          <a:r>
            <a:rPr lang="en-GB" sz="900" b="1" baseline="0"/>
            <a:t> of projects</a:t>
          </a:r>
          <a:endParaRPr lang="en-GB"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Draft</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46D61-C93F-4C64-A2AE-C20DE467E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10B95-AFF7-48A5-87FE-D104BF7FD92F}">
  <ds:schemaRefs>
    <ds:schemaRef ds:uri="http://schemas.microsoft.com/sharepoint/v3/contenttype/forms"/>
  </ds:schemaRefs>
</ds:datastoreItem>
</file>

<file path=customXml/itemProps3.xml><?xml version="1.0" encoding="utf-8"?>
<ds:datastoreItem xmlns:ds="http://schemas.openxmlformats.org/officeDocument/2006/customXml" ds:itemID="{8C62E808-1E99-461C-B32A-3A1B07DCBD86}">
  <ds:schemaRefs>
    <ds:schemaRef ds:uri="http://www.w3.org/XML/1998/namespace"/>
    <ds:schemaRef ds:uri="http://schemas.microsoft.com/office/2006/metadata/properties"/>
    <ds:schemaRef ds:uri="http://purl.org/dc/terms/"/>
    <ds:schemaRef ds:uri="http://schemas.microsoft.com/sharepoint/v3/field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c429c46a-7e15-44c9-a838-73f00aaab325"/>
  </ds:schemaRefs>
</ds:datastoreItem>
</file>

<file path=customXml/itemProps4.xml><?xml version="1.0" encoding="utf-8"?>
<ds:datastoreItem xmlns:ds="http://schemas.openxmlformats.org/officeDocument/2006/customXml" ds:itemID="{CE375349-AACC-40D2-BA7B-78CF9288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97</Pages>
  <Words>42645</Words>
  <Characters>245215</Characters>
  <Application>Microsoft Office Word</Application>
  <DocSecurity>0</DocSecurity>
  <Lines>4086</Lines>
  <Paragraphs>1654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KOUTZIAVASILI Dimitra (BUDG)</cp:lastModifiedBy>
  <cp:revision>18</cp:revision>
  <cp:lastPrinted>2017-06-01T16:27:00Z</cp:lastPrinted>
  <dcterms:created xsi:type="dcterms:W3CDTF">2017-06-02T13:57:00Z</dcterms:created>
  <dcterms:modified xsi:type="dcterms:W3CDTF">2017-06-07T09:47:00Z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0x010100258AA79CEB83498886A3A0868112325000F370F79735E2304FB3EE3550DB93E366</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