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57A4C3A96184B58A5357D5D6C701B85" style="width:450.2pt;height:463.3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0"/>
              </w:rPr>
              <w:lastRenderedPageBreak/>
              <w:t>Обобщена оценка на въздействието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Оценка на въздействието във връзка с преразглеждането на Регламент (ЕО) № 1071/2009 относно достъпа до професията автомобилен превозвач и на Регламент (ЕО) № 1072/2009 относно достъпа до пазара на международни автомобилни превози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 какво се изразява проблемът и защо той е проблем на равнището на ЕС? </w:t>
            </w:r>
          </w:p>
        </w:tc>
      </w:tr>
      <w:tr>
        <w:trPr>
          <w:trHeight w:val="176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Основните установени проблеми са следните: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фактори, които подкопават лоялната конкуренция между местните превозвачи и превозвачите, установени извън държавата членка; 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високи разходи за сектора и правоприлагащите органи на държавите — членки на ЕС (ДЧ). </w:t>
            </w:r>
          </w:p>
          <w:p>
            <w:pPr>
              <w:pStyle w:val="ListParagraph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Тези проблеми се дължат на: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несъгласувано и неефективно прилагане; 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недостатъци на правилата;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разлики в приложното поле на правилата.  </w:t>
            </w:r>
          </w:p>
          <w:p>
            <w:pPr>
              <w:pStyle w:val="ListParagraph"/>
              <w:ind w:left="144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Тези проблеми засягат предимно превозвачите и техните служители, но и други участници в транспортната верига, като товародатели, спедитори и крайни потребители.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цели се преследват?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 Общите цели на намесата са следните: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да спомогне за постигането на балансирани условия на конкуренция между местните превозвачи и превозвачите, установени извън държавата членка;</w:t>
            </w:r>
          </w:p>
          <w:p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да се намалят разходите за предприятията и да се осигури ефективно прилагане на правилата. </w:t>
            </w:r>
          </w:p>
          <w:p>
            <w:pPr>
              <w:pStyle w:val="ListParagraph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Двете конкретни цели са следните: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да се осигурят съгласувани и последователни мониторинг и прилагане на съществуващите правила в ДЧ;</w:t>
            </w:r>
          </w:p>
          <w:p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правилата да се уточнят по-добре и да се намалят вариантите на разположение на ДЧ.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Каква е добавената стойност от действия на равнището на ЕС (субсидиарност)?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Малко вероятно е недостатъците на правилата  да бъдат преодолени без действия от страна на ЕС. Единственият начин за преодоляването им е чрез законодателна намеса, насочена към по-нататъшно хармонизиране на правилата. Прилагането е въпрос най-вече на органите на ДЧ. За уеднаквяване на правоприлагането и практиките в тази връзка ЕС трябва да определи правила, които да улеснят и да направят прилагането по-ефективно, и да изисква минимално общо равнище на прилагане.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различните варианти за постигане на целите? Има ли предпочитан вариант сред тях? Ако няма такъв, каква е причината за това? </w:t>
            </w:r>
          </w:p>
        </w:tc>
      </w:tr>
      <w:tr>
        <w:trPr>
          <w:trHeight w:val="283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Вариант 1</w:t>
            </w:r>
            <w:r>
              <w:rPr>
                <w:rFonts w:ascii="Tahoma" w:hAnsi="Tahoma"/>
                <w:noProof/>
                <w:sz w:val="20"/>
              </w:rPr>
              <w:t xml:space="preserve">: </w:t>
            </w:r>
            <w:r>
              <w:rPr>
                <w:rFonts w:ascii="Tahoma" w:hAnsi="Tahoma"/>
                <w:noProof/>
                <w:sz w:val="20"/>
                <w:u w:val="single"/>
              </w:rPr>
              <w:t>изясняване на правната рамка</w:t>
            </w:r>
            <w:r>
              <w:rPr>
                <w:rFonts w:ascii="Tahoma" w:hAnsi="Tahoma"/>
                <w:noProof/>
                <w:sz w:val="20"/>
              </w:rPr>
              <w:t>: мерки за изясняване на съществуващите неясноти и по-нататъшно прецизиране на правилата, без съществено да ги променят.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Вариант 2</w:t>
            </w:r>
            <w:r>
              <w:rPr>
                <w:rFonts w:ascii="Tahoma" w:hAnsi="Tahoma"/>
                <w:noProof/>
                <w:sz w:val="20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укрепване на прилагането</w:t>
            </w:r>
            <w:r>
              <w:rPr>
                <w:rFonts w:ascii="Tahoma" w:hAnsi="Tahoma"/>
                <w:noProof/>
                <w:sz w:val="20"/>
              </w:rPr>
              <w:t>: освен мерките по вариант 1 този вариант включва мерки за укрепване на прилагането.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Вариант 3</w:t>
            </w:r>
            <w:r>
              <w:rPr>
                <w:rFonts w:ascii="Tahoma" w:hAnsi="Tahoma"/>
                <w:noProof/>
                <w:sz w:val="20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съществено преразглеждане на правилата</w:t>
            </w:r>
            <w:r>
              <w:rPr>
                <w:noProof/>
              </w:rPr>
              <w:t xml:space="preserve">: </w:t>
            </w:r>
            <w:r>
              <w:rPr>
                <w:rFonts w:ascii="Tahoma" w:hAnsi="Tahoma"/>
                <w:noProof/>
                <w:sz w:val="20"/>
              </w:rPr>
              <w:t xml:space="preserve">в допълнение към мерките, посочени по-горе, този вариант включва допълнителни мерки, предназначени да изменят съществено съществуващата правна рамка.    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Вариант 4 — хоризонтален</w:t>
            </w:r>
            <w:r>
              <w:rPr>
                <w:rFonts w:ascii="Tahoma" w:hAnsi="Tahoma"/>
                <w:noProof/>
                <w:sz w:val="20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разширяване на обхвата на регламентите</w:t>
            </w:r>
            <w:r>
              <w:rPr>
                <w:rFonts w:ascii="Tahoma" w:hAnsi="Tahoma"/>
                <w:noProof/>
                <w:sz w:val="20"/>
              </w:rPr>
              <w:t>: този вариант включва разширяване на обхвата на прилагане на единия или и на двата регламента, за да се включат изцяло или частично леките търговски превозни средства (ЛТПС). Той може да бъде съчетан с всеки от останалите варианти.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е комбинация от вариант 3 и частично разширяване на обхвата на Регламент (ЕО) № 1071/2009, за да включва ЛТПС.</w:t>
            </w:r>
          </w:p>
        </w:tc>
      </w:tr>
      <w:tr>
        <w:tc>
          <w:tcPr>
            <w:tcW w:w="10188" w:type="dxa"/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Каква позиция застъпват различните заинтересовани страни? Кой подкрепя отделните варианти? </w:t>
            </w:r>
          </w:p>
        </w:tc>
      </w:tr>
      <w:tr>
        <w:trPr>
          <w:trHeight w:val="1578"/>
        </w:trP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Съществува широко съгласие по повечето от мерките, насочени към допълнително изясняване и уточняване на съществуващите понятия и укрепване на прилагането на правилата. Позициите са разделени по отношение на ключови мерки, които могат да изменят конкурентното положение на превозвачите от различни ДЧ. ДЧ с високи работни заплати, подкрепяни от синдикалните организации, предпочитат по-строги правила за каботажните превози, докато ДЧ с ниски работни заплати, подкрепяни от повечето сдружения на превозвачи, предпочитат по-нататъшната либерализация на правилата за каботажните превози.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предимствата на предпочитания вариант (ако има такъв, в противен случай — на основните варианти)? </w:t>
            </w:r>
          </w:p>
        </w:tc>
      </w:tr>
      <w:tr>
        <w:trPr>
          <w:trHeight w:val="1763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- Икономии за предприятията чрез използването на електронни транспортни документи и по-ясни правила (3 — 5 милиарда евро за ЕС-28 за периода 2020 — 2035 г.);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- по-ефективно наблюдение и прилагане на правилата и по-малко нарушения. Очакваното намаление на нарушенията на правилата за каботажните превози е с до 62 %, а на риска от създаване на дружества — паравани, с около 10 %;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съгласувано прилагане на правилата в целия ЕС-28;   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- подобряване на условията на труд на водачите.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разходите за предпочитания вариант (ако има такъв, в противен случай — за основните варианти)?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По-големи разходи по изпълнението и прилагането за ДЧ (65 — 166 милиона евро за ЕС-28 за периода 2020 — 2035 г.);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- частичното прилагане на правилата за ЛТПС ще доведе до допълнителни разходи за предприятията в размер на 4 — 10 % увеличение на оперативните разходи.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е въздействието върху МСП и конкурентоспособността?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Не се очаква повечето мерки  да окажат особено въздействие върху МСП. Въпреки това частичното разширяване на правилата, за да се включат ЛТПС, може да засегне в по-голяма степен много малки превозвачи, като се има предвид, че те използват по-широко ЛТПС.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значително отражение върху националните бюджети и администрации?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Както беше посочено по-горе, допълнителни разходи за ДЧ за прилагане на правилата.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други значителни въздействия?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Няма значителни въздействия върху околната среда или въздействия върху общото равнище на заетост на ниво ЕС.</w:t>
            </w: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Полезни взаимодействия със социалната инициатива, по-конкретно: </w:t>
            </w: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1) мерките, насочени към подобряване на прилагането, и </w:t>
            </w:r>
          </w:p>
          <w:p>
            <w:pPr>
              <w:jc w:val="both"/>
              <w:rPr>
                <w:rFonts w:ascii="Tahoma" w:hAnsi="Tahoma"/>
                <w:noProof/>
                <w:sz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2) съчетаването на новите правила за каботажните превози с подхода за временно командироване на работници, предвиден в рамките на социалната инициатива, ще облекчат прилагането на двата набора от правила.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Пропорционалност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Предпочитаният вариант не надхвърля необходимото за решаване на първоначалния проблем и отговаря на целите на инициативата.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Оценка на Регламента за изменение е предвидена за 2025 г., при условие че той влезе в сила през 2020 г.</w:t>
            </w:r>
          </w:p>
        </w:tc>
      </w:tr>
    </w:tbl>
    <w:p>
      <w:pPr>
        <w:rPr>
          <w:rFonts w:ascii="Tahoma" w:hAnsi="Tahoma" w:cs="Tahoma"/>
          <w:noProof/>
          <w:sz w:val="20"/>
          <w:szCs w:val="20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276" w:right="567" w:bottom="624" w:left="1134" w:header="284" w:footer="25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52690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048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B6E"/>
    <w:multiLevelType w:val="hybridMultilevel"/>
    <w:tmpl w:val="6A36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11CC"/>
    <w:multiLevelType w:val="hybridMultilevel"/>
    <w:tmpl w:val="D1EA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90905E7"/>
    <w:multiLevelType w:val="hybridMultilevel"/>
    <w:tmpl w:val="4370A97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218429B"/>
    <w:multiLevelType w:val="hybridMultilevel"/>
    <w:tmpl w:val="F658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257A4C3A96184B58A5357D5D6C701B85"/>
    <w:docVar w:name="LW_CROSSREFERENCE" w:val="{COM(2017) 281 final}_x000b_{SWD(2017) 194 final}"/>
    <w:docVar w:name="LW_DocType" w:val="NORMAL"/>
    <w:docVar w:name="LW_EMISSION" w:val="31.5.2017"/>
    <w:docVar w:name="LW_EMISSION_ISODATE" w:val="2017-05-31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_x000b_\u1079?\u1072? \u1080?\u1079?\u1084?\u1077?\u1085?\u1077?\u1085?\u1080?\u1077? \u1085?\u1072? \u1056?\u1077?\u1075?\u1083?\u1072?\u1084?\u1077?\u1085?\u1090? (\u1045?\u1054?) \u8470? 1071/2009 \u1080? \u1056?\u1077?\u1075?\u1083?\u1072?\u1084?\u1077?\u1085?\u1090? (\u1045?\u1054?) \u8470? 1072/2009 \u1089? \u1086?\u1075?\u1083?\u1077?\u1076? \u1085?\u1072? \u1072?\u1076?\u1072?\u1087?\u1090?\u1080?\u1088?\u1072?\u1085?\u1077?\u1090?\u1086? \u1080?\u1084? \u1082?\u1098?\u1084? \u1088?\u1072?\u1079?\u1074?\u1080?\u1090?\u1080?\u1077?\u1090?\u1086? \u1074? \u1089?\u1077?\u1082?\u1090?\u1086?\u1088?\u1072?"/>
    <w:docVar w:name="LW_PART_NBR" w:val="1"/>
    <w:docVar w:name="LW_PART_NBR_TOTAL" w:val="1"/>
    <w:docVar w:name="LW_REF.INST.NEW" w:val="SWD"/>
    <w:docVar w:name="LW_REF.INST.NEW_ADOPTED" w:val="final"/>
    <w:docVar w:name="LW_REF.INST.NEW_TEXT" w:val="(2017) 195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FF24BEE692C4CA94781A66E31F216" ma:contentTypeVersion="1" ma:contentTypeDescription="Create a new document." ma:contentTypeScope="" ma:versionID="7d6ee1b4a7e3a71187b7d9d3fe1f64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4173-A8CF-4AAB-BE0C-126D8400FDC0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7B3CE-EE00-43FE-BE10-7423387A8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5FE9-6CE3-4E9C-B9CD-1391676A2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F1F7B-581F-4269-97BD-CE188B0E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870</Words>
  <Characters>5182</Characters>
  <Application>Microsoft Office Word</Application>
  <DocSecurity>0</DocSecurity>
  <Lines>112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creator/>
  <cp:lastModifiedBy>DIGIT/A3</cp:lastModifiedBy>
  <cp:revision>27</cp:revision>
  <cp:lastPrinted>2017-02-23T16:54:00Z</cp:lastPrinted>
  <dcterms:created xsi:type="dcterms:W3CDTF">2017-04-19T09:02:00Z</dcterms:created>
  <dcterms:modified xsi:type="dcterms:W3CDTF">2017-06-09T13:24:00Z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0x010100622FF24BEE692C4CA94781A66E31F216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400</vt:r8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ocStatus">
    <vt:lpwstr>Green</vt:lpwstr>
  </property>
  <property fmtid="{D5CDD505-2E9C-101B-9397-08002B2CF9AE}" pid="11" name="Classification">
    <vt:lpwstr> </vt:lpwstr>
  </property>
</Properties>
</file>