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88" w:rsidRDefault="003A303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3D984879C0A498CB555A9DB3EEBAD54" style="width:450.45pt;height:307.65pt">
            <v:imagedata r:id="rId9" o:title=""/>
          </v:shape>
        </w:pict>
      </w:r>
    </w:p>
    <w:bookmarkEnd w:id="0"/>
    <w:p w:rsidR="00F64B88" w:rsidRDefault="00F64B88">
      <w:pPr>
        <w:rPr>
          <w:rFonts w:ascii="Times New Roman" w:hAnsi="Times New Roman" w:cs="Times New Roman"/>
          <w:noProof/>
          <w:sz w:val="24"/>
          <w:szCs w:val="24"/>
        </w:rPr>
        <w:sectPr w:rsidR="00F64B8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64B88" w:rsidRDefault="00690051">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lastRenderedPageBreak/>
        <w:t xml:space="preserve">INTRODUCTION </w:t>
      </w:r>
    </w:p>
    <w:p w:rsidR="00F64B88" w:rsidRDefault="00690051">
      <w:pPr>
        <w:jc w:val="both"/>
        <w:rPr>
          <w:rFonts w:ascii="Times New Roman" w:hAnsi="Times New Roman" w:cs="Times New Roman"/>
          <w:noProof/>
          <w:sz w:val="24"/>
          <w:szCs w:val="24"/>
        </w:rPr>
      </w:pPr>
      <w:r>
        <w:rPr>
          <w:rFonts w:ascii="Times New Roman" w:hAnsi="Times New Roman"/>
          <w:noProof/>
          <w:sz w:val="24"/>
        </w:rPr>
        <w:t>Publiés au Journal officiel le 12 juin 2014, le règlement concernant les marchés d’instruments financiers (ci-après le «MiFIR»)</w:t>
      </w:r>
      <w:r>
        <w:rPr>
          <w:rStyle w:val="FootnoteReference"/>
          <w:rFonts w:ascii="Times New Roman" w:hAnsi="Times New Roman"/>
          <w:noProof/>
          <w:sz w:val="24"/>
        </w:rPr>
        <w:footnoteReference w:id="1"/>
      </w:r>
      <w:r>
        <w:rPr>
          <w:rFonts w:ascii="Times New Roman" w:hAnsi="Times New Roman"/>
          <w:noProof/>
          <w:sz w:val="24"/>
        </w:rPr>
        <w:t xml:space="preserve"> et la directive concernant les marchés d’instruments financiers (ci-après la «MiFID 2»)</w:t>
      </w:r>
      <w:r>
        <w:rPr>
          <w:rStyle w:val="FootnoteReference"/>
          <w:rFonts w:ascii="Times New Roman" w:hAnsi="Times New Roman"/>
          <w:noProof/>
          <w:sz w:val="24"/>
        </w:rPr>
        <w:footnoteReference w:id="2"/>
      </w:r>
      <w:r>
        <w:rPr>
          <w:rFonts w:ascii="Times New Roman" w:hAnsi="Times New Roman"/>
          <w:noProof/>
          <w:sz w:val="24"/>
        </w:rPr>
        <w:t xml:space="preserve"> sont entrés en vigueur le 2 juillet 2014 et seront applicables à partir du 3 janvier 2018. </w:t>
      </w:r>
    </w:p>
    <w:p w:rsidR="00F64B88" w:rsidRDefault="00690051">
      <w:pPr>
        <w:jc w:val="both"/>
        <w:rPr>
          <w:rFonts w:ascii="Times New Roman" w:hAnsi="Times New Roman" w:cs="Times New Roman"/>
          <w:noProof/>
          <w:sz w:val="24"/>
          <w:szCs w:val="24"/>
        </w:rPr>
      </w:pPr>
      <w:r>
        <w:rPr>
          <w:rFonts w:ascii="Times New Roman" w:hAnsi="Times New Roman"/>
          <w:noProof/>
          <w:sz w:val="24"/>
        </w:rPr>
        <w:t>MiFID 2 et MiFIR instaurent une structure de marché visant à garantir que les transactions s’effectuent, lorsque cela est opportun, sur des plates-formes de négociation réglementées et que la négociation soit rendue transparente afin que la formation des prix soit efficace et équitable.</w:t>
      </w:r>
    </w:p>
    <w:p w:rsidR="00F64B88" w:rsidRDefault="00690051">
      <w:pPr>
        <w:jc w:val="both"/>
        <w:rPr>
          <w:rFonts w:ascii="Times New Roman" w:hAnsi="Times New Roman" w:cs="Times New Roman"/>
          <w:noProof/>
          <w:sz w:val="24"/>
          <w:szCs w:val="24"/>
        </w:rPr>
      </w:pPr>
      <w:r>
        <w:rPr>
          <w:rFonts w:ascii="Times New Roman" w:hAnsi="Times New Roman"/>
          <w:noProof/>
          <w:sz w:val="24"/>
        </w:rPr>
        <w:t xml:space="preserve">Dans ce cadre, le MiFIR exempte les marchés réglementés, les opérateurs de marché et les entreprises d’investissement des obligations de transparence pré-et post-négociation pour les instruments autres que des actions ou instruments assimilés dans le cadre de transactions dont la contrepartie est membre du Système européen de banques centrales (SEBC) et si la transaction en question est menée au titre de la politique monétaire, de change ou de stabilité financière que ce membre du SEBC est légalement habilité à poursuivre et si ledit membre a notifié au préalable à sa contrepartie que la transaction donne lieu à dérogation. En outre, il habilite la Commission à étendre le champ d’application de cette exemption à certaines banques centrales de pays ou territoires tiers lorsque les conditions nécessaires sont remplies. </w:t>
      </w:r>
    </w:p>
    <w:p w:rsidR="00F64B88" w:rsidRDefault="00690051">
      <w:pPr>
        <w:jc w:val="both"/>
        <w:rPr>
          <w:rFonts w:ascii="Times New Roman" w:hAnsi="Times New Roman" w:cs="Times New Roman"/>
          <w:noProof/>
          <w:sz w:val="24"/>
          <w:szCs w:val="24"/>
        </w:rPr>
      </w:pPr>
      <w:r>
        <w:rPr>
          <w:rFonts w:ascii="Times New Roman" w:hAnsi="Times New Roman"/>
          <w:noProof/>
          <w:sz w:val="24"/>
        </w:rPr>
        <w:t xml:space="preserve">À cet égard, la Commission européenne a commandé au Centre for European Policy Studies (CEPS) et à l’université de Bologne une étude externe intitulée «Exemptions for third-country central banks and other entities under the Market Abuse Regulation (MAR) and the market in Financial Instrument Regulation (MiFIR)» [exemptions pour les banques centrales et autres entités de pays ou territoires tiers dans le cadre du règlement relatif aux abus de marché (MAR) et du règlement concernant les marchés d'instruments financiers (MiFIR)] (ci-après l’«étude»). Cette étude, qui repose sur une enquête et un travail de recherche, contient une analyse des règles de transparence pré- et post-négociation qui s'appliquent lorsque des banques centrales de pays ou territoires tiers négocient des titres, et de la mesure dans laquelle ces banques centrales négocient des titres à l'intérieur de l’Union européenne. </w:t>
      </w:r>
    </w:p>
    <w:p w:rsidR="00F64B88" w:rsidRDefault="00690051">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BASE JURIDIQUE DU RAPPORT: Article 1</w:t>
      </w:r>
      <w:r>
        <w:rPr>
          <w:rFonts w:ascii="Times New Roman" w:hAnsi="Times New Roman"/>
          <w:b/>
          <w:noProof/>
          <w:sz w:val="24"/>
          <w:vertAlign w:val="superscript"/>
        </w:rPr>
        <w:t>er</w:t>
      </w:r>
      <w:r>
        <w:rPr>
          <w:rFonts w:ascii="Times New Roman" w:hAnsi="Times New Roman"/>
          <w:b/>
          <w:noProof/>
          <w:sz w:val="24"/>
        </w:rPr>
        <w:t>, paragraphe 9, du MiFIR</w:t>
      </w:r>
    </w:p>
    <w:p w:rsidR="00F64B88" w:rsidRDefault="00690051">
      <w:pPr>
        <w:jc w:val="both"/>
        <w:rPr>
          <w:rFonts w:ascii="Times New Roman" w:hAnsi="Times New Roman" w:cs="Times New Roman"/>
          <w:noProof/>
          <w:sz w:val="24"/>
          <w:szCs w:val="24"/>
        </w:rPr>
      </w:pPr>
      <w:r>
        <w:rPr>
          <w:rFonts w:ascii="Times New Roman" w:hAnsi="Times New Roman"/>
          <w:noProof/>
          <w:sz w:val="24"/>
        </w:rPr>
        <w:t>L’article 1</w:t>
      </w:r>
      <w:r>
        <w:rPr>
          <w:rFonts w:ascii="Times New Roman" w:hAnsi="Times New Roman"/>
          <w:noProof/>
          <w:sz w:val="24"/>
          <w:vertAlign w:val="superscript"/>
        </w:rPr>
        <w:t>er</w:t>
      </w:r>
      <w:r>
        <w:rPr>
          <w:rFonts w:ascii="Times New Roman" w:hAnsi="Times New Roman"/>
          <w:noProof/>
          <w:sz w:val="24"/>
        </w:rPr>
        <w:t xml:space="preserve">, paragraphe 6, du MiFIR prévoit que les règles de transparence pré-et post-négociation ne s’appliquent pas dans le cadre de transactions dont la contrepartie est membre du Système européen de banques centrales (SEBC) si la transaction en question est menée au titre de la politique monétaire, de change ou de stabilité financière que ce membre du SEBC est légalement habilité à poursuivre et si ledit membre a notifié au préalable à sa contrepartie que la transaction donne lieu à exemption. </w:t>
      </w:r>
    </w:p>
    <w:p w:rsidR="00F64B88" w:rsidRDefault="00690051">
      <w:pPr>
        <w:jc w:val="both"/>
        <w:rPr>
          <w:rFonts w:ascii="Times New Roman" w:hAnsi="Times New Roman" w:cs="Times New Roman"/>
          <w:i/>
          <w:noProof/>
          <w:sz w:val="24"/>
          <w:szCs w:val="24"/>
        </w:rPr>
      </w:pPr>
      <w:r>
        <w:rPr>
          <w:rFonts w:ascii="Times New Roman" w:hAnsi="Times New Roman"/>
          <w:noProof/>
          <w:sz w:val="24"/>
        </w:rPr>
        <w:lastRenderedPageBreak/>
        <w:t>En outre, l’article 1</w:t>
      </w:r>
      <w:r>
        <w:rPr>
          <w:rFonts w:ascii="Times New Roman" w:hAnsi="Times New Roman"/>
          <w:noProof/>
          <w:sz w:val="24"/>
          <w:vertAlign w:val="superscript"/>
        </w:rPr>
        <w:t>er</w:t>
      </w:r>
      <w:r>
        <w:rPr>
          <w:rFonts w:ascii="Times New Roman" w:hAnsi="Times New Roman"/>
          <w:noProof/>
          <w:sz w:val="24"/>
        </w:rPr>
        <w:t xml:space="preserve">, paragraphe 9, du MiFIR habilite la Commission à </w:t>
      </w:r>
      <w:r>
        <w:rPr>
          <w:rFonts w:ascii="Times New Roman" w:hAnsi="Times New Roman"/>
          <w:i/>
          <w:noProof/>
          <w:sz w:val="24"/>
        </w:rPr>
        <w:t>«[...]adopter des actes délégués, conformément à l’article 50, pour étendre le champ d’application du paragraphe 6 à d’autres banques centrales.</w:t>
      </w:r>
    </w:p>
    <w:p w:rsidR="00F64B88" w:rsidRDefault="00690051">
      <w:pPr>
        <w:jc w:val="both"/>
        <w:rPr>
          <w:rFonts w:ascii="Times New Roman" w:hAnsi="Times New Roman" w:cs="Times New Roman"/>
          <w:i/>
          <w:noProof/>
          <w:sz w:val="24"/>
          <w:szCs w:val="24"/>
        </w:rPr>
      </w:pPr>
      <w:r>
        <w:rPr>
          <w:rFonts w:ascii="Times New Roman" w:hAnsi="Times New Roman"/>
          <w:i/>
          <w:noProof/>
          <w:sz w:val="24"/>
        </w:rPr>
        <w:t>À cette fin, au plus tard le 1</w:t>
      </w:r>
      <w:r>
        <w:rPr>
          <w:rFonts w:ascii="Times New Roman" w:hAnsi="Times New Roman"/>
          <w:i/>
          <w:noProof/>
          <w:sz w:val="24"/>
          <w:vertAlign w:val="superscript"/>
        </w:rPr>
        <w:t>er</w:t>
      </w:r>
      <w:r>
        <w:rPr>
          <w:rFonts w:ascii="Times New Roman" w:hAnsi="Times New Roman"/>
          <w:i/>
          <w:noProof/>
          <w:sz w:val="24"/>
        </w:rPr>
        <w:t xml:space="preserve"> juin 2015, la Commission présente au Parlement européen et au Conseil un rapport qui évalue le traitement à appliquer aux transactions des banques centrales de pays tiers qui comprennent, aux fins de présent paragraphe, la Banque des règlements internationaux. Le rapport comprend une analyse de leurs missions statutaires et du volume de leurs opérations à l’intérieur de l’Union. Ce rapport: </w:t>
      </w:r>
    </w:p>
    <w:p w:rsidR="00F64B88" w:rsidRDefault="00690051">
      <w:pPr>
        <w:jc w:val="both"/>
        <w:rPr>
          <w:rFonts w:ascii="Times New Roman" w:hAnsi="Times New Roman" w:cs="Times New Roman"/>
          <w:i/>
          <w:noProof/>
          <w:sz w:val="24"/>
          <w:szCs w:val="24"/>
        </w:rPr>
      </w:pPr>
      <w:r>
        <w:rPr>
          <w:rFonts w:ascii="Times New Roman" w:hAnsi="Times New Roman"/>
          <w:i/>
          <w:noProof/>
          <w:sz w:val="24"/>
        </w:rPr>
        <w:t xml:space="preserve">a) détermine les dispositions à appliquer aux pays tiers concernés en ce qui concerne la publication réglementée des transactions de banque centrale, y compris les transactions menées par des membres du SEBC dans lesdits pays tiers, et </w:t>
      </w:r>
    </w:p>
    <w:p w:rsidR="00F64B88" w:rsidRDefault="00690051">
      <w:pPr>
        <w:jc w:val="both"/>
        <w:rPr>
          <w:rFonts w:ascii="Times New Roman" w:hAnsi="Times New Roman" w:cs="Times New Roman"/>
          <w:i/>
          <w:noProof/>
          <w:sz w:val="24"/>
          <w:szCs w:val="24"/>
        </w:rPr>
      </w:pPr>
      <w:r>
        <w:rPr>
          <w:rFonts w:ascii="Times New Roman" w:hAnsi="Times New Roman"/>
          <w:i/>
          <w:noProof/>
          <w:sz w:val="24"/>
        </w:rPr>
        <w:t xml:space="preserve">b) évalue l’effet possible que les exigences de publication réglementée à l’intérieur de l’Union peuvent avoir sur les transactions des banques centrales de pays tiers. </w:t>
      </w:r>
    </w:p>
    <w:p w:rsidR="00F64B88" w:rsidRDefault="00690051">
      <w:pPr>
        <w:jc w:val="both"/>
        <w:rPr>
          <w:rFonts w:ascii="Times New Roman" w:hAnsi="Times New Roman" w:cs="Times New Roman"/>
          <w:i/>
          <w:noProof/>
          <w:sz w:val="24"/>
          <w:szCs w:val="24"/>
        </w:rPr>
      </w:pPr>
      <w:r>
        <w:rPr>
          <w:rFonts w:ascii="Times New Roman" w:hAnsi="Times New Roman"/>
          <w:i/>
          <w:noProof/>
          <w:sz w:val="24"/>
        </w:rPr>
        <w:t xml:space="preserve">Si elle conclut, dans son rapport, qu’il est nécessaire d’appliquer la dérogation prévue au paragraphe 6 dans le cadre de transactions dont la contrepartie est une banque centrale de pays tiers, au titre de sa politique monétaire, de change ou de stabilité financière, la Commission prévoit que la dérogation s’applique à ladite banque centrale de pays tiers.» </w:t>
      </w:r>
    </w:p>
    <w:p w:rsidR="00F64B88" w:rsidRDefault="00E91D6E">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PAYS ET TERRITOIRES EXAMINÉS</w:t>
      </w:r>
    </w:p>
    <w:p w:rsidR="00F64B88" w:rsidRDefault="00690051">
      <w:pPr>
        <w:jc w:val="both"/>
        <w:rPr>
          <w:rFonts w:ascii="Times New Roman" w:hAnsi="Times New Roman" w:cs="Times New Roman"/>
          <w:noProof/>
          <w:sz w:val="24"/>
          <w:szCs w:val="24"/>
        </w:rPr>
      </w:pPr>
      <w:r>
        <w:rPr>
          <w:rFonts w:ascii="Times New Roman" w:hAnsi="Times New Roman"/>
          <w:noProof/>
          <w:sz w:val="24"/>
        </w:rPr>
        <w:t>Le rapport couvre les pays et territoires suivants: Australie, Brésil, Canada, RAS de Hong Kong, Inde, Japon, Mexique, Singapour, République de Corée, Suisse, Turquie et États-Unis, ainsi que la Banque des règlements internationaux (ci-après la «BRI»), qui en vertu de l’article 1</w:t>
      </w:r>
      <w:r>
        <w:rPr>
          <w:rFonts w:ascii="Times New Roman" w:hAnsi="Times New Roman"/>
          <w:noProof/>
          <w:sz w:val="24"/>
          <w:vertAlign w:val="superscript"/>
        </w:rPr>
        <w:t>er</w:t>
      </w:r>
      <w:r>
        <w:rPr>
          <w:rFonts w:ascii="Times New Roman" w:hAnsi="Times New Roman"/>
          <w:noProof/>
          <w:sz w:val="24"/>
        </w:rPr>
        <w:t xml:space="preserve">, paragraphe 9, du MiFIR, doit être considérée comme une banque centrale de pays tiers aux fins dudit paragraphe. Cette liste ne préjuge pas d’éventuelles modifications et suppressions de pays ou territoires pertinents qui seront ultérieurement évalués. </w:t>
      </w:r>
    </w:p>
    <w:p w:rsidR="00F64B88" w:rsidRDefault="00690051">
      <w:pPr>
        <w:jc w:val="both"/>
        <w:rPr>
          <w:rFonts w:ascii="Times New Roman" w:hAnsi="Times New Roman" w:cs="Times New Roman"/>
          <w:noProof/>
          <w:sz w:val="24"/>
          <w:szCs w:val="24"/>
        </w:rPr>
      </w:pPr>
      <w:r>
        <w:rPr>
          <w:rFonts w:ascii="Times New Roman" w:hAnsi="Times New Roman"/>
          <w:noProof/>
          <w:sz w:val="24"/>
        </w:rPr>
        <w:t xml:space="preserve">Les critères pertinents pour évaluer les pays et territoires devraient reposer sur des indicateurs économiques, sur la taille et le degré d’interconnexion entre leur secteur financier et celui de l’Union, ainsi que sur la solidité de leur environnement juridique. </w:t>
      </w:r>
    </w:p>
    <w:p w:rsidR="00F64B88" w:rsidRDefault="00690051">
      <w:pPr>
        <w:jc w:val="both"/>
        <w:rPr>
          <w:rFonts w:ascii="Times New Roman" w:hAnsi="Times New Roman" w:cs="Times New Roman"/>
          <w:noProof/>
          <w:sz w:val="24"/>
          <w:szCs w:val="24"/>
        </w:rPr>
      </w:pPr>
      <w:r>
        <w:rPr>
          <w:rFonts w:ascii="Times New Roman" w:hAnsi="Times New Roman"/>
          <w:noProof/>
          <w:sz w:val="24"/>
        </w:rPr>
        <w:t>En ce qui concerne la taille et le degré d’interconnexion, la Commission a utilisé la liste du FMI répertoriant les pays et territoires dans lesquels sont domiciliés les établissements financiers de la plus haute importance systémique, pour lesquels un programme d’évaluation du secteur financier du FMI (PESF) est obligatoire. La méthode du FMI combine la taille et l’interconnexion du secteur financier de chaque pays ou territoire et prend donc en compte la dimension des marchés financiers. Selon le FMI, ce groupe de pays représente près de 90 % du système financier mondial et 80 % de l’activité économique mondiale et comprend la plupart des pays du G20 et des membres du Conseil de stabilité financière (CSF). Les établissements domiciliés dans des États membres de l’UE ne sont pas couverts par l’étude. En outre, deux autres critères sont pertinents pour la sélection des pays ou territoires: pour pouvoir faire l’objet d’une évaluation en vue de l’octroi de l’exemption prévue à l’article 1</w:t>
      </w:r>
      <w:r>
        <w:rPr>
          <w:rFonts w:ascii="Times New Roman" w:hAnsi="Times New Roman"/>
          <w:noProof/>
          <w:sz w:val="24"/>
          <w:vertAlign w:val="superscript"/>
        </w:rPr>
        <w:t>er</w:t>
      </w:r>
      <w:r>
        <w:rPr>
          <w:rFonts w:ascii="Times New Roman" w:hAnsi="Times New Roman"/>
          <w:noProof/>
          <w:sz w:val="24"/>
        </w:rPr>
        <w:t xml:space="preserve">, paragraphe 9, un pays ou territoire ne doit pas figurer sur la liste des pays et territoires non </w:t>
      </w:r>
      <w:r>
        <w:rPr>
          <w:rFonts w:ascii="Times New Roman" w:hAnsi="Times New Roman"/>
          <w:noProof/>
          <w:sz w:val="24"/>
        </w:rPr>
        <w:lastRenderedPageBreak/>
        <w:t>coopératifs établie par le Groupe d’action financière (GAFI) et il doit être signataire de l’accord multilatéral de l’OICV.</w:t>
      </w:r>
    </w:p>
    <w:p w:rsidR="00F64B88" w:rsidRDefault="00690051">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 xml:space="preserve">ANALYSE DES DIFFÉRENTS PAYS ET TERRITOIRES  </w:t>
      </w:r>
    </w:p>
    <w:p w:rsidR="00F64B88" w:rsidRDefault="00690051">
      <w:pPr>
        <w:spacing w:before="60"/>
        <w:jc w:val="both"/>
        <w:rPr>
          <w:rFonts w:ascii="Times New Roman" w:hAnsi="Times New Roman" w:cs="Times New Roman"/>
          <w:noProof/>
          <w:sz w:val="24"/>
          <w:szCs w:val="24"/>
        </w:rPr>
      </w:pPr>
      <w:r>
        <w:rPr>
          <w:rFonts w:ascii="Times New Roman" w:hAnsi="Times New Roman"/>
          <w:noProof/>
          <w:sz w:val="24"/>
        </w:rPr>
        <w:t>Le mandat que fournit l'article 1</w:t>
      </w:r>
      <w:r>
        <w:rPr>
          <w:rFonts w:ascii="Times New Roman" w:hAnsi="Times New Roman"/>
          <w:noProof/>
          <w:sz w:val="24"/>
          <w:vertAlign w:val="superscript"/>
        </w:rPr>
        <w:t>er</w:t>
      </w:r>
      <w:r>
        <w:rPr>
          <w:rFonts w:ascii="Times New Roman" w:hAnsi="Times New Roman"/>
          <w:noProof/>
          <w:sz w:val="24"/>
        </w:rPr>
        <w:t xml:space="preserve">, paragraphe 9, du MiFIR pour analyser les pays et territoires identifiés repose sur deux critères principaux, qui ont tous deux été cruciaux pour l’évaluation de la Commission: </w:t>
      </w:r>
    </w:p>
    <w:p w:rsidR="00F64B88" w:rsidRDefault="00690051">
      <w:pPr>
        <w:pStyle w:val="ListParagraph"/>
        <w:numPr>
          <w:ilvl w:val="1"/>
          <w:numId w:val="1"/>
        </w:numPr>
        <w:spacing w:before="60"/>
        <w:jc w:val="both"/>
        <w:rPr>
          <w:rFonts w:ascii="Times New Roman" w:hAnsi="Times New Roman" w:cs="Times New Roman"/>
          <w:noProof/>
          <w:sz w:val="24"/>
          <w:szCs w:val="24"/>
        </w:rPr>
      </w:pPr>
      <w:r>
        <w:rPr>
          <w:rFonts w:ascii="Times New Roman" w:hAnsi="Times New Roman"/>
          <w:noProof/>
          <w:sz w:val="24"/>
        </w:rPr>
        <w:t xml:space="preserve">les règles relatives à la publication réglementée des transactions de banque centrale: le régime de transparence du marché applicable aux transactions de banque centrale («transparence du marché») et/ou la transparence du cadre opérationnel de la banque centrale («transparence opérationnelle»); et </w:t>
      </w:r>
    </w:p>
    <w:p w:rsidR="00F64B88" w:rsidRDefault="00690051">
      <w:pPr>
        <w:pStyle w:val="ListParagraph"/>
        <w:numPr>
          <w:ilvl w:val="1"/>
          <w:numId w:val="1"/>
        </w:numPr>
        <w:spacing w:before="60"/>
        <w:jc w:val="both"/>
        <w:rPr>
          <w:rFonts w:ascii="Times New Roman" w:hAnsi="Times New Roman" w:cs="Times New Roman"/>
          <w:noProof/>
          <w:sz w:val="24"/>
          <w:szCs w:val="24"/>
        </w:rPr>
      </w:pPr>
      <w:r>
        <w:rPr>
          <w:rFonts w:ascii="Times New Roman" w:hAnsi="Times New Roman"/>
          <w:noProof/>
          <w:sz w:val="24"/>
        </w:rPr>
        <w:t xml:space="preserve">la nécessité d’une exemption: le volume des transactions avec des contreparties de l’UE ou sur des instruments financiers cotés dans l’UE que la banque centrale a exécutées. </w:t>
      </w:r>
    </w:p>
    <w:p w:rsidR="00F64B88" w:rsidRDefault="00690051">
      <w:pPr>
        <w:spacing w:before="60"/>
        <w:jc w:val="both"/>
        <w:rPr>
          <w:rFonts w:ascii="Times New Roman" w:hAnsi="Times New Roman" w:cs="Times New Roman"/>
          <w:noProof/>
          <w:sz w:val="24"/>
          <w:szCs w:val="24"/>
        </w:rPr>
      </w:pPr>
      <w:r>
        <w:rPr>
          <w:rFonts w:ascii="Times New Roman" w:hAnsi="Times New Roman"/>
          <w:noProof/>
          <w:sz w:val="24"/>
        </w:rPr>
        <w:t>Aux fins de l’évaluation, il a été considéré comme indispensable que ces deux critères soient remplis, car ils correspondent aux facteurs énoncés à l’article 1</w:t>
      </w:r>
      <w:r>
        <w:rPr>
          <w:rFonts w:ascii="Times New Roman" w:hAnsi="Times New Roman"/>
          <w:noProof/>
          <w:sz w:val="24"/>
          <w:vertAlign w:val="superscript"/>
        </w:rPr>
        <w:t>er</w:t>
      </w:r>
      <w:r>
        <w:rPr>
          <w:rFonts w:ascii="Times New Roman" w:hAnsi="Times New Roman"/>
          <w:noProof/>
          <w:sz w:val="24"/>
        </w:rPr>
        <w:t>, paragraphe 9, du MiFIR. À cet égard, la «transparence du marché» se rapporte à la transparence des transactions sur titres prises individuellement, tandis que la «transparence opérationnelle» se rapporte plus généralement aux règles de transparence qui régissent les opérations d’une banque centrale. Par conséquent, compte tenu des objectifs et du champ d’application du règlement MiFIR, il a été considéré que pour évaluer l’opportunité d’accorder une exemption à des banques centrales de pays ou territoires tiers, conformément à l’article 1</w:t>
      </w:r>
      <w:r>
        <w:rPr>
          <w:rFonts w:ascii="Times New Roman" w:hAnsi="Times New Roman"/>
          <w:noProof/>
          <w:sz w:val="24"/>
          <w:vertAlign w:val="superscript"/>
        </w:rPr>
        <w:t>er</w:t>
      </w:r>
      <w:r>
        <w:rPr>
          <w:rFonts w:ascii="Times New Roman" w:hAnsi="Times New Roman"/>
          <w:noProof/>
          <w:sz w:val="24"/>
        </w:rPr>
        <w:t>, paragraphe 9, point a), du MiFIR, il était nécessaire d’analyser les exigences réglementaires relatives à la transparence du marché pour les transactions et à la transparence découlant du cadre opérationnel. En outre, le volume des transactions entre le pays ou territoire tiers de la banque centrale concernée et l’UE revêt de l’importance car il est révélateur de l’impact possible que les exigences de publication réglementée à l’intérieur de l’Union peuvent avoir sur les transactions des banques centrales de pays ou territoires tiers, conformément à l’article 1</w:t>
      </w:r>
      <w:r>
        <w:rPr>
          <w:rFonts w:ascii="Times New Roman" w:hAnsi="Times New Roman"/>
          <w:noProof/>
          <w:sz w:val="24"/>
          <w:vertAlign w:val="superscript"/>
        </w:rPr>
        <w:t>er</w:t>
      </w:r>
      <w:r>
        <w:rPr>
          <w:rFonts w:ascii="Times New Roman" w:hAnsi="Times New Roman"/>
          <w:noProof/>
          <w:sz w:val="24"/>
        </w:rPr>
        <w:t xml:space="preserve">, paragraphe 9, point b), du MiFIR. </w:t>
      </w:r>
    </w:p>
    <w:p w:rsidR="00F64B88" w:rsidRDefault="00690051">
      <w:pPr>
        <w:spacing w:before="60"/>
        <w:jc w:val="both"/>
        <w:rPr>
          <w:rFonts w:ascii="Times New Roman" w:hAnsi="Times New Roman" w:cs="Times New Roman"/>
          <w:noProof/>
          <w:sz w:val="24"/>
          <w:szCs w:val="24"/>
        </w:rPr>
      </w:pPr>
      <w:r>
        <w:rPr>
          <w:rFonts w:ascii="Times New Roman" w:hAnsi="Times New Roman"/>
          <w:noProof/>
          <w:sz w:val="24"/>
        </w:rPr>
        <w:t xml:space="preserve">De plus, compte tenu des exigences et objectifs du MiFIR, les critères suivants ont été pris en compte: </w:t>
      </w:r>
    </w:p>
    <w:p w:rsidR="00F64B88" w:rsidRDefault="00690051">
      <w:pPr>
        <w:spacing w:before="60"/>
        <w:ind w:left="1276" w:hanging="283"/>
        <w:jc w:val="both"/>
        <w:rPr>
          <w:rFonts w:ascii="Times New Roman" w:hAnsi="Times New Roman" w:cs="Times New Roman"/>
          <w:noProof/>
          <w:sz w:val="24"/>
          <w:szCs w:val="24"/>
        </w:rPr>
      </w:pPr>
      <w:r>
        <w:rPr>
          <w:rFonts w:ascii="Times New Roman" w:hAnsi="Times New Roman"/>
          <w:noProof/>
          <w:sz w:val="24"/>
        </w:rPr>
        <w:t xml:space="preserve">i) l’existence d’une procédure de notification par laquelle une banque centrale de pays ou territoire tiers informe sa contrepartie de l’UE que la transaction est exemptée; </w:t>
      </w:r>
    </w:p>
    <w:p w:rsidR="00F64B88" w:rsidRDefault="00690051">
      <w:pPr>
        <w:spacing w:before="60"/>
        <w:ind w:left="1276" w:hanging="283"/>
        <w:jc w:val="both"/>
        <w:rPr>
          <w:rFonts w:ascii="Times New Roman" w:hAnsi="Times New Roman" w:cs="Times New Roman"/>
          <w:noProof/>
          <w:sz w:val="24"/>
          <w:szCs w:val="24"/>
        </w:rPr>
      </w:pPr>
      <w:r>
        <w:rPr>
          <w:rFonts w:ascii="Times New Roman" w:hAnsi="Times New Roman"/>
          <w:noProof/>
          <w:sz w:val="24"/>
        </w:rPr>
        <w:t xml:space="preserve">ii) la capacité de la banque centrale de pays ou territoire tiers à opérer une distinction entre les transactions effectuées au titre de la politique monétaire, de change ou de stabilité financière visées par le règlement MiFIR et les transactions exécutées purement à des fins d’investissement; et </w:t>
      </w:r>
    </w:p>
    <w:p w:rsidR="00F64B88" w:rsidRDefault="00690051">
      <w:pPr>
        <w:spacing w:before="60"/>
        <w:ind w:left="1276" w:hanging="283"/>
        <w:jc w:val="both"/>
        <w:rPr>
          <w:rFonts w:ascii="Times New Roman" w:hAnsi="Times New Roman" w:cs="Times New Roman"/>
          <w:noProof/>
          <w:sz w:val="24"/>
          <w:szCs w:val="24"/>
        </w:rPr>
      </w:pPr>
      <w:r>
        <w:rPr>
          <w:rFonts w:ascii="Times New Roman" w:hAnsi="Times New Roman"/>
          <w:noProof/>
          <w:sz w:val="24"/>
        </w:rPr>
        <w:t>iii) l’existence, dans le pays ou territoire examiné, d’une exemption similaire pouvant être accordée aux banques centrales de pays ou territoires tiers.</w:t>
      </w:r>
    </w:p>
    <w:p w:rsidR="00F64B88" w:rsidRDefault="00690051">
      <w:pPr>
        <w:spacing w:before="60"/>
        <w:jc w:val="both"/>
        <w:rPr>
          <w:rFonts w:ascii="Times New Roman" w:hAnsi="Times New Roman" w:cs="Times New Roman"/>
          <w:noProof/>
          <w:sz w:val="24"/>
          <w:szCs w:val="24"/>
        </w:rPr>
      </w:pPr>
      <w:r>
        <w:rPr>
          <w:rFonts w:ascii="Times New Roman" w:hAnsi="Times New Roman"/>
          <w:noProof/>
          <w:sz w:val="24"/>
        </w:rPr>
        <w:lastRenderedPageBreak/>
        <w:t>Ces critères additionnels ont été évalués en tenant compte des exigences et des objectifs du MiFIR. En particulier, le MiFIR prévoit que les exemptions au titre de son article 1</w:t>
      </w:r>
      <w:r>
        <w:rPr>
          <w:rFonts w:ascii="Times New Roman" w:hAnsi="Times New Roman"/>
          <w:noProof/>
          <w:sz w:val="24"/>
          <w:vertAlign w:val="superscript"/>
        </w:rPr>
        <w:t>er</w:t>
      </w:r>
      <w:r>
        <w:rPr>
          <w:rFonts w:ascii="Times New Roman" w:hAnsi="Times New Roman"/>
          <w:noProof/>
          <w:sz w:val="24"/>
        </w:rPr>
        <w:t xml:space="preserve">, paragraphe 6, ne peuvent pas être accordées aux banques centrales lorsque celles-ci exécutent des opérations purement à des fins d’investissement. L’étude a donc examiné si les banques centrales de pays ou territoires tiers opèrent une distinction entre les transactions exécutées à des fins réglementaires et celles effectuées à des fins d’investissement. En outre, l’étude a examiné si les banques centrales de pays ou territoires tiers disposent d’une procédure pour notifier les transactions exemptées ou si, tout du moins, elles envisagent d'instaurer une telle procédure pour la négociation avec des contreparties financières de l’UE, une telle procédure augmentant le niveau de transparence et étant donc prévue par le règlement MiFIR. Enfin, l’existence d’une exemption statutaire pour les transactions de banques centrales sur les plates-formes de négociation de pays ou territoires tiers peut avoir une incidence sur l'analyse coût-efficacité de l’opportunité d’une exemption. </w:t>
      </w:r>
    </w:p>
    <w:p w:rsidR="00F64B88" w:rsidRDefault="00690051">
      <w:pPr>
        <w:spacing w:before="60"/>
        <w:jc w:val="both"/>
        <w:rPr>
          <w:rFonts w:ascii="Times New Roman" w:hAnsi="Times New Roman" w:cs="Times New Roman"/>
          <w:noProof/>
          <w:sz w:val="24"/>
          <w:szCs w:val="24"/>
        </w:rPr>
      </w:pPr>
      <w:r>
        <w:rPr>
          <w:rFonts w:ascii="Times New Roman" w:hAnsi="Times New Roman"/>
          <w:noProof/>
          <w:sz w:val="24"/>
        </w:rPr>
        <w:t>Après avoir étudié ces critères, la Commission est parvenue à la conclusion qu’il était essentiel que les banques centrales de pays ou territoires tiers soient en mesure d'opérer une distinction entre</w:t>
      </w:r>
      <w:r>
        <w:rPr>
          <w:noProof/>
        </w:rPr>
        <w:t xml:space="preserve"> </w:t>
      </w:r>
      <w:r>
        <w:rPr>
          <w:rFonts w:ascii="Times New Roman" w:hAnsi="Times New Roman"/>
          <w:noProof/>
          <w:sz w:val="24"/>
        </w:rPr>
        <w:t>les transactions exécutées à des fins réglementaires et celles effectuées à des fins d’investissement, car autrement, aucune exemption au titre de l’article 1</w:t>
      </w:r>
      <w:r>
        <w:rPr>
          <w:rFonts w:ascii="Times New Roman" w:hAnsi="Times New Roman"/>
          <w:noProof/>
          <w:sz w:val="24"/>
          <w:vertAlign w:val="superscript"/>
        </w:rPr>
        <w:t>er</w:t>
      </w:r>
      <w:r>
        <w:rPr>
          <w:rFonts w:ascii="Times New Roman" w:hAnsi="Times New Roman"/>
          <w:noProof/>
          <w:sz w:val="24"/>
        </w:rPr>
        <w:t>, paragraphe 9, ne serait suffisamment définie. En revanche, après un examen plus approfondi, l’absence, au moment de la rédaction du présent rapport, de procédures de notification des transactions exemptées n’a pas été jugée suffisamment significative pour considérer que l’exemption au titre de l’article 1</w:t>
      </w:r>
      <w:r>
        <w:rPr>
          <w:rFonts w:ascii="Times New Roman" w:hAnsi="Times New Roman"/>
          <w:noProof/>
          <w:sz w:val="24"/>
          <w:vertAlign w:val="superscript"/>
        </w:rPr>
        <w:t>er</w:t>
      </w:r>
      <w:r>
        <w:rPr>
          <w:rFonts w:ascii="Times New Roman" w:hAnsi="Times New Roman"/>
          <w:noProof/>
          <w:sz w:val="24"/>
        </w:rPr>
        <w:t>, paragraphe 9, ne devrait pas être applicable, car les pays et territoires qui ne disposent pas actuellement d’une telle procédure ont indiqué qu’ils étaient disposés à la mettre en œuvre une fois le régime du règlement MiFIR en place. Enfin, l’existence, dans les pays et territoires examinés, d’exemptions statutaires pour les transactions de banque centrale effectuées sur des plates-formes d’exécution de pays ou territoires tiers n’est pas considérée comme indispensable pour que l’exemption puisse être accordée, car cela n’est pas explicitement requis par l’article 1</w:t>
      </w:r>
      <w:r>
        <w:rPr>
          <w:rFonts w:ascii="Times New Roman" w:hAnsi="Times New Roman"/>
          <w:noProof/>
          <w:sz w:val="24"/>
          <w:vertAlign w:val="superscript"/>
        </w:rPr>
        <w:t>er</w:t>
      </w:r>
      <w:r>
        <w:rPr>
          <w:rFonts w:ascii="Times New Roman" w:hAnsi="Times New Roman"/>
          <w:noProof/>
          <w:sz w:val="24"/>
        </w:rPr>
        <w:t>, paragraphe 9, du MiFIR.</w:t>
      </w:r>
    </w:p>
    <w:p w:rsidR="00F64B88" w:rsidRDefault="00690051">
      <w:pPr>
        <w:jc w:val="both"/>
        <w:rPr>
          <w:rFonts w:ascii="Times New Roman" w:hAnsi="Times New Roman" w:cs="Times New Roman"/>
          <w:noProof/>
          <w:sz w:val="24"/>
          <w:szCs w:val="24"/>
        </w:rPr>
      </w:pPr>
      <w:r>
        <w:rPr>
          <w:rFonts w:ascii="Times New Roman" w:hAnsi="Times New Roman"/>
          <w:noProof/>
          <w:sz w:val="24"/>
        </w:rPr>
        <w:t>Une présentation générale de l’évaluation est fournie à l’annexe 1</w:t>
      </w:r>
      <w:r>
        <w:rPr>
          <w:rStyle w:val="FootnoteReference"/>
          <w:rFonts w:ascii="Times New Roman" w:hAnsi="Times New Roman"/>
          <w:noProof/>
          <w:sz w:val="24"/>
        </w:rPr>
        <w:footnoteReference w:id="3"/>
      </w:r>
      <w:r>
        <w:rPr>
          <w:rFonts w:ascii="Times New Roman" w:hAnsi="Times New Roman"/>
          <w:noProof/>
          <w:sz w:val="24"/>
        </w:rPr>
        <w:t>.</w:t>
      </w:r>
      <w:r>
        <w:rPr>
          <w:rFonts w:ascii="Times" w:hAnsi="Times"/>
          <w:noProof/>
          <w:sz w:val="24"/>
        </w:rPr>
        <w:t xml:space="preserve"> La Commission a conclu que, au vu de leurs cadres de transparence du marché et/ou de transparence opérationnelle, les pays et territoires susmentionnés avaient en place un cadre juridique qui assurait</w:t>
      </w:r>
      <w:r>
        <w:rPr>
          <w:rFonts w:ascii="Times New Roman" w:hAnsi="Times New Roman"/>
          <w:noProof/>
          <w:sz w:val="24"/>
        </w:rPr>
        <w:t xml:space="preserve"> un niveau suffisant de transparence</w:t>
      </w:r>
      <w:r>
        <w:rPr>
          <w:rStyle w:val="FootnoteReference"/>
          <w:rFonts w:ascii="Times New Roman" w:hAnsi="Times New Roman"/>
          <w:noProof/>
          <w:sz w:val="24"/>
        </w:rPr>
        <w:footnoteReference w:id="4"/>
      </w:r>
      <w:r>
        <w:rPr>
          <w:rFonts w:ascii="Times New Roman" w:hAnsi="Times New Roman"/>
          <w:noProof/>
          <w:sz w:val="24"/>
        </w:rPr>
        <w:t xml:space="preserve">. De plus, l’activité de négociation dans l’UE provenant de ces pays et territoires est suffisamment importante pour justifier que l’exemption des obligations de transparence pré- et post-négociation soit étendue à ces pays et territoires. La Commission a en outre conclu qu’il était opportun d’accorder l’exemption à la BRI, la capacité de celle-ci à mener à bien ses importantes missions d’intérêt public et à aider la communauté internationale des banques centrales ne devant pas être compromise. Contrairement aux banques centrales, la BRI est explicitement mentionnée en tant qu’entité pouvant être incluse si nécessaire. Cette </w:t>
      </w:r>
      <w:r>
        <w:rPr>
          <w:rFonts w:ascii="Times New Roman" w:hAnsi="Times New Roman"/>
          <w:noProof/>
          <w:sz w:val="24"/>
        </w:rPr>
        <w:lastRenderedPageBreak/>
        <w:t xml:space="preserve">conclusion repose sur une évaluation qualitative, contrairement à celle concernant les banques centrales. </w:t>
      </w:r>
    </w:p>
    <w:p w:rsidR="00F64B88" w:rsidRDefault="00690051">
      <w:pPr>
        <w:spacing w:before="60"/>
        <w:jc w:val="both"/>
        <w:rPr>
          <w:rFonts w:ascii="Times New Roman" w:hAnsi="Times New Roman" w:cs="Times New Roman"/>
          <w:noProof/>
          <w:sz w:val="24"/>
          <w:szCs w:val="24"/>
        </w:rPr>
      </w:pPr>
      <w:r>
        <w:rPr>
          <w:rFonts w:ascii="Times New Roman" w:hAnsi="Times New Roman"/>
          <w:noProof/>
          <w:sz w:val="24"/>
        </w:rPr>
        <w:t xml:space="preserve">Une brève synthèse de l’analyse des pays sélectionnés à l'aune des critères susmentionnés est présentée ci-dessous. Pour une description détaillée et une analyse approfondie, veuillez vous référer à l’étude réalisée par le Centre for European Policy Studies. </w:t>
      </w:r>
    </w:p>
    <w:p w:rsidR="00F64B88" w:rsidRDefault="00690051">
      <w:pPr>
        <w:jc w:val="both"/>
        <w:rPr>
          <w:rFonts w:ascii="Times New Roman" w:hAnsi="Times New Roman" w:cs="Times New Roman"/>
          <w:b/>
          <w:bCs/>
          <w:noProof/>
          <w:sz w:val="24"/>
          <w:szCs w:val="24"/>
        </w:rPr>
      </w:pPr>
      <w:bookmarkStart w:id="2" w:name="_Toc413169301"/>
      <w:bookmarkStart w:id="3" w:name="_Toc412950561"/>
      <w:bookmarkStart w:id="4" w:name="_Toc412947399"/>
      <w:bookmarkStart w:id="5" w:name="_Toc412933595"/>
      <w:bookmarkStart w:id="6" w:name="_Toc412835395"/>
      <w:bookmarkStart w:id="7" w:name="_Toc418165659"/>
      <w:r>
        <w:rPr>
          <w:rFonts w:ascii="Times New Roman" w:hAnsi="Times New Roman"/>
          <w:b/>
          <w:noProof/>
          <w:sz w:val="24"/>
        </w:rPr>
        <w:t>La Banque de réserve d’Australie</w:t>
      </w:r>
      <w:bookmarkEnd w:id="2"/>
      <w:bookmarkEnd w:id="3"/>
      <w:bookmarkEnd w:id="4"/>
      <w:bookmarkEnd w:id="5"/>
      <w:bookmarkEnd w:id="6"/>
      <w:bookmarkEnd w:id="7"/>
      <w:r>
        <w:rPr>
          <w:rFonts w:ascii="Times New Roman" w:hAnsi="Times New Roman"/>
          <w:b/>
          <w:noProof/>
          <w:sz w:val="24"/>
        </w:rPr>
        <w:t xml:space="preserve"> (RBA)</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Les instruments autres que des actions ou instruments assimilés sont exclus du champ d’application des règles qui garantissent la transparence de la négociation. Sur le plan de la transparence opérationnelle, la RBA fournit des informations sur les éléments de son bilan, annonce ses opérations d’open market quotidiennes et fournit quelques informations agrégées sur ses transactions après l’exécution de celles-ci, au moyen de services d’information électroniques.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RBA a un volume élevé de transactions avec des contreparties de l’UE ou sur des instruments financiers cotés dans l’UE.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Les banques centrales étrangères sont exemptées des obligations de transparence. </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RBA est considérée comme étant en mesure d’opérer une distinction entre les transactions au titre de ses politiques et les transactions à d’autres fins (par exemple à des fins d’«investissement»).</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bien qu’elle ne dispose pas de procédure pour notifier à ses contreparties l’existence d’une exemption pour les transactions avec des contreparties financières de l’UE, elle a déclaré être disposée à mettre en œuvre une telle procédure lorsque le régime MiFIR serait en place.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noProof/>
          <w:sz w:val="24"/>
          <w:szCs w:val="24"/>
        </w:rPr>
      </w:pPr>
      <w:r>
        <w:rPr>
          <w:rFonts w:ascii="Times New Roman" w:hAnsi="Times New Roman"/>
          <w:b/>
          <w:noProof/>
          <w:sz w:val="24"/>
        </w:rPr>
        <w:t>La Banque centrale du Brésil (BCB)</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Les règles contraignantes qui régissent la transparence de la négociation d’instruments financiers couvrent certains instruments autres que des actions ou instruments assimilés, y compris les obligations non garanties, les billets de trésorerie et les instruments dérivés. Les emprunts d’État et les instruments négociables garantis par un établissement financier sont les principaux instruments à bénéficier d'une exemption des règles de transparence du marché. En ce qui concerne la transparence opérationnelle, la banque centrale nationale annonce les détails des opérations d’open market sur Sisbacen et sur son site internet, où elle fournit également des informations sur les résultats des enchères, y compris celles concernant les devises.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BCB a un volume élevé de transactions avec des contreparties de l’UE ou sur des instruments financiers cotés dans l’UE.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Il n’y a pas d’exemption des obligations de transparence pour les banques centrales étrangères. </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BCB est en mesure d’opérer une distinction entre les transactions au titre de ses politiques et les transactions à d’autres fins (notamment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elle a mis en place une procédure pour notifier à ses contreparties l’existence d’une exemption pour les transactions avec des contreparties financières de l’UE.</w:t>
      </w:r>
    </w:p>
    <w:p w:rsidR="00F64B88" w:rsidRDefault="00F64B88">
      <w:pPr>
        <w:spacing w:after="0"/>
        <w:jc w:val="both"/>
        <w:rPr>
          <w:rFonts w:ascii="Times New Roman" w:hAnsi="Times New Roman" w:cs="Times New Roman"/>
          <w:b/>
          <w:noProof/>
          <w:sz w:val="24"/>
          <w:szCs w:val="24"/>
        </w:rPr>
      </w:pPr>
    </w:p>
    <w:p w:rsidR="00F64B88" w:rsidRDefault="00690051">
      <w:pPr>
        <w:jc w:val="both"/>
        <w:rPr>
          <w:rFonts w:ascii="Times New Roman" w:hAnsi="Times New Roman" w:cs="Times New Roman"/>
          <w:b/>
          <w:noProof/>
          <w:sz w:val="24"/>
          <w:szCs w:val="24"/>
        </w:rPr>
      </w:pPr>
      <w:r>
        <w:rPr>
          <w:rFonts w:ascii="Times New Roman" w:hAnsi="Times New Roman"/>
          <w:b/>
          <w:noProof/>
          <w:sz w:val="24"/>
        </w:rPr>
        <w:t>La Banque du Canada (BoC)</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En ce qui concerne la transparence du marché, les règles contraignantes régissant la négociation d’instruments financiers couvrent certains instruments autres que des actions ou instruments assimilés, tels que les obligations, les billets de trésorerie et les dérivés. Les obligations d’État en sont cependant expressément exemptées, de même que les titres étrangers. Pour ce qui est des mesures de transparence opérationnelle, la BoC publie préalablement des informations avant les opérations de prise en pension à plus d'un jour à des fins de gestion de bilan. Les résultats agrégés de ces opérations sont également publiés sur le site internet de la banque centrale nationale.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Le volume de transactions de la BoC avec des contreparties de l’UE ou sur des instruments financiers cotés dans l’UE est élevé.</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Une exemption des obligations de transparence peut être appliquée pour les banques centrales étrangères. </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BoC est en mesure d’opérer une distinction entre les transactions au titre de ses politiques et les transactions à d’autres fins (notamment à des fins d’«investissement»).</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bien que la BoC n’ait pas actuellement de procédure en place pour notifier à ses contreparties l’existence d’une exemption pour les transactions avec des contreparties financières de l’UE, elle est disposée à mettre en œuvre une telle procédure lorsque le régime MiFIR sera en place.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b/>
          <w:noProof/>
          <w:sz w:val="24"/>
          <w:szCs w:val="24"/>
        </w:rPr>
      </w:pPr>
      <w:r>
        <w:rPr>
          <w:rFonts w:ascii="Times New Roman" w:hAnsi="Times New Roman"/>
          <w:b/>
          <w:noProof/>
          <w:sz w:val="24"/>
        </w:rPr>
        <w:t>La Banque populaire de Chine (PBoC)</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PBoC n'impose pas d’obligations de transparence pour les instruments autres que des actions ou instruments assimilés et les participants au marché ne sont pas tenus de publier et de déclarer des informations sur les transactions. La transparence opérationnelle est assurée par l’annonce publique des opérations d’open market (OMO) et des résultats des opérations de liquidités à court terme (SLO).</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lastRenderedPageBreak/>
        <w:t>La Commission européenne attend des données sur l'activité de négociation de la PBoC sur les marchés financiers de l’UE et avec des contreparties de l’UE. Le bien-fondé économique de l’octroi d’une exemption n’a donc pas pu être évalué pour le moment.</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Étant donné que la PBoC ne remplit que l’un des trois critères principaux, le Centre for European Policy Studies a accordé une attention particulière aux trois 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les banques centrales étrangères ne bénéficient pas d’une exemption générale des obligations de transparence,</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la capacité de la PBoC à opérer une distinction entre les transactions exécutées à des fins d’investissement et celles exécutées dans le cadre des politiques n’a pas été démontrée,</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aucune procédure de notification permettant d’informer les contreparties de l’UE que les transactions ne sont pas soumises à des exigences de transparence n'a été signalée.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 raison du manque d’informations sur les transactions effectuées avec des contreparties de l’UE ou sur des instruments financiers cotés dans l’UE, le Centre for European Policy Studies n’a, pour l’instant, pas pu se prononcer sur l’opportunité et la nécessité d’accorder à la PBoC une exemption au titre de l’article 1</w:t>
      </w:r>
      <w:r>
        <w:rPr>
          <w:rFonts w:ascii="Times New Roman" w:hAnsi="Times New Roman"/>
          <w:noProof/>
          <w:sz w:val="24"/>
          <w:vertAlign w:val="superscript"/>
        </w:rPr>
        <w:t>er</w:t>
      </w:r>
      <w:r>
        <w:rPr>
          <w:rFonts w:ascii="Times New Roman" w:hAnsi="Times New Roman"/>
          <w:noProof/>
          <w:sz w:val="24"/>
        </w:rPr>
        <w:t xml:space="preserve">, paragraphe 9, du règlement MiFIR.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b/>
          <w:noProof/>
          <w:sz w:val="24"/>
          <w:szCs w:val="24"/>
        </w:rPr>
      </w:pPr>
      <w:r>
        <w:rPr>
          <w:rFonts w:ascii="Times New Roman" w:hAnsi="Times New Roman"/>
          <w:b/>
          <w:noProof/>
          <w:sz w:val="24"/>
        </w:rPr>
        <w:t>L’autorité monétaire de Hong Kong (HKMA)</w:t>
      </w:r>
    </w:p>
    <w:p w:rsidR="00F64B88" w:rsidRDefault="00F64B88">
      <w:pPr>
        <w:spacing w:after="0"/>
        <w:jc w:val="both"/>
        <w:rPr>
          <w:rFonts w:ascii="Times New Roman" w:hAnsi="Times New Roman" w:cs="Times New Roman"/>
          <w:i/>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 ce qui concerne la transparence du marché, Hong Kong n’impose aucune obligation de transparence pour la négociation des instruments financiers autres que des actions ou instruments assimilés. Pour ce qui est de la transparence opérationnelle, la banque centrale nationale publie des informations sur les éléments généraux de son bilan et sur les changements concernant les réserves de change plutôt que des informations transactionnelles. Elle fournit cependant des informations spécifiques détaillées sur les émissions de titres de dette à court et moyen terme de l’</w:t>
      </w:r>
      <w:r>
        <w:rPr>
          <w:rFonts w:ascii="Times New Roman" w:hAnsi="Times New Roman"/>
          <w:i/>
          <w:noProof/>
          <w:sz w:val="24"/>
        </w:rPr>
        <w:t>Exchange Fund</w:t>
      </w:r>
      <w:r>
        <w:rPr>
          <w:rFonts w:ascii="Times New Roman" w:hAnsi="Times New Roman"/>
          <w:noProof/>
          <w:sz w:val="24"/>
        </w:rPr>
        <w:t xml:space="preserve">.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HKMA effectue un volume élevé de transactions avec des contreparties de l’UE ou sur des instruments financiers cotés dans l’UE.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Il n’est pas prévu d’exemption des obligations de transparence pour les banques centrales étrangères. </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HKMA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elle a mis en place une procédure pour notifier à ses contreparties l’existence d’une exemption pour les transactions avec des contreparties financières de l’UE.</w:t>
      </w:r>
    </w:p>
    <w:p w:rsidR="00F64B88" w:rsidRDefault="00F64B88">
      <w:pPr>
        <w:spacing w:after="0"/>
        <w:jc w:val="both"/>
        <w:rPr>
          <w:rFonts w:ascii="Times New Roman" w:hAnsi="Times New Roman" w:cs="Times New Roman"/>
          <w:noProof/>
          <w:sz w:val="24"/>
          <w:szCs w:val="24"/>
        </w:rPr>
      </w:pPr>
    </w:p>
    <w:p w:rsidR="00690051" w:rsidRDefault="00690051">
      <w:pPr>
        <w:rPr>
          <w:rFonts w:ascii="Times New Roman" w:hAnsi="Times New Roman"/>
          <w:b/>
          <w:noProof/>
          <w:sz w:val="24"/>
        </w:rPr>
      </w:pPr>
      <w:r>
        <w:rPr>
          <w:rFonts w:ascii="Times New Roman" w:hAnsi="Times New Roman"/>
          <w:b/>
          <w:noProof/>
          <w:sz w:val="24"/>
        </w:rPr>
        <w:br w:type="page"/>
      </w:r>
    </w:p>
    <w:p w:rsidR="00F64B88" w:rsidRDefault="00690051">
      <w:pPr>
        <w:jc w:val="both"/>
        <w:rPr>
          <w:rFonts w:ascii="Times New Roman" w:hAnsi="Times New Roman" w:cs="Times New Roman"/>
          <w:b/>
          <w:noProof/>
          <w:sz w:val="24"/>
          <w:szCs w:val="24"/>
        </w:rPr>
      </w:pPr>
      <w:r>
        <w:rPr>
          <w:rFonts w:ascii="Times New Roman" w:hAnsi="Times New Roman"/>
          <w:b/>
          <w:noProof/>
          <w:sz w:val="24"/>
        </w:rPr>
        <w:lastRenderedPageBreak/>
        <w:t>La Banque de réserve de l’Inde (RBI)</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En ce qui concerne la transparence du marché, les transactions de gré à gré sur des instruments financiers autres que des actions ou instruments assimilés (généralement effectuées par téléphone) sont déclarées sur le module marché secondaire du </w:t>
      </w:r>
      <w:r>
        <w:rPr>
          <w:rFonts w:ascii="Times New Roman" w:hAnsi="Times New Roman"/>
          <w:i/>
          <w:noProof/>
          <w:sz w:val="24"/>
        </w:rPr>
        <w:t>Negotiated Dealing System</w:t>
      </w:r>
      <w:r>
        <w:rPr>
          <w:rFonts w:ascii="Times New Roman" w:hAnsi="Times New Roman"/>
          <w:noProof/>
          <w:sz w:val="24"/>
        </w:rPr>
        <w:t xml:space="preserve">. Des informations sur les cours des valeurs mobilières sont disponibles sur les sites internet de la RBI et de la Clearing Corporation of India Ltd. (CCIL). Pour ce qui est de la transparence opérationnelle, la RBI publie un calendrier des enchères et, pour les opérations d’open market (OMO) et les instruments de liquidité, elle publie au préalable les détails des opérations et, a posteriori, leurs résultats agrégés. Elle publie également des informations statistiques sur les OMO sur une base hebdomadaire, et sur la politique de change dans son bulletin mensuel (les informations transactionnelles sur les opérations de change ne sont pas publiées).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Le volume de transactions avec des contreparties de l’UE ou sur des instruments financiers cotés dans l’UE est faible.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RBI ne déclare pas les opérations de change effectuées par les banques centrales étrangères et il n’existe aucune obligation générale de déclarer les transactions avec les banques centrales étrangères. La RBI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bien que la RBI n’ait pas actuellement de procédure en place pour notifier à ses contreparties l’existence d’une exemption pour les transactions avec des contreparties financières de l’UE, elle est disposée à mettre en œuvre une telle procédure lorsque le régime MiFIR sera en place.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noProof/>
          <w:sz w:val="24"/>
          <w:szCs w:val="24"/>
        </w:rPr>
      </w:pPr>
      <w:r>
        <w:rPr>
          <w:rFonts w:ascii="Times New Roman" w:hAnsi="Times New Roman"/>
          <w:b/>
          <w:noProof/>
          <w:sz w:val="24"/>
        </w:rPr>
        <w:t>La Banque du Japon (BoJ)</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Les règles contraignantes en matière de transparence du marché comprennent certaines exigences de déclaration pour les dérivés de gré à gré, mais les opérateurs du marché sont seulement tenus de les déclarer au ministère et aux référentiels centraux, et non au grand public. Des organismes d’autoréglementation ont toutefois établi des exigences spécifiques de publication des prix de référence pour les instruments financiers autres que les actions et instruments assimilés. En ce qui concerne la transparence opérationnelle, la BoJ ne publie pas d’informations au préalable, mais elle publie les résultats agrégés des enchères après chaque transaction.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Le volume de transactions avec des contreparties de l’UE ou sur des instruments financiers cotés dans l’UE est faible.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lastRenderedPageBreak/>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Les banques centrales étrangères peuvent bénéficier d’une exemption des obligations de transparence en vertu d’une clause générale de confidentialité qui s’applique aux cas où la divulgation porterait préjudice aux relations avec les pays tiers.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BoJ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bien que la BoJ n’ait pas actuellement de procédure en place pour notifier à ses contreparties l’existence d’une exemption pour les transactions avec des contreparties financières de l’UE, elle est disposée à mettre en œuvre une telle procédure lorsque le régime MiFIR sera en place.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noProof/>
          <w:sz w:val="24"/>
          <w:szCs w:val="24"/>
        </w:rPr>
      </w:pPr>
      <w:r>
        <w:rPr>
          <w:rFonts w:ascii="Times New Roman" w:hAnsi="Times New Roman"/>
          <w:b/>
          <w:noProof/>
          <w:sz w:val="24"/>
        </w:rPr>
        <w:t>La Banque du Mexique (Banxico)</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Banxico n’a pas de règles contraignantes en matière de transparence de la négociation des instruments financiers autres que des actions ou instruments assimilés. Il existe cependant des règles d’autoréglementation comprenant des obligations de cotation. En ce qui concerne la transparence opérationnelle, Banxico publie les principales informations dans le bulletin d’information avant les enchères, y compris le montant estimé et le type d’opération.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Le volume de transactions de Banxico avec des contreparties de l’UE ou sur des instruments financiers cotés dans l’UE est faible.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Il n’y a pas d’exemption des obligations de transparence pour les transactions effectuées par les banques centrales étrangères. Banxico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Banxico a mis en place une procédure pour notifier à ses contreparties l’existence d’une exemption pour les transactions avec des contreparties financières de l’UE.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noProof/>
          <w:sz w:val="24"/>
          <w:szCs w:val="24"/>
        </w:rPr>
      </w:pPr>
      <w:r>
        <w:rPr>
          <w:rFonts w:ascii="Times New Roman" w:hAnsi="Times New Roman"/>
          <w:b/>
          <w:noProof/>
          <w:sz w:val="24"/>
        </w:rPr>
        <w:t>L’Autorité monétaire de Singapour (MAS)</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En ce qui concerne la transparence du marché, les lignes directrices sur la réglementation des marchés établies par la MAS en application du </w:t>
      </w:r>
      <w:r>
        <w:rPr>
          <w:rFonts w:ascii="Times New Roman" w:hAnsi="Times New Roman"/>
          <w:i/>
          <w:noProof/>
          <w:sz w:val="24"/>
        </w:rPr>
        <w:t>Securities and Futures Act</w:t>
      </w:r>
      <w:r>
        <w:rPr>
          <w:rFonts w:ascii="Times New Roman" w:hAnsi="Times New Roman"/>
          <w:noProof/>
          <w:sz w:val="24"/>
        </w:rPr>
        <w:t xml:space="preserve"> prévoient l’obligation de fournir aussi bien des informations pré-négociation (meilleurs prix acheteurs et prix vendeurs) que des informations post-négociation (transactions exécutées). Ces règles et lignes directrices s’appliquent aux bourses et aux opérateurs de marché reconnus, mais pas aux courtiers. En ce qui concerne la transparence opérationnelle, la MAS communique aux participants du marché les conditions des enchères et leurs résultats.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MAS effectue un volume élevé de transactions avec des contreparties de l’UE ou sur des instruments financiers cotés dans l’UE.</w:t>
      </w:r>
    </w:p>
    <w:p w:rsidR="00F64B88" w:rsidRDefault="00690051">
      <w:pPr>
        <w:spacing w:after="0"/>
        <w:jc w:val="both"/>
        <w:rPr>
          <w:rFonts w:ascii="Times New Roman" w:hAnsi="Times New Roman" w:cs="Times New Roman"/>
          <w:noProof/>
          <w:sz w:val="24"/>
          <w:szCs w:val="24"/>
        </w:rPr>
      </w:pPr>
      <w:r>
        <w:rPr>
          <w:rFonts w:ascii="Times New Roman" w:hAnsi="Times New Roman"/>
          <w:i/>
          <w:noProof/>
          <w:sz w:val="24"/>
        </w:rPr>
        <w:lastRenderedPageBreak/>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MAS n’accorde pas d’exemption des obligations de transparence pour les transactions nationales effectuées par les banques centrales étrangères. La MAS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bien que la MAS n’ait pas actuellement de procédure en place pour notifier à ses contreparties l’existence d’une exemption pour les transactions avec des contreparties financières de l’UE, elle est disposée à mettre en œuvre une telle procédure lorsque le régime MiFIR sera en place.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noProof/>
          <w:sz w:val="24"/>
          <w:szCs w:val="24"/>
        </w:rPr>
      </w:pPr>
      <w:bookmarkStart w:id="8" w:name="_Toc413169346"/>
      <w:bookmarkStart w:id="9" w:name="_Toc412950570"/>
      <w:bookmarkStart w:id="10" w:name="_Toc412947408"/>
      <w:bookmarkStart w:id="11" w:name="_Toc412933640"/>
      <w:bookmarkStart w:id="12" w:name="_Toc418165668"/>
      <w:r>
        <w:rPr>
          <w:rFonts w:ascii="Times New Roman" w:hAnsi="Times New Roman"/>
          <w:b/>
          <w:noProof/>
          <w:sz w:val="24"/>
        </w:rPr>
        <w:t>La Banque de Corée (BoK)</w:t>
      </w:r>
      <w:bookmarkEnd w:id="8"/>
      <w:bookmarkEnd w:id="9"/>
      <w:bookmarkEnd w:id="10"/>
      <w:bookmarkEnd w:id="11"/>
      <w:bookmarkEnd w:id="12"/>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Il n’y a pas de règles contraignantes fixant des obligations de transparence de marché pour les instruments autres que des actions ou instruments assimilés. Des règles d’autoréglementation prévoient cependant des obligations de transparence des prix de référence pour les instruments autres que des actions ou instruments assimilés que la BoK négocie normalement. En ce qui concerne la transparence opérationnelle, la BoK publie des informations agrégées sur les éléments de son bilan. En matière de gestion des réserves de change, la BoK publie des informations agrégées sur la tranche d’investissement de ses actifs étrangers.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BoK effectue un volume élevé de transactions avec des contreparties de l’UE ou sur des instruments financiers cotés dans l’UE.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Il n’y a pas d’exemption des obligations de transparence pour les transactions nationales effectuées par les banques centrales étrangères.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BoK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bien que la BoK n’ait pas actuellement de procédure en place pour notifier à ses contreparties l’existence d’une exemption pour les transactions avec des contreparties financières de l’UE, elle est disposée à mettre en œuvre une telle procédure lorsque le régime MiFIR sera en place.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noProof/>
          <w:sz w:val="24"/>
          <w:szCs w:val="24"/>
        </w:rPr>
      </w:pPr>
      <w:r>
        <w:rPr>
          <w:rFonts w:ascii="Times New Roman" w:hAnsi="Times New Roman"/>
          <w:b/>
          <w:noProof/>
          <w:sz w:val="24"/>
        </w:rPr>
        <w:t>La Banque nationale suisse (BNS)</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En ce qui concerne la transparence du marché, des exigences de déclaration sont imposées pour les instruments autres que des actions ou instruments assimilés, et la plateforme SIX, à travers laquelle un volume important de transactions de la BNS sont exécutées, est également disponible pour les opérations de pension sur le marché interbancaire et soumise à des obligations de transparence pré- et post-négociation. Pour ce qui est de la transparence opérationnelle, la BNS publie les détails de ses opérations d’open market (OMO) et de ses facilités permanentes.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BNS effectue un volume élevé de transactions avec des contreparties de l’UE ou sur des instruments financiers cotés dans l’UE.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Il n’y a pas d’exemption des obligations de transparence pour les transactions nationales effectuées par les banques centrales étrangères, mais cette possibilité est actuellement débattue. En outre, la BNS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bien que la BNS n’ait pas actuellement de procédure en place pour notifier à ses contreparties l’existence d’une exemption pour les transactions avec des contreparties financières de l’UE, elle est disposée à mettre en œuvre une telle procédure lorsque le régime MiFIR sera en place.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noProof/>
          <w:sz w:val="24"/>
          <w:szCs w:val="24"/>
        </w:rPr>
      </w:pPr>
      <w:r>
        <w:rPr>
          <w:rFonts w:ascii="Times New Roman" w:hAnsi="Times New Roman"/>
          <w:b/>
          <w:noProof/>
          <w:sz w:val="24"/>
        </w:rPr>
        <w:t>Banque centrale de la République de Turquie (CBRT)</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La Turquie impose des obligations de transparence pour les instruments autres que des actions ou instruments assimilés (à l’exception des dérivés de gré à gré) contenues dans des règles contraignantes et des règles d’autoréglementation. La CBRT est membre de Borsa Istanbul, et le volume de ses transactions sur des instruments autres que des actions ou instruments assimilés par l’intermédiaire de cette plate-forme est divulgué par Borsa Istanbul, comme les volumes des autres membres. En ce qui concerne la transparence opérationnelle, la CBRT publie les détails agrégés des opérations d’open market, telles que les prises en pension et les mises en pension à travers des enchères et des cotations, les achats fermes à travers des enchères et des cotations, ainsi que sur les </w:t>
      </w:r>
      <w:r>
        <w:rPr>
          <w:rFonts w:ascii="Times New Roman" w:hAnsi="Times New Roman"/>
          <w:i/>
          <w:noProof/>
          <w:sz w:val="24"/>
        </w:rPr>
        <w:t>liquidity bills</w:t>
      </w:r>
      <w:r>
        <w:rPr>
          <w:rFonts w:ascii="Times New Roman" w:hAnsi="Times New Roman"/>
          <w:noProof/>
          <w:sz w:val="24"/>
        </w:rPr>
        <w:t xml:space="preserve"> (titres de dette à court terme émis par la CBRT). Borsa Istanbul publie le volume des transactions de la CBRT exécutées par l'intermédiaire de sa plate-forme. La CBRT publie des informations sur son activité de gestion des réserves dans son rapport annuel (informations sur le schéma de référence en matière d’investissement, informations générales sur la composition du portefeuille) et dans certains rapports mensuels.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Le volume de transactions avec des contreparties de l’UE ou sur des instruments financiers cotés dans l’UE est élevé.</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Il n’y a pas d’exemption des obligations de transparence pour les transactions nationales effectuées par les banques centrales étrangères. La CBRT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Enfin, bien que la CBRT n’ait pas actuellement de procédure en place pour notifier à ses contreparties l’existence d’une exemption pour les transactions avec des contreparties </w:t>
      </w:r>
      <w:r>
        <w:rPr>
          <w:rFonts w:ascii="Times New Roman" w:hAnsi="Times New Roman"/>
          <w:noProof/>
          <w:sz w:val="24"/>
        </w:rPr>
        <w:lastRenderedPageBreak/>
        <w:t>financières de l’UE, elle est disposée à mettre en œuvre une telle procédure lorsque le régime MiFIR sera en place.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bCs/>
          <w:noProof/>
          <w:sz w:val="24"/>
          <w:szCs w:val="24"/>
        </w:rPr>
      </w:pPr>
      <w:bookmarkStart w:id="13" w:name="_Toc418165671"/>
      <w:r>
        <w:rPr>
          <w:rFonts w:ascii="Times New Roman" w:hAnsi="Times New Roman"/>
          <w:b/>
          <w:noProof/>
          <w:sz w:val="24"/>
        </w:rPr>
        <w:t>Le système de réserve fédérale des États-Unis – la Banque fédérale de réserve de New York (FRBNY)</w:t>
      </w:r>
      <w:bookmarkEnd w:id="13"/>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Les États-Unis imposent des exigences de transparence importantes pour les instruments autres que des actions ou instruments assimilés, contenues dans des règles d’autoréglementation (</w:t>
      </w:r>
      <w:r>
        <w:rPr>
          <w:rFonts w:ascii="Times New Roman" w:hAnsi="Times New Roman"/>
          <w:i/>
          <w:noProof/>
          <w:sz w:val="24"/>
        </w:rPr>
        <w:t>Trade Reporting and Compliance Engine</w:t>
      </w:r>
      <w:r>
        <w:rPr>
          <w:rFonts w:ascii="Times New Roman" w:hAnsi="Times New Roman"/>
          <w:noProof/>
          <w:sz w:val="24"/>
        </w:rPr>
        <w:t xml:space="preserve"> de la FINRA). Les titres souverains sont exclus des exigences de transparence (les personnes effectuant des transactions sur des titres du Trésor américain ainsi que sur des débentures d'agences fédérales américaines ou sur des titres adossés à des actifs ou à des créances hypothécaires libellés en dollars sont néanmoins soumises à des obligations réglementaires de déclaration de leurs positions). En ce qui concerne la transparence opérationnelle, la FRBNY publie des informations détaillées sur ses transactions aussi bien avant qu’après leur conclusion.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FRBNY effectue un faible volume de transactions avec des contreparties de l’UE ou sur des instruments financiers cotés dans l’UE.</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Il n’y a pas, en principe, d’exemption des obligations de transparence pour les transactions effectuées par les banques centrales étrangères, mais celles-ci peuvent bénéficier de l’exclusion prévue pour les obligations d’État et les titres libellés en devises étrangères. Les transactions sur des dérivés de gré à gré avec des banques centrales étrangères ne sont pas catégoriquement exclues (comme le sont les dérivés de gré à gré avec les autorités américaines). </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FRBNY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la FRBNY n’a pas mis en place de procédure pour notifier à ses contreparties dans l’UE l’existence d’une exemption pour les transactions avec des contreparties financières de l’UE.</w:t>
      </w:r>
    </w:p>
    <w:p w:rsidR="00F64B88" w:rsidRDefault="00F64B88">
      <w:pPr>
        <w:spacing w:after="0"/>
        <w:jc w:val="both"/>
        <w:rPr>
          <w:rFonts w:ascii="Times New Roman" w:hAnsi="Times New Roman" w:cs="Times New Roman"/>
          <w:noProof/>
          <w:sz w:val="24"/>
          <w:szCs w:val="24"/>
        </w:rPr>
      </w:pPr>
    </w:p>
    <w:p w:rsidR="00F64B88" w:rsidRDefault="00690051">
      <w:pPr>
        <w:jc w:val="both"/>
        <w:rPr>
          <w:rFonts w:ascii="Times New Roman" w:hAnsi="Times New Roman" w:cs="Times New Roman"/>
          <w:b/>
          <w:noProof/>
          <w:sz w:val="24"/>
          <w:szCs w:val="24"/>
        </w:rPr>
      </w:pPr>
      <w:r>
        <w:rPr>
          <w:rFonts w:ascii="Times New Roman" w:hAnsi="Times New Roman"/>
          <w:b/>
          <w:noProof/>
          <w:sz w:val="24"/>
        </w:rPr>
        <w:t>La banque des règlements internationaux (BRI)</w:t>
      </w: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 xml:space="preserve">Bien que la BRI soit constituée en Suisse, le régime suisse de transparence du marché ne s’applique pas à ses transactions. Pour ce qui est de la transparence opérationnelle, la BRI publie des informations sous forme agrégée. Les contreparties de la BRI comprennent des banques centrales, des autorités monétaires et des organismes publics internationaux. </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Le volume de transactions avec des contreparties de l’UE ou sur des instruments financiers cotés dans l’UE est élevé.</w:t>
      </w:r>
    </w:p>
    <w:p w:rsidR="00F64B88" w:rsidRDefault="00F64B88">
      <w:pPr>
        <w:spacing w:after="0"/>
        <w:jc w:val="both"/>
        <w:rPr>
          <w:rFonts w:ascii="Times New Roman" w:hAnsi="Times New Roman" w:cs="Times New Roman"/>
          <w:noProof/>
          <w:sz w:val="24"/>
          <w:szCs w:val="24"/>
        </w:rPr>
      </w:pPr>
    </w:p>
    <w:p w:rsidR="00F64B88" w:rsidRDefault="00690051">
      <w:pPr>
        <w:spacing w:after="0"/>
        <w:jc w:val="both"/>
        <w:rPr>
          <w:rFonts w:ascii="Times New Roman" w:hAnsi="Times New Roman" w:cs="Times New Roman"/>
          <w:i/>
          <w:noProof/>
          <w:sz w:val="24"/>
          <w:szCs w:val="24"/>
        </w:rPr>
      </w:pPr>
      <w:r>
        <w:rPr>
          <w:rFonts w:ascii="Times New Roman" w:hAnsi="Times New Roman"/>
          <w:i/>
          <w:noProof/>
          <w:sz w:val="24"/>
        </w:rPr>
        <w:lastRenderedPageBreak/>
        <w:t>Critères additionnels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L’exemption pour les banques centrales étrangères n’est pas applicable dans le cas de la BRI, puisque le droit interne (suisse) ne s’applique pas à leurs transactions.</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La BRI est en mesure d’opérer une distinction entre les transactions au titre de ses politiques et les transactions «purement» à des fins d’investissement, qui ont un rôle marginal.</w:t>
      </w:r>
    </w:p>
    <w:p w:rsidR="00F64B88" w:rsidRDefault="00690051">
      <w:pPr>
        <w:spacing w:after="0"/>
        <w:jc w:val="both"/>
        <w:rPr>
          <w:rFonts w:ascii="Times New Roman" w:hAnsi="Times New Roman" w:cs="Times New Roman"/>
          <w:noProof/>
          <w:sz w:val="24"/>
          <w:szCs w:val="24"/>
        </w:rPr>
      </w:pPr>
      <w:r>
        <w:rPr>
          <w:rFonts w:ascii="Times New Roman" w:hAnsi="Times New Roman"/>
          <w:noProof/>
          <w:sz w:val="24"/>
        </w:rPr>
        <w:t>Enfin, bien que la BRI n’ait pas actuellement de procédure en place pour notifier à ses contreparties l’existence d’une exemption pour les transactions avec des contreparties financières de l’UE, elle serait disposée à mettre en œuvre une telle procédure une fois le régime MiFIR en place.</w:t>
      </w:r>
    </w:p>
    <w:p w:rsidR="00F64B88" w:rsidRDefault="00F64B88">
      <w:pPr>
        <w:spacing w:after="0"/>
        <w:jc w:val="both"/>
        <w:rPr>
          <w:rFonts w:ascii="Times New Roman" w:hAnsi="Times New Roman" w:cs="Times New Roman"/>
          <w:noProof/>
          <w:sz w:val="24"/>
          <w:szCs w:val="24"/>
        </w:rPr>
      </w:pPr>
    </w:p>
    <w:p w:rsidR="00F64B88" w:rsidRDefault="00690051">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CONCLUSIONS</w:t>
      </w:r>
    </w:p>
    <w:p w:rsidR="00F64B88" w:rsidRDefault="00690051">
      <w:pPr>
        <w:jc w:val="both"/>
        <w:rPr>
          <w:rFonts w:ascii="Times New Roman" w:hAnsi="Times New Roman" w:cs="Times New Roman"/>
          <w:noProof/>
          <w:sz w:val="24"/>
          <w:szCs w:val="24"/>
        </w:rPr>
      </w:pPr>
      <w:r>
        <w:rPr>
          <w:rFonts w:ascii="Times New Roman" w:hAnsi="Times New Roman"/>
          <w:noProof/>
          <w:sz w:val="24"/>
        </w:rPr>
        <w:t>Sur la base des informations obtenues, la Commission conclut qu’il est approprié d'accorder, en vertu de l’article 1</w:t>
      </w:r>
      <w:r>
        <w:rPr>
          <w:rFonts w:ascii="Times New Roman" w:hAnsi="Times New Roman"/>
          <w:noProof/>
          <w:sz w:val="24"/>
          <w:vertAlign w:val="superscript"/>
        </w:rPr>
        <w:t>er</w:t>
      </w:r>
      <w:r>
        <w:rPr>
          <w:rFonts w:ascii="Times New Roman" w:hAnsi="Times New Roman"/>
          <w:noProof/>
          <w:sz w:val="24"/>
        </w:rPr>
        <w:t>, paragraphe 9, du MiFIR, une exemption des obligations de transparence pré- et post-négociation prévues par le MiFIR aux banques centrales de pays tiers dont la liste figure à l’annexe du présent rapport.</w:t>
      </w:r>
    </w:p>
    <w:p w:rsidR="00F64B88" w:rsidRDefault="00690051">
      <w:pPr>
        <w:jc w:val="both"/>
        <w:rPr>
          <w:rFonts w:ascii="Times New Roman" w:hAnsi="Times New Roman" w:cs="Times New Roman"/>
          <w:noProof/>
          <w:sz w:val="24"/>
          <w:szCs w:val="24"/>
        </w:rPr>
      </w:pPr>
      <w:r>
        <w:rPr>
          <w:rFonts w:ascii="Times New Roman" w:hAnsi="Times New Roman"/>
          <w:noProof/>
          <w:sz w:val="24"/>
        </w:rPr>
        <w:t>Cette conclusion ne préjuge pas d’éventuelles modifications à venir, en fonction des nouveaux éléments présentés par les banques centrales dans les pays tiers, de l’évolution de la législation des pays tiers ou d'un changement des circonstances de fait. Ces événements pourraient entraîner la nécessité de réviser la liste des banques centrales de pays tiers exemptées.</w:t>
      </w:r>
    </w:p>
    <w:sectPr w:rsidR="00F64B8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88" w:rsidRDefault="00690051">
      <w:pPr>
        <w:spacing w:after="0" w:line="240" w:lineRule="auto"/>
      </w:pPr>
      <w:r>
        <w:separator/>
      </w:r>
    </w:p>
  </w:endnote>
  <w:endnote w:type="continuationSeparator" w:id="0">
    <w:p w:rsidR="00F64B88" w:rsidRDefault="0069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69005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rsidR="003A303D">
      <w:fldChar w:fldCharType="begin"/>
    </w:r>
    <w:r w:rsidR="003A303D">
      <w:instrText xml:space="preserve"> DOCVARIABLE "LW_Confidence" \* MERGEFORMAT </w:instrText>
    </w:r>
    <w:r w:rsidR="003A303D">
      <w:fldChar w:fldCharType="separate"/>
    </w:r>
    <w:r w:rsidR="003A303D">
      <w:t xml:space="preserve"> </w:t>
    </w:r>
    <w:r w:rsidR="003A303D">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rsidR="00F64B88" w:rsidRDefault="00690051">
        <w:pPr>
          <w:pStyle w:val="Footer"/>
          <w:jc w:val="center"/>
        </w:pPr>
        <w:r>
          <w:fldChar w:fldCharType="begin"/>
        </w:r>
        <w:r>
          <w:instrText xml:space="preserve"> PAGE   \* MERGEFORMAT </w:instrText>
        </w:r>
        <w:r>
          <w:fldChar w:fldCharType="separate"/>
        </w:r>
        <w:r w:rsidR="003A303D">
          <w:rPr>
            <w:noProof/>
          </w:rPr>
          <w:t>8</w:t>
        </w:r>
        <w:r>
          <w:rPr>
            <w:noProof/>
          </w:rPr>
          <w:fldChar w:fldCharType="end"/>
        </w:r>
      </w:p>
    </w:sdtContent>
  </w:sdt>
  <w:p w:rsidR="00F64B88" w:rsidRDefault="00F64B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88" w:rsidRDefault="00690051">
      <w:pPr>
        <w:spacing w:after="0" w:line="240" w:lineRule="auto"/>
      </w:pPr>
      <w:r>
        <w:separator/>
      </w:r>
    </w:p>
  </w:footnote>
  <w:footnote w:type="continuationSeparator" w:id="0">
    <w:p w:rsidR="00F64B88" w:rsidRDefault="00690051">
      <w:pPr>
        <w:spacing w:after="0" w:line="240" w:lineRule="auto"/>
      </w:pPr>
      <w:r>
        <w:continuationSeparator/>
      </w:r>
    </w:p>
  </w:footnote>
  <w:footnote w:id="1">
    <w:p w:rsidR="00F64B88" w:rsidRDefault="0069005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 600/2014 du Parlement européen et du Conseil du 15 mai 2014 concernant les marchés d’instruments financiers et modifiant le règlement (UE) n° 648/2012 (JO L 173 du 12.6.2014, p. 84).</w:t>
      </w:r>
    </w:p>
  </w:footnote>
  <w:footnote w:id="2">
    <w:p w:rsidR="00F64B88" w:rsidRDefault="0069005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2014/65/UE du Parlement européen et du Conseil du 15 mai 2014 concernant les marchés d’instruments financiers et modifiant la directive 2002/92/CE et la directive 2011/61/UE (JO L 173 du 12.6.2014).</w:t>
      </w:r>
    </w:p>
  </w:footnote>
  <w:footnote w:id="3">
    <w:p w:rsidR="00F64B88" w:rsidRDefault="0069005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République populaire de Chine (la Banque populaire de Chine) n’a pas été incluse dans la liste car elle n'a pas fourni suffisamment d'informations concernant son activité de négociation dans l’UE pour que la Commission puisse faire son évaluation.</w:t>
      </w:r>
    </w:p>
  </w:footnote>
  <w:footnote w:id="4">
    <w:p w:rsidR="00F64B88" w:rsidRDefault="00690051">
      <w:pPr>
        <w:pStyle w:val="FootnoteText"/>
      </w:pPr>
      <w:r>
        <w:rPr>
          <w:rStyle w:val="FootnoteReference"/>
          <w:rFonts w:ascii="Times New Roman" w:hAnsi="Times New Roman"/>
        </w:rPr>
        <w:footnoteRef/>
      </w:r>
      <w:r>
        <w:rPr>
          <w:rFonts w:ascii="Times New Roman" w:hAnsi="Times New Roman"/>
        </w:rPr>
        <w:t xml:space="preserve"> Le but du présent rapport n’est pas d’évaluer si les pays et territoires susmentionnés ont en place des règles de transparence de la négociation pouvant être considérées comme équivalentes à celles applicables en vertu du MiFIR. Les conclusions de ce rapport sont sans préjudice de toute évaluation de ce type. Aux fins de la présente évaluation, il suffit qu’un cadre de publication réglementée soit en place dans le pays ou territoire concerné.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88" w:rsidRDefault="00F64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DCD466BA"/>
    <w:lvl w:ilvl="0" w:tplc="E388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3D984879C0A498CB555A9DB3EEBAD54"/>
    <w:docVar w:name="LW_CROSSREFERENCE" w:val="&lt;UNUSED&gt;"/>
    <w:docVar w:name="LW_DocType" w:val="NORMAL"/>
    <w:docVar w:name="LW_EMISSION" w:val="9.6.2017"/>
    <w:docVar w:name="LW_EMISSION_ISODATE" w:val="2017-06-0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98"/>
    <w:docVar w:name="LW_REF.INTERNE" w:val="&lt;UNUSED&gt;"/>
    <w:docVar w:name="LW_SOUS.TITRE.OBJ.CP" w:val="&lt;UNUSED&gt;"/>
    <w:docVar w:name="LW_SUPERTITRE" w:val="&lt;UNUSED&gt;"/>
    <w:docVar w:name="LW_TITRE.OBJ.CP" w:val="Exemptions pour les banques centrales et autres entités de pays ou territoires tiers dans le cadre du règlement concernant les marchés d'instruments financiers (MiFIR)"/>
    <w:docVar w:name="LW_TYPE.DOC.CP" w:val="RAPPORT DE LA COMMISSION AU PARLEMENT EUROPÉEN ET AU CONSEIL"/>
  </w:docVars>
  <w:rsids>
    <w:rsidRoot w:val="00F64B88"/>
    <w:rsid w:val="003A303D"/>
    <w:rsid w:val="00690051"/>
    <w:rsid w:val="00E91D6E"/>
    <w:rsid w:val="00F64B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7624">
      <w:bodyDiv w:val="1"/>
      <w:marLeft w:val="0"/>
      <w:marRight w:val="0"/>
      <w:marTop w:val="0"/>
      <w:marBottom w:val="0"/>
      <w:divBdr>
        <w:top w:val="none" w:sz="0" w:space="0" w:color="auto"/>
        <w:left w:val="none" w:sz="0" w:space="0" w:color="auto"/>
        <w:bottom w:val="none" w:sz="0" w:space="0" w:color="auto"/>
        <w:right w:val="none" w:sz="0" w:space="0" w:color="auto"/>
      </w:divBdr>
      <w:divsChild>
        <w:div w:id="455635238">
          <w:marLeft w:val="0"/>
          <w:marRight w:val="0"/>
          <w:marTop w:val="0"/>
          <w:marBottom w:val="0"/>
          <w:divBdr>
            <w:top w:val="none" w:sz="0" w:space="0" w:color="auto"/>
            <w:left w:val="none" w:sz="0" w:space="0" w:color="auto"/>
            <w:bottom w:val="none" w:sz="0" w:space="0" w:color="auto"/>
            <w:right w:val="none" w:sz="0" w:space="0" w:color="auto"/>
          </w:divBdr>
        </w:div>
        <w:div w:id="1488791083">
          <w:marLeft w:val="0"/>
          <w:marRight w:val="0"/>
          <w:marTop w:val="0"/>
          <w:marBottom w:val="0"/>
          <w:divBdr>
            <w:top w:val="none" w:sz="0" w:space="0" w:color="auto"/>
            <w:left w:val="none" w:sz="0" w:space="0" w:color="auto"/>
            <w:bottom w:val="none" w:sz="0" w:space="0" w:color="auto"/>
            <w:right w:val="none" w:sz="0" w:space="0" w:color="auto"/>
          </w:divBdr>
        </w:div>
      </w:divsChild>
    </w:div>
    <w:div w:id="1903520673">
      <w:bodyDiv w:val="1"/>
      <w:marLeft w:val="0"/>
      <w:marRight w:val="0"/>
      <w:marTop w:val="0"/>
      <w:marBottom w:val="0"/>
      <w:divBdr>
        <w:top w:val="none" w:sz="0" w:space="0" w:color="auto"/>
        <w:left w:val="none" w:sz="0" w:space="0" w:color="auto"/>
        <w:bottom w:val="none" w:sz="0" w:space="0" w:color="auto"/>
        <w:right w:val="none" w:sz="0" w:space="0" w:color="auto"/>
      </w:divBdr>
      <w:divsChild>
        <w:div w:id="2132745700">
          <w:marLeft w:val="0"/>
          <w:marRight w:val="0"/>
          <w:marTop w:val="0"/>
          <w:marBottom w:val="0"/>
          <w:divBdr>
            <w:top w:val="none" w:sz="0" w:space="0" w:color="auto"/>
            <w:left w:val="none" w:sz="0" w:space="0" w:color="auto"/>
            <w:bottom w:val="none" w:sz="0" w:space="0" w:color="auto"/>
            <w:right w:val="none" w:sz="0" w:space="0" w:color="auto"/>
          </w:divBdr>
        </w:div>
        <w:div w:id="929390545">
          <w:marLeft w:val="0"/>
          <w:marRight w:val="0"/>
          <w:marTop w:val="0"/>
          <w:marBottom w:val="0"/>
          <w:divBdr>
            <w:top w:val="none" w:sz="0" w:space="0" w:color="auto"/>
            <w:left w:val="none" w:sz="0" w:space="0" w:color="auto"/>
            <w:bottom w:val="none" w:sz="0" w:space="0" w:color="auto"/>
            <w:right w:val="none" w:sz="0" w:space="0" w:color="auto"/>
          </w:divBdr>
        </w:div>
      </w:divsChild>
    </w:div>
    <w:div w:id="2122413052">
      <w:bodyDiv w:val="1"/>
      <w:marLeft w:val="0"/>
      <w:marRight w:val="0"/>
      <w:marTop w:val="0"/>
      <w:marBottom w:val="0"/>
      <w:divBdr>
        <w:top w:val="none" w:sz="0" w:space="0" w:color="auto"/>
        <w:left w:val="none" w:sz="0" w:space="0" w:color="auto"/>
        <w:bottom w:val="none" w:sz="0" w:space="0" w:color="auto"/>
        <w:right w:val="none" w:sz="0" w:space="0" w:color="auto"/>
      </w:divBdr>
      <w:divsChild>
        <w:div w:id="2029210041">
          <w:marLeft w:val="0"/>
          <w:marRight w:val="0"/>
          <w:marTop w:val="0"/>
          <w:marBottom w:val="0"/>
          <w:divBdr>
            <w:top w:val="none" w:sz="0" w:space="0" w:color="auto"/>
            <w:left w:val="none" w:sz="0" w:space="0" w:color="auto"/>
            <w:bottom w:val="none" w:sz="0" w:space="0" w:color="auto"/>
            <w:right w:val="none" w:sz="0" w:space="0" w:color="auto"/>
          </w:divBdr>
        </w:div>
        <w:div w:id="136983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CCBB-FE11-49E0-9540-6E3C99D1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5187</Words>
  <Characters>29567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28</cp:revision>
  <cp:lastPrinted>2017-06-09T06:53:00Z</cp:lastPrinted>
  <dcterms:created xsi:type="dcterms:W3CDTF">2017-04-11T13:14:00Z</dcterms:created>
  <dcterms:modified xsi:type="dcterms:W3CDTF">2017-06-09T06:53:00Z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