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3E0BE4E0D284AD3ABCBD8C51926A2A3" style="width:451.4pt;height:393.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pPr>
        <w:spacing w:after="120"/>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Annexe 4: État des lieux en matière de réinstallation au 12 mai 2017, par référence aux conclusions</w:t>
      </w:r>
      <w:r>
        <w:rPr>
          <w:rFonts w:ascii="Times New Roman" w:hAnsi="Times New Roman"/>
          <w:b/>
          <w:noProof/>
          <w:sz w:val="24"/>
        </w:rPr>
        <w:br/>
        <w:t xml:space="preserve">du 20 juillet 2015 et au mécanisme «1 pour 1» avec la Turquie (applicable depuis le 4 avril 2016) </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078"/>
        <w:gridCol w:w="2853"/>
        <w:gridCol w:w="3443"/>
      </w:tblGrid>
      <w:tr>
        <w:trPr>
          <w:tblHeader/>
          <w:jc w:val="center"/>
        </w:trPr>
        <w:tc>
          <w:tcPr>
            <w:tcW w:w="1152" w:type="pct"/>
            <w:tcBorders>
              <w:bottom w:val="single" w:sz="4" w:space="0" w:color="auto"/>
            </w:tcBorders>
            <w:shd w:val="clear" w:color="auto" w:fill="C6D9F1" w:themeFill="text2" w:themeFillTint="33"/>
            <w:vAlign w:val="center"/>
          </w:tcPr>
          <w:p>
            <w:pPr>
              <w:spacing w:after="6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État membre /</w:t>
            </w:r>
            <w:r>
              <w:rPr>
                <w:rFonts w:ascii="Times New Roman" w:eastAsia="Times New Roman" w:hAnsi="Times New Roman" w:cs="Times New Roman"/>
                <w:b/>
                <w:noProof/>
                <w:sz w:val="24"/>
                <w:szCs w:val="24"/>
              </w:rPr>
              <w:br/>
            </w:r>
            <w:r>
              <w:rPr>
                <w:rFonts w:ascii="Times New Roman" w:hAnsi="Times New Roman"/>
                <w:b/>
                <w:i/>
                <w:noProof/>
                <w:sz w:val="24"/>
              </w:rPr>
              <w:t>État associé</w:t>
            </w:r>
          </w:p>
        </w:tc>
        <w:tc>
          <w:tcPr>
            <w:tcW w:w="955" w:type="pct"/>
            <w:tcBorders>
              <w:bottom w:val="single" w:sz="4" w:space="0" w:color="auto"/>
            </w:tcBorders>
            <w:shd w:val="clear" w:color="auto" w:fill="C6D9F1" w:themeFill="text2" w:themeFillTint="33"/>
            <w:vAlign w:val="center"/>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b/>
                <w:noProof/>
                <w:sz w:val="24"/>
              </w:rPr>
              <w:t>Engagements pris dans le cadre du programme adopté le 20 juillet 2015</w:t>
            </w:r>
          </w:p>
        </w:tc>
        <w:tc>
          <w:tcPr>
            <w:tcW w:w="1311" w:type="pct"/>
            <w:tcBorders>
              <w:bottom w:val="single" w:sz="4" w:space="0" w:color="auto"/>
            </w:tcBorders>
            <w:shd w:val="clear" w:color="auto" w:fill="C6D9F1" w:themeFill="text2" w:themeFillTint="33"/>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Nombre total de personnes réinstallées dans le cadre du programme adopté le 20 juillet 2015, y compris le mécanisme «1 pour 1» avec la Turquie</w:t>
            </w:r>
          </w:p>
        </w:tc>
        <w:tc>
          <w:tcPr>
            <w:tcW w:w="1582" w:type="pct"/>
            <w:tcBorders>
              <w:bottom w:val="single" w:sz="4" w:space="0" w:color="auto"/>
            </w:tcBorders>
            <w:shd w:val="clear" w:color="auto" w:fill="C6D9F1" w:themeFill="text2" w:themeFillTint="33"/>
            <w:vAlign w:val="center"/>
          </w:tcPr>
          <w:p>
            <w:pPr>
              <w:spacing w:after="0" w:line="240" w:lineRule="auto"/>
              <w:jc w:val="center"/>
              <w:rPr>
                <w:rFonts w:ascii="Times New Roman" w:eastAsia="Times New Roman" w:hAnsi="Times New Roman" w:cs="Times New Roman"/>
                <w:b/>
                <w:noProof/>
                <w:sz w:val="24"/>
              </w:rPr>
            </w:pPr>
            <w:r>
              <w:rPr>
                <w:rFonts w:ascii="Times New Roman" w:hAnsi="Times New Roman"/>
                <w:b/>
                <w:noProof/>
                <w:sz w:val="24"/>
              </w:rPr>
              <w:t>Pays tiers de provenance des personnes réinstallées</w:t>
            </w:r>
          </w:p>
          <w:p>
            <w:pPr>
              <w:spacing w:after="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Autriche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1 900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1 694</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Liban: 886; Jordanie: 609; Turquie: 198 (</w:t>
            </w:r>
            <w:r>
              <w:rPr>
                <w:rFonts w:ascii="Times New Roman" w:hAnsi="Times New Roman"/>
                <w:b/>
                <w:noProof/>
                <w:sz w:val="24"/>
              </w:rPr>
              <w:t>dont 21 en vertu du mécanisme «1 pour 1»</w:t>
            </w:r>
            <w:r>
              <w:rPr>
                <w:rFonts w:ascii="Times New Roman" w:hAnsi="Times New Roman"/>
                <w:noProof/>
                <w:sz w:val="24"/>
              </w:rPr>
              <w:t>); Iraq: 1</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Belgique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1 100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892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xml:space="preserve">Liban: 448; </w:t>
            </w:r>
            <w:r>
              <w:rPr>
                <w:rFonts w:ascii="Times New Roman" w:hAnsi="Times New Roman"/>
                <w:b/>
                <w:noProof/>
                <w:sz w:val="24"/>
              </w:rPr>
              <w:t>Turquie: 306 en vertu du mécanisme «1 pour 1» (dont 242 dans le cadre du programme adopté le 20 juillet 2015 et 64 en dehors dudit programme</w:t>
            </w:r>
            <w:r>
              <w:rPr>
                <w:rStyle w:val="FootnoteReference"/>
                <w:rFonts w:ascii="Times New Roman" w:hAnsi="Times New Roman"/>
                <w:b/>
                <w:noProof/>
                <w:sz w:val="24"/>
              </w:rPr>
              <w:footnoteReference w:id="2"/>
            </w:r>
            <w:r>
              <w:rPr>
                <w:rFonts w:ascii="Times New Roman" w:hAnsi="Times New Roman"/>
                <w:b/>
                <w:noProof/>
                <w:sz w:val="24"/>
              </w:rPr>
              <w:t>)</w:t>
            </w:r>
            <w:r>
              <w:rPr>
                <w:rFonts w:ascii="Times New Roman" w:hAnsi="Times New Roman"/>
                <w:noProof/>
                <w:sz w:val="24"/>
              </w:rPr>
              <w:t>; Turquie: 8 Jordanie: 170; Égypte: 24</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Bulgarie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50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Croatie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150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Chypre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69</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République tchèque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400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52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Liban: 32; Jordanie: 20</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Danemark</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1 000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481</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Liban, Ouganda</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Estonie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20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Turquie: 20 en vertu du mécanisme «1 pour 1»</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Finlande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293</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293</w:t>
            </w:r>
            <w:r>
              <w:rPr>
                <w:rStyle w:val="FootnoteReference"/>
                <w:rFonts w:ascii="Times New Roman" w:hAnsi="Times New Roman"/>
                <w:noProof/>
                <w:sz w:val="24"/>
              </w:rPr>
              <w:footnoteReference w:id="3"/>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Turquie: 464</w:t>
            </w:r>
            <w:r>
              <w:rPr>
                <w:rStyle w:val="FootnoteReference"/>
                <w:rFonts w:ascii="Times New Roman" w:hAnsi="Times New Roman"/>
                <w:b/>
                <w:noProof/>
                <w:sz w:val="24"/>
              </w:rPr>
              <w:footnoteReference w:id="4"/>
            </w:r>
            <w:r>
              <w:rPr>
                <w:rFonts w:ascii="Times New Roman" w:hAnsi="Times New Roman"/>
                <w:b/>
                <w:noProof/>
                <w:sz w:val="24"/>
              </w:rPr>
              <w:t xml:space="preserve"> en vertu du mécanisme «1 pour 1», en dehors du programme adopté le 20 juillet 2015</w:t>
            </w:r>
            <w:r>
              <w:rPr>
                <w:noProof/>
              </w:rPr>
              <w:t>;</w:t>
            </w:r>
            <w:r>
              <w:rPr>
                <w:rFonts w:ascii="Times New Roman" w:hAnsi="Times New Roman"/>
                <w:noProof/>
                <w:sz w:val="24"/>
              </w:rPr>
              <w:t xml:space="preserve"> Liban: 282; Égypte: 7; Jordanie: 4</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France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2 375</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1 567</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r>
              <w:rPr>
                <w:rFonts w:ascii="Times New Roman" w:hAnsi="Times New Roman"/>
                <w:b/>
                <w:noProof/>
                <w:sz w:val="24"/>
              </w:rPr>
              <w:t>Turquie: 731 en vertu du mécanisme «1 pour 1» (dont 228 dans le cadre du programme adopté le 20 juillet 2015 et 503 en dehors dudit programme</w:t>
            </w:r>
            <w:r>
              <w:rPr>
                <w:rStyle w:val="FootnoteReference"/>
                <w:rFonts w:ascii="Times New Roman" w:hAnsi="Times New Roman"/>
                <w:b/>
                <w:noProof/>
                <w:sz w:val="24"/>
              </w:rPr>
              <w:footnoteReference w:id="5"/>
            </w:r>
            <w:r>
              <w:rPr>
                <w:rFonts w:ascii="Times New Roman" w:hAnsi="Times New Roman"/>
                <w:b/>
                <w:noProof/>
                <w:sz w:val="24"/>
              </w:rPr>
              <w:t>);</w:t>
            </w:r>
            <w:r>
              <w:rPr>
                <w:rFonts w:ascii="Times New Roman" w:hAnsi="Times New Roman"/>
                <w:noProof/>
                <w:sz w:val="24"/>
              </w:rPr>
              <w:t xml:space="preserve"> Liban: 748; Jordanie: 474; Iraq: 8; autres: 109</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Allemagne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1 600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1 600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Turquie: 2 029 en vertu du mécanisme «1 pour 1» (dont 1 600 dans le cadre du programme adopté le 20 juillet 2015 et 429 en dehors dudit programme)</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Grèce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354</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Hongrie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Cs/>
                <w:noProof/>
                <w:sz w:val="24"/>
                <w:szCs w:val="24"/>
              </w:rPr>
            </w:pP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i/>
                <w:noProof/>
                <w:sz w:val="24"/>
                <w:szCs w:val="24"/>
              </w:rPr>
            </w:pPr>
            <w:r>
              <w:rPr>
                <w:rFonts w:ascii="Times New Roman" w:hAnsi="Times New Roman"/>
                <w:b/>
                <w:i/>
                <w:noProof/>
                <w:sz w:val="24"/>
              </w:rPr>
              <w:t>Islande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4"/>
                <w:szCs w:val="24"/>
              </w:rPr>
            </w:pPr>
            <w:r>
              <w:rPr>
                <w:rFonts w:ascii="Times New Roman" w:hAnsi="Times New Roman"/>
                <w:i/>
                <w:noProof/>
                <w:sz w:val="24"/>
              </w:rPr>
              <w:t>50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i/>
                <w:noProof/>
                <w:sz w:val="24"/>
                <w:szCs w:val="24"/>
              </w:rPr>
            </w:pPr>
            <w:r>
              <w:rPr>
                <w:rFonts w:ascii="Times New Roman" w:hAnsi="Times New Roman"/>
                <w:i/>
                <w:noProof/>
                <w:sz w:val="24"/>
              </w:rPr>
              <w:t>50</w:t>
            </w:r>
            <w:r>
              <w:rPr>
                <w:rStyle w:val="FootnoteReference"/>
                <w:rFonts w:ascii="Times New Roman" w:hAnsi="Times New Roman"/>
                <w:i/>
                <w:noProof/>
                <w:sz w:val="24"/>
              </w:rPr>
              <w:footnoteReference w:id="6"/>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i/>
                <w:noProof/>
                <w:sz w:val="24"/>
                <w:szCs w:val="24"/>
              </w:rPr>
            </w:pPr>
            <w:r>
              <w:rPr>
                <w:rFonts w:ascii="Times New Roman" w:hAnsi="Times New Roman"/>
                <w:i/>
                <w:noProof/>
                <w:sz w:val="24"/>
              </w:rPr>
              <w:t>Liban</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Irlande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520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520</w:t>
            </w:r>
            <w:r>
              <w:rPr>
                <w:rStyle w:val="FootnoteReference"/>
                <w:rFonts w:ascii="Times New Roman" w:hAnsi="Times New Roman"/>
                <w:noProof/>
                <w:sz w:val="24"/>
              </w:rPr>
              <w:footnoteReference w:id="7"/>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Liban</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Italie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1 989</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946</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 xml:space="preserve">Liban: 585; </w:t>
            </w:r>
            <w:r>
              <w:rPr>
                <w:rFonts w:ascii="Times New Roman" w:hAnsi="Times New Roman"/>
                <w:b/>
                <w:noProof/>
                <w:sz w:val="24"/>
              </w:rPr>
              <w:t>Turquie: 208 en vertu du mécanisme «1 pour 1»</w:t>
            </w:r>
            <w:r>
              <w:rPr>
                <w:rFonts w:ascii="Times New Roman" w:hAnsi="Times New Roman"/>
                <w:noProof/>
                <w:sz w:val="24"/>
              </w:rPr>
              <w:t xml:space="preserve">; Jordanie: 53; Syrie: 52; Soudan: 48 </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Lettonie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50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r>
              <w:rPr>
                <w:rFonts w:ascii="Times New Roman" w:hAnsi="Times New Roman"/>
                <w:b/>
                <w:noProof/>
                <w:sz w:val="24"/>
              </w:rPr>
              <w:t>Turquie: 10 en vertu du mécanisme «1 pour 1»</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i/>
                <w:noProof/>
                <w:sz w:val="24"/>
                <w:szCs w:val="24"/>
              </w:rPr>
            </w:pPr>
            <w:r>
              <w:rPr>
                <w:rFonts w:ascii="Times New Roman" w:hAnsi="Times New Roman"/>
                <w:b/>
                <w:i/>
                <w:noProof/>
                <w:sz w:val="24"/>
              </w:rPr>
              <w:t>Liechtenstein</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4"/>
                <w:szCs w:val="24"/>
              </w:rPr>
            </w:pPr>
            <w:r>
              <w:rPr>
                <w:rFonts w:ascii="Times New Roman" w:hAnsi="Times New Roman"/>
                <w:i/>
                <w:noProof/>
                <w:sz w:val="24"/>
              </w:rPr>
              <w:t>20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i/>
                <w:noProof/>
                <w:sz w:val="24"/>
                <w:szCs w:val="24"/>
              </w:rPr>
            </w:pPr>
            <w:r>
              <w:rPr>
                <w:rFonts w:ascii="Times New Roman" w:hAnsi="Times New Roman"/>
                <w:i/>
                <w:noProof/>
                <w:sz w:val="24"/>
              </w:rPr>
              <w:t>20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i/>
                <w:noProof/>
                <w:sz w:val="24"/>
                <w:szCs w:val="24"/>
              </w:rPr>
            </w:pPr>
            <w:r>
              <w:rPr>
                <w:rFonts w:ascii="Times New Roman" w:hAnsi="Times New Roman"/>
                <w:i/>
                <w:noProof/>
                <w:sz w:val="24"/>
              </w:rPr>
              <w:t>Turquie</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Lituanie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70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Turquie: 25 en vertu du mécanisme «1 pour 1» </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Luxembourg</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30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 xml:space="preserve"> 0</w:t>
            </w:r>
            <w:r>
              <w:rPr>
                <w:rStyle w:val="FootnoteReference"/>
                <w:rFonts w:ascii="Times New Roman" w:hAnsi="Times New Roman"/>
                <w:noProof/>
                <w:sz w:val="24"/>
              </w:rPr>
              <w:footnoteReference w:id="8"/>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Turquie: 98 en vertu du mécanisme «1 pour 1», en dehors du programme adopté le 20 juillet 2015</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Malte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14</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Pays-Bas</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1 000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1 000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sz w:val="24"/>
                <w:szCs w:val="24"/>
              </w:rPr>
            </w:pPr>
            <w:r>
              <w:rPr>
                <w:rFonts w:ascii="Times New Roman" w:hAnsi="Times New Roman"/>
                <w:b/>
                <w:noProof/>
                <w:sz w:val="24"/>
              </w:rPr>
              <w:t xml:space="preserve">Turquie: 1 306 en vertu du mécanisme «1 pour 1» (dont 556 dans le cadre du programme adopté le 20 juillet 2015 et 750 en dehors dudit programme); </w:t>
            </w:r>
            <w:r>
              <w:rPr>
                <w:rFonts w:ascii="Times New Roman" w:hAnsi="Times New Roman"/>
                <w:noProof/>
                <w:sz w:val="24"/>
              </w:rPr>
              <w:t>Turquie 7; Liban: 341; Kenya: 70; Éthiopie: 8; Jordanie: 7; Libye: 4; Israël: 2; Iraq, Maroc, Égypte, Arabie saoudite, Syrie: 1</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i/>
                <w:noProof/>
                <w:sz w:val="24"/>
                <w:szCs w:val="24"/>
              </w:rPr>
            </w:pPr>
            <w:r>
              <w:rPr>
                <w:rFonts w:ascii="Times New Roman" w:hAnsi="Times New Roman"/>
                <w:b/>
                <w:i/>
                <w:noProof/>
                <w:sz w:val="24"/>
              </w:rPr>
              <w:t>Norvège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4"/>
                <w:szCs w:val="24"/>
              </w:rPr>
            </w:pPr>
            <w:r>
              <w:rPr>
                <w:rFonts w:ascii="Times New Roman" w:hAnsi="Times New Roman"/>
                <w:i/>
                <w:noProof/>
                <w:sz w:val="24"/>
              </w:rPr>
              <w:t>3 500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i/>
                <w:noProof/>
                <w:sz w:val="24"/>
                <w:szCs w:val="24"/>
              </w:rPr>
            </w:pPr>
            <w:r>
              <w:rPr>
                <w:rFonts w:ascii="Times New Roman" w:hAnsi="Times New Roman"/>
                <w:i/>
                <w:noProof/>
                <w:sz w:val="24"/>
              </w:rPr>
              <w:t>3 353</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i/>
                <w:noProof/>
                <w:sz w:val="24"/>
                <w:szCs w:val="24"/>
              </w:rPr>
            </w:pPr>
            <w:r>
              <w:rPr>
                <w:rFonts w:ascii="Times New Roman" w:hAnsi="Times New Roman"/>
                <w:i/>
                <w:noProof/>
                <w:sz w:val="24"/>
              </w:rPr>
              <w:t xml:space="preserve">Liban: 2 616; Turquie: 521; Jordanie: 216 </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Pologne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900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Portugal</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191</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12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Turquie: 12 en vertu du mécanisme «1 pour 1»</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Roumanie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80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Slovaquie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Slovénie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20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4"/>
                <w:szCs w:val="24"/>
              </w:rPr>
            </w:pP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Espagne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1 449</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418</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noProof/>
                <w:sz w:val="24"/>
              </w:rPr>
              <w:t xml:space="preserve">Liban: 232; </w:t>
            </w:r>
            <w:r>
              <w:rPr>
                <w:rFonts w:ascii="Times New Roman" w:hAnsi="Times New Roman"/>
                <w:b/>
                <w:noProof/>
                <w:sz w:val="24"/>
              </w:rPr>
              <w:t xml:space="preserve">Turquie: 186 en vertu du mécanisme «1 pour 1» </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Suède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491</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491</w:t>
            </w:r>
          </w:p>
        </w:tc>
        <w:tc>
          <w:tcPr>
            <w:tcW w:w="1582" w:type="pct"/>
            <w:tcBorders>
              <w:top w:val="single" w:sz="4" w:space="0" w:color="auto"/>
              <w:left w:val="single" w:sz="4" w:space="0" w:color="auto"/>
              <w:bottom w:val="single" w:sz="4" w:space="0" w:color="auto"/>
              <w:right w:val="single" w:sz="4" w:space="0" w:color="auto"/>
            </w:tcBorders>
            <w:shd w:val="clear" w:color="auto" w:fill="auto"/>
          </w:tcPr>
          <w:p>
            <w:pPr>
              <w:spacing w:after="60" w:line="240" w:lineRule="auto"/>
              <w:jc w:val="center"/>
              <w:rPr>
                <w:rFonts w:ascii="Times New Roman" w:eastAsia="Times New Roman" w:hAnsi="Times New Roman" w:cs="Times New Roman"/>
                <w:noProof/>
                <w:sz w:val="24"/>
                <w:szCs w:val="24"/>
              </w:rPr>
            </w:pPr>
            <w:r>
              <w:rPr>
                <w:rFonts w:ascii="Times New Roman" w:hAnsi="Times New Roman"/>
                <w:b/>
                <w:noProof/>
                <w:sz w:val="24"/>
              </w:rPr>
              <w:t>Turquie: 279 en vertu du mécanisme «1 pour 1» (dont 269 dans le cadre du programme adopté le 20 juillet 2015);</w:t>
            </w:r>
            <w:r>
              <w:rPr>
                <w:rFonts w:ascii="Times New Roman" w:hAnsi="Times New Roman"/>
                <w:noProof/>
                <w:sz w:val="24"/>
              </w:rPr>
              <w:t xml:space="preserve"> Soudan: 124; Kenya: 80; Liban: 8; Iraq: 8; Égypte: 1; Jordanie: 1</w:t>
            </w:r>
            <w:r>
              <w:rPr>
                <w:rFonts w:ascii="Times New Roman" w:hAnsi="Times New Roman"/>
                <w:b/>
                <w:noProof/>
                <w:sz w:val="24"/>
              </w:rPr>
              <w:t xml:space="preserve"> </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i/>
                <w:noProof/>
                <w:sz w:val="24"/>
                <w:szCs w:val="24"/>
              </w:rPr>
            </w:pPr>
            <w:r>
              <w:rPr>
                <w:rFonts w:ascii="Times New Roman" w:hAnsi="Times New Roman"/>
                <w:b/>
                <w:i/>
                <w:noProof/>
                <w:sz w:val="24"/>
              </w:rPr>
              <w:t>Suisse</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4"/>
                <w:szCs w:val="24"/>
              </w:rPr>
            </w:pPr>
            <w:r>
              <w:rPr>
                <w:rFonts w:ascii="Times New Roman" w:hAnsi="Times New Roman"/>
                <w:i/>
                <w:noProof/>
                <w:sz w:val="24"/>
              </w:rPr>
              <w:t>519</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i/>
                <w:noProof/>
                <w:sz w:val="24"/>
                <w:szCs w:val="24"/>
              </w:rPr>
            </w:pPr>
            <w:r>
              <w:rPr>
                <w:rFonts w:ascii="Times New Roman" w:hAnsi="Times New Roman"/>
                <w:i/>
                <w:noProof/>
                <w:sz w:val="24"/>
              </w:rPr>
              <w:t>519</w:t>
            </w:r>
          </w:p>
        </w:tc>
        <w:tc>
          <w:tcPr>
            <w:tcW w:w="158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ascii="Times New Roman" w:eastAsia="Times New Roman" w:hAnsi="Times New Roman" w:cs="Times New Roman"/>
                <w:i/>
                <w:noProof/>
                <w:sz w:val="24"/>
                <w:szCs w:val="24"/>
              </w:rPr>
            </w:pPr>
            <w:r>
              <w:rPr>
                <w:rFonts w:ascii="Times New Roman" w:hAnsi="Times New Roman"/>
                <w:i/>
                <w:noProof/>
                <w:sz w:val="24"/>
              </w:rPr>
              <w:t>Liban: 431; Syrie: 88</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4"/>
                <w:szCs w:val="24"/>
              </w:rPr>
            </w:pPr>
          </w:p>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Royaume-Uni</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noProof/>
                <w:sz w:val="24"/>
              </w:rPr>
              <w:t>2 200</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4"/>
                <w:szCs w:val="24"/>
              </w:rPr>
            </w:pPr>
            <w:r>
              <w:rPr>
                <w:rFonts w:ascii="Times New Roman" w:hAnsi="Times New Roman"/>
                <w:noProof/>
                <w:sz w:val="24"/>
              </w:rPr>
              <w:t>2 200</w:t>
            </w:r>
          </w:p>
        </w:tc>
        <w:tc>
          <w:tcPr>
            <w:tcW w:w="158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Jordanie, Liban, Turquie, Égypte, Iraq et autres</w:t>
            </w:r>
          </w:p>
        </w:tc>
      </w:tr>
      <w:tr>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TOTAL</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bCs/>
                <w:noProof/>
                <w:sz w:val="24"/>
                <w:szCs w:val="24"/>
              </w:rPr>
            </w:pPr>
            <w:r>
              <w:rPr>
                <w:rFonts w:ascii="Times New Roman" w:hAnsi="Times New Roman"/>
                <w:b/>
                <w:noProof/>
                <w:sz w:val="24"/>
              </w:rPr>
              <w:t>22 504</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b/>
                <w:bCs/>
                <w:noProof/>
                <w:sz w:val="24"/>
                <w:szCs w:val="24"/>
              </w:rPr>
            </w:pPr>
          </w:p>
          <w:p>
            <w:pPr>
              <w:spacing w:after="0" w:line="240" w:lineRule="auto"/>
              <w:jc w:val="center"/>
              <w:rPr>
                <w:rFonts w:ascii="Times New Roman" w:hAnsi="Times New Roman"/>
                <w:b/>
                <w:noProof/>
                <w:sz w:val="24"/>
              </w:rPr>
            </w:pPr>
            <w:r>
              <w:rPr>
                <w:rFonts w:ascii="Times New Roman" w:hAnsi="Times New Roman"/>
                <w:b/>
                <w:noProof/>
                <w:sz w:val="24"/>
              </w:rPr>
              <w:t>16 163</w:t>
            </w:r>
          </w:p>
          <w:p>
            <w:pPr>
              <w:spacing w:after="0" w:line="240" w:lineRule="auto"/>
              <w:rPr>
                <w:rFonts w:ascii="Times New Roman" w:eastAsia="Times New Roman" w:hAnsi="Times New Roman" w:cs="Times New Roman"/>
                <w:noProof/>
                <w:sz w:val="24"/>
                <w:szCs w:val="24"/>
              </w:rPr>
            </w:pPr>
            <w:r>
              <w:rPr>
                <w:rFonts w:ascii="Times New Roman" w:hAnsi="Times New Roman"/>
                <w:b/>
                <w:noProof/>
                <w:sz w:val="24"/>
              </w:rPr>
              <w:t xml:space="preserve"> </w:t>
            </w:r>
          </w:p>
        </w:tc>
        <w:tc>
          <w:tcPr>
            <w:tcW w:w="158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5 695 personnes au total ont été réinstallées depuis la Turquie en vertu du mécanisme «1 pour 1», dont 3 377 dans le cadre du programme adopté le 20 juillet 2015</w:t>
            </w:r>
          </w:p>
        </w:tc>
      </w:tr>
    </w:tbl>
    <w:p>
      <w:pPr>
        <w:spacing w:after="120"/>
        <w:rPr>
          <w:rFonts w:ascii="Times New Roman" w:hAnsi="Times New Roman" w:cs="Times New Roman"/>
          <w:b/>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134" w:right="720" w:bottom="284" w:left="7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040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64 Syriens réinstallés depuis la Turquie en dehors du programme adopté le 20 juillet 2015 doivent être comptabilisés conformément à la décision (UE) 2016/1754 du Conseil.</w:t>
      </w:r>
    </w:p>
  </w:footnote>
  <w:footnote w:id="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Ce nombre n’inclut pas la réinstallation de 464 Syriens depuis la Turquie en vertu du mécanisme «1 pour 1».</w:t>
      </w:r>
    </w:p>
  </w:footnote>
  <w:footnote w:id="4">
    <w:p>
      <w:pPr>
        <w:pStyle w:val="FootnoteText"/>
        <w:rPr>
          <w:rFonts w:ascii="Times New Roman" w:hAnsi="Times New Roman" w:cs="Times New Roman"/>
          <w:sz w:val="16"/>
          <w:szCs w:val="16"/>
        </w:rPr>
      </w:pPr>
      <w:r>
        <w:rPr>
          <w:rStyle w:val="FootnoteReference"/>
          <w:rFonts w:ascii="Times New Roman" w:hAnsi="Times New Roman"/>
          <w:sz w:val="16"/>
        </w:rPr>
        <w:footnoteRef/>
      </w:r>
      <w:r>
        <w:t xml:space="preserve"> </w:t>
      </w:r>
      <w:r>
        <w:rPr>
          <w:rFonts w:ascii="Times New Roman" w:hAnsi="Times New Roman"/>
          <w:sz w:val="16"/>
        </w:rPr>
        <w:t>Sur 464 Syriens réinstallés depuis la Turquie en application du mécanisme «1 pour 1», 11 ont été réinstallés dans le cadre du programme national de réinstallation et 453 doivent être comptabilisés conformément à la décision (UE) 2016/1754 du Conseil.</w:t>
      </w:r>
    </w:p>
  </w:footnote>
  <w:footnote w:id="5">
    <w:p>
      <w:pPr>
        <w:pStyle w:val="FootnoteText"/>
      </w:pPr>
      <w:r>
        <w:rPr>
          <w:rStyle w:val="FootnoteReference"/>
          <w:rFonts w:ascii="Times New Roman" w:hAnsi="Times New Roman"/>
          <w:sz w:val="16"/>
        </w:rPr>
        <w:footnoteRef/>
      </w:r>
      <w:r>
        <w:rPr>
          <w:rFonts w:ascii="Times New Roman" w:hAnsi="Times New Roman"/>
          <w:sz w:val="16"/>
        </w:rPr>
        <w:t xml:space="preserve"> 503 Syriens réinstallés depuis la Turquie en dehors du programme adopté le 20 juillet 2015 doivent être comptabilisés conformément à la décision (UE) 2016/1754 du Conseil.</w:t>
      </w:r>
    </w:p>
  </w:footnote>
  <w:footnote w:id="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Au total, l’Islande a réinstallé 97 personnes, toutes en provenance du Liban.</w:t>
      </w:r>
    </w:p>
  </w:footnote>
  <w:footnote w:id="7">
    <w:p>
      <w:pPr>
        <w:pStyle w:val="FootnoteText"/>
      </w:pPr>
      <w:r>
        <w:rPr>
          <w:rStyle w:val="FootnoteReference"/>
          <w:rFonts w:ascii="Times New Roman" w:hAnsi="Times New Roman"/>
          <w:sz w:val="16"/>
        </w:rPr>
        <w:footnoteRef/>
      </w:r>
      <w:r>
        <w:rPr>
          <w:rFonts w:ascii="Times New Roman" w:hAnsi="Times New Roman"/>
          <w:sz w:val="16"/>
        </w:rPr>
        <w:t xml:space="preserve"> En outre, au cours de la même période, l’Irlande a admis 259 personnes ayant besoin d’une protection internationale venant du Liban, au titre de son programme national de réinstallation.</w:t>
      </w:r>
    </w:p>
  </w:footnote>
  <w:footnote w:id="8">
    <w:p>
      <w:pPr>
        <w:pStyle w:val="FootnoteText"/>
        <w:ind w:left="142" w:hanging="142"/>
      </w:pPr>
      <w:r>
        <w:rPr>
          <w:rStyle w:val="FootnoteReference"/>
          <w:rFonts w:ascii="Times New Roman" w:hAnsi="Times New Roman"/>
          <w:sz w:val="16"/>
        </w:rPr>
        <w:footnoteRef/>
      </w:r>
      <w:r>
        <w:t xml:space="preserve"> </w:t>
      </w:r>
      <w:r>
        <w:rPr>
          <w:rFonts w:ascii="Times New Roman" w:hAnsi="Times New Roman"/>
          <w:sz w:val="16"/>
        </w:rPr>
        <w:t>Bien qu’aucune réinstallation n’ait encore eu lieu dans le cadre des conclusions du 20 juillet 2015, 98 Syriens ont été réinstallés au titre du programme national luxembourgeois dans le cadre du mécanisme «1 pour 1» et doivent être comptabilisés conformément à la décision (UE) 2016/1754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69F"/>
    <w:multiLevelType w:val="hybridMultilevel"/>
    <w:tmpl w:val="EBBC2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4"/>
    <w:docVar w:name="LW_ANNEX_NBR_LAST" w:val="4"/>
    <w:docVar w:name="LW_CONFIDENCE" w:val=" "/>
    <w:docVar w:name="LW_CONST_RESTREINT_UE" w:val="RESTREINT UE"/>
    <w:docVar w:name="LW_CORRIGENDUM" w:val="&lt;UNUSED&gt;"/>
    <w:docVar w:name="LW_COVERPAGE_GUID" w:val="C3E0BE4E0D284AD3ABCBD8C51926A2A3"/>
    <w:docVar w:name="LW_CROSSREFERENCE" w:val="&lt;UNUSED&gt;"/>
    <w:docVar w:name="LW_DocType" w:val="NORMAL"/>
    <w:docVar w:name="LW_EMISSION" w:val="16.5.2017"/>
    <w:docVar w:name="LW_EMISSION_ISODATE" w:val="2017-05-16"/>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Douzième rapport sur la relocalisation et la réinstallation"/>
    <w:docVar w:name="LW_PART_NBR" w:val="1"/>
    <w:docVar w:name="LW_PART_NBR_TOTAL" w:val="1"/>
    <w:docVar w:name="LW_REF.INST.NEW" w:val="COM"/>
    <w:docVar w:name="LW_REF.INST.NEW_ADOPTED" w:val="final"/>
    <w:docVar w:name="LW_REF.INST.NEW_TEXT" w:val="(2017) 260"/>
    <w:docVar w:name="LW_REF.INTERNE" w:val="&lt;UNUSED&gt;"/>
    <w:docVar w:name="LW_SUPERTITRE" w:val="&lt;UNUSED&gt;"/>
    <w:docVar w:name="LW_TITRE.OBJ.CP" w:val="&lt;UNUSED&gt;"/>
    <w:docVar w:name="LW_TYPE.DOC.CP" w:val="ANNEXE_x000b_"/>
    <w:docVar w:name="LW_TYPEACTEPRINCIPAL.CP" w:val="RAPPORT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7030">
      <w:bodyDiv w:val="1"/>
      <w:marLeft w:val="0"/>
      <w:marRight w:val="0"/>
      <w:marTop w:val="0"/>
      <w:marBottom w:val="0"/>
      <w:divBdr>
        <w:top w:val="none" w:sz="0" w:space="0" w:color="auto"/>
        <w:left w:val="none" w:sz="0" w:space="0" w:color="auto"/>
        <w:bottom w:val="none" w:sz="0" w:space="0" w:color="auto"/>
        <w:right w:val="none" w:sz="0" w:space="0" w:color="auto"/>
      </w:divBdr>
    </w:div>
    <w:div w:id="8884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2016-03-02T15:55:01+00:00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2016-03-02T15:55:01+00:00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8647-51AB-4EB5-B59E-0F8D06319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3C3AD-AB64-4306-89E7-3CA82C6F0277}">
  <ds:schemaRefs>
    <ds:schemaRef ds:uri="http://schemas.microsoft.com/sharepoint/v3/contenttype/forms"/>
  </ds:schemaRefs>
</ds:datastoreItem>
</file>

<file path=customXml/itemProps3.xml><?xml version="1.0" encoding="utf-8"?>
<ds:datastoreItem xmlns:ds="http://schemas.openxmlformats.org/officeDocument/2006/customXml" ds:itemID="{19C4632A-5407-43A6-AE38-F1A1F9C01E0C}">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3/fields"/>
    <ds:schemaRef ds:uri="47eefe9a-f81e-47cf-b703-dc75e53a6b28"/>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7240C78-39BA-461B-B30C-96BFCECC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576</Words>
  <Characters>2498</Characters>
  <Application>Microsoft Office Word</Application>
  <DocSecurity>0</DocSecurity>
  <Lines>227</Lines>
  <Paragraphs>153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Commission</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SELMAYR Martin (PRES-ELECT)</dc:creator>
  <cp:lastModifiedBy>DIGIT/A3</cp:lastModifiedBy>
  <cp:revision>19</cp:revision>
  <cp:lastPrinted>2017-05-15T13:41:00Z</cp:lastPrinted>
  <dcterms:created xsi:type="dcterms:W3CDTF">2017-05-15T13:41:00Z</dcterms:created>
  <dcterms:modified xsi:type="dcterms:W3CDTF">2017-06-09T16:09:00Z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First annex">
    <vt:lpwstr>4</vt:lpwstr>
  </property>
  <property fmtid="{D5CDD505-2E9C-101B-9397-08002B2CF9AE}" pid="4" name="Last annex">
    <vt:lpwstr>4</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