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5CCFED26C4E46AE857BD3B0592A468C"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политическите насоки на председателя Юнкер от юли 2014 г. Европейската политика за отбрана беше откроена като един от ключовите политически приоритети. Това следва да се разглежда и в контекста на факта, че след десетилетия на мир и стабилност Съюзът днес е изправен пред засилена нестабилност и нововъзникващи заплахи за сигурността. Променящата се обстановка по отношение на сигурността показа ясно, че единственият начин да отговорим на очакванията на гражданите на Съюза и на нашите партньори е чрез съвместни усилия за инвестиране в развитието на сигурността и сътрудничеството на всички нива. Подобряването на конкурентоспособността и насърчаването на иновациите в отбранителната промишленост на Съюза са от решаващо значение за мобилизирането на по-голяма отговорност от страна на Европа в сектора на отбраната.</w:t>
      </w:r>
    </w:p>
    <w:p>
      <w:pPr>
        <w:pBdr>
          <w:top w:val="nil"/>
          <w:left w:val="nil"/>
          <w:bottom w:val="nil"/>
          <w:right w:val="nil"/>
          <w:between w:val="nil"/>
          <w:bar w:val="nil"/>
        </w:pBdr>
        <w:spacing w:before="0" w:after="240"/>
        <w:rPr>
          <w:rFonts w:eastAsia="Arial Unicode MS"/>
          <w:noProof/>
        </w:rPr>
      </w:pPr>
      <w:r>
        <w:rPr>
          <w:noProof/>
        </w:rPr>
        <w:t>Целта на предложението за Европейска програма за промишлено развитие в областта на отбраната (наричана по-нататък „програмата“) е засилване на конкурентоспособността и иновациите в отбранителната промишленост на Съюза, включително в областта на кибернетичната отбрана. Постигането на тази цел основно е свързано с насърчаване на по-доброто използване на резултатите от научните изследвания в областта на отбраната и със сътрудничеството между предприятията при разработването на продукти и технологии в тази област, както и с оптимизирането на усилията за сътрудничество на държавите членки, за да се гарантира, че европейската технологична и промишлена база в сектора на отбраната може да посрещне изцяло потребностите в областта на сигурността както днес, така и в бъдеще. Това в крайна сметка би спомогнало за засилване на стратегическата автономия на Съюза и за укрепване на способността му за съвместни действия с партньори.</w:t>
      </w:r>
    </w:p>
    <w:p>
      <w:pPr>
        <w:pStyle w:val="ManualHeading2"/>
        <w:rPr>
          <w:rFonts w:eastAsia="Arial Unicode MS"/>
          <w:noProof/>
          <w:u w:color="000000"/>
          <w:bdr w:val="nil"/>
        </w:rPr>
      </w:pPr>
      <w:r>
        <w:rPr>
          <w:noProof/>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През ноември 2016 г. Комисията прие Европейски план за действие в областта на отбраната, в който са определени мерки за засилено европейско сътрудничество и за подкрепа на конкурентоспособността на европейската отбранителна промишленост. Целта на този план е да се гарантира, че европейската технологична и промишлена база в областта на отбраната може да отговори в пълна степен на сегашните и бъдещите потребности на Европа в сферата на сигурността и отбраната. Инициативата бе приветствана от Европейския съвет, а Комисията бе приканена да представи предложения през първата половина на 2017 г.</w:t>
      </w:r>
    </w:p>
    <w:p>
      <w:pPr>
        <w:pBdr>
          <w:top w:val="nil"/>
          <w:left w:val="nil"/>
          <w:bottom w:val="nil"/>
          <w:right w:val="nil"/>
          <w:between w:val="nil"/>
          <w:bar w:val="nil"/>
        </w:pBdr>
        <w:spacing w:before="0" w:after="240"/>
        <w:rPr>
          <w:noProof/>
        </w:rPr>
      </w:pPr>
      <w:r>
        <w:rPr>
          <w:noProof/>
        </w:rPr>
        <w:t>Едно от основните предложения, залегнали в Европейския план за действие в областта на отбраната, е създаването на Европейски фонд за отбрана (наричан по-нататък „фондът“) за подпомагане на инвестициите в съвместни научни изследвания и съвместно разработване на отбранително оборудване и технологии. Фондът се състои от два отделни компонента, които взаимно се допълват и чието предназначение е да покрият пълния цикъл на промишленото развитие в областта на отбраната — от научните изследвания до пускането на продуктите на пазара, т.е. компонент „научни изследвания“ и компонент „способности“.</w:t>
      </w:r>
    </w:p>
    <w:p>
      <w:pPr>
        <w:pBdr>
          <w:top w:val="nil"/>
          <w:left w:val="nil"/>
          <w:bottom w:val="nil"/>
          <w:right w:val="nil"/>
          <w:between w:val="nil"/>
          <w:bar w:val="nil"/>
        </w:pBdr>
        <w:spacing w:before="0" w:after="240"/>
        <w:rPr>
          <w:noProof/>
        </w:rPr>
      </w:pPr>
      <w:r>
        <w:rPr>
          <w:noProof/>
        </w:rPr>
        <w:t>По линия на научноизследователския компонент Комисията въвежда механизми за насочване на средства от Съюза в подкрепа на съвместни научни изследвания в областта на отбраната, по-специално чрез наскоро стартиралото подготвително действие.</w:t>
      </w:r>
    </w:p>
    <w:p>
      <w:pPr>
        <w:pBdr>
          <w:top w:val="nil"/>
          <w:left w:val="nil"/>
          <w:bottom w:val="nil"/>
          <w:right w:val="nil"/>
          <w:between w:val="nil"/>
          <w:bar w:val="nil"/>
        </w:pBdr>
        <w:spacing w:before="0" w:after="240"/>
        <w:rPr>
          <w:noProof/>
        </w:rPr>
      </w:pPr>
      <w:r>
        <w:rPr>
          <w:noProof/>
        </w:rPr>
        <w:t xml:space="preserve">Предложената програма ще изиграе допълваща роля по отношение на инициативите за финансиране на съвместни научни изследвания в областта на отбраната и ще гарантира, че резултатите от тези научни изследвания ще бъдат доразвити по начин, който благоприятства иновативния капацитет на европейската отбранителна промишленост и нейната конкурентоспособност. </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Европейският план за действие в областта на отбраната, съответно и програмата, са изцяло съобразени с инициативите, предприети на равнището на Съюза в контекста на общата външна политика и политиката на сигурност. По-специално, планът е в съответствие с Плана за изпълнение в областта на сигурността и отбраната, който е част от Глобалната стратегия от 2016 г. и който с подкрепата на Европейския съвет</w:t>
      </w:r>
      <w:r>
        <w:rPr>
          <w:rStyle w:val="FootnoteReference"/>
          <w:noProof/>
        </w:rPr>
        <w:footnoteReference w:id="1"/>
      </w:r>
      <w:r>
        <w:rPr>
          <w:noProof/>
        </w:rPr>
        <w:t xml:space="preserve"> извежда усилията на Съюза в тази сфера на ново равнище на амбиция, включвайки и действия за изпълнение. Програмата е свързана и с приетата през юли 2016 г. съвместна декларация на ЕС и НАТО, подписана от председателя на Европейския съвет, председателя на Комисията и генералния секретар на НАТО. Комисията ще гарантира съответствието с програмата на други политики в областта на сигурността, например Стратегията за киберсигурността.  </w:t>
      </w:r>
    </w:p>
    <w:p>
      <w:pPr>
        <w:pBdr>
          <w:top w:val="nil"/>
          <w:left w:val="nil"/>
          <w:bottom w:val="nil"/>
          <w:right w:val="nil"/>
          <w:between w:val="nil"/>
          <w:bar w:val="nil"/>
        </w:pBdr>
        <w:spacing w:before="0" w:after="240"/>
        <w:rPr>
          <w:noProof/>
        </w:rPr>
      </w:pPr>
      <w:r>
        <w:rPr>
          <w:noProof/>
        </w:rPr>
        <w:t>Предложената програма насърчава сътрудничеството между предприятията при разработването на продукти и технологии, като отчита съвместно договорените от държавите членки в рамките на Съюза приоритети относно отбранителните способности, определени в Плана на Съюза за развитие на способностите. Така тя осигурява в крайна сметка укрепване на интересите на Съюза в областта на сигурността и отбраната.</w:t>
      </w:r>
    </w:p>
    <w:p>
      <w:pPr>
        <w:pBdr>
          <w:top w:val="nil"/>
          <w:left w:val="nil"/>
          <w:bottom w:val="nil"/>
          <w:right w:val="nil"/>
          <w:between w:val="nil"/>
          <w:bar w:val="nil"/>
        </w:pBdr>
        <w:spacing w:before="0" w:after="240"/>
        <w:rPr>
          <w:rFonts w:eastAsia="Arial Unicode MS"/>
          <w:noProof/>
        </w:rPr>
      </w:pPr>
      <w:r>
        <w:rPr>
          <w:noProof/>
        </w:rPr>
        <w:t>В предложената програма е отчетена също така възможността за предприемане на действия в контекста на постоянното структурирано сътрудничество. Чрез по-високи проценти на съфинансиране за тези действия програмата ще стимулира участието в една по-съвременна европейска рамка за сътрудничество в областта на отбраната.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В проекта на регламент се предлагат мерки, свързани с отбранителната промишленост на Съюза. Правното основание за настоящото предложение е член 173 от Договора за функционирането на Европейския съюз. То е в съответствие с целта на проекта за регламент, а именно подобряване на конкурентоспособността на отбранителната промишленост на Съюза чрез насърчаване на по-доброто използване на промишления потенциал за иновации и технологично развитие посредством сътрудничество между предприятията от държавите членки.</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noProof/>
        </w:rPr>
      </w:pPr>
      <w:r>
        <w:rPr>
          <w:noProof/>
        </w:rPr>
        <w:t xml:space="preserve">Стимулирането на по-пълноценно използване на резултатите от научните изследвания, иновациите и технологичното развитие в областта на отбраната чрез засилено сътрудничество между предприятия, установени в различни държави членки, е действие, което по своята същност е с транснационален характер. То засяга две или повече държави членки едновременно и в този смисъл не може да бъде реализирано достатъчно пълноценно от отделните държави членки. </w:t>
      </w:r>
    </w:p>
    <w:p>
      <w:pPr>
        <w:pBdr>
          <w:top w:val="nil"/>
          <w:left w:val="nil"/>
          <w:bottom w:val="nil"/>
          <w:right w:val="nil"/>
          <w:between w:val="nil"/>
          <w:bar w:val="nil"/>
        </w:pBdr>
        <w:spacing w:before="0" w:after="240"/>
        <w:rPr>
          <w:noProof/>
        </w:rPr>
      </w:pPr>
      <w:r>
        <w:rPr>
          <w:noProof/>
        </w:rPr>
        <w:t xml:space="preserve">Предизвикателствата, пред които е изправена отбранителната промишленост на Съюза днес, разкриват съвсем ясно необходимостта от координирани действия. Европейският сектор на отбраната губи поради ниското равнище на инвестициите и се характеризира с фрагментираност от националните граници, което поражда постоянно дублиране. Освен това прегледът на състоянието на отбранителните промишлени сектори в отделни държави в Съюза разкрива нарастващи дефицити, остаряващи технологии и липса на нови програми, най-вече за сътрудничество. </w:t>
      </w:r>
    </w:p>
    <w:p>
      <w:pPr>
        <w:pBdr>
          <w:top w:val="nil"/>
          <w:left w:val="nil"/>
          <w:bottom w:val="nil"/>
          <w:right w:val="nil"/>
          <w:between w:val="nil"/>
          <w:bar w:val="nil"/>
        </w:pBdr>
        <w:spacing w:before="0" w:after="240"/>
        <w:rPr>
          <w:noProof/>
        </w:rPr>
      </w:pPr>
      <w:r>
        <w:rPr>
          <w:noProof/>
        </w:rPr>
        <w:t>Трансграничното сътрудничество може да допринесе за по-добро реализиране на ефектите от мащаба чрез намаляване на дублирането и създаване на възможности за разработване на необходимите продукти и технологии. То обаче е твърде ограничено, а до голяма степен некоординираните национални политики на държавите членки в сектора</w:t>
      </w:r>
      <w:r>
        <w:rPr>
          <w:rStyle w:val="FootnoteReference"/>
          <w:noProof/>
        </w:rPr>
        <w:footnoteReference w:id="2"/>
      </w:r>
      <w:r>
        <w:rPr>
          <w:noProof/>
        </w:rPr>
        <w:t xml:space="preserve"> оказват отрицателно въздействие върху конкурентоспособността и иновационния капацитет на отбранителната промишленост на Съюза.</w:t>
      </w:r>
    </w:p>
    <w:p>
      <w:pPr>
        <w:pBdr>
          <w:top w:val="nil"/>
          <w:left w:val="nil"/>
          <w:bottom w:val="nil"/>
          <w:right w:val="nil"/>
          <w:between w:val="nil"/>
          <w:bar w:val="nil"/>
        </w:pBdr>
        <w:spacing w:before="0" w:after="240"/>
        <w:rPr>
          <w:rFonts w:eastAsia="Arial Unicode MS"/>
          <w:noProof/>
        </w:rPr>
      </w:pPr>
      <w:r>
        <w:rPr>
          <w:noProof/>
        </w:rPr>
        <w:t>Евентуално действие на равнището на Съюза ще генерира добавена стойност чрез допълнително насърчаване на промишленото сътрудничество в областта на отбраната посредством положителни стимули и ориентиране към проекти на етап разработване, които не могат да бъдат реализирани успешно единствено на национално равнище поради разходите и съпътстващите рискове.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Предложението е в съответствие с принципа на пропорционалност поради изложените по-долу причини.</w:t>
      </w:r>
    </w:p>
    <w:p>
      <w:pPr>
        <w:pBdr>
          <w:top w:val="nil"/>
          <w:left w:val="nil"/>
          <w:bottom w:val="nil"/>
          <w:right w:val="nil"/>
          <w:between w:val="nil"/>
          <w:bar w:val="nil"/>
        </w:pBdr>
        <w:spacing w:before="0" w:after="240"/>
        <w:rPr>
          <w:noProof/>
        </w:rPr>
      </w:pPr>
      <w:r>
        <w:rPr>
          <w:noProof/>
        </w:rPr>
        <w:t xml:space="preserve">Намесата на Съюза е пропорционална, тъй като акцентът ѝ е върху областта с най-голямо въздействие върху конкурентоспособността на сектора, т.е. предоставяне на финансова подкрепа за действия на етап разработване. Тъй като етапът на разработване в рамките на проектите е един от най-рисковите и съответно е свързан с най-съществените трудности във веригата на технологичния напредък, Съюзът частично ще финансира разходите за разработване на продукти и технологии в областта на отбраната, което да позволи реализацията на съвместни проекти за разработване. </w:t>
      </w:r>
    </w:p>
    <w:p>
      <w:pPr>
        <w:pBdr>
          <w:top w:val="nil"/>
          <w:left w:val="nil"/>
          <w:bottom w:val="nil"/>
          <w:right w:val="nil"/>
          <w:between w:val="nil"/>
          <w:bar w:val="nil"/>
        </w:pBdr>
        <w:spacing w:before="0" w:after="240"/>
        <w:rPr>
          <w:noProof/>
        </w:rPr>
      </w:pPr>
      <w:r>
        <w:rPr>
          <w:noProof/>
        </w:rPr>
        <w:t>Освен това, допустими за финансова подкрепа ще бъдат единствено действията, свързани с предприятия, установени в различни държави членки, поради ясно изразения им принос за поощряване на сътрудничеството отвъд националните граници.</w:t>
      </w:r>
    </w:p>
    <w:p>
      <w:pPr>
        <w:pBdr>
          <w:top w:val="nil"/>
          <w:left w:val="nil"/>
          <w:bottom w:val="nil"/>
          <w:right w:val="nil"/>
          <w:between w:val="nil"/>
          <w:bar w:val="nil"/>
        </w:pBdr>
        <w:spacing w:before="0" w:after="240"/>
        <w:rPr>
          <w:rFonts w:eastAsia="Arial Unicode MS"/>
          <w:noProof/>
        </w:rPr>
      </w:pPr>
      <w:r>
        <w:rPr>
          <w:noProof/>
        </w:rPr>
        <w:t>В същото време намесата на Съюза не засяга, нито по някакъв начин застрашава подкрепата, предоставяна за действия на национално равнище. Тя осигурява допълнителни стимули за реализацията на най-трудния етап от някои от тези действия, като насочва подкрепата от Съюза там, където е най-необходима.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Комисията предлага програмата да бъде създадена с регламент. Това е най-подходящият правен инструмент, тъй като само пряко приложимите разпоредби на регламента могат да осигурят необходимата степен на съгласуваност, необходима за създаването и изпълнението на програма на Съюза за финансиране, насочена към подкрепа на промишлен сектор в цяла Европа.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 и 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Липсва предходно законодателство, което да обхваща или да касае това конкретно действие, тъй като до момента не е имало други законодателни инициативи на Съюза за подобряване на конкурентоспособността на отбранителната промишленост, насочени специално към етапа на разработване на действия в сектора на отбраната. Поради това досега не е извършвана последваща оценка или проверка за пригодност на действащото законодателство във връзка с такава законодателна инициатива.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При изготвянето на предложението бяха проведени редовни срещи за консултации с държавите членки. Бяха консултирани и други заинтересовани страни, които бяха надлежно уведомени за намерението на Комисията да изготви такова законодателно предложение.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Европейската комисия възложи извършването на предварително проучване относно възможния бюджет на програмата. В проучването се разглеждат съществуващите пречки пред сътрудничеството по програми за развитие и се набелязват аспекти за обсъждане, които да бъдат взети под внимание с оглед оптимизиране на намесата на Съюза.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е подкрепено от придружаващия работен документ на службите на Комисията, който съдържа необходимите елементи за анализа на пречките, възпрепятстващи конкурентоспособността на сектора, и за оценка на очакваното въздействие на предложението. Поради спешния характер на предложението и в контекста на призива, отправен към Комисията от Европейския съвет от 15 декември 2016 г. „да представи през първата половина на 2017 г. предложение за създаване на Европейски фонд за отбрана, включващо възможност за съвместно развиване на способности, договорено с общо съгласие на държавите членки“</w:t>
      </w:r>
      <w:r>
        <w:rPr>
          <w:rStyle w:val="FootnoteReference"/>
          <w:noProof/>
        </w:rPr>
        <w:footnoteReference w:id="3"/>
      </w:r>
      <w:r>
        <w:rPr>
          <w:noProof/>
        </w:rPr>
        <w:t xml:space="preserve">, настоящото предложение на Комисията е представено без оценка на въздействието.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Настоящото предложение не е част от Програмата за пригодност и резултатност на регулаторната рамка и не се очаква да увеличи административната тежест.</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за защита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Отражението на предложението върху бюджета на Съюза е представено в придружаващата го финансова обосновка и се вписва в рамките на наличните ресурси.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rPr>
      </w:pPr>
      <w:r>
        <w:rPr>
          <w:noProof/>
        </w:rPr>
        <w:t>Комисията следва да подлага на редовен мониторинг действията, да прави преглед на напредъка при постигането на очакваните резултати и да проучва полезните взаимодействия с други допълващи програми на Съюза или с национални програми, съфинансирани от Съюза. Освен това, когато е целесъобразно, Комисията може да използва и независими външни оценки, за да прецени въздействието и ефективността на действията си в рамките на настоящата програма. Комисията следва да изготви доклад за оценка на програмата и да го представи на Европейския парламент и на Съвета. По-специално, докладът ще съдържа оценка на напредъка при постигането на определените в предложението цели и анализ на трансграничното участие на МСП в проекти по програмата, както и на участието на МСП в световната верига за създаване на стойност.</w:t>
      </w:r>
    </w:p>
    <w:p>
      <w:pPr>
        <w:rPr>
          <w:noProof/>
        </w:rPr>
      </w:pPr>
      <w:r>
        <w:rPr>
          <w:noProof/>
        </w:rPr>
        <w:t xml:space="preserve">В придружаващия работен документ на службите на Комисията се предлагат дейности за по-разширен мониторинг и оценка въз основа на данни, събрани и публикувани от различни организации, работещи в европейския сектор на отбраната. </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Програмата ще бъде създадена въз основа на разпоредбите на член 173 от ДФЕС и общата ѝ цел ще бъде да благоприятства конкурентоспособността и иновационния капацитет на политиката за отбрана на Съюза чрез подкрепа за действия, намиращи се на етап разработване. Бенефициерите ще бъдат предприятия, установени в Съюза. Програмата ще обхваща периода от 1 януари 2019 г. до 31 декември 2020 г.</w:t>
      </w:r>
    </w:p>
    <w:p>
      <w:pPr>
        <w:rPr>
          <w:noProof/>
        </w:rPr>
      </w:pPr>
      <w:r>
        <w:rPr>
          <w:noProof/>
        </w:rPr>
        <w:t>Предложените стратегии за намеса ще се реализират чрез финансова помощ. Финансирането по програмата ще бъде под формата на безвъзмездни средства и финансови инструменти или обществени поръчки. По-конкретно, по програмата ще се подпомагат разработването и определянето на общи технически спецификации, създаването на прототипи, изпитванията, атестацията и сертифицирането на продукти, материални или нематериални компоненти и технологии в областта на отбраната. Подкрепа може да бъде предоставена и за проучвания, оценки на осъществимостта и други спомагателни дейности. Подкрепата ще бъде насочена към действия на етап разработване, обхващайки нови и модернизиране на съществуващи продукти и технологии.</w:t>
      </w:r>
    </w:p>
    <w:p>
      <w:pPr>
        <w:rPr>
          <w:noProof/>
        </w:rPr>
      </w:pPr>
      <w:r>
        <w:rPr>
          <w:noProof/>
        </w:rPr>
        <w:t>Действието следва да се изпълнява съвместно от най-малко 3 предприятия, установени в най-малко 2 държави членки.</w:t>
      </w:r>
    </w:p>
    <w:p>
      <w:pPr>
        <w:rPr>
          <w:noProof/>
        </w:rPr>
      </w:pPr>
      <w:r>
        <w:rPr>
          <w:noProof/>
        </w:rPr>
        <w:t>Предложеният процент на финансиране ще бъде ограничен до 20 % от общите разходи за действието. Държавите членки следва да осигурят финансов принос за останалите разходи чрез национално участие. Бюджетът на Съюза ще се използва в подкрепа на конкурентоспособността на сектора чрез мобилизиране на необходимия размер финансово участие от държавите членки за започване на съвместното действие и ще играе ролята на катализатор за сътрудничеството, отключвайки потенциал за съвместни програми за развитие. Бенефициерите, които разработват действия в контекста на постоянното структурирано сътрудничество, ще могат да получат по-голям процент финансиране. Подкрепяните проекти следва да осигурят принос за съвместно договорените от държавите членки в рамките на Съюза приоритети относно отбранителните способности, определени в Плана на Съюза за развитие на способностите, като същевременно се отчита регионалното и международното сътрудничество, когато е целесъобразно. Предложенията за получаване на финансова подкрепа по програмата ще бъдат оценявани съгласно критерии за оценка в зависимост от приноса за иновациите и технологичното развитие на отбранителните сектори, който предлагат, както и от приноса за интересите на Съюза в областта на сигурността и отбраната посредством усъвършенстване на отбранителните технологии, които допринасят за съвместно договорените от държавите членки в рамките на Съюза приоритети относно отбранителните способности, а също и в зависимост от жизнеспособността на действието и възможностите на бенефициерите да докажат ангажираността на държавите членки за съвместно и координирано разработване и доставка на крайния продукт или технология, включително съвместно възлагане на обществени поръчки, когато е приложимо.</w:t>
      </w:r>
    </w:p>
    <w:p>
      <w:pPr>
        <w:rPr>
          <w:noProof/>
        </w:rPr>
      </w:pPr>
      <w:r>
        <w:rPr>
          <w:noProof/>
        </w:rPr>
        <w:t xml:space="preserve">Комисията ще отговаря за изпълнението и за управленската структура на програмата. Тя обаче може да възложи на друг субект част от изпълнението  в съответствие с изискванията на Финансовия регламент. Освен това част от общия бюджет следва да бъде предназначена за действия, благоприятстващи трансграничното участие на МСП. </w:t>
      </w:r>
    </w:p>
    <w:p>
      <w:pPr>
        <w:pBdr>
          <w:top w:val="nil"/>
          <w:left w:val="nil"/>
          <w:bottom w:val="nil"/>
          <w:right w:val="nil"/>
          <w:between w:val="nil"/>
          <w:bar w:val="nil"/>
        </w:pBdr>
        <w:spacing w:before="0" w:after="240"/>
        <w:rPr>
          <w:noProof/>
        </w:rPr>
      </w:pPr>
      <w:r>
        <w:rPr>
          <w:noProof/>
        </w:rPr>
        <w:t>Предлага се бюджетът на програмата да бъде 500 милиона евро.</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2017/0125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Европейска програма за промишлено развитие в областта на отбраната с цел подкрепа на конкурентоспособността и иновационния капацитет на отбранителната промишленост на ЕС</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173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В Европейския план за действие в областта на отбраната, приет на 30 ноември 2016 г., Комисията пое ангажимент да допълни, мобилизира и консолидира съвместните усилия на държавите членки за развитие на отбранителните способности с цел да се отговори на предизвикателствата в областта на сигурността, както и за да се стимулира изграждането на конкурентоспособна и иновативна европейска отбранителна промишленост. По-специално, в плана се предлага създаването на Европейски фонд за отбрана с цел подкрепа на инвестициите в съвместни научни изследвания и съвместно разработване на отбранително оборудване и технологии. Фондът ще подкрепя сътрудничеството през пълния цикъл на разработване на продуктите и технологиите.</w:t>
      </w:r>
    </w:p>
    <w:p>
      <w:pPr>
        <w:pStyle w:val="ManualConsidrant"/>
        <w:rPr>
          <w:noProof/>
        </w:rPr>
      </w:pPr>
      <w:r>
        <w:rPr>
          <w:noProof/>
        </w:rPr>
        <w:t>(2)</w:t>
      </w:r>
      <w:r>
        <w:rPr>
          <w:noProof/>
        </w:rPr>
        <w:tab/>
        <w:t xml:space="preserve">За да се стимулира конкурентоспособността и да се укрепи иновационният капацитет на отбранителната промишленост на Съюза, следва да се създаде Европейска програма за промишлено развитие в областта на отбраната (наричана по-нататък „програмата“). Целта на програмата следва да бъде засилване на конкурентоспособността на отбранителната промишленост на Съюза и, наред с другото, на киберотбраната, чрез подкрепа за сътрудничеството между предприятията на етапа на разработване на отбранителни продукти и технологии. Етапът на разработване, който следва етапа на научните изследвания и технологии, е свързан със значителни рискове и разходи, които застрашават по-нататъшното използване на резултатите от научните изследвания и оказват неблагоприятно въздействие върху конкурентоспособността на отбранителната промишленост на Съюза. Чрез подкрепата, която ще предоставя на етапа на разработването, програмата ще допринесе за по-пълноценно използване на резултатите от научните изследвания в областта на отбраната, ще спомогне за скъсяване на дистанцията между научните изследвания и производството и ще стимулира всички форми на иновации. Програмата следва да има допълваща роля по отношение на дейностите, извършвани в съответствие с член 182 от ДФЕС, без да обхваща производството на отбранителни продукти и технологии. </w:t>
      </w:r>
    </w:p>
    <w:p>
      <w:pPr>
        <w:pStyle w:val="ManualConsidrant"/>
        <w:rPr>
          <w:noProof/>
        </w:rPr>
      </w:pPr>
      <w:r>
        <w:rPr>
          <w:noProof/>
        </w:rPr>
        <w:t>(3)</w:t>
      </w:r>
      <w:r>
        <w:rPr>
          <w:noProof/>
        </w:rPr>
        <w:tab/>
        <w:t xml:space="preserve">За да се използват по-добре икономиите от мащаба в отбранителната промишленост, програмата следва да предоставя подкрепа за сътрудничество между предприятията при разработването на отбранителни продукти и технологии. </w:t>
      </w:r>
    </w:p>
    <w:p>
      <w:pPr>
        <w:pStyle w:val="ManualConsidrant"/>
        <w:rPr>
          <w:noProof/>
        </w:rPr>
      </w:pPr>
      <w:r>
        <w:rPr>
          <w:noProof/>
        </w:rPr>
        <w:t>(4)</w:t>
      </w:r>
      <w:r>
        <w:rPr>
          <w:noProof/>
        </w:rPr>
        <w:tab/>
        <w:t xml:space="preserve">Програмата следва да обхване период от две години, от 1 януари 2019 г. до 31 декември 2020 г., като бюджетът за изпълнението ѝ следва да бъде определен за този период. </w:t>
      </w:r>
    </w:p>
    <w:p>
      <w:pPr>
        <w:pStyle w:val="ManualConsidrant"/>
        <w:rPr>
          <w:noProof/>
        </w:rPr>
      </w:pPr>
      <w:r>
        <w:rPr>
          <w:noProof/>
        </w:rPr>
        <w:t>(5)</w:t>
      </w:r>
      <w:r>
        <w:rPr>
          <w:noProof/>
        </w:rPr>
        <w:tab/>
        <w:t>Програмата следва да се прилага при пълно спазване на Регламент (ЕС, Евратом) № 966/2012 на Европейския парламент и на Съвета</w:t>
      </w:r>
      <w:r>
        <w:rPr>
          <w:rStyle w:val="FootnoteReference"/>
          <w:noProof/>
        </w:rPr>
        <w:footnoteReference w:id="6"/>
      </w:r>
      <w:r>
        <w:rPr>
          <w:noProof/>
        </w:rPr>
        <w:t xml:space="preserve">. Финансирането може да се предоставя по-специално под формата на безвъзмездни средства. Когато е целесъобразно, могат да се използват финансови инструменти или обществени поръчки. </w:t>
      </w:r>
    </w:p>
    <w:p>
      <w:pPr>
        <w:pStyle w:val="ManualConsidrant"/>
        <w:rPr>
          <w:noProof/>
        </w:rPr>
      </w:pPr>
      <w:r>
        <w:rPr>
          <w:noProof/>
        </w:rPr>
        <w:t>(6)</w:t>
      </w:r>
      <w:r>
        <w:rPr>
          <w:noProof/>
        </w:rPr>
        <w:tab/>
        <w:t xml:space="preserve">Комисията може да възложи част от изпълнението на програмата на субектите, посочени в член 58, параграф 1, буква в) от Регламент (ЕС, Евратом) № 966/2012. С оглед на експертния опит на Европейската агенция по отбрана Комисията може да ѝ възложи такава функция. </w:t>
      </w:r>
    </w:p>
    <w:p>
      <w:pPr>
        <w:pStyle w:val="ManualConsidrant"/>
        <w:rPr>
          <w:noProof/>
        </w:rPr>
      </w:pPr>
      <w:r>
        <w:rPr>
          <w:noProof/>
        </w:rPr>
        <w:t>(7)</w:t>
      </w:r>
      <w:r>
        <w:rPr>
          <w:noProof/>
        </w:rPr>
        <w:tab/>
        <w:t xml:space="preserve">Предвид спецификата на сектора съвместни проекти между предприятията няма да бъдат стартирани, ако държавите членки предварително не са се договорили да окажат финансова подкрепа за тях. След като са определили общите приоритети по отношение на отбранителните способности на равнището на Съюза и, в зависимост от случая, са взели предвид съответните съвместни инициативи в регионален мащаб, държавите членки определят и обобщават военните изисквания, като определят техническите спецификации на проекта. Те могат също така да назначат ръководител на проекта, който да управлява работата по разработването на съвместния проект. </w:t>
      </w:r>
    </w:p>
    <w:p>
      <w:pPr>
        <w:pStyle w:val="ManualConsidrant"/>
        <w:rPr>
          <w:noProof/>
        </w:rPr>
      </w:pPr>
      <w:r>
        <w:rPr>
          <w:noProof/>
        </w:rPr>
        <w:t>(8)</w:t>
      </w:r>
      <w:r>
        <w:rPr>
          <w:noProof/>
        </w:rPr>
        <w:tab/>
        <w:t xml:space="preserve">Когато подкрепяните по програмата действия се управляват от ръководител на проект, назначен от държавите членки, Комисията следва да информира ръководителя на проекта, преди да извърши плащането към бенефициера на допустимото действие, така че ръководителят на проекта да се увери, че бенефициерите са спазили графика. </w:t>
      </w:r>
    </w:p>
    <w:p>
      <w:pPr>
        <w:pStyle w:val="ManualConsidrant"/>
        <w:rPr>
          <w:noProof/>
        </w:rPr>
      </w:pPr>
      <w:r>
        <w:rPr>
          <w:noProof/>
        </w:rPr>
        <w:t>(9)</w:t>
      </w:r>
      <w:r>
        <w:rPr>
          <w:noProof/>
        </w:rPr>
        <w:tab/>
        <w:t xml:space="preserve">Финансовата подкрепа от Съюза не следва да засяга износа на продукти, оборудване или технологии и не следва да засяга свободата на вземане на решения от страна на държавите членки по отношение на политиката за износ на свързани с отбраната продукти. Финансовата подкрепа от Съюза не следва да засяга експортните политики на държавите членки по отношение на свързани с отбраната продукти.  </w:t>
      </w:r>
    </w:p>
    <w:p>
      <w:pPr>
        <w:pStyle w:val="ManualConsidrant"/>
        <w:rPr>
          <w:noProof/>
        </w:rPr>
      </w:pPr>
      <w:r>
        <w:rPr>
          <w:noProof/>
        </w:rPr>
        <w:t>(10)</w:t>
      </w:r>
      <w:r>
        <w:rPr>
          <w:noProof/>
        </w:rPr>
        <w:tab/>
        <w:t>Тъй като целта на програмата е да подпомага конкурентоспособността на отбранителната промишленост на Съюза, ограничавайки рисковете на етапа на разработване в рамките на съвместните проекти, допустими за подкрепа следва да бъдат действията, свързани с разработването на даден отбранителен продукт или технология, а именно определяне на общи технически спецификации, проектиране, създаване на прототипи, изпитване, атестация и сертифициране, както и проучвания за осъществимост и други спомагателни мерки. Това се отнася и за модернизирането на съществуващи отбранителни продукти и технологии.</w:t>
      </w:r>
    </w:p>
    <w:p>
      <w:pPr>
        <w:pStyle w:val="ManualConsidrant"/>
        <w:rPr>
          <w:noProof/>
        </w:rPr>
      </w:pPr>
      <w:r>
        <w:rPr>
          <w:noProof/>
        </w:rPr>
        <w:t>(11)</w:t>
      </w:r>
      <w:r>
        <w:rPr>
          <w:noProof/>
        </w:rPr>
        <w:tab/>
        <w:t xml:space="preserve">Тъй като програмата е насочена по-специално към засилване на сътрудничеството между предприятията от различни държави членки, действията следва да бъдат допустими за финансиране по програмата само ако се извършват съвместно от поне три предприятия, установени в поне две различни държави членки. </w:t>
      </w:r>
    </w:p>
    <w:p>
      <w:pPr>
        <w:pStyle w:val="ManualConsidrant"/>
        <w:rPr>
          <w:noProof/>
        </w:rPr>
      </w:pPr>
      <w:r>
        <w:rPr>
          <w:noProof/>
        </w:rPr>
        <w:t>(12)</w:t>
      </w:r>
      <w:r>
        <w:rPr>
          <w:noProof/>
        </w:rPr>
        <w:tab/>
        <w:t>Трансграничното сътрудничество при разработването на отбранителни продукти и технологии често е било възпрепятствано от трудности при съгласуването на общи технически спецификации. Липсата или ограниченото използване на общи технически спецификации на свой ред са пораждали все повече усложнения, закъснения и завишени разходи на етапа на разработването. Съгласуването на общи технически спецификации следва да бъде условие за получаване на подкрепа от Съюза по тази програма. Действията, целящи да се подкрепи съвместното определяне на технически спецификации, също следва да бъдат допустими за получаване на подкрепа по линия на програмата.</w:t>
      </w:r>
    </w:p>
    <w:p>
      <w:pPr>
        <w:pStyle w:val="ManualConsidrant"/>
        <w:rPr>
          <w:noProof/>
        </w:rPr>
      </w:pPr>
      <w:r>
        <w:rPr>
          <w:noProof/>
        </w:rPr>
        <w:t>(13)</w:t>
      </w:r>
      <w:r>
        <w:rPr>
          <w:noProof/>
        </w:rPr>
        <w:tab/>
        <w:t>Тъй като програмата има за цел засилване на конкурентоспособността на отбранителната промишленост на Съюза, допустими за предоставяне на подкрепа следва да бъдат само субекти, които са установени в Съюза и са фактически контролирани от държавите членки или техните граждани. Освен това, за да се гарантира защитата на основните интереси на Съюза и на неговите държави членки в областта на сигурността, е необходимо инфраструктурата, съоръженията, активите и ресурсите, използвани от бенефициерите и подизпълнителите при финансираните по линия на програмата действия, да не се намират на територията на държави, които не са членки на ЕС.</w:t>
      </w:r>
    </w:p>
    <w:p>
      <w:pPr>
        <w:pStyle w:val="ManualConsidrant"/>
        <w:rPr>
          <w:noProof/>
        </w:rPr>
      </w:pPr>
      <w:r>
        <w:rPr>
          <w:noProof/>
        </w:rPr>
        <w:t>(14)</w:t>
      </w:r>
      <w:r>
        <w:rPr>
          <w:noProof/>
        </w:rPr>
        <w:tab/>
        <w:t xml:space="preserve">Допустимите действия, разработени в контекста на постоянното структурирано сътрудничество в институционалната рамка на Съюза, ще гарантират трайно укрепване на сътрудничеството между предприятията в различните държави членки и по този начин пряко ще допринесат за постигането на целите на програмата. Съответно такива проекти следва да бъдат допустими за финансиране с по-висок процент. </w:t>
      </w:r>
    </w:p>
    <w:p>
      <w:pPr>
        <w:pStyle w:val="ManualConsidrant"/>
        <w:rPr>
          <w:noProof/>
        </w:rPr>
      </w:pPr>
      <w:r>
        <w:rPr>
          <w:noProof/>
        </w:rPr>
        <w:t>(15)</w:t>
      </w:r>
      <w:r>
        <w:rPr>
          <w:noProof/>
        </w:rPr>
        <w:tab/>
        <w:t xml:space="preserve">Когато консорциум от предприятия желае да участва в допустимо действие по програмата и финансовата помощ от Съюза е под формата на безвъзмездни средства, консорциумът следва да определи един от своите членове за координатор, който ще бъде основното лице за връзка с Комисията.  </w:t>
      </w:r>
    </w:p>
    <w:p>
      <w:pPr>
        <w:pStyle w:val="ManualConsidrant"/>
        <w:rPr>
          <w:noProof/>
        </w:rPr>
      </w:pPr>
      <w:r>
        <w:rPr>
          <w:noProof/>
        </w:rPr>
        <w:t>(16)</w:t>
      </w:r>
      <w:r>
        <w:rPr>
          <w:noProof/>
        </w:rPr>
        <w:tab/>
        <w:t xml:space="preserve">Насърчаването на иновациите и технологичното развитие в отбранителната промишленост на Съюза следва да бъде съобразено с интересите на Съюза в областта на сигурността. Съответно приносът на действията за тези интереси и за съвместно договорените от държавите членки приоритети по отношение на отбранителните способности следва да бъде критерий за оценката на действията. Общите приоритети в областта на отбранителните способности в рамките на Съюза са определени по-специално в Плана за развитие на способностите. Други инициативи на Съюза, като например координираният годишен преглед на отбраната и постоянното структурирано сътрудничество, ще подкрепят изпълнението на съответните приоритети чрез засилено сътрудничество. Когато е целесъобразно, могат да бъдат взети предвид и регионални или международни инициативи за сътрудничество, например в рамките на НАТО, които обслужват интересите на Съюза в областта на сигурността и отбраната. </w:t>
      </w:r>
    </w:p>
    <w:p>
      <w:pPr>
        <w:pStyle w:val="ManualConsidrant"/>
        <w:rPr>
          <w:noProof/>
        </w:rPr>
      </w:pPr>
      <w:r>
        <w:rPr>
          <w:noProof/>
        </w:rPr>
        <w:t>(17)</w:t>
      </w:r>
      <w:r>
        <w:rPr>
          <w:noProof/>
        </w:rPr>
        <w:tab/>
        <w:t xml:space="preserve">За да се гарантира жизнеспособността на финансираните действия, един от критериите за тяхната оценка следва да бъде наличието на поет ангажимент от страна на държавите членки за реален принос за тяхното финансиране. </w:t>
      </w:r>
    </w:p>
    <w:p>
      <w:pPr>
        <w:pStyle w:val="ManualConsidrant"/>
        <w:rPr>
          <w:noProof/>
        </w:rPr>
      </w:pPr>
      <w:r>
        <w:rPr>
          <w:noProof/>
        </w:rPr>
        <w:t>(18)</w:t>
      </w:r>
      <w:r>
        <w:rPr>
          <w:noProof/>
        </w:rPr>
        <w:tab/>
        <w:t xml:space="preserve">За да се гарантира, че финансираните действия ще допринесат за конкурентоспособността на европейската отбранителна промишленост, те следва да бъдат ориентирани към пазара и търсенето. Следователно критериите за оценка следва да отчитат факта, че държавите членки са поели ангажимент за съвместно и евентуално координирано производство и доставка на крайния продукт или технология. </w:t>
      </w:r>
    </w:p>
    <w:p>
      <w:pPr>
        <w:pStyle w:val="ManualConsidrant"/>
        <w:rPr>
          <w:noProof/>
        </w:rPr>
      </w:pPr>
      <w:r>
        <w:rPr>
          <w:noProof/>
        </w:rPr>
        <w:t>(19)</w:t>
      </w:r>
      <w:r>
        <w:rPr>
          <w:noProof/>
        </w:rPr>
        <w:tab/>
        <w:t xml:space="preserve">Финансовата помощ от Съюза по линия на програмата не следва да превишава 20 % от общите допустими разходи за действието, когато то е свързано със създаване на прототипи, което често е най-скъпоструващото действие на етапа на разработването. Що се отнася до другите действия на етап разработване обаче, всички допустими разходи следва да бъдат покрити. </w:t>
      </w:r>
    </w:p>
    <w:p>
      <w:pPr>
        <w:pStyle w:val="ManualConsidrant"/>
        <w:rPr>
          <w:noProof/>
        </w:rPr>
      </w:pPr>
      <w:r>
        <w:rPr>
          <w:noProof/>
        </w:rPr>
        <w:t>(20)</w:t>
      </w:r>
      <w:r>
        <w:rPr>
          <w:noProof/>
        </w:rPr>
        <w:tab/>
        <w:t>Тъй като подкрепата от Съюза е насочена към укрепване на конкурентоспособността на сектора и се отнася само до конкретния етап на разработване, Комисията не следва да има права на собственост или права върху интелектуалната собственост по отношение на продуктите или технологиите, получени в резултат на финансираните действия. Приложимият режим по отношение на правата върху интелектуалната собственост ще бъде определян от бенефициерите чрез договор.</w:t>
      </w:r>
    </w:p>
    <w:p>
      <w:pPr>
        <w:pStyle w:val="ManualConsidrant"/>
        <w:rPr>
          <w:noProof/>
        </w:rPr>
      </w:pPr>
      <w:r>
        <w:rPr>
          <w:noProof/>
        </w:rPr>
        <w:t>(21)</w:t>
      </w:r>
      <w:r>
        <w:rPr>
          <w:noProof/>
        </w:rPr>
        <w:tab/>
        <w:t>Комисията следва да разработи многогодишна работна програма в съответствие с целите на програмата. При изготвянето на тази програма Комисията следва да бъде подпомагана от комитет на държавите членки (наричан по-долу „програмен комитет“). Поради факта, че политиката на Съюза в областта на малките и средните предприятия е от възлово значение за постигането на икономически растеж, иновациите, създаването на работни места и социалната интеграция в Съюза и като се има предвид, че действията, за които ще се предоставя подкрепа, обикновено ще изискват транснационално сътрудничество, от съществено значение е работната програма да отразява и да дава възможност за такова трансгранично участие на МСП и съответно част от общия бюджет да бъде предназначена за такива действия.</w:t>
      </w:r>
    </w:p>
    <w:p>
      <w:pPr>
        <w:pStyle w:val="ManualConsidrant"/>
        <w:rPr>
          <w:noProof/>
        </w:rPr>
      </w:pPr>
      <w:r>
        <w:rPr>
          <w:noProof/>
        </w:rPr>
        <w:t>(22)</w:t>
      </w:r>
      <w:r>
        <w:rPr>
          <w:noProof/>
        </w:rPr>
        <w:tab/>
        <w:t xml:space="preserve">За да се използва експертният ѝ опит в сектора на отбраната, Европейската агенция по отбрана ще получи статут на наблюдател в комитета на държавите членки. Европейската служба за външна дейност също следва да подпомага дейността на комитета на държавите членки. </w:t>
      </w:r>
    </w:p>
    <w:p>
      <w:pPr>
        <w:pStyle w:val="ManualConsidrant"/>
        <w:rPr>
          <w:noProof/>
        </w:rPr>
      </w:pPr>
      <w:r>
        <w:rPr>
          <w:noProof/>
        </w:rPr>
        <w:t>(23)</w:t>
      </w:r>
      <w:r>
        <w:rPr>
          <w:noProof/>
        </w:rPr>
        <w:tab/>
        <w:t>За целите на подбора на действията, които да се финансират по програмата, Комисията или субектите, посочени в член 58, параграф 1, буква в) от Регламент (EС, Eвратом) № 966/2012, следва да публикуват състезателни покани за представяне на предложения, както е предвидено в Регламент (EС, Eвратом) № 966/2012.  След оценка на получените предложения с помощта на независими експерти, Комисията ще избере действията, които да бъдат финансирани по програмата. За да се осигурят единни условия за прилагането на настоящия регламент, на Комисията следва да се предоставят изпълнителни правомощия по отношение на приемането и изпълнението на работната програма, както и за отпускането на финансиране за избраните действия.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7"/>
      </w:r>
      <w:r>
        <w:rPr>
          <w:noProof/>
        </w:rPr>
        <w:t>.</w:t>
      </w:r>
    </w:p>
    <w:p>
      <w:pPr>
        <w:pStyle w:val="ManualConsidrant"/>
        <w:rPr>
          <w:noProof/>
        </w:rPr>
      </w:pPr>
      <w:r>
        <w:rPr>
          <w:noProof/>
        </w:rPr>
        <w:t>(24)</w:t>
      </w:r>
      <w:r>
        <w:rPr>
          <w:noProof/>
        </w:rPr>
        <w:tab/>
        <w:t>При приемането на горепосочените актове за изпълнение следва да се използва процедурата по разглеждане, като се вземат предвид свързаните с тях съществени последици за изпълнението на основния акт.</w:t>
      </w:r>
    </w:p>
    <w:p>
      <w:pPr>
        <w:pStyle w:val="ManualConsidrant"/>
        <w:rPr>
          <w:noProof/>
        </w:rPr>
      </w:pPr>
      <w:r>
        <w:rPr>
          <w:noProof/>
        </w:rPr>
        <w:t>(25)</w:t>
      </w:r>
      <w:r>
        <w:rPr>
          <w:noProof/>
        </w:rPr>
        <w:tab/>
        <w:t xml:space="preserve">В края на програмата Комисията следва да изготви доклад за изпълнението ѝ, като направи преглед на финансовите дейности с оглед на резултатите от финансовото изпълнение, а когато е възможно — и с оглед на въздействието. В доклада следва също така да се анализира трансграничното участие на МСП в проектите по програмата, както и участието на МСП в световната верига за създаване на стойност, </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Създава се Европейска програма за промишлено развитие в областта на отбраната (наричана по-нататък „програмата“) за действие на Съюза, обхващащо периода 1 януари 2019 г. — 31 декември 2020 г.</w:t>
      </w:r>
    </w:p>
    <w:p>
      <w:pPr>
        <w:pStyle w:val="Titrearticle"/>
        <w:rPr>
          <w:noProof/>
        </w:rPr>
      </w:pPr>
      <w:r>
        <w:rPr>
          <w:noProof/>
        </w:rPr>
        <w:t>Член 2</w:t>
      </w:r>
    </w:p>
    <w:p>
      <w:pPr>
        <w:jc w:val="center"/>
        <w:rPr>
          <w:noProof/>
        </w:rPr>
      </w:pPr>
      <w:r>
        <w:rPr>
          <w:noProof/>
        </w:rPr>
        <w:t>Цели</w:t>
      </w:r>
    </w:p>
    <w:p>
      <w:pPr>
        <w:rPr>
          <w:noProof/>
        </w:rPr>
      </w:pPr>
      <w:r>
        <w:rPr>
          <w:noProof/>
        </w:rPr>
        <w:t>Програмата има следните цели:</w:t>
      </w:r>
    </w:p>
    <w:p>
      <w:pPr>
        <w:pStyle w:val="Point1"/>
        <w:rPr>
          <w:noProof/>
        </w:rPr>
      </w:pPr>
      <w:r>
        <w:rPr>
          <w:noProof/>
        </w:rPr>
        <w:t>а)</w:t>
      </w:r>
      <w:r>
        <w:rPr>
          <w:noProof/>
        </w:rPr>
        <w:tab/>
        <w:t>насърчаване на конкурентоспособността и укрепване на иновационния капацитет на отбранителната промишленост на Съюза чрез подкрепа за действия на етапа на разработване;</w:t>
      </w:r>
    </w:p>
    <w:p>
      <w:pPr>
        <w:pStyle w:val="Point1"/>
        <w:rPr>
          <w:noProof/>
        </w:rPr>
      </w:pPr>
      <w:r>
        <w:rPr>
          <w:noProof/>
        </w:rPr>
        <w:t>б)</w:t>
      </w:r>
      <w:r>
        <w:rPr>
          <w:noProof/>
        </w:rPr>
        <w:tab/>
        <w:t>подкрепа за и оптимизиране на сътрудничеството между предприятията, включително малките и средните предприятия, при разработването на технологии или продукти в съответствие със съвместно договорените от държавите членки в рамките на Съюза приоритети относно отбранителните способности;</w:t>
      </w:r>
    </w:p>
    <w:p>
      <w:pPr>
        <w:pStyle w:val="Point1"/>
        <w:rPr>
          <w:noProof/>
        </w:rPr>
      </w:pPr>
      <w:r>
        <w:rPr>
          <w:noProof/>
        </w:rPr>
        <w:t>в)</w:t>
      </w:r>
      <w:r>
        <w:rPr>
          <w:noProof/>
        </w:rPr>
        <w:tab/>
        <w:t>насърчаване на по-пълноценното оползотворяване на резултатите от научните изследвания в областта на отбраната и принос за скъсяване на дистанцията между научноизследователската и развойната дейност.</w:t>
      </w:r>
    </w:p>
    <w:p>
      <w:pPr>
        <w:pStyle w:val="Titrearticle"/>
        <w:rPr>
          <w:noProof/>
        </w:rPr>
      </w:pPr>
      <w:r>
        <w:rPr>
          <w:noProof/>
        </w:rPr>
        <w:t>Член 3</w:t>
      </w:r>
    </w:p>
    <w:p>
      <w:pPr>
        <w:jc w:val="center"/>
        <w:rPr>
          <w:noProof/>
        </w:rPr>
      </w:pPr>
      <w:r>
        <w:rPr>
          <w:noProof/>
        </w:rPr>
        <w:t>Бюджет</w:t>
      </w:r>
    </w:p>
    <w:p>
      <w:pPr>
        <w:rPr>
          <w:noProof/>
        </w:rPr>
      </w:pPr>
      <w:r>
        <w:rPr>
          <w:noProof/>
        </w:rPr>
        <w:t>За изпълнението на програмата за периода 2019—2020 г. се определя бюджет от 500 милиона евро по текущи цени.</w:t>
      </w:r>
    </w:p>
    <w:p>
      <w:pPr>
        <w:pStyle w:val="Titrearticle"/>
        <w:rPr>
          <w:noProof/>
        </w:rPr>
      </w:pPr>
      <w:r>
        <w:rPr>
          <w:noProof/>
        </w:rPr>
        <w:t>Член 4</w:t>
      </w:r>
    </w:p>
    <w:p>
      <w:pPr>
        <w:jc w:val="center"/>
        <w:rPr>
          <w:noProof/>
        </w:rPr>
      </w:pPr>
      <w:r>
        <w:rPr>
          <w:noProof/>
        </w:rPr>
        <w:t>Общи финансови разпоредби</w:t>
      </w:r>
    </w:p>
    <w:p>
      <w:pPr>
        <w:pStyle w:val="NumPar10"/>
        <w:rPr>
          <w:noProof/>
        </w:rPr>
      </w:pPr>
      <w:r>
        <w:rPr>
          <w:noProof/>
        </w:rPr>
        <w:t>1.</w:t>
      </w:r>
      <w:r>
        <w:rPr>
          <w:noProof/>
        </w:rPr>
        <w:tab/>
        <w:t>Финансова помощ от Съюза може да бъде предоставена чрез видовете финансиране, предвидени в Регламент (EС, Eвратом) № 966/2012, и по-специално чрез:</w:t>
      </w:r>
    </w:p>
    <w:p>
      <w:pPr>
        <w:pStyle w:val="Text2"/>
        <w:rPr>
          <w:noProof/>
        </w:rPr>
      </w:pPr>
      <w:r>
        <w:rPr>
          <w:noProof/>
        </w:rPr>
        <w:t>а) безвъзмездни средства;</w:t>
      </w:r>
    </w:p>
    <w:p>
      <w:pPr>
        <w:pStyle w:val="Text2"/>
        <w:rPr>
          <w:noProof/>
        </w:rPr>
      </w:pPr>
      <w:r>
        <w:rPr>
          <w:noProof/>
        </w:rPr>
        <w:t>б) финансови инструменти;</w:t>
      </w:r>
    </w:p>
    <w:p>
      <w:pPr>
        <w:pStyle w:val="Text2"/>
        <w:rPr>
          <w:noProof/>
        </w:rPr>
      </w:pPr>
      <w:r>
        <w:rPr>
          <w:noProof/>
        </w:rPr>
        <w:t xml:space="preserve">в) обществени поръчки. </w:t>
      </w:r>
    </w:p>
    <w:p>
      <w:pPr>
        <w:pStyle w:val="NumPar10"/>
        <w:rPr>
          <w:noProof/>
        </w:rPr>
      </w:pPr>
      <w:r>
        <w:rPr>
          <w:noProof/>
        </w:rPr>
        <w:t>2.</w:t>
      </w:r>
      <w:r>
        <w:rPr>
          <w:noProof/>
        </w:rPr>
        <w:tab/>
        <w:t>Видовете финансиране, посочени в параграф 1 от настоящия член, и методите за изпълнение се избират в зависимост от възможностите за осъществяване на конкретните цели на действията и за постигане на резултати, като се вземат предвид по-специално разходите за проверките, административната тежест и рискът от конфликт на интереси.</w:t>
      </w:r>
    </w:p>
    <w:p>
      <w:pPr>
        <w:pStyle w:val="NumPar10"/>
        <w:rPr>
          <w:noProof/>
        </w:rPr>
      </w:pPr>
      <w:r>
        <w:rPr>
          <w:noProof/>
        </w:rPr>
        <w:t>3.</w:t>
      </w:r>
      <w:r>
        <w:rPr>
          <w:noProof/>
        </w:rPr>
        <w:tab/>
        <w:t>Финансовата помощ на Съюза се управлява от Комисията в съответствие с Регламент (ЕС, Евратом) № 966/2012 пряко или непряко чрез възлагане на задачи по изпълнението на бюджета на субектите, изброени в член 58, параграф 1, буква в) от посочения регламент.</w:t>
      </w:r>
    </w:p>
    <w:p>
      <w:pPr>
        <w:pStyle w:val="NumPar10"/>
        <w:rPr>
          <w:noProof/>
        </w:rPr>
      </w:pPr>
      <w:r>
        <w:rPr>
          <w:noProof/>
        </w:rPr>
        <w:t>4.</w:t>
      </w:r>
      <w:r>
        <w:rPr>
          <w:noProof/>
        </w:rPr>
        <w:tab/>
        <w:t>В случаите, в които държавите членки назначават ръководител на проекта, Комисията извършва плащането на допустимите бенефициери, след като уведоми ръководителя на проекта.</w:t>
      </w:r>
    </w:p>
    <w:p>
      <w:pPr>
        <w:pStyle w:val="Titrearticle"/>
        <w:rPr>
          <w:noProof/>
        </w:rPr>
      </w:pPr>
      <w:r>
        <w:rPr>
          <w:noProof/>
        </w:rPr>
        <w:t>Член 5</w:t>
      </w:r>
    </w:p>
    <w:p>
      <w:pPr>
        <w:jc w:val="center"/>
        <w:rPr>
          <w:noProof/>
        </w:rPr>
      </w:pPr>
      <w:r>
        <w:rPr>
          <w:noProof/>
        </w:rPr>
        <w:t>Видове финансови инструменти</w:t>
      </w:r>
    </w:p>
    <w:p>
      <w:pPr>
        <w:pStyle w:val="NumPar10"/>
        <w:rPr>
          <w:noProof/>
        </w:rPr>
      </w:pPr>
      <w:r>
        <w:rPr>
          <w:noProof/>
        </w:rPr>
        <w:t>1.</w:t>
      </w:r>
      <w:r>
        <w:rPr>
          <w:noProof/>
        </w:rPr>
        <w:tab/>
        <w:t>Финансовите инструменти, създадени в съответствие с дял VIII от Регламент (ЕС, Евратом) № 966/2012, могат да се използват за улесняване на достъпа до финансиране на субектите, изпълняващи действия в съответствие с член 6.</w:t>
      </w:r>
    </w:p>
    <w:p>
      <w:pPr>
        <w:pStyle w:val="NumPar10"/>
        <w:rPr>
          <w:noProof/>
        </w:rPr>
      </w:pPr>
      <w:r>
        <w:rPr>
          <w:noProof/>
        </w:rPr>
        <w:t>2.</w:t>
      </w:r>
      <w:r>
        <w:rPr>
          <w:noProof/>
        </w:rPr>
        <w:tab/>
        <w:t>Могат да се използват следните видове финансови инструменти:</w:t>
      </w:r>
    </w:p>
    <w:p>
      <w:pPr>
        <w:pStyle w:val="Text2"/>
        <w:rPr>
          <w:noProof/>
        </w:rPr>
      </w:pPr>
      <w:r>
        <w:rPr>
          <w:noProof/>
        </w:rPr>
        <w:t>а) капиталови или квазикапиталови инвестиции;</w:t>
      </w:r>
    </w:p>
    <w:p>
      <w:pPr>
        <w:pStyle w:val="Text2"/>
        <w:rPr>
          <w:noProof/>
        </w:rPr>
      </w:pPr>
      <w:r>
        <w:rPr>
          <w:noProof/>
        </w:rPr>
        <w:t>б) заеми или гаранции;</w:t>
      </w:r>
    </w:p>
    <w:p>
      <w:pPr>
        <w:pStyle w:val="Text2"/>
        <w:rPr>
          <w:noProof/>
        </w:rPr>
      </w:pPr>
      <w:r>
        <w:rPr>
          <w:noProof/>
        </w:rPr>
        <w:t>в) инструменти за споделяне на риска.</w:t>
      </w:r>
    </w:p>
    <w:p>
      <w:pPr>
        <w:pStyle w:val="Titrearticle"/>
        <w:rPr>
          <w:noProof/>
        </w:rPr>
      </w:pPr>
      <w:r>
        <w:rPr>
          <w:noProof/>
        </w:rPr>
        <w:t>Член 6</w:t>
      </w:r>
    </w:p>
    <w:p>
      <w:pPr>
        <w:jc w:val="center"/>
        <w:rPr>
          <w:noProof/>
        </w:rPr>
      </w:pPr>
      <w:r>
        <w:rPr>
          <w:noProof/>
        </w:rPr>
        <w:t>Допустими действия</w:t>
      </w:r>
    </w:p>
    <w:p>
      <w:pPr>
        <w:pStyle w:val="ManualNumPar1"/>
        <w:rPr>
          <w:noProof/>
        </w:rPr>
      </w:pPr>
      <w:r>
        <w:rPr>
          <w:noProof/>
        </w:rPr>
        <w:t>1.</w:t>
      </w:r>
      <w:r>
        <w:rPr>
          <w:noProof/>
        </w:rPr>
        <w:tab/>
        <w:t>Програмата предоставя подкрепа за действия на бенефициерите на етап разработване, които обхващат нови и модернизиране на съществуващи продукти и технологии във връзка със:</w:t>
      </w:r>
    </w:p>
    <w:p>
      <w:pPr>
        <w:pStyle w:val="Point1"/>
        <w:rPr>
          <w:noProof/>
        </w:rPr>
      </w:pPr>
      <w:r>
        <w:rPr>
          <w:noProof/>
        </w:rPr>
        <w:t>а)</w:t>
      </w:r>
      <w:r>
        <w:rPr>
          <w:noProof/>
        </w:rPr>
        <w:tab/>
        <w:t>проектиране на отбранителен продукт, материален или нематериален компонент или технология, както и техническите спецификации за проектирането;</w:t>
      </w:r>
    </w:p>
    <w:p>
      <w:pPr>
        <w:pStyle w:val="Point1"/>
        <w:rPr>
          <w:noProof/>
        </w:rPr>
      </w:pPr>
      <w:r>
        <w:rPr>
          <w:noProof/>
        </w:rPr>
        <w:t>б)</w:t>
      </w:r>
      <w:r>
        <w:rPr>
          <w:noProof/>
        </w:rPr>
        <w:tab/>
        <w:t>създаване на прототип на отбранителен продукт, материален или нематериален компонент или технология. Прототипът е образец на продукт или технология, който показва резултатите от функционирането на елемента в оперативна среда;</w:t>
      </w:r>
    </w:p>
    <w:p>
      <w:pPr>
        <w:pStyle w:val="Point1"/>
        <w:rPr>
          <w:noProof/>
        </w:rPr>
      </w:pPr>
      <w:r>
        <w:rPr>
          <w:noProof/>
        </w:rPr>
        <w:t>в)</w:t>
      </w:r>
      <w:r>
        <w:rPr>
          <w:noProof/>
        </w:rPr>
        <w:tab/>
        <w:t>изпитване на отбранителен продукт, материален или нематериален компонент или технология;</w:t>
      </w:r>
    </w:p>
    <w:p>
      <w:pPr>
        <w:pStyle w:val="Point1"/>
        <w:rPr>
          <w:noProof/>
        </w:rPr>
      </w:pPr>
      <w:r>
        <w:rPr>
          <w:noProof/>
        </w:rPr>
        <w:t>г)</w:t>
      </w:r>
      <w:r>
        <w:rPr>
          <w:noProof/>
        </w:rPr>
        <w:tab/>
        <w:t>атестация на отбранителен продукт, материален или нематериален компонент или технология. Атестацията представлява цялостният процес, чрез който се демонстрира, че проектирането на даден продукт, компонент или технология отговаря на определените изисквания. Този процес осигурява обективни доказателства за това, че са изпълнени конкретни изисквания на проектирането;</w:t>
      </w:r>
    </w:p>
    <w:p>
      <w:pPr>
        <w:pStyle w:val="Point1"/>
        <w:rPr>
          <w:noProof/>
        </w:rPr>
      </w:pPr>
      <w:r>
        <w:rPr>
          <w:noProof/>
        </w:rPr>
        <w:t>д)</w:t>
      </w:r>
      <w:r>
        <w:rPr>
          <w:noProof/>
        </w:rPr>
        <w:tab/>
        <w:t>сертифициране на отбранителен продукт или технология. Сертифицирането е процесът, чрез който национален орган удостоверява, че продуктът, компонентът или технологията е в съответствие с приложимите регламенти;</w:t>
      </w:r>
    </w:p>
    <w:p>
      <w:pPr>
        <w:pStyle w:val="Point1"/>
        <w:rPr>
          <w:noProof/>
        </w:rPr>
      </w:pPr>
      <w:r>
        <w:rPr>
          <w:noProof/>
        </w:rPr>
        <w:t>е)</w:t>
      </w:r>
      <w:r>
        <w:rPr>
          <w:noProof/>
        </w:rPr>
        <w:tab/>
        <w:t>проучвания, като например проучвания за осъществимост и други съпътстващи мерки.</w:t>
      </w:r>
    </w:p>
    <w:p>
      <w:pPr>
        <w:pStyle w:val="ManualNumPar1"/>
        <w:rPr>
          <w:noProof/>
        </w:rPr>
      </w:pPr>
      <w:r>
        <w:rPr>
          <w:noProof/>
        </w:rPr>
        <w:t>2.</w:t>
      </w:r>
      <w:r>
        <w:rPr>
          <w:noProof/>
        </w:rPr>
        <w:tab/>
        <w:t>Действието трябва да се изпълнява съвместно от най-малко три предприятия, установени в най-малко две различни държави членки. Предприятията бенефициери фактически не трябва да бъдат контролирани, пряко или непряко, от същия субект, нито да се контролират взаимно.</w:t>
      </w:r>
    </w:p>
    <w:p>
      <w:pPr>
        <w:pStyle w:val="ManualNumPar1"/>
        <w:rPr>
          <w:noProof/>
        </w:rPr>
      </w:pPr>
      <w:r>
        <w:rPr>
          <w:noProof/>
        </w:rPr>
        <w:t>3.</w:t>
      </w:r>
      <w:r>
        <w:rPr>
          <w:noProof/>
        </w:rPr>
        <w:tab/>
        <w:t>За целите на параграф 2 фактически контрол означава отношение, породено от права, договори или по друг начин, които — заедно или поотделно и с оглед на конкретните фактически обстоятелства или приложимото право — дават възможност за пряко или непряко упражняване на решаващо влияние върху определено предприятие, по-специално чрез:</w:t>
      </w:r>
    </w:p>
    <w:p>
      <w:pPr>
        <w:pStyle w:val="Point1"/>
        <w:rPr>
          <w:noProof/>
        </w:rPr>
      </w:pPr>
      <w:r>
        <w:rPr>
          <w:noProof/>
        </w:rPr>
        <w:t>а)</w:t>
      </w:r>
      <w:r>
        <w:rPr>
          <w:noProof/>
        </w:rPr>
        <w:tab/>
        <w:t>право на ползване на всички или част от активите на предприятието;</w:t>
      </w:r>
    </w:p>
    <w:p>
      <w:pPr>
        <w:pStyle w:val="Point1"/>
        <w:rPr>
          <w:noProof/>
        </w:rPr>
      </w:pPr>
      <w:r>
        <w:rPr>
          <w:noProof/>
        </w:rPr>
        <w:t>б)</w:t>
      </w:r>
      <w:r>
        <w:rPr>
          <w:noProof/>
        </w:rPr>
        <w:tab/>
        <w:t xml:space="preserve">права или договори, с които се осигурява възможността за решаващо влияние върху състава, гласуването или решенията на органите на предприятието или които по друг начин дават възможност за упражняване на решаващо влияние върху управлението на стопанската дейност на предприятието. </w:t>
      </w:r>
    </w:p>
    <w:p>
      <w:pPr>
        <w:pStyle w:val="ManualNumPar1"/>
        <w:rPr>
          <w:noProof/>
        </w:rPr>
      </w:pPr>
      <w:r>
        <w:rPr>
          <w:noProof/>
        </w:rPr>
        <w:t>4.</w:t>
      </w:r>
      <w:r>
        <w:rPr>
          <w:noProof/>
        </w:rPr>
        <w:tab/>
        <w:t>Когато се отнася за действията, определени в параграф 1, букви б) — е), действието трябва да се основава на общи технически спецификации.</w:t>
      </w:r>
    </w:p>
    <w:p>
      <w:pPr>
        <w:pStyle w:val="Titrearticle"/>
        <w:rPr>
          <w:noProof/>
        </w:rPr>
      </w:pPr>
      <w:r>
        <w:rPr>
          <w:noProof/>
        </w:rPr>
        <w:t>Член 7</w:t>
      </w:r>
    </w:p>
    <w:p>
      <w:pPr>
        <w:jc w:val="center"/>
        <w:rPr>
          <w:noProof/>
        </w:rPr>
      </w:pPr>
      <w:r>
        <w:rPr>
          <w:noProof/>
        </w:rPr>
        <w:t>Допустими субекти</w:t>
      </w:r>
    </w:p>
    <w:p>
      <w:pPr>
        <w:pStyle w:val="ManualNumPar1"/>
        <w:rPr>
          <w:noProof/>
        </w:rPr>
      </w:pPr>
      <w:r>
        <w:rPr>
          <w:noProof/>
        </w:rPr>
        <w:t>1.</w:t>
      </w:r>
      <w:r>
        <w:rPr>
          <w:noProof/>
        </w:rPr>
        <w:tab/>
        <w:t>Бенефициерите са предприятия, установени в Съюза, в които държави членки и/или граждани на държавите членки притежават повече от 50 % от предприятието и имат фактически контрол върху него по смисъла на член 6, параграф 3, пряко или непряко, чрез едно или повече междинни предприятия. Освен това цялата инфраструктура, съоръженията, активите и ресурсите, използвани от участниците, включително подизпълнителите и други трети страни, за финансираните по програмата действия, не трябва да се намират на територията на държави, които не са членки на Съюза, за целия срок на действието.</w:t>
      </w:r>
    </w:p>
    <w:p>
      <w:pPr>
        <w:pStyle w:val="ManualNumPar1"/>
        <w:rPr>
          <w:noProof/>
        </w:rPr>
      </w:pPr>
      <w:r>
        <w:rPr>
          <w:noProof/>
        </w:rPr>
        <w:t>2.</w:t>
      </w:r>
      <w:r>
        <w:rPr>
          <w:noProof/>
        </w:rPr>
        <w:tab/>
        <w:t>Ако бенефициер по смисъла на параграф 1 разработва действие по член 6 в рамките на постоянното структурирано сътрудничество, той е допустим за финансиране с по-висок процент за това действие, както е посочено в член 11, параграф 2.</w:t>
      </w:r>
    </w:p>
    <w:p>
      <w:pPr>
        <w:pStyle w:val="Titrearticle"/>
        <w:rPr>
          <w:noProof/>
        </w:rPr>
      </w:pPr>
      <w:r>
        <w:rPr>
          <w:noProof/>
        </w:rPr>
        <w:t>Член 8</w:t>
      </w:r>
    </w:p>
    <w:p>
      <w:pPr>
        <w:jc w:val="center"/>
        <w:rPr>
          <w:noProof/>
        </w:rPr>
      </w:pPr>
      <w:r>
        <w:rPr>
          <w:noProof/>
        </w:rPr>
        <w:t>Декларация от кандидатите</w:t>
      </w:r>
    </w:p>
    <w:p>
      <w:pPr>
        <w:rPr>
          <w:noProof/>
        </w:rPr>
      </w:pPr>
      <w:r>
        <w:rPr>
          <w:noProof/>
        </w:rPr>
        <w:t>Всеки кандидат декларира писмено, че изцяло е запознат и отговаря на изискванията в приложимото национално законодателство и законодателството на Съюза и на разпоредбите, свързани с дейностите в областта на отбраната.</w:t>
      </w:r>
    </w:p>
    <w:p>
      <w:pPr>
        <w:pStyle w:val="Titrearticle"/>
        <w:rPr>
          <w:noProof/>
        </w:rPr>
      </w:pPr>
      <w:r>
        <w:rPr>
          <w:noProof/>
        </w:rPr>
        <w:t>Член 9</w:t>
      </w:r>
    </w:p>
    <w:p>
      <w:pPr>
        <w:jc w:val="center"/>
        <w:rPr>
          <w:noProof/>
        </w:rPr>
      </w:pPr>
      <w:r>
        <w:rPr>
          <w:noProof/>
        </w:rPr>
        <w:t>Консорциум</w:t>
      </w:r>
    </w:p>
    <w:p>
      <w:pPr>
        <w:pStyle w:val="ManualNumPar1"/>
        <w:rPr>
          <w:noProof/>
        </w:rPr>
      </w:pPr>
      <w:r>
        <w:rPr>
          <w:noProof/>
        </w:rPr>
        <w:t>1.</w:t>
      </w:r>
      <w:r>
        <w:rPr>
          <w:noProof/>
        </w:rPr>
        <w:tab/>
        <w:t>Когато финансовата помощ на Съюза се предоставя под формата на безвъзмездни средства, членовете на консорциума, които желаят да участват в дадено действие, назначават един от тях за координатор, който се посочва в споразумението за отпускане на безвъзмездни средства. Координаторът е основното лице за връзка между членовете на консорциума и Комисията или съответния орган за финансиране, освен ако в споразумението за отпускане на безвъзмездни средства не е предвидено друго или в случай на неспазване на неговите задължения, определени в споразумението за отпускане на безвъзмездни средства.</w:t>
      </w:r>
    </w:p>
    <w:p>
      <w:pPr>
        <w:pStyle w:val="ManualNumPar1"/>
        <w:rPr>
          <w:noProof/>
        </w:rPr>
      </w:pPr>
      <w:r>
        <w:rPr>
          <w:noProof/>
        </w:rPr>
        <w:t>2.</w:t>
      </w:r>
      <w:r>
        <w:rPr>
          <w:noProof/>
        </w:rPr>
        <w:tab/>
        <w:t>Членовете на участващия в действието консорциум сключват вътрешно споразумение, в което се определят правата и задълженията им по отношение на изпълнението на действието (в съответствие със споразумението за отпускане на безвъзмездни средства), освен в надлежно обосновани случаи, предвидени в работната програма или в поканата за представяне на предложения.</w:t>
      </w:r>
    </w:p>
    <w:p>
      <w:pPr>
        <w:pStyle w:val="Titrearticle"/>
        <w:rPr>
          <w:noProof/>
        </w:rPr>
      </w:pPr>
      <w:r>
        <w:rPr>
          <w:noProof/>
        </w:rPr>
        <w:t>Член 10</w:t>
      </w:r>
    </w:p>
    <w:p>
      <w:pPr>
        <w:jc w:val="center"/>
        <w:rPr>
          <w:noProof/>
        </w:rPr>
      </w:pPr>
      <w:r>
        <w:rPr>
          <w:noProof/>
        </w:rPr>
        <w:t>Критерии за оценка</w:t>
      </w:r>
    </w:p>
    <w:p>
      <w:pPr>
        <w:rPr>
          <w:noProof/>
        </w:rPr>
      </w:pPr>
      <w:r>
        <w:rPr>
          <w:noProof/>
        </w:rPr>
        <w:t>Предложените за финансиране по програмата действия се оценяват въз основа на следните кумулативни критерии:</w:t>
      </w:r>
    </w:p>
    <w:p>
      <w:pPr>
        <w:pStyle w:val="Point0"/>
        <w:rPr>
          <w:noProof/>
        </w:rPr>
      </w:pPr>
      <w:r>
        <w:rPr>
          <w:noProof/>
        </w:rPr>
        <w:t>а)</w:t>
      </w:r>
      <w:r>
        <w:rPr>
          <w:noProof/>
        </w:rPr>
        <w:tab/>
        <w:t>високи научни постижения;</w:t>
      </w:r>
    </w:p>
    <w:p>
      <w:pPr>
        <w:pStyle w:val="Point0"/>
        <w:rPr>
          <w:noProof/>
        </w:rPr>
      </w:pPr>
      <w:r>
        <w:rPr>
          <w:noProof/>
        </w:rPr>
        <w:t>б)</w:t>
      </w:r>
      <w:r>
        <w:rPr>
          <w:noProof/>
        </w:rPr>
        <w:tab/>
        <w:t>принос за иновациите и технологичното развитие на отбранителната промишленост на отделните държави членки и по този начин поощряване на промишлената автономия на Съюза в областта на отбранителните технологии, както и</w:t>
      </w:r>
    </w:p>
    <w:p>
      <w:pPr>
        <w:pStyle w:val="Point0"/>
        <w:rPr>
          <w:noProof/>
        </w:rPr>
      </w:pPr>
      <w:r>
        <w:rPr>
          <w:noProof/>
        </w:rPr>
        <w:t>в)</w:t>
      </w:r>
      <w:r>
        <w:rPr>
          <w:noProof/>
        </w:rPr>
        <w:tab/>
        <w:t>принос за интересите на Съюза в областта на сигурността и отбраната чрез усъвършенстване на технологиите за отбрана, които допринасят за изпълнението на съвместно договорените от държавите членки в рамките на Съюза приоритети относно отбранителните способности, както и</w:t>
      </w:r>
    </w:p>
    <w:p>
      <w:pPr>
        <w:pStyle w:val="Point0"/>
        <w:rPr>
          <w:noProof/>
        </w:rPr>
      </w:pPr>
      <w:r>
        <w:rPr>
          <w:noProof/>
        </w:rPr>
        <w:t>г)</w:t>
      </w:r>
      <w:r>
        <w:rPr>
          <w:noProof/>
        </w:rPr>
        <w:tab/>
        <w:t>жизнеспособност, по-специално чрез доказване от страна на бенефициерите, че останалите разходи за допустимото действие се покриват чрез други начини на финансиране, например участие на държавите членки, както и</w:t>
      </w:r>
    </w:p>
    <w:p>
      <w:pPr>
        <w:pStyle w:val="Point0"/>
        <w:rPr>
          <w:noProof/>
        </w:rPr>
      </w:pPr>
      <w:r>
        <w:rPr>
          <w:noProof/>
        </w:rPr>
        <w:t>д)</w:t>
      </w:r>
      <w:r>
        <w:rPr>
          <w:noProof/>
        </w:rPr>
        <w:tab/>
        <w:t xml:space="preserve">за действията, описани в член 6, параграф 1, букви б) — д) — принос за конкурентоспособността на европейската отбранителна промишленост чрез доказване от страна на бенефициерите, че държавите членки са поели ангажимент за съвместно производство и доставка на крайния продукт или технология по координиран начин, включително чрез съвместно възлагане на обществени поръчки, когато е приложимо. </w:t>
      </w:r>
    </w:p>
    <w:p>
      <w:pPr>
        <w:pStyle w:val="Titrearticle"/>
        <w:rPr>
          <w:noProof/>
        </w:rPr>
      </w:pPr>
      <w:r>
        <w:rPr>
          <w:noProof/>
        </w:rPr>
        <w:t>Член 11</w:t>
      </w:r>
    </w:p>
    <w:p>
      <w:pPr>
        <w:jc w:val="center"/>
        <w:rPr>
          <w:noProof/>
        </w:rPr>
      </w:pPr>
      <w:r>
        <w:rPr>
          <w:noProof/>
        </w:rPr>
        <w:t>Проценти на финансиране</w:t>
      </w:r>
    </w:p>
    <w:p>
      <w:pPr>
        <w:pStyle w:val="ManualNumPar1"/>
        <w:rPr>
          <w:noProof/>
        </w:rPr>
      </w:pPr>
      <w:r>
        <w:rPr>
          <w:noProof/>
        </w:rPr>
        <w:t>1.</w:t>
      </w:r>
      <w:r>
        <w:rPr>
          <w:noProof/>
        </w:rPr>
        <w:tab/>
        <w:t>Предоставената по линия на програмата финансова помощ от Съюза не може да надвишава 20 % от общите разходи за действието, когато то е свързано със създаване на прототипи. Във всички останали случаи помощта може да покрие до пълния размер на разходите за действието.</w:t>
      </w:r>
    </w:p>
    <w:p>
      <w:pPr>
        <w:pStyle w:val="ManualNumPar1"/>
        <w:rPr>
          <w:noProof/>
        </w:rPr>
      </w:pPr>
      <w:r>
        <w:rPr>
          <w:noProof/>
        </w:rPr>
        <w:t>2.</w:t>
      </w:r>
      <w:r>
        <w:rPr>
          <w:noProof/>
        </w:rPr>
        <w:tab/>
        <w:t>Действията, разработвани от бенефициерите по член 7, параграф 2, могат да се ползват от процент на финансиране, увеличен с 10 процентни пункта.</w:t>
      </w:r>
    </w:p>
    <w:p>
      <w:pPr>
        <w:pStyle w:val="Titrearticle"/>
        <w:rPr>
          <w:noProof/>
        </w:rPr>
      </w:pPr>
      <w:r>
        <w:rPr>
          <w:noProof/>
        </w:rPr>
        <w:t>Член 12</w:t>
      </w:r>
    </w:p>
    <w:p>
      <w:pPr>
        <w:jc w:val="center"/>
        <w:rPr>
          <w:noProof/>
        </w:rPr>
      </w:pPr>
      <w:r>
        <w:rPr>
          <w:noProof/>
        </w:rPr>
        <w:t>Права на собственост и права върху интелектуална собственост</w:t>
      </w:r>
    </w:p>
    <w:p>
      <w:pPr>
        <w:rPr>
          <w:noProof/>
        </w:rPr>
      </w:pPr>
      <w:r>
        <w:rPr>
          <w:noProof/>
        </w:rPr>
        <w:t xml:space="preserve">Комисията няма права на собственост върху получените в резултат на действието продукти или технологии, нито претенции относно правата върху интелектуалната собственост във връзка с действието. </w:t>
      </w:r>
    </w:p>
    <w:p>
      <w:pPr>
        <w:pStyle w:val="Titrearticle"/>
        <w:rPr>
          <w:noProof/>
        </w:rPr>
      </w:pPr>
      <w:r>
        <w:rPr>
          <w:noProof/>
        </w:rPr>
        <w:t>Член 13</w:t>
      </w:r>
    </w:p>
    <w:p>
      <w:pPr>
        <w:jc w:val="center"/>
        <w:rPr>
          <w:noProof/>
        </w:rPr>
      </w:pPr>
      <w:r>
        <w:rPr>
          <w:noProof/>
        </w:rPr>
        <w:t>Работна програма</w:t>
      </w:r>
    </w:p>
    <w:p>
      <w:pPr>
        <w:pStyle w:val="ManualNumPar1"/>
        <w:rPr>
          <w:noProof/>
        </w:rPr>
      </w:pPr>
      <w:r>
        <w:rPr>
          <w:noProof/>
        </w:rPr>
        <w:t>1.</w:t>
      </w:r>
      <w:r>
        <w:rPr>
          <w:noProof/>
        </w:rPr>
        <w:tab/>
        <w:t>Посредством акт за изпълнение Комисията приема многогодишна работна програма за срока на програмата. Този акт за изпълнение се приема в съответствие с процедурата по разглеждане, посочена в член 16, параграф 2. Работната програма трябва да бъде в съответствие с целите, посочени в член 2.</w:t>
      </w:r>
    </w:p>
    <w:p>
      <w:pPr>
        <w:pStyle w:val="ManualNumPar1"/>
        <w:rPr>
          <w:noProof/>
        </w:rPr>
      </w:pPr>
      <w:r>
        <w:rPr>
          <w:noProof/>
        </w:rPr>
        <w:t>2.</w:t>
      </w:r>
      <w:r>
        <w:rPr>
          <w:noProof/>
        </w:rPr>
        <w:tab/>
        <w:t>В работната програма се определят подробно категориите проекти, които ще се финансират по линия на програмата.</w:t>
      </w:r>
    </w:p>
    <w:p>
      <w:pPr>
        <w:pStyle w:val="ManualNumPar1"/>
        <w:rPr>
          <w:noProof/>
        </w:rPr>
      </w:pPr>
      <w:r>
        <w:rPr>
          <w:noProof/>
        </w:rPr>
        <w:t>3.</w:t>
      </w:r>
      <w:r>
        <w:rPr>
          <w:noProof/>
        </w:rPr>
        <w:tab/>
        <w:t>В работната програма се гарантира, че от общия бюджет на програмата се заделя необходимият размер средства за действия, благоприятстващи трансграничното участие на МСП.</w:t>
      </w:r>
    </w:p>
    <w:p>
      <w:pPr>
        <w:pStyle w:val="Titrearticle"/>
        <w:rPr>
          <w:noProof/>
        </w:rPr>
      </w:pPr>
      <w:r>
        <w:rPr>
          <w:noProof/>
        </w:rPr>
        <w:t>Член 14</w:t>
      </w:r>
    </w:p>
    <w:p>
      <w:pPr>
        <w:jc w:val="center"/>
        <w:rPr>
          <w:noProof/>
        </w:rPr>
      </w:pPr>
      <w:r>
        <w:rPr>
          <w:noProof/>
        </w:rPr>
        <w:t xml:space="preserve">Процедура по отпускане на финансиране </w:t>
      </w:r>
    </w:p>
    <w:p>
      <w:pPr>
        <w:pStyle w:val="ManualNumPar1"/>
        <w:rPr>
          <w:noProof/>
        </w:rPr>
      </w:pPr>
      <w:r>
        <w:rPr>
          <w:noProof/>
        </w:rPr>
        <w:t>1.</w:t>
      </w:r>
      <w:r>
        <w:rPr>
          <w:noProof/>
        </w:rPr>
        <w:tab/>
        <w:t>При изпълнението на програмата финансирането от Съюза се отпуска след организирането на състезателни процедури за представяне на предложения в съответствие с Регламент (ЕС, Евратом) № 966/2012 и Делегиран регламент (ЕС) № 1268/2012 на Комисията</w:t>
      </w:r>
      <w:r>
        <w:rPr>
          <w:rStyle w:val="FootnoteReference"/>
          <w:noProof/>
        </w:rPr>
        <w:footnoteReference w:id="8"/>
      </w:r>
      <w:r>
        <w:rPr>
          <w:noProof/>
        </w:rPr>
        <w:t>.</w:t>
      </w:r>
    </w:p>
    <w:p>
      <w:pPr>
        <w:pStyle w:val="ManualNumPar1"/>
        <w:rPr>
          <w:noProof/>
        </w:rPr>
      </w:pPr>
      <w:r>
        <w:rPr>
          <w:noProof/>
        </w:rPr>
        <w:t>2.</w:t>
      </w:r>
      <w:r>
        <w:rPr>
          <w:noProof/>
        </w:rPr>
        <w:tab/>
        <w:t xml:space="preserve">Предложенията, подадени в отговор на поканата за представяне на предложения, се оценяват от Комисията с помощта на независими експерти въз основа на критериите за оценка по член 10. </w:t>
      </w:r>
    </w:p>
    <w:p>
      <w:pPr>
        <w:pStyle w:val="ManualNumPar1"/>
        <w:rPr>
          <w:noProof/>
        </w:rPr>
      </w:pPr>
      <w:r>
        <w:rPr>
          <w:noProof/>
        </w:rPr>
        <w:t>3.</w:t>
      </w:r>
      <w:r>
        <w:rPr>
          <w:noProof/>
        </w:rPr>
        <w:tab/>
        <w:t xml:space="preserve">След всяка покана за представяне на предложения Комисията отпуска финансиране за избраните действия с акт за изпълнение. Тези актове за изпълнение се приемат в съответствие с процедурата по разглеждане, посочена в член 16, параграф 2. </w:t>
      </w:r>
    </w:p>
    <w:p>
      <w:pPr>
        <w:pStyle w:val="Titrearticle"/>
        <w:rPr>
          <w:noProof/>
        </w:rPr>
      </w:pPr>
      <w:r>
        <w:rPr>
          <w:noProof/>
        </w:rPr>
        <w:t>Член 15</w:t>
      </w:r>
    </w:p>
    <w:p>
      <w:pPr>
        <w:jc w:val="center"/>
        <w:rPr>
          <w:noProof/>
        </w:rPr>
      </w:pPr>
      <w:r>
        <w:rPr>
          <w:noProof/>
        </w:rPr>
        <w:t>Годишни вноски</w:t>
      </w:r>
    </w:p>
    <w:p>
      <w:pPr>
        <w:rPr>
          <w:noProof/>
        </w:rPr>
      </w:pPr>
      <w:r>
        <w:rPr>
          <w:noProof/>
        </w:rPr>
        <w:t>Комисията може да раздели бюджетните задължения на годишни вноски.</w:t>
      </w:r>
    </w:p>
    <w:p>
      <w:pPr>
        <w:pStyle w:val="Titrearticle"/>
        <w:rPr>
          <w:noProof/>
        </w:rPr>
      </w:pPr>
      <w:r>
        <w:rPr>
          <w:noProof/>
        </w:rPr>
        <w:t>Член 16</w:t>
      </w:r>
    </w:p>
    <w:p>
      <w:pPr>
        <w:jc w:val="center"/>
        <w:rPr>
          <w:noProof/>
        </w:rPr>
      </w:pPr>
      <w:r>
        <w:rPr>
          <w:noProof/>
        </w:rPr>
        <w:t>Комитет</w:t>
      </w:r>
    </w:p>
    <w:p>
      <w:pPr>
        <w:pStyle w:val="ManualNumPar1"/>
        <w:rPr>
          <w:noProof/>
        </w:rPr>
      </w:pPr>
      <w:r>
        <w:rPr>
          <w:noProof/>
        </w:rPr>
        <w:t>1.</w:t>
      </w:r>
      <w:r>
        <w:rPr>
          <w:noProof/>
        </w:rPr>
        <w:tab/>
        <w:t>Комисията се подпомага от комитет. Той е комитет по смисъла на Регламент (ЕС) № 182/2011. Европейската агенция по отбрана е поканена да участва в качеството на наблюдател.</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17</w:t>
      </w:r>
    </w:p>
    <w:p>
      <w:pPr>
        <w:jc w:val="center"/>
        <w:rPr>
          <w:noProof/>
        </w:rPr>
      </w:pPr>
      <w:r>
        <w:rPr>
          <w:noProof/>
        </w:rPr>
        <w:t>Мониторинг и докладване</w:t>
      </w:r>
    </w:p>
    <w:p>
      <w:pPr>
        <w:pStyle w:val="ManualNumPar1"/>
        <w:rPr>
          <w:noProof/>
        </w:rPr>
      </w:pPr>
      <w:r>
        <w:rPr>
          <w:noProof/>
        </w:rPr>
        <w:t>1.</w:t>
      </w:r>
      <w:r>
        <w:rPr>
          <w:noProof/>
        </w:rPr>
        <w:tab/>
        <w:t>Комисията подлага на редовен мониторинг изпълнението на програмата и ежегодно докладва за постигнатия напредък в съответствие с член 38, параграф 3, буква д) от Регламент № 966/2012. Комисията въвежда необходимите за целта механизми за мониторинг.</w:t>
      </w:r>
    </w:p>
    <w:p>
      <w:pPr>
        <w:pStyle w:val="ManualNumPar1"/>
        <w:rPr>
          <w:i/>
          <w:noProof/>
        </w:rPr>
      </w:pPr>
      <w:r>
        <w:rPr>
          <w:noProof/>
        </w:rPr>
        <w:t>2.</w:t>
      </w:r>
      <w:r>
        <w:rPr>
          <w:noProof/>
        </w:rPr>
        <w:tab/>
        <w:t>За да се осигури по-висока ефективност и ефикасност на бъдещите действия в рамките на политиката на Съюза, Комисията изготвя доклад за ретроспективна оценка, който изпраща на Европейския парламент и на Съвета. Въз основа на консултации с държавите членки и основните заинтересовани страни, в доклада се оценява по-специално напредъкът при постигането на целите, определени в член 2. В доклада също така се анализира трансграничното участие на МСП в изпълняваните по програмата проекти, както и участието на МСП в световната верига за създаване на стойност.</w:t>
      </w:r>
    </w:p>
    <w:p>
      <w:pPr>
        <w:pStyle w:val="Titrearticle"/>
        <w:rPr>
          <w:noProof/>
        </w:rPr>
      </w:pPr>
      <w:r>
        <w:rPr>
          <w:noProof/>
        </w:rPr>
        <w:t>Член 18</w:t>
      </w:r>
    </w:p>
    <w:p>
      <w:pPr>
        <w:jc w:val="center"/>
        <w:rPr>
          <w:noProof/>
        </w:rPr>
      </w:pPr>
      <w:r>
        <w:rPr>
          <w:noProof/>
        </w:rPr>
        <w:t>Защита на финансовите интереси на Съюза</w:t>
      </w:r>
    </w:p>
    <w:p>
      <w:pPr>
        <w:pStyle w:val="ManualNumPar1"/>
        <w:rPr>
          <w:noProof/>
        </w:rPr>
      </w:pPr>
      <w:r>
        <w:rPr>
          <w:noProof/>
        </w:rPr>
        <w:t>1.</w:t>
      </w:r>
      <w:r>
        <w:rPr>
          <w:noProof/>
        </w:rPr>
        <w:tab/>
        <w:t>Комисията взема подходящи мерки, за да гарантира, че при изпълнението на финансираните съгласно настоящия регламент действия финансовите интереси на Съюза са защитени чрез прилагането на превантивни мерки срещу измами, корупция и всякакви други незаконни действия, чрез ефективни проверки, а ако се открият нередности — чрез събиране или, по целесъобразност, чрез възстановяване на недължимо платените суми, и ако е подходящо — посредством ефективни, пропорционални и възпиращи административни и финансови санкции.</w:t>
      </w:r>
    </w:p>
    <w:p>
      <w:pPr>
        <w:pStyle w:val="ManualNumPar1"/>
        <w:rPr>
          <w:noProof/>
        </w:rPr>
      </w:pPr>
      <w:r>
        <w:rPr>
          <w:noProof/>
        </w:rPr>
        <w:t>2.</w:t>
      </w:r>
      <w:r>
        <w:rPr>
          <w:noProof/>
        </w:rPr>
        <w:tab/>
        <w:t>Комисията и Сметната палата имат правомощия за извършване на одити или — когато се отнася за международни организации — на проверки в съответствие с постигнатите с тях споразумения, по документи и на място, на всички бенефициери на безвъзмездни средства, изпълнители и подизпълнители, които са получили средства от Съюза съгласно настоящия регламент.</w:t>
      </w:r>
    </w:p>
    <w:p>
      <w:pPr>
        <w:pStyle w:val="ManualNumPar1"/>
        <w:rPr>
          <w:noProof/>
        </w:rPr>
      </w:pPr>
      <w:r>
        <w:rPr>
          <w:noProof/>
        </w:rPr>
        <w:t>3.</w:t>
      </w:r>
      <w:r>
        <w:rPr>
          <w:noProof/>
        </w:rPr>
        <w:tab/>
        <w:t>Европейската служба за борба с измамите (OLAF) може да извършва разследвания, включително проверки и инспекции на място в съответствие с разпоредбите и процедурите, предвидени в Регламент (ЕС, Евратом) № 883/2013 на Европейския парламент и на Съвета</w:t>
      </w:r>
      <w:r>
        <w:rPr>
          <w:rStyle w:val="FootnoteReference"/>
          <w:noProof/>
        </w:rPr>
        <w:footnoteReference w:id="9"/>
      </w:r>
      <w:r>
        <w:rPr>
          <w:noProof/>
        </w:rPr>
        <w:t xml:space="preserve"> и Регламент (Евратом, ЕО) № 2185/96 на Съвета</w:t>
      </w:r>
      <w:r>
        <w:rPr>
          <w:rStyle w:val="FootnoteReference"/>
          <w:noProof/>
        </w:rPr>
        <w:footnoteReference w:id="10"/>
      </w:r>
      <w:r>
        <w:rPr>
          <w:noProof/>
        </w:rPr>
        <w:t>, за да установи дали е налице измама, корупция или друга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за финансиране съгласно настоящия регламент.</w:t>
      </w:r>
    </w:p>
    <w:p>
      <w:pPr>
        <w:pStyle w:val="Titrearticle"/>
        <w:rPr>
          <w:noProof/>
        </w:rPr>
      </w:pPr>
      <w:r>
        <w:rPr>
          <w:noProof/>
        </w:rPr>
        <w:t>Член 19</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0"/>
        <w:rPr>
          <w:noProof/>
        </w:rPr>
      </w:pPr>
      <w:r>
        <w:rPr>
          <w:noProof/>
        </w:rPr>
        <w:t>Регламент на Европейския парламент и на Съвета за създаване на Европейска програма за промишлено развитие в областта на отбраната с цел подкрепа на конкурентоспособността и иновационния капацитет на отбранителната промишленост на ЕС</w:t>
      </w:r>
    </w:p>
    <w:p>
      <w:pPr>
        <w:pStyle w:val="ManualHeading2"/>
        <w:rPr>
          <w:noProof/>
          <w:szCs w:val="24"/>
        </w:rPr>
      </w:pPr>
      <w:r>
        <w:t>1.2.</w:t>
      </w:r>
      <w:r>
        <w:tab/>
      </w:r>
      <w:r>
        <w:rPr>
          <w:noProof/>
        </w:rPr>
        <w:t>Засегната(и) област(и) на политиката</w:t>
      </w:r>
      <w:r>
        <w:rPr>
          <w:i/>
          <w:noProof/>
        </w:rPr>
        <w:t xml:space="preserve"> </w:t>
      </w:r>
    </w:p>
    <w:p>
      <w:pPr>
        <w:pBdr>
          <w:top w:val="single" w:sz="4" w:space="1" w:color="auto"/>
          <w:left w:val="single" w:sz="4" w:space="4" w:color="auto"/>
          <w:bottom w:val="single" w:sz="4" w:space="0" w:color="auto"/>
          <w:right w:val="single" w:sz="4" w:space="4" w:color="auto"/>
        </w:pBdr>
        <w:ind w:left="850"/>
        <w:rPr>
          <w:noProof/>
        </w:rPr>
      </w:pPr>
      <w:r>
        <w:rPr>
          <w:noProof/>
        </w:rPr>
        <w:t>Дял 02 – Вътрешен пазар, промишленост, предприемачество и МСП</w:t>
      </w:r>
    </w:p>
    <w:p>
      <w:pPr>
        <w:pBdr>
          <w:top w:val="single" w:sz="4" w:space="1" w:color="auto"/>
          <w:left w:val="single" w:sz="4" w:space="4" w:color="auto"/>
          <w:bottom w:val="single" w:sz="4" w:space="0" w:color="auto"/>
          <w:right w:val="single" w:sz="4" w:space="4" w:color="auto"/>
        </w:pBdr>
        <w:ind w:left="850"/>
        <w:rPr>
          <w:noProof/>
        </w:rPr>
      </w:pPr>
      <w:r>
        <w:rPr>
          <w:noProof/>
        </w:rPr>
        <w:t xml:space="preserve">Дял 02.07: Европейска програма за промишлено развитие в областта на отбраната </w:t>
      </w:r>
    </w:p>
    <w:p>
      <w:pPr>
        <w:pBdr>
          <w:top w:val="single" w:sz="4" w:space="1" w:color="auto"/>
          <w:left w:val="single" w:sz="4" w:space="4" w:color="auto"/>
          <w:bottom w:val="single" w:sz="4" w:space="0" w:color="auto"/>
          <w:right w:val="single" w:sz="4" w:space="4" w:color="auto"/>
        </w:pBdr>
        <w:ind w:left="850"/>
        <w:rPr>
          <w:noProof/>
        </w:rPr>
      </w:pPr>
    </w:p>
    <w:p>
      <w:pPr>
        <w:pStyle w:val="ManualHeading2"/>
        <w:rPr>
          <w:noProof/>
          <w:szCs w:val="24"/>
        </w:rPr>
      </w:pPr>
      <w:r>
        <w:t>1.3.</w:t>
      </w:r>
      <w:r>
        <w:tab/>
      </w:r>
      <w:r>
        <w:rPr>
          <w:noProof/>
        </w:rPr>
        <w:t xml:space="preserve">Естество на предложението/инициативата </w:t>
      </w:r>
    </w:p>
    <w:p>
      <w:pPr>
        <w:ind w:left="850"/>
        <w:rPr>
          <w:b/>
          <w:noProof/>
          <w:sz w:val="22"/>
        </w:rPr>
      </w:pPr>
      <w:r>
        <w:rPr>
          <w:noProof/>
          <w:sz w:val="22"/>
        </w:rPr>
        <w:sym w:font="Wingdings" w:char="F0FE"/>
      </w:r>
      <w:r>
        <w:rPr>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ind w:left="850"/>
        <w:rPr>
          <w:noProof/>
          <w:sz w:val="22"/>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1"/>
      </w:r>
      <w:r>
        <w:rPr>
          <w:noProof/>
          <w:sz w:val="22"/>
        </w:rPr>
        <w:t xml:space="preserve"> </w:t>
      </w:r>
    </w:p>
    <w:p>
      <w:pPr>
        <w:ind w:left="850"/>
        <w:rPr>
          <w:noProof/>
          <w:sz w:val="22"/>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ind w:left="850"/>
        <w:rPr>
          <w:noProof/>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Отбранителната промишленост е основен елемент в икономиката на Европейския съюз и целта на Европейската програма за промишлено развитие в областта на отбраната е да подобри нейната конкурентоспособност и иновационния ѝ капацитет.</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t>1.4.2.</w:t>
      </w:r>
      <w:r>
        <w:tab/>
      </w:r>
      <w:r>
        <w:rPr>
          <w:noProof/>
        </w:rPr>
        <w:t>Конкретна(и) цел(и)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1</w:t>
      </w:r>
    </w:p>
    <w:p>
      <w:pPr>
        <w:pBdr>
          <w:top w:val="single" w:sz="4" w:space="1" w:color="auto"/>
          <w:left w:val="single" w:sz="4" w:space="4" w:color="auto"/>
          <w:bottom w:val="single" w:sz="4" w:space="1" w:color="auto"/>
          <w:right w:val="single" w:sz="4" w:space="4" w:color="auto"/>
        </w:pBdr>
        <w:ind w:left="850"/>
        <w:rPr>
          <w:noProof/>
        </w:rPr>
      </w:pPr>
      <w:r>
        <w:rPr>
          <w:noProof/>
        </w:rPr>
        <w:t>Насърчаване на конкурентоспособността на отбранителната промишленост</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2</w:t>
      </w:r>
    </w:p>
    <w:p>
      <w:pPr>
        <w:pBdr>
          <w:top w:val="single" w:sz="4" w:space="1" w:color="auto"/>
          <w:left w:val="single" w:sz="4" w:space="4" w:color="auto"/>
          <w:bottom w:val="single" w:sz="4" w:space="1" w:color="auto"/>
          <w:right w:val="single" w:sz="4" w:space="4" w:color="auto"/>
        </w:pBdr>
        <w:ind w:left="850"/>
        <w:rPr>
          <w:noProof/>
        </w:rPr>
      </w:pPr>
      <w:r>
        <w:rPr>
          <w:noProof/>
        </w:rPr>
        <w:t>Подкрепа и оптимизиране на сътрудничеството между предприятия при разработването на продукти и технологии в областта на отбраната</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rPr>
      </w:pPr>
      <w:r>
        <w:rPr>
          <w:noProof/>
          <w:u w:val="single"/>
        </w:rPr>
        <w:t>КОНКРЕТНА ЦЕЛ № 3</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Преодоляване на дистанцията между научните изследвания и иновациите и насърчаване на всички форми на иновации.</w:t>
      </w:r>
    </w:p>
    <w:p>
      <w:pPr>
        <w:pStyle w:val="ManualHeading3"/>
        <w:rPr>
          <w:noProof/>
          <w:szCs w:val="24"/>
        </w:rPr>
      </w:pPr>
      <w:r>
        <w:t>1.4.3.</w:t>
      </w:r>
      <w:r>
        <w:tab/>
      </w:r>
      <w:r>
        <w:rPr>
          <w:noProof/>
        </w:rPr>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Очаквани резултати:</w:t>
      </w:r>
    </w:p>
    <w:p>
      <w:pPr>
        <w:pBdr>
          <w:top w:val="single" w:sz="4" w:space="1" w:color="auto"/>
          <w:left w:val="single" w:sz="4" w:space="4" w:color="auto"/>
          <w:bottom w:val="single" w:sz="4" w:space="1" w:color="auto"/>
          <w:right w:val="single" w:sz="4" w:space="4" w:color="auto"/>
        </w:pBdr>
        <w:ind w:left="850"/>
        <w:rPr>
          <w:noProof/>
        </w:rPr>
      </w:pPr>
      <w:r>
        <w:rPr>
          <w:noProof/>
        </w:rPr>
        <w:t>Програмата ще допринесе за изграждането на подход на сътрудничество между субектите, ангажирани в отбранителната промишленост в държавите членки. Финансовото участие на Съюза следва да допринесе за реализирането на редица проекти за разработване, на които в противен случай не би бил даден ход поради необходимото финансиране или свързаните с тях технологични рискове, а също така следва да доведе до допълнителни проекти за сътрудничество при разработките в областта на отбраната.</w:t>
      </w:r>
    </w:p>
    <w:p>
      <w:pPr>
        <w:pBdr>
          <w:top w:val="single" w:sz="4" w:space="1" w:color="auto"/>
          <w:left w:val="single" w:sz="4" w:space="4" w:color="auto"/>
          <w:bottom w:val="single" w:sz="4" w:space="1" w:color="auto"/>
          <w:right w:val="single" w:sz="4" w:space="4" w:color="auto"/>
        </w:pBdr>
        <w:ind w:left="850"/>
        <w:rPr>
          <w:noProof/>
        </w:rPr>
      </w:pPr>
      <w:r>
        <w:rPr>
          <w:noProof/>
        </w:rPr>
        <w:t>Очаква се засиленото сътрудничество да намали излишното дублиране и отклоненията и да доведе до икономии от мащаба. Това в крайна сметка ще доведе до по-ниски разходи за единица продукция за държавите членки и ще окаже положителен ефект върху износа.</w:t>
      </w:r>
    </w:p>
    <w:p>
      <w:pPr>
        <w:pBdr>
          <w:top w:val="single" w:sz="4" w:space="1" w:color="auto"/>
          <w:left w:val="single" w:sz="4" w:space="4" w:color="auto"/>
          <w:bottom w:val="single" w:sz="4" w:space="1" w:color="auto"/>
          <w:right w:val="single" w:sz="4" w:space="4" w:color="auto"/>
        </w:pBdr>
        <w:ind w:left="850"/>
        <w:rPr>
          <w:noProof/>
          <w:u w:val="single"/>
        </w:rPr>
      </w:pP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Очаквано въздействие:</w:t>
      </w:r>
    </w:p>
    <w:p>
      <w:pPr>
        <w:pBdr>
          <w:top w:val="single" w:sz="4" w:space="1" w:color="auto"/>
          <w:left w:val="single" w:sz="4" w:space="4" w:color="auto"/>
          <w:bottom w:val="single" w:sz="4" w:space="1" w:color="auto"/>
          <w:right w:val="single" w:sz="4" w:space="4" w:color="auto"/>
        </w:pBdr>
        <w:ind w:left="850"/>
        <w:rPr>
          <w:noProof/>
        </w:rPr>
      </w:pPr>
      <w:r>
        <w:rPr>
          <w:noProof/>
        </w:rPr>
        <w:t>Очаква се разработването на проекти в областта на отбраната, подкрепяни пряко или непряко по линия на програмата, да окаже положително въздействие върху европейската икономика. Проучванията сочат, че инвестициите в сектора на отбраната оказват съществен положителен мултиплициращ ефект върху БВП, данъчните приходи и заетостта, сравним с ефекта от други ключови категории публични разходи (транспорт, образование, здравеопазване). Научноизследователската и развойната дейност в сектора на отбраната е източник и на важни съпътстващи ползи, които благоприятстват както отбранителния, така и гражданския сектор.</w:t>
      </w:r>
    </w:p>
    <w:p>
      <w:pPr>
        <w:pBdr>
          <w:top w:val="single" w:sz="4" w:space="1" w:color="auto"/>
          <w:left w:val="single" w:sz="4" w:space="4" w:color="auto"/>
          <w:bottom w:val="single" w:sz="4" w:space="1" w:color="auto"/>
          <w:right w:val="single" w:sz="4" w:space="4" w:color="auto"/>
        </w:pBdr>
        <w:ind w:left="850"/>
        <w:rPr>
          <w:noProof/>
        </w:rPr>
      </w:pPr>
      <w:r>
        <w:rPr>
          <w:noProof/>
        </w:rPr>
        <w:t>Веригата на доставки в сектора на отбраната е съставена основно от МСП, по-специално чрез веригата за доставки на основните системни интегратори. Постепенното размиване на границите между отбранителния и гражданския сектор също ще даде възможност на МСП, които по принцип не са активно заети в сектора на отбраната, да бъдат ангажирани по-специално в областта на електрониката и софтуера.</w:t>
      </w:r>
    </w:p>
    <w:p>
      <w:pPr>
        <w:pBdr>
          <w:top w:val="single" w:sz="4" w:space="1" w:color="auto"/>
          <w:left w:val="single" w:sz="4" w:space="4" w:color="auto"/>
          <w:bottom w:val="single" w:sz="4" w:space="1" w:color="auto"/>
          <w:right w:val="single" w:sz="4" w:space="4" w:color="auto"/>
        </w:pBdr>
        <w:ind w:left="850"/>
        <w:rPr>
          <w:noProof/>
        </w:rPr>
      </w:pPr>
      <w:r>
        <w:rPr>
          <w:noProof/>
        </w:rPr>
        <w:t xml:space="preserve">В дългосрочен план се очаква проектите в областта на отбраната да способстват за разкриването на работни места и усъвършенстването на уменията. </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t>1.4.4.</w:t>
      </w:r>
      <w:r>
        <w:tab/>
      </w:r>
      <w:r>
        <w:rPr>
          <w:noProof/>
        </w:rPr>
        <w:t xml:space="preserve">Показатели за резултатите и за отражението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Имайки предвид краткия период на изпълнение на програмата, резултатите и въздействията от нея  ще бъдат оценени в края на изпълнението ѝ въз основа на ретроспективна оценка.</w:t>
      </w:r>
    </w:p>
    <w:p>
      <w:pPr>
        <w:pBdr>
          <w:top w:val="single" w:sz="4" w:space="1" w:color="auto"/>
          <w:left w:val="single" w:sz="4" w:space="4" w:color="auto"/>
          <w:bottom w:val="single" w:sz="4" w:space="1" w:color="auto"/>
          <w:right w:val="single" w:sz="4" w:space="4" w:color="auto"/>
        </w:pBdr>
        <w:ind w:left="850"/>
        <w:rPr>
          <w:noProof/>
        </w:rPr>
      </w:pPr>
      <w:r>
        <w:rPr>
          <w:noProof/>
        </w:rPr>
        <w:t>Комисията ще гарантира, че субектът, на когото е поверено изпълнението на програмата, ще въведе необходимите показатели, които да се използват при мониторинга на нейното изпълнение. Някои от тях са:</w:t>
      </w:r>
    </w:p>
    <w:p>
      <w:pPr>
        <w:pBdr>
          <w:top w:val="single" w:sz="4" w:space="1" w:color="auto"/>
          <w:left w:val="single" w:sz="4" w:space="4" w:color="auto"/>
          <w:bottom w:val="single" w:sz="4" w:space="1" w:color="auto"/>
          <w:right w:val="single" w:sz="4" w:space="4" w:color="auto"/>
        </w:pBdr>
        <w:ind w:left="850"/>
        <w:rPr>
          <w:noProof/>
          <w:highlight w:val="yellow"/>
        </w:rPr>
      </w:pPr>
      <w:r>
        <w:rPr>
          <w:noProof/>
        </w:rPr>
        <w:t xml:space="preserve">- брой на реализираните съвместни проекти, </w:t>
      </w:r>
    </w:p>
    <w:p>
      <w:pPr>
        <w:pBdr>
          <w:top w:val="single" w:sz="4" w:space="1" w:color="auto"/>
          <w:left w:val="single" w:sz="4" w:space="4" w:color="auto"/>
          <w:bottom w:val="single" w:sz="4" w:space="1" w:color="auto"/>
          <w:right w:val="single" w:sz="4" w:space="4" w:color="auto"/>
        </w:pBdr>
        <w:ind w:left="850"/>
        <w:rPr>
          <w:noProof/>
        </w:rPr>
      </w:pPr>
      <w:r>
        <w:rPr>
          <w:noProof/>
        </w:rPr>
        <w:t>- обща стойност на реализираните съвместни проекти и дял на съфинансирането,</w:t>
      </w:r>
    </w:p>
    <w:p>
      <w:pPr>
        <w:pStyle w:val="Text1"/>
        <w:pBdr>
          <w:top w:val="single" w:sz="4" w:space="1" w:color="auto"/>
          <w:left w:val="single" w:sz="4" w:space="4" w:color="auto"/>
          <w:bottom w:val="single" w:sz="4" w:space="1" w:color="auto"/>
          <w:right w:val="single" w:sz="4" w:space="4" w:color="auto"/>
        </w:pBdr>
        <w:rPr>
          <w:noProof/>
          <w:highlight w:val="yellow"/>
        </w:rPr>
      </w:pPr>
      <w:r>
        <w:rPr>
          <w:noProof/>
        </w:rPr>
        <w:t>- брой на дружествата, участващи като членове на консорциума, и техния размер (с цел мониторинг на участието на МСП),</w:t>
      </w:r>
    </w:p>
    <w:p>
      <w:pPr>
        <w:pBdr>
          <w:top w:val="single" w:sz="4" w:space="1" w:color="auto"/>
          <w:left w:val="single" w:sz="4" w:space="4" w:color="auto"/>
          <w:bottom w:val="single" w:sz="4" w:space="1" w:color="auto"/>
          <w:right w:val="single" w:sz="4" w:space="4" w:color="auto"/>
        </w:pBdr>
        <w:ind w:left="850"/>
        <w:rPr>
          <w:noProof/>
        </w:rPr>
      </w:pPr>
      <w:r>
        <w:rPr>
          <w:noProof/>
        </w:rPr>
        <w:t>- брой на участващите държави членки,</w:t>
      </w:r>
      <w:r>
        <w:rPr>
          <w:noProof/>
          <w:highlight w:val="yellow"/>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брой на МСП, участващи в проекти по програмата.</w:t>
      </w:r>
    </w:p>
    <w:p>
      <w:pPr>
        <w:pStyle w:val="ManualHeading2"/>
        <w:rPr>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850"/>
        <w:rPr>
          <w:noProof/>
        </w:rPr>
      </w:pPr>
      <w:r>
        <w:rPr>
          <w:noProof/>
        </w:rPr>
        <w:t>За изпълнението на залегналите в настоящото предложение задачи ще бъде необходимо да бъде създаден консорциум чрез вътрешно споразумение съгласно член 9 от настоящия регламент и един от членовете му да бъде назначен за координатор.</w:t>
      </w:r>
    </w:p>
    <w:p>
      <w:pPr>
        <w:pBdr>
          <w:top w:val="single" w:sz="4" w:space="1" w:color="auto"/>
          <w:left w:val="single" w:sz="4" w:space="4" w:color="auto"/>
          <w:bottom w:val="single" w:sz="4" w:space="1" w:color="auto"/>
          <w:right w:val="single" w:sz="4" w:space="4" w:color="auto"/>
        </w:pBdr>
        <w:ind w:left="850"/>
        <w:rPr>
          <w:noProof/>
          <w:highlight w:val="yellow"/>
        </w:rPr>
      </w:pPr>
      <w:r>
        <w:rPr>
          <w:noProof/>
        </w:rPr>
        <w:t>Членовете на консорциума ще трябва да докажат своя технически капацитет за ефективно управление на поверените им действия, по-специално поради ограничената продължителност (2 години) на програмата.</w:t>
      </w:r>
    </w:p>
    <w:p>
      <w:pPr>
        <w:pBdr>
          <w:top w:val="single" w:sz="4" w:space="1" w:color="auto"/>
          <w:left w:val="single" w:sz="4" w:space="4" w:color="auto"/>
          <w:bottom w:val="single" w:sz="4" w:space="1" w:color="auto"/>
          <w:right w:val="single" w:sz="4" w:space="4" w:color="auto"/>
        </w:pBdr>
        <w:ind w:left="850"/>
        <w:rPr>
          <w:noProof/>
        </w:rPr>
      </w:pPr>
      <w:r>
        <w:rPr>
          <w:noProof/>
        </w:rPr>
        <w:t>Изпълнителният орган ще трябва да разполага със съответните технически, финансови и правни експерти, които да подготвят подбора на проектите за безвъзмездни средства, да управляват проследяването им, да извършват контрол върху възложените на външни изпълнители действия и да изготвят висококачествени доклади, които да представят пред ръководството на Комисията.</w:t>
      </w:r>
    </w:p>
    <w:p>
      <w:pPr>
        <w:pBdr>
          <w:top w:val="single" w:sz="4" w:space="1" w:color="auto"/>
          <w:left w:val="single" w:sz="4" w:space="4" w:color="auto"/>
          <w:bottom w:val="single" w:sz="4" w:space="1" w:color="auto"/>
          <w:right w:val="single" w:sz="4" w:space="4" w:color="auto"/>
        </w:pBdr>
        <w:ind w:left="850"/>
        <w:rPr>
          <w:noProof/>
        </w:rPr>
      </w:pPr>
      <w:r>
        <w:rPr>
          <w:noProof/>
        </w:rPr>
        <w:t>Комисията също така ще трябва да разполага със съответните експерти с цел да проследява ефективно работата на изпълнителния орган.</w:t>
      </w:r>
    </w:p>
    <w:p>
      <w:pPr>
        <w:pStyle w:val="ManualHeading3"/>
        <w:rPr>
          <w:noProof/>
          <w:szCs w:val="24"/>
        </w:rPr>
      </w:pPr>
      <w:r>
        <w:t>1.5.2.</w:t>
      </w:r>
      <w:r>
        <w:tab/>
      </w: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Съюза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Правото на действие на Съюза се основава на член 173 от Договора за функционирането на Европейския съюз.</w:t>
      </w:r>
    </w:p>
    <w:p>
      <w:pPr>
        <w:pBdr>
          <w:top w:val="single" w:sz="4" w:space="1" w:color="auto"/>
          <w:left w:val="single" w:sz="4" w:space="4" w:color="auto"/>
          <w:bottom w:val="single" w:sz="4" w:space="1" w:color="auto"/>
          <w:right w:val="single" w:sz="4" w:space="4" w:color="auto"/>
        </w:pBdr>
        <w:ind w:left="850"/>
        <w:rPr>
          <w:noProof/>
        </w:rPr>
      </w:pPr>
      <w:r>
        <w:rPr>
          <w:noProof/>
        </w:rPr>
        <w:t>Проектите в областта на отбранителната промишленост се управляват на национално равнище, а етапът на разработване е най-рисковият. Европейският сектор на отбраната губи поради ниското равнище на инвестициите и се характеризира с фрагментираност сред различните държави, което поражда постоянно дублиране. Прегледът на състоянието на отбранителните промишлени сектори в отделни държави в Съюза разкрива нарастващи дефицити, остаряващи технологии и липса на нови програми, най-вече за сътрудничество. Трансграничното сътрудничество може да допринесе за по-добро реализиране на ефектите от мащаба чрез намаляване на дублирането и създаване на възможност за разработване на необходимите продукти и технологии.</w:t>
      </w:r>
    </w:p>
    <w:p>
      <w:pPr>
        <w:pBdr>
          <w:top w:val="single" w:sz="4" w:space="1" w:color="auto"/>
          <w:left w:val="single" w:sz="4" w:space="4" w:color="auto"/>
          <w:bottom w:val="single" w:sz="4" w:space="1" w:color="auto"/>
          <w:right w:val="single" w:sz="4" w:space="4" w:color="auto"/>
        </w:pBdr>
        <w:ind w:left="850"/>
        <w:rPr>
          <w:noProof/>
        </w:rPr>
      </w:pPr>
      <w:r>
        <w:rPr>
          <w:noProof/>
        </w:rPr>
        <w:t>Липсата на координация и съгласуваност между държавите членки също поставя европейската отбранителна промишленост в неизгодно конкурентно положение спрямо международните ѝ партньори, като същевременно продължава да бъде основен източник на разходи за националния бюджет и сериозна пречка за осъществяването на общата политика за сигурност и отбрана (ОПСО).</w:t>
      </w:r>
    </w:p>
    <w:p>
      <w:pPr>
        <w:pBdr>
          <w:top w:val="single" w:sz="4" w:space="1" w:color="auto"/>
          <w:left w:val="single" w:sz="4" w:space="4" w:color="auto"/>
          <w:bottom w:val="single" w:sz="4" w:space="1" w:color="auto"/>
          <w:right w:val="single" w:sz="4" w:space="4" w:color="auto"/>
        </w:pBdr>
        <w:ind w:left="850"/>
        <w:rPr>
          <w:noProof/>
        </w:rPr>
      </w:pPr>
      <w:r>
        <w:rPr>
          <w:noProof/>
        </w:rPr>
        <w:t>Действието на равнището на Съюза ще осигури добавена стойност чрез по-нататъшно насърчаване на промишленото сътрудничество в областта на отбраната чрез положителни стимули и ориентиране към проекти на етап разработване на продукти и технологии в областта на отбраната, които не могат да бъдат реализирани единствено на национално равнище с оглед на разходите и свързаните с тях рискове.</w:t>
      </w:r>
    </w:p>
    <w:p>
      <w:pPr>
        <w:pBdr>
          <w:top w:val="single" w:sz="4" w:space="1" w:color="auto"/>
          <w:left w:val="single" w:sz="4" w:space="4" w:color="auto"/>
          <w:bottom w:val="single" w:sz="4" w:space="1" w:color="auto"/>
          <w:right w:val="single" w:sz="4" w:space="4" w:color="auto"/>
        </w:pBdr>
        <w:ind w:left="850"/>
        <w:rPr>
          <w:noProof/>
        </w:rPr>
      </w:pPr>
      <w:r>
        <w:rPr>
          <w:noProof/>
        </w:rPr>
        <w:t>Подкрепата на Европейския съюз ще даде възможност на отбранителната промишленост да насочи необходимите средства към проекти, които често надхвърлят възможностите на отделна държава: естеството на тези проекти и разходите за тях превръщат транснационалното сътрудничество в необходимост.</w:t>
      </w:r>
    </w:p>
    <w:p>
      <w:pPr>
        <w:pBdr>
          <w:top w:val="single" w:sz="4" w:space="1" w:color="auto"/>
          <w:left w:val="single" w:sz="4" w:space="4" w:color="auto"/>
          <w:bottom w:val="single" w:sz="4" w:space="1" w:color="auto"/>
          <w:right w:val="single" w:sz="4" w:space="4" w:color="auto"/>
        </w:pBdr>
        <w:ind w:left="850"/>
        <w:rPr>
          <w:noProof/>
        </w:rPr>
      </w:pPr>
      <w:r>
        <w:rPr>
          <w:noProof/>
        </w:rPr>
        <w:t>Общите технически спецификации, които ще залегнат като нормативно изискване в регламента, ще благоприятстват приемането на общи стандарти за държавите членки и техните промишлени сектори на отбраната, което ще доведе до по-добро и по-ефикасно сътрудничество.</w:t>
      </w:r>
    </w:p>
    <w:p>
      <w:pPr>
        <w:pStyle w:val="ManualHeading3"/>
        <w:rPr>
          <w:noProof/>
          <w:szCs w:val="24"/>
        </w:rPr>
      </w:pPr>
      <w:r>
        <w:t>1.5.3.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 xml:space="preserve">Пилотният проект и подготвителното действие за научни изследвания в областта на отбраната с Европейската агенция по отбрана са програми, които могат да се разглеждат като сходни: придобитият по тези програми опит, по-специално що се отнася до режима на управление, ще се използва за определяне на управлението и проследяването на Европейската програма за промишлено развитие в областта на отбраната. </w:t>
      </w:r>
    </w:p>
    <w:p>
      <w:pPr>
        <w:pStyle w:val="ManualHeading3"/>
        <w:rPr>
          <w:noProof/>
          <w:szCs w:val="24"/>
        </w:rPr>
      </w:pPr>
      <w:r>
        <w:t>1.5.4.</w:t>
      </w:r>
      <w:r>
        <w:tab/>
      </w:r>
      <w:r>
        <w:rPr>
          <w:noProof/>
        </w:rPr>
        <w:t>Съгласуваност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ind w:left="850"/>
        <w:rPr>
          <w:noProof/>
          <w:szCs w:val="24"/>
        </w:rPr>
      </w:pPr>
      <w:r>
        <w:rPr>
          <w:noProof/>
        </w:rPr>
        <w:t>Възможно е полезно взаимодействие с други текущи проекти в областта на отбраната (например подготвителното действие с Европейската агенция по отбрана).</w:t>
      </w:r>
    </w:p>
    <w:p>
      <w:pPr>
        <w:pBdr>
          <w:top w:val="single" w:sz="4" w:space="1" w:color="auto"/>
          <w:left w:val="single" w:sz="4" w:space="4" w:color="auto"/>
          <w:bottom w:val="single" w:sz="4" w:space="1" w:color="auto"/>
          <w:right w:val="single" w:sz="4" w:space="4" w:color="auto"/>
        </w:pBdr>
        <w:ind w:left="850"/>
        <w:rPr>
          <w:noProof/>
          <w:szCs w:val="24"/>
        </w:rPr>
      </w:pPr>
      <w:r>
        <w:rPr>
          <w:noProof/>
        </w:rPr>
        <w:t>Трябва да се търси полезно взаимодействие с други дирекции на Европейската комисия в областта на научните изследвания и иновациите. Проектите, които ще бъдат финансирани в подкрепа на Европейската програма за промишлено развитие в областта на отбраната, могат да окажат въздействие, наред с другото, върху транспорта, комуникациите и енергетиката.</w:t>
      </w:r>
    </w:p>
    <w:p>
      <w:pPr>
        <w:pBdr>
          <w:top w:val="single" w:sz="4" w:space="1" w:color="auto"/>
          <w:left w:val="single" w:sz="4" w:space="4" w:color="auto"/>
          <w:bottom w:val="single" w:sz="4" w:space="1" w:color="auto"/>
          <w:right w:val="single" w:sz="4" w:space="4" w:color="auto"/>
        </w:pBdr>
        <w:ind w:left="850"/>
        <w:rPr>
          <w:noProof/>
        </w:rPr>
      </w:pPr>
      <w:r>
        <w:rPr>
          <w:noProof/>
        </w:rPr>
        <w:t xml:space="preserve">За да се осигури максимална възвръщаемост на инвестициите, е важно програмите за научни изследвания и иновации да се координират от Комисията. </w:t>
      </w:r>
    </w:p>
    <w:p>
      <w:pPr>
        <w:pStyle w:val="ManualHeading2"/>
        <w:rPr>
          <w:noProof/>
          <w:szCs w:val="24"/>
        </w:rPr>
      </w:pPr>
      <w:r>
        <w:t>1.6.</w:t>
      </w:r>
      <w:r>
        <w:tab/>
      </w:r>
      <w:r>
        <w:rPr>
          <w:noProof/>
        </w:rPr>
        <w:t xml:space="preserve">Срок на действие и финансово отражение </w:t>
      </w:r>
    </w:p>
    <w:p>
      <w:pPr>
        <w:ind w:left="850"/>
        <w:rPr>
          <w:noProof/>
        </w:rPr>
      </w:pPr>
      <w:r>
        <w:rPr>
          <w:noProof/>
        </w:rPr>
        <w:sym w:font="Wingdings" w:char="F0A8"/>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FE"/>
      </w:r>
      <w:r>
        <w:rPr>
          <w:noProof/>
        </w:rPr>
        <w:t xml:space="preserve"> </w:t>
      </w:r>
      <w:r>
        <w:rPr>
          <w:noProof/>
        </w:rPr>
        <w:sym w:font="Wingdings" w:char="F0FE"/>
      </w:r>
      <w:r>
        <w:rPr>
          <w:noProof/>
        </w:rPr>
        <w:t xml:space="preserve">Предложението/инициативата е в сила от 1.1.2019 г. до 31.12.2020 г. </w:t>
      </w:r>
    </w:p>
    <w:p>
      <w:pPr>
        <w:pStyle w:val="ListDash2"/>
        <w:rPr>
          <w:noProof/>
        </w:rPr>
      </w:pPr>
      <w:r>
        <w:rPr>
          <w:noProof/>
        </w:rPr>
        <w:sym w:font="Wingdings" w:char="F0FE"/>
      </w:r>
      <w:r>
        <w:rPr>
          <w:noProof/>
        </w:rPr>
        <w:t xml:space="preserve"> Финансово отражение от 1.1.2018 г. до 31.12.2023 г.</w:t>
      </w:r>
    </w:p>
    <w:p>
      <w:pPr>
        <w:ind w:left="850"/>
        <w:rPr>
          <w:noProof/>
        </w:rPr>
      </w:pPr>
      <w:r>
        <w:rPr>
          <w:noProof/>
        </w:rPr>
        <w:sym w:font="Wingdings" w:char="F0A8"/>
      </w:r>
      <w:r>
        <w:rPr>
          <w:noProof/>
        </w:rPr>
        <w:t xml:space="preserve">Предложение/инициатива с </w:t>
      </w:r>
      <w:r>
        <w:rPr>
          <w:b/>
          <w:noProof/>
        </w:rPr>
        <w:t>неограничен срок на действие</w:t>
      </w:r>
    </w:p>
    <w:p>
      <w:pPr>
        <w:pStyle w:val="ListDash1"/>
        <w:rPr>
          <w:noProof/>
        </w:rPr>
      </w:pPr>
      <w:r>
        <w:rPr>
          <w:noProof/>
        </w:rPr>
        <w:t xml:space="preserve"> 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noProof/>
          <w:szCs w:val="24"/>
        </w:rPr>
      </w:pPr>
      <w:r>
        <w:t>1.7.</w:t>
      </w:r>
      <w:r>
        <w:tab/>
      </w:r>
      <w:r>
        <w:rPr>
          <w:noProof/>
        </w:rPr>
        <w:t>Планирани методи на управление</w:t>
      </w:r>
      <w:r>
        <w:rPr>
          <w:rStyle w:val="FootnoteReference"/>
          <w:noProof/>
        </w:rPr>
        <w:footnoteReference w:id="12"/>
      </w:r>
      <w:r>
        <w:rPr>
          <w:noProof/>
          <w:vertAlign w:val="superscript"/>
        </w:rPr>
        <w:t xml:space="preserve"> </w:t>
      </w:r>
    </w:p>
    <w:p>
      <w:pPr>
        <w:ind w:left="850"/>
        <w:rPr>
          <w:noProof/>
        </w:rPr>
      </w:pPr>
      <w:r>
        <w:rPr>
          <w:noProof/>
        </w:rPr>
        <w:sym w:font="Wingdings" w:char="F0A8"/>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w:t>
      </w:r>
      <w:r>
        <w:rPr>
          <w:noProof/>
        </w:rPr>
        <w:sym w:font="Wingdings" w:char="F0A8"/>
      </w:r>
      <w:r>
        <w:rPr>
          <w:noProof/>
        </w:rPr>
        <w:t xml:space="preserve">от изпълнителните агенции </w:t>
      </w:r>
    </w:p>
    <w:p>
      <w:pPr>
        <w:ind w:left="850"/>
        <w:rPr>
          <w:noProof/>
        </w:rPr>
      </w:pPr>
      <w:r>
        <w:rPr>
          <w:noProof/>
        </w:rPr>
        <w:sym w:font="Wingdings" w:char="F0A8"/>
      </w:r>
      <w:r>
        <w:rPr>
          <w:b/>
          <w:noProof/>
        </w:rPr>
        <w:t>Споделено управление</w:t>
      </w:r>
      <w:r>
        <w:rPr>
          <w:noProof/>
        </w:rPr>
        <w:t xml:space="preserve"> с държавите членки </w:t>
      </w:r>
    </w:p>
    <w:p>
      <w:pPr>
        <w:ind w:left="850"/>
        <w:rPr>
          <w:noProof/>
        </w:rPr>
      </w:pPr>
      <w:r>
        <w:rPr>
          <w:noProof/>
        </w:rPr>
        <w:sym w:font="Wingdings" w:char="F0FE"/>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трети държави или определените от тях органи;</w:t>
      </w:r>
    </w:p>
    <w:p>
      <w:pPr>
        <w:pStyle w:val="ListDash2"/>
        <w:rPr>
          <w:noProof/>
        </w:rPr>
      </w:pPr>
      <w:r>
        <w:rPr>
          <w:noProof/>
        </w:rPr>
        <w:sym w:font="Wingdings" w:char="F0A8"/>
      </w:r>
      <w:r>
        <w:rPr>
          <w:noProof/>
        </w:rPr>
        <w:t>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органите, посочени в членове 208 и 209 от Финансовия регламент;</w:t>
      </w:r>
    </w:p>
    <w:p>
      <w:pPr>
        <w:pStyle w:val="ListDash2"/>
        <w:rPr>
          <w:noProof/>
        </w:rPr>
      </w:pPr>
      <w:r>
        <w:rPr>
          <w:noProof/>
        </w:rPr>
        <w:sym w:font="Wingdings" w:char="F0FE"/>
      </w:r>
      <w:r>
        <w:rPr>
          <w:noProof/>
        </w:rPr>
        <w:t>публичноправни органи;</w:t>
      </w:r>
    </w:p>
    <w:p>
      <w:pPr>
        <w:pStyle w:val="ListDash2"/>
        <w:rPr>
          <w:noProof/>
        </w:rPr>
      </w:pPr>
      <w:r>
        <w:rPr>
          <w:noProof/>
        </w:rPr>
        <w:sym w:font="Wingdings" w:char="F0A8"/>
      </w:r>
      <w:r>
        <w:rPr>
          <w:noProof/>
        </w:rPr>
        <w:t>частноправни органи със задължение за обществена услуга, доколкото тези органи предоставят подходящи финансови гаранции;</w:t>
      </w:r>
    </w:p>
    <w:p>
      <w:pPr>
        <w:pStyle w:val="ListDash2"/>
        <w:rPr>
          <w:noProof/>
        </w:rPr>
      </w:pPr>
      <w:r>
        <w:rPr>
          <w:noProof/>
        </w:rPr>
        <w:sym w:font="Wingdings" w:char="F0A8"/>
      </w:r>
      <w:r>
        <w:rPr>
          <w:noProof/>
        </w:rPr>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на ДЕС и които са посочени в съответния основен акт.</w:t>
      </w:r>
    </w:p>
    <w:p>
      <w:pPr>
        <w:pStyle w:val="ListDash2"/>
        <w:rPr>
          <w:i/>
          <w:noProof/>
          <w:sz w:val="18"/>
          <w:szCs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За да се постигне максимална гъвкавост на програмата, се предпочита режимът на непряко управление, като същевременно на Европейската комисия се предоставят всички средства за контрол и мониторинг на програмата и на усвояването на средствата.</w:t>
      </w:r>
    </w:p>
    <w:p>
      <w:pPr>
        <w:pStyle w:val="ManualHeading1"/>
        <w:rPr>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ind w:left="850"/>
        <w:rPr>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b/>
          <w:bCs/>
          <w:noProof/>
        </w:rPr>
      </w:pPr>
      <w:r>
        <w:rPr>
          <w:noProof/>
        </w:rPr>
        <w:t>В съответствие с член 17 от Регламента относно Европейската програма за промишлено развитие в областта на отбраната Комисията ще осъществява редовен мониторинг на изпълнението на програмата и ежегодно ще докладва за напредъка, като проверява финансовите дейности и оценява постигнатите резултати.</w:t>
      </w:r>
      <w:r>
        <w:rPr>
          <w:b/>
          <w:noProof/>
        </w:rPr>
        <w:t xml:space="preserve"> </w:t>
      </w:r>
    </w:p>
    <w:p>
      <w:pPr>
        <w:pBdr>
          <w:top w:val="single" w:sz="4" w:space="1" w:color="auto"/>
          <w:left w:val="single" w:sz="4" w:space="4" w:color="auto"/>
          <w:bottom w:val="single" w:sz="4" w:space="1" w:color="auto"/>
          <w:right w:val="single" w:sz="4" w:space="4" w:color="auto"/>
        </w:pBdr>
        <w:ind w:left="850"/>
        <w:rPr>
          <w:b/>
          <w:bCs/>
          <w:noProof/>
          <w:u w:val="single"/>
        </w:rPr>
      </w:pPr>
      <w:r>
        <w:rPr>
          <w:noProof/>
        </w:rPr>
        <w:t xml:space="preserve">За тази цел Комисията ще създаде необходимите механизми за мониторинг, с които да се гарантира, че съответните данни от субектите, на които е възложено изпълнението на програмите, държавите членки или третите страни, се събират по надежден начин и без затруднения. </w:t>
      </w:r>
    </w:p>
    <w:p>
      <w:pPr>
        <w:pBdr>
          <w:top w:val="single" w:sz="4" w:space="1" w:color="auto"/>
          <w:left w:val="single" w:sz="4" w:space="4" w:color="auto"/>
          <w:bottom w:val="single" w:sz="4" w:space="1" w:color="auto"/>
          <w:right w:val="single" w:sz="4" w:space="4" w:color="auto"/>
        </w:pBdr>
        <w:ind w:left="850"/>
        <w:rPr>
          <w:noProof/>
        </w:rPr>
      </w:pPr>
      <w:r>
        <w:rPr>
          <w:noProof/>
        </w:rPr>
        <w:t xml:space="preserve">Що се отнася до задачите, изпълнявани при непряко управление, Комисията ще гарантира, че в споразумението за делегиране и в договорите/споразуменията, подписани от изпълняващия програмата субект с избраните бенефициери, са включени ефикасни и ефективни процедури за мониторинг и докладване. </w:t>
      </w:r>
    </w:p>
    <w:p>
      <w:pPr>
        <w:pBdr>
          <w:top w:val="single" w:sz="4" w:space="1" w:color="auto"/>
          <w:left w:val="single" w:sz="4" w:space="4" w:color="auto"/>
          <w:bottom w:val="single" w:sz="4" w:space="1" w:color="auto"/>
          <w:right w:val="single" w:sz="4" w:space="4" w:color="auto"/>
        </w:pBdr>
        <w:ind w:left="850"/>
        <w:rPr>
          <w:noProof/>
        </w:rPr>
      </w:pPr>
      <w:r>
        <w:rPr>
          <w:noProof/>
        </w:rPr>
        <w:t>Събраните данни следва да дадат възможност на Комисията да докладва за постигнатия напредък в съответствие с член 38, параграф 3, буква д) от Регламент (ЕС, Евратом) № 966/2012 и по отношение на конкретните цели, посочени в точка 1.4.2 по-горе.</w:t>
      </w:r>
    </w:p>
    <w:p>
      <w:pPr>
        <w:pBdr>
          <w:top w:val="single" w:sz="4" w:space="1" w:color="auto"/>
          <w:left w:val="single" w:sz="4" w:space="4" w:color="auto"/>
          <w:bottom w:val="single" w:sz="4" w:space="1" w:color="auto"/>
          <w:right w:val="single" w:sz="4" w:space="4" w:color="auto"/>
        </w:pBdr>
        <w:ind w:left="850"/>
        <w:rPr>
          <w:noProof/>
        </w:rPr>
      </w:pPr>
    </w:p>
    <w:p>
      <w:pPr>
        <w:pStyle w:val="ManualHeading2"/>
        <w:rPr>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Bdr>
          <w:top w:val="single" w:sz="4" w:space="1" w:color="auto"/>
          <w:left w:val="single" w:sz="4" w:space="4" w:color="auto"/>
          <w:bottom w:val="single" w:sz="4" w:space="1" w:color="auto"/>
          <w:right w:val="single" w:sz="4" w:space="4" w:color="auto"/>
        </w:pBdr>
        <w:ind w:left="850"/>
        <w:rPr>
          <w:noProof/>
        </w:rPr>
      </w:pPr>
      <w:r>
        <w:rPr>
          <w:noProof/>
        </w:rPr>
        <w:t>Установени са следните рискове:</w:t>
      </w:r>
    </w:p>
    <w:p>
      <w:pPr>
        <w:pBdr>
          <w:top w:val="single" w:sz="4" w:space="1" w:color="auto"/>
          <w:left w:val="single" w:sz="4" w:space="4" w:color="auto"/>
          <w:bottom w:val="single" w:sz="4" w:space="1" w:color="auto"/>
          <w:right w:val="single" w:sz="4" w:space="4" w:color="auto"/>
        </w:pBdr>
        <w:ind w:left="850"/>
        <w:rPr>
          <w:noProof/>
        </w:rPr>
      </w:pPr>
      <w:r>
        <w:rPr>
          <w:noProof/>
        </w:rPr>
        <w:t>риск, свързан с графика:  проблем със спазването на крайните срокове, закъснения в изпълнението</w:t>
      </w:r>
    </w:p>
    <w:p>
      <w:pPr>
        <w:pBdr>
          <w:top w:val="single" w:sz="4" w:space="1" w:color="auto"/>
          <w:left w:val="single" w:sz="4" w:space="4" w:color="auto"/>
          <w:bottom w:val="single" w:sz="4" w:space="1" w:color="auto"/>
          <w:right w:val="single" w:sz="4" w:space="4" w:color="auto"/>
        </w:pBdr>
        <w:ind w:left="850"/>
        <w:rPr>
          <w:noProof/>
        </w:rPr>
      </w:pPr>
      <w:r>
        <w:rPr>
          <w:noProof/>
        </w:rPr>
        <w:t>риск, свързан с управлението:  липса на сътрудничество между държавите членки и/или националната промишленост</w:t>
      </w:r>
    </w:p>
    <w:p>
      <w:pPr>
        <w:pBdr>
          <w:top w:val="single" w:sz="4" w:space="1" w:color="auto"/>
          <w:left w:val="single" w:sz="4" w:space="4" w:color="auto"/>
          <w:bottom w:val="single" w:sz="4" w:space="1" w:color="auto"/>
          <w:right w:val="single" w:sz="4" w:space="4" w:color="auto"/>
        </w:pBdr>
        <w:ind w:left="850"/>
        <w:rPr>
          <w:noProof/>
        </w:rPr>
      </w:pPr>
      <w:r>
        <w:rPr>
          <w:noProof/>
        </w:rPr>
        <w:t>финансов риск:  управление на разходите, слабо усвояване (закъснения), недопустими разходи и др.</w:t>
      </w:r>
    </w:p>
    <w:p>
      <w:pPr>
        <w:pBdr>
          <w:top w:val="single" w:sz="4" w:space="1" w:color="auto"/>
          <w:left w:val="single" w:sz="4" w:space="4" w:color="auto"/>
          <w:bottom w:val="single" w:sz="4" w:space="1" w:color="auto"/>
          <w:right w:val="single" w:sz="4" w:space="4" w:color="auto"/>
        </w:pBdr>
        <w:ind w:left="850"/>
        <w:rPr>
          <w:noProof/>
        </w:rPr>
      </w:pPr>
      <w:r>
        <w:rPr>
          <w:noProof/>
        </w:rPr>
        <w:t>технически рискове: трудности при специфично разработване, технически проблеми, по-ниско ниво на изпълнение</w:t>
      </w:r>
    </w:p>
    <w:p>
      <w:pPr>
        <w:pStyle w:val="ManualHeading3"/>
        <w:rPr>
          <w:noProof/>
          <w:szCs w:val="24"/>
        </w:rPr>
      </w:pPr>
      <w:r>
        <w:t>2.2.2.</w:t>
      </w:r>
      <w:r>
        <w:tab/>
      </w:r>
      <w:r>
        <w:rPr>
          <w:noProof/>
        </w:rPr>
        <w:t>Информация за въведената система за вътрешен контрол</w:t>
      </w:r>
    </w:p>
    <w:p>
      <w:pPr>
        <w:pBdr>
          <w:top w:val="single" w:sz="4" w:space="1" w:color="auto"/>
          <w:left w:val="single" w:sz="4" w:space="4" w:color="auto"/>
          <w:bottom w:val="single" w:sz="4" w:space="1" w:color="auto"/>
          <w:right w:val="single" w:sz="4" w:space="4" w:color="auto"/>
        </w:pBdr>
        <w:ind w:left="850"/>
        <w:rPr>
          <w:noProof/>
        </w:rPr>
      </w:pPr>
      <w:r>
        <w:rPr>
          <w:noProof/>
        </w:rPr>
        <w:t xml:space="preserve">Тези средства ще бъдат управлявани непряко чрез споразумение за делегиране. </w:t>
      </w:r>
    </w:p>
    <w:p>
      <w:pPr>
        <w:pBdr>
          <w:top w:val="single" w:sz="4" w:space="1" w:color="auto"/>
          <w:left w:val="single" w:sz="4" w:space="4" w:color="auto"/>
          <w:bottom w:val="single" w:sz="4" w:space="1" w:color="auto"/>
          <w:right w:val="single" w:sz="4" w:space="4" w:color="auto"/>
        </w:pBdr>
        <w:ind w:left="850"/>
        <w:rPr>
          <w:noProof/>
        </w:rPr>
      </w:pPr>
      <w:r>
        <w:rPr>
          <w:noProof/>
        </w:rPr>
        <w:t>По-голямата част от средствата се отпускат чрез безвъзмездни средства (второ ниво).</w:t>
      </w:r>
    </w:p>
    <w:p>
      <w:pPr>
        <w:pBdr>
          <w:top w:val="single" w:sz="4" w:space="1" w:color="auto"/>
          <w:left w:val="single" w:sz="4" w:space="4" w:color="auto"/>
          <w:bottom w:val="single" w:sz="4" w:space="1" w:color="auto"/>
          <w:right w:val="single" w:sz="4" w:space="4" w:color="auto"/>
        </w:pBdr>
        <w:ind w:left="850"/>
        <w:rPr>
          <w:noProof/>
        </w:rPr>
      </w:pPr>
      <w:r>
        <w:rPr>
          <w:noProof/>
        </w:rPr>
        <w:t>Изпълнителният орган ще обвърже отпускането на безвъзмездните средства с периодични задължителни доклади от страна на бенефициерите, представяни от координатора на консорциума (член 9 от регламента).</w:t>
      </w:r>
    </w:p>
    <w:p>
      <w:pPr>
        <w:pBdr>
          <w:top w:val="single" w:sz="4" w:space="1" w:color="auto"/>
          <w:left w:val="single" w:sz="4" w:space="4" w:color="auto"/>
          <w:bottom w:val="single" w:sz="4" w:space="1" w:color="auto"/>
          <w:right w:val="single" w:sz="4" w:space="4" w:color="auto"/>
        </w:pBdr>
        <w:ind w:left="850"/>
        <w:rPr>
          <w:noProof/>
        </w:rPr>
      </w:pPr>
      <w:r>
        <w:rPr>
          <w:noProof/>
        </w:rPr>
        <w:t>Договорът или споразуменията, които ще бъдат подписани с координатора на консорциума, ще включват подробно описание на задълженията на консорциума и в частност правото на Комисията — при липса или неправилно изпълнение на действията или забавяне — да намали, задържи или прекрати финансовото си участие.</w:t>
      </w:r>
    </w:p>
    <w:p>
      <w:pPr>
        <w:pBdr>
          <w:top w:val="single" w:sz="4" w:space="1" w:color="auto"/>
          <w:left w:val="single" w:sz="4" w:space="4" w:color="auto"/>
          <w:bottom w:val="single" w:sz="4" w:space="1" w:color="auto"/>
          <w:right w:val="single" w:sz="4" w:space="4" w:color="auto"/>
        </w:pBdr>
        <w:ind w:left="850"/>
        <w:rPr>
          <w:noProof/>
        </w:rPr>
      </w:pPr>
      <w:r>
        <w:rPr>
          <w:noProof/>
        </w:rPr>
        <w:t>Чрез споразумението за делегиране Комисията ще съгласува естеството и честотата на тези доклади:</w:t>
      </w:r>
    </w:p>
    <w:p>
      <w:pPr>
        <w:pBdr>
          <w:top w:val="single" w:sz="4" w:space="1" w:color="auto"/>
          <w:left w:val="single" w:sz="4" w:space="4" w:color="auto"/>
          <w:bottom w:val="single" w:sz="4" w:space="1" w:color="auto"/>
          <w:right w:val="single" w:sz="4" w:space="4" w:color="auto"/>
        </w:pBdr>
        <w:ind w:left="850"/>
        <w:rPr>
          <w:noProof/>
        </w:rPr>
      </w:pPr>
      <w:r>
        <w:rPr>
          <w:noProof/>
        </w:rPr>
        <w:t>- задължително докладване от страна на бенефициерите,</w:t>
      </w:r>
    </w:p>
    <w:p>
      <w:pPr>
        <w:pBdr>
          <w:top w:val="single" w:sz="4" w:space="1" w:color="auto"/>
          <w:left w:val="single" w:sz="4" w:space="4" w:color="auto"/>
          <w:bottom w:val="single" w:sz="4" w:space="1" w:color="auto"/>
          <w:right w:val="single" w:sz="4" w:space="4" w:color="auto"/>
        </w:pBdr>
        <w:ind w:left="850"/>
        <w:rPr>
          <w:noProof/>
        </w:rPr>
      </w:pPr>
      <w:r>
        <w:rPr>
          <w:noProof/>
        </w:rPr>
        <w:t>- документни проверки на разходите,</w:t>
      </w:r>
    </w:p>
    <w:p>
      <w:pPr>
        <w:pBdr>
          <w:top w:val="single" w:sz="4" w:space="1" w:color="auto"/>
          <w:left w:val="single" w:sz="4" w:space="4" w:color="auto"/>
          <w:bottom w:val="single" w:sz="4" w:space="1" w:color="auto"/>
          <w:right w:val="single" w:sz="4" w:space="4" w:color="auto"/>
        </w:pBdr>
        <w:ind w:left="850"/>
        <w:rPr>
          <w:noProof/>
        </w:rPr>
      </w:pPr>
      <w:r>
        <w:rPr>
          <w:noProof/>
        </w:rPr>
        <w:t>- участие в периодичните заседания за мониторинг (технически и на ръководно ниво).</w:t>
      </w:r>
    </w:p>
    <w:p>
      <w:pPr>
        <w:pBdr>
          <w:top w:val="single" w:sz="4" w:space="1" w:color="auto"/>
          <w:left w:val="single" w:sz="4" w:space="4" w:color="auto"/>
          <w:bottom w:val="single" w:sz="4" w:space="1" w:color="auto"/>
          <w:right w:val="single" w:sz="4" w:space="4" w:color="auto"/>
        </w:pBdr>
        <w:ind w:left="850"/>
        <w:rPr>
          <w:noProof/>
        </w:rPr>
      </w:pPr>
      <w:r>
        <w:rPr>
          <w:noProof/>
        </w:rPr>
        <w:t>Ако е необходимо, при мониторинга на изпълнението на програмите ще бъде потърсено съдействие от външни технически експерти. Въз основа на резултатите от проверките на място Комисията ще гарантира, че ако е необходимо, размерът или условията на отпускане на първоначално одобрената финансова помощ, както и графикът на плащанията, ще бъдат адаптирани.</w:t>
      </w:r>
    </w:p>
    <w:p>
      <w:pPr>
        <w:pBdr>
          <w:top w:val="single" w:sz="4" w:space="1" w:color="auto"/>
          <w:left w:val="single" w:sz="4" w:space="4" w:color="auto"/>
          <w:bottom w:val="single" w:sz="4" w:space="1" w:color="auto"/>
          <w:right w:val="single" w:sz="4" w:space="4" w:color="auto"/>
        </w:pBdr>
        <w:ind w:left="850"/>
        <w:rPr>
          <w:noProof/>
        </w:rPr>
      </w:pPr>
      <w:r>
        <w:rPr>
          <w:noProof/>
        </w:rPr>
        <w:t xml:space="preserve">Освен това, за да се проследят отблизо разходите по проекта, ще се използва одитна стратегия. </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Bdr>
          <w:top w:val="single" w:sz="4" w:space="1" w:color="auto"/>
          <w:left w:val="single" w:sz="4" w:space="4" w:color="auto"/>
          <w:bottom w:val="single" w:sz="4" w:space="1" w:color="auto"/>
          <w:right w:val="single" w:sz="4" w:space="4" w:color="auto"/>
        </w:pBdr>
        <w:ind w:left="850"/>
        <w:rPr>
          <w:noProof/>
        </w:rPr>
      </w:pPr>
      <w:r>
        <w:rPr>
          <w:noProof/>
        </w:rPr>
        <w:t>Персоналът, посочен в точка 3.2.3.2, следва да бъде достатъчен за контрола на усвояването на средствата.</w:t>
      </w:r>
    </w:p>
    <w:p>
      <w:pPr>
        <w:pStyle w:val="ManualHeading2"/>
        <w:rPr>
          <w:noProof/>
          <w:szCs w:val="24"/>
        </w:rPr>
      </w:pPr>
      <w:r>
        <w:t>2.3.</w:t>
      </w:r>
      <w:r>
        <w:tab/>
      </w:r>
      <w:r>
        <w:rPr>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noProof/>
        </w:rPr>
      </w:pPr>
      <w:r>
        <w:rPr>
          <w:noProof/>
        </w:rPr>
        <w:t xml:space="preserve">В член 18 от предложението се уточнява компетентността на Европейската служба за борба с измамите (OLAF) да провежда разследвания във връзка с операциите, подкрепяни в рамките на настоящата инициатива. </w:t>
      </w:r>
    </w:p>
    <w:p>
      <w:pPr>
        <w:pBdr>
          <w:top w:val="single" w:sz="4" w:space="1" w:color="auto"/>
          <w:left w:val="single" w:sz="4" w:space="4" w:color="auto"/>
          <w:bottom w:val="single" w:sz="4" w:space="1" w:color="auto"/>
          <w:right w:val="single" w:sz="4" w:space="4" w:color="auto"/>
        </w:pBdr>
        <w:ind w:left="850"/>
        <w:rPr>
          <w:noProof/>
        </w:rPr>
      </w:pPr>
      <w:r>
        <w:rPr>
          <w:noProof/>
        </w:rPr>
        <w:t>Споразуменията, произтичащи от настоящия регламент, включително споразуменията, сключени с участващи трети държави и международни организации, предвиждат надзор и финансов контрол от страна на Комисията или от всеки упълномощен от нея представител, както и одити от Сметната палата или OLAF, извършвани на място при необходимост.</w:t>
      </w:r>
    </w:p>
    <w:p>
      <w:pPr>
        <w:pStyle w:val="ManualHeading1"/>
        <w:rPr>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разходни бюджетни редове </w:t>
      </w:r>
    </w:p>
    <w:p>
      <w:pPr>
        <w:ind w:left="850"/>
        <w:rPr>
          <w:noProof/>
        </w:rPr>
      </w:pPr>
      <w:r>
        <w:rPr>
          <w:noProof/>
          <w:u w:val="single"/>
        </w:rPr>
        <w:t xml:space="preserve">По реда </w:t>
      </w:r>
      <w:r>
        <w:rPr>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2"/>
              </w:rPr>
              <w:br/>
            </w:r>
          </w:p>
        </w:tc>
        <w:tc>
          <w:tcPr>
            <w:tcW w:w="1080" w:type="dxa"/>
            <w:vAlign w:val="center"/>
          </w:tcPr>
          <w:p>
            <w:pPr>
              <w:jc w:val="center"/>
              <w:rPr>
                <w:noProof/>
              </w:rPr>
            </w:pPr>
            <w:r>
              <w:rPr>
                <w:noProof/>
                <w:sz w:val="18"/>
              </w:rPr>
              <w:t>Многогод./едногод.</w:t>
            </w:r>
            <w:r>
              <w:rPr>
                <w:rStyle w:val="FootnoteReference"/>
                <w:noProof/>
              </w:rPr>
              <w:footnoteReference w:id="13"/>
            </w:r>
          </w:p>
        </w:tc>
        <w:tc>
          <w:tcPr>
            <w:tcW w:w="956" w:type="dxa"/>
            <w:vAlign w:val="center"/>
          </w:tcPr>
          <w:p>
            <w:pPr>
              <w:jc w:val="center"/>
              <w:rPr>
                <w:noProof/>
              </w:rPr>
            </w:pPr>
            <w:r>
              <w:rPr>
                <w:noProof/>
                <w:sz w:val="18"/>
              </w:rPr>
              <w:t>от държави от ЕАСТ</w:t>
            </w:r>
            <w:r>
              <w:rPr>
                <w:rStyle w:val="FootnoteReference"/>
                <w:noProof/>
              </w:rPr>
              <w:footnoteReference w:id="14"/>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1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left"/>
              <w:rPr>
                <w:noProof/>
              </w:rPr>
            </w:pPr>
          </w:p>
        </w:tc>
        <w:tc>
          <w:tcPr>
            <w:tcW w:w="3960" w:type="dxa"/>
            <w:vAlign w:val="center"/>
          </w:tcPr>
          <w:p>
            <w:pPr>
              <w:spacing w:before="60"/>
              <w:jc w:val="left"/>
              <w:rPr>
                <w:noProof/>
              </w:rPr>
            </w:pPr>
          </w:p>
        </w:tc>
        <w:tc>
          <w:tcPr>
            <w:tcW w:w="1080" w:type="dxa"/>
            <w:vAlign w:val="center"/>
          </w:tcPr>
          <w:p>
            <w:pPr>
              <w:jc w:val="center"/>
              <w:rPr>
                <w:noProof/>
              </w:rPr>
            </w:pPr>
            <w:r>
              <w:rPr>
                <w:noProof/>
                <w:sz w:val="22"/>
              </w:rPr>
              <w:t>Многогод.</w:t>
            </w:r>
          </w:p>
        </w:tc>
        <w:tc>
          <w:tcPr>
            <w:tcW w:w="956" w:type="dxa"/>
            <w:vAlign w:val="center"/>
          </w:tcPr>
          <w:p>
            <w:pPr>
              <w:jc w:val="center"/>
              <w:rPr>
                <w:noProof/>
              </w:rPr>
            </w:pPr>
            <w:r>
              <w:rPr>
                <w:noProof/>
                <w:sz w:val="22"/>
              </w:rPr>
              <w:t>ДА/НЕ</w:t>
            </w:r>
          </w:p>
        </w:tc>
        <w:tc>
          <w:tcPr>
            <w:tcW w:w="1080" w:type="dxa"/>
            <w:vAlign w:val="center"/>
          </w:tcPr>
          <w:p>
            <w:pPr>
              <w:jc w:val="center"/>
              <w:rPr>
                <w:noProof/>
              </w:rPr>
            </w:pPr>
            <w:r>
              <w:rPr>
                <w:noProof/>
                <w:sz w:val="22"/>
              </w:rPr>
              <w:t>ДА/НЕ</w:t>
            </w:r>
          </w:p>
        </w:tc>
        <w:tc>
          <w:tcPr>
            <w:tcW w:w="956" w:type="dxa"/>
            <w:vAlign w:val="center"/>
          </w:tcPr>
          <w:p>
            <w:pPr>
              <w:jc w:val="center"/>
              <w:rPr>
                <w:noProof/>
              </w:rPr>
            </w:pPr>
            <w:r>
              <w:rPr>
                <w:noProof/>
                <w:sz w:val="22"/>
              </w:rPr>
              <w:t>ДА/НЕ</w:t>
            </w:r>
          </w:p>
        </w:tc>
        <w:tc>
          <w:tcPr>
            <w:tcW w:w="1448" w:type="dxa"/>
            <w:vAlign w:val="center"/>
          </w:tcPr>
          <w:p>
            <w:pPr>
              <w:jc w:val="center"/>
              <w:rPr>
                <w:noProof/>
              </w:rPr>
            </w:pPr>
            <w:r>
              <w:rPr>
                <w:noProof/>
                <w:sz w:val="22"/>
              </w:rPr>
              <w:t>ДА/НЕ</w:t>
            </w:r>
          </w:p>
        </w:tc>
      </w:tr>
      <w:tr>
        <w:tc>
          <w:tcPr>
            <w:tcW w:w="1080" w:type="dxa"/>
            <w:vAlign w:val="center"/>
          </w:tcPr>
          <w:p>
            <w:pPr>
              <w:jc w:val="left"/>
              <w:rPr>
                <w:noProof/>
              </w:rPr>
            </w:pPr>
          </w:p>
        </w:tc>
        <w:tc>
          <w:tcPr>
            <w:tcW w:w="3960" w:type="dxa"/>
            <w:vAlign w:val="center"/>
          </w:tcPr>
          <w:p>
            <w:pPr>
              <w:spacing w:before="60"/>
              <w:jc w:val="left"/>
              <w:rPr>
                <w:noProof/>
                <w:sz w:val="22"/>
              </w:rPr>
            </w:pPr>
          </w:p>
        </w:tc>
        <w:tc>
          <w:tcPr>
            <w:tcW w:w="1080" w:type="dxa"/>
            <w:vAlign w:val="center"/>
          </w:tcPr>
          <w:p>
            <w:pPr>
              <w:jc w:val="center"/>
              <w:rPr>
                <w:noProof/>
                <w:sz w:val="22"/>
              </w:rPr>
            </w:pPr>
            <w:r>
              <w:rPr>
                <w:noProof/>
                <w:sz w:val="22"/>
              </w:rPr>
              <w:t>Едногод.</w:t>
            </w:r>
          </w:p>
        </w:tc>
        <w:tc>
          <w:tcPr>
            <w:tcW w:w="956" w:type="dxa"/>
            <w:vAlign w:val="center"/>
          </w:tcPr>
          <w:p>
            <w:pPr>
              <w:jc w:val="center"/>
              <w:rPr>
                <w:noProof/>
                <w:sz w:val="22"/>
              </w:rPr>
            </w:pPr>
            <w:r>
              <w:rPr>
                <w:noProof/>
                <w:sz w:val="22"/>
              </w:rPr>
              <w:t>ДА/НЕ</w:t>
            </w:r>
          </w:p>
        </w:tc>
        <w:tc>
          <w:tcPr>
            <w:tcW w:w="1080" w:type="dxa"/>
            <w:vAlign w:val="center"/>
          </w:tcPr>
          <w:p>
            <w:pPr>
              <w:jc w:val="center"/>
              <w:rPr>
                <w:noProof/>
                <w:sz w:val="22"/>
              </w:rPr>
            </w:pPr>
            <w:r>
              <w:rPr>
                <w:noProof/>
                <w:sz w:val="22"/>
              </w:rPr>
              <w:t>ДА/НЕ</w:t>
            </w:r>
          </w:p>
        </w:tc>
        <w:tc>
          <w:tcPr>
            <w:tcW w:w="956" w:type="dxa"/>
            <w:vAlign w:val="center"/>
          </w:tcPr>
          <w:p>
            <w:pPr>
              <w:jc w:val="center"/>
              <w:rPr>
                <w:noProof/>
                <w:sz w:val="22"/>
              </w:rPr>
            </w:pPr>
            <w:r>
              <w:rPr>
                <w:noProof/>
                <w:sz w:val="22"/>
              </w:rPr>
              <w:t>ДА/НЕ</w:t>
            </w:r>
          </w:p>
        </w:tc>
        <w:tc>
          <w:tcPr>
            <w:tcW w:w="1448" w:type="dxa"/>
            <w:vAlign w:val="center"/>
          </w:tcPr>
          <w:p>
            <w:pPr>
              <w:jc w:val="center"/>
              <w:rPr>
                <w:noProof/>
                <w:sz w:val="22"/>
              </w:rPr>
            </w:pPr>
            <w:r>
              <w:rPr>
                <w:noProof/>
                <w:sz w:val="22"/>
              </w:rPr>
              <w:t>ДА/НЕ</w:t>
            </w:r>
          </w:p>
        </w:tc>
      </w:tr>
    </w:tbl>
    <w:p>
      <w:pPr>
        <w:pStyle w:val="ListBullet1"/>
        <w:rPr>
          <w:noProof/>
        </w:rPr>
      </w:pPr>
      <w:r>
        <w:rPr>
          <w:noProof/>
        </w:rPr>
        <w:t>Поискани нови бюджетни редове</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p>
        </w:tc>
        <w:tc>
          <w:tcPr>
            <w:tcW w:w="3960" w:type="dxa"/>
            <w:vAlign w:val="center"/>
          </w:tcPr>
          <w:p>
            <w:pPr>
              <w:spacing w:before="60"/>
              <w:rPr>
                <w:noProof/>
                <w:highlight w:val="yellow"/>
              </w:rPr>
            </w:pPr>
            <w:r>
              <w:rPr>
                <w:noProof/>
              </w:rPr>
              <w:t>02.0701 Европейска програма за промишлено развитие в областта на отбраната</w:t>
            </w:r>
          </w:p>
        </w:tc>
        <w:tc>
          <w:tcPr>
            <w:tcW w:w="1080" w:type="dxa"/>
            <w:vAlign w:val="center"/>
          </w:tcPr>
          <w:p>
            <w:pPr>
              <w:jc w:val="center"/>
              <w:rPr>
                <w:noProof/>
              </w:rPr>
            </w:pPr>
            <w:r>
              <w:rPr>
                <w:noProof/>
                <w:sz w:val="22"/>
              </w:rPr>
              <w:t>Многогод.</w:t>
            </w:r>
          </w:p>
        </w:tc>
        <w:tc>
          <w:tcPr>
            <w:tcW w:w="956" w:type="dxa"/>
            <w:vAlign w:val="center"/>
          </w:tcPr>
          <w:p>
            <w:pPr>
              <w:jc w:val="center"/>
              <w:rPr>
                <w:noProof/>
                <w:highlight w:val="yellow"/>
              </w:rPr>
            </w:pPr>
            <w:r>
              <w:rPr>
                <w:noProof/>
                <w:sz w:val="22"/>
              </w:rPr>
              <w:t>НЕ</w:t>
            </w:r>
          </w:p>
        </w:tc>
        <w:tc>
          <w:tcPr>
            <w:tcW w:w="1080" w:type="dxa"/>
            <w:vAlign w:val="center"/>
          </w:tcPr>
          <w:p>
            <w:pPr>
              <w:jc w:val="center"/>
              <w:rPr>
                <w:noProof/>
                <w:sz w:val="18"/>
                <w:highlight w:val="yellow"/>
              </w:rPr>
            </w:pPr>
            <w:r>
              <w:rPr>
                <w:noProof/>
                <w:sz w:val="22"/>
              </w:rPr>
              <w:t>НЕ</w:t>
            </w:r>
          </w:p>
        </w:tc>
        <w:tc>
          <w:tcPr>
            <w:tcW w:w="956" w:type="dxa"/>
            <w:vAlign w:val="center"/>
          </w:tcPr>
          <w:p>
            <w:pPr>
              <w:jc w:val="center"/>
              <w:rPr>
                <w:noProof/>
                <w:sz w:val="18"/>
                <w:highlight w:val="yellow"/>
              </w:rPr>
            </w:pPr>
            <w:r>
              <w:rPr>
                <w:noProof/>
                <w:sz w:val="22"/>
              </w:rPr>
              <w:t>НЕ</w:t>
            </w:r>
          </w:p>
        </w:tc>
        <w:tc>
          <w:tcPr>
            <w:tcW w:w="1448" w:type="dxa"/>
            <w:vAlign w:val="center"/>
          </w:tcPr>
          <w:p>
            <w:pPr>
              <w:jc w:val="center"/>
              <w:rPr>
                <w:noProof/>
                <w:highlight w:val="yellow"/>
              </w:rPr>
            </w:pPr>
            <w:r>
              <w:rPr>
                <w:noProof/>
                <w:sz w:val="22"/>
              </w:rPr>
              <w:t>НЕ</w:t>
            </w:r>
          </w:p>
        </w:tc>
      </w:tr>
      <w:tr>
        <w:tc>
          <w:tcPr>
            <w:tcW w:w="1080" w:type="dxa"/>
            <w:vAlign w:val="center"/>
          </w:tcPr>
          <w:p>
            <w:pPr>
              <w:jc w:val="center"/>
              <w:rPr>
                <w:noProof/>
              </w:rPr>
            </w:pPr>
          </w:p>
        </w:tc>
        <w:tc>
          <w:tcPr>
            <w:tcW w:w="3960" w:type="dxa"/>
            <w:vAlign w:val="center"/>
          </w:tcPr>
          <w:p>
            <w:pPr>
              <w:spacing w:before="60"/>
              <w:jc w:val="left"/>
              <w:rPr>
                <w:noProof/>
                <w:sz w:val="22"/>
              </w:rPr>
            </w:pPr>
            <w:r>
              <w:rPr>
                <w:noProof/>
              </w:rPr>
              <w:t xml:space="preserve">02.010405 – Разходи за подкрепа по Европейската програма за промишлено развитие в областта на отбраната </w:t>
            </w:r>
          </w:p>
        </w:tc>
        <w:tc>
          <w:tcPr>
            <w:tcW w:w="1080" w:type="dxa"/>
            <w:vAlign w:val="center"/>
          </w:tcPr>
          <w:p>
            <w:pPr>
              <w:jc w:val="center"/>
              <w:rPr>
                <w:noProof/>
              </w:rPr>
            </w:pPr>
            <w:r>
              <w:rPr>
                <w:noProof/>
                <w:sz w:val="22"/>
              </w:rPr>
              <w:t>Едногод.</w:t>
            </w:r>
          </w:p>
        </w:tc>
        <w:tc>
          <w:tcPr>
            <w:tcW w:w="956" w:type="dxa"/>
            <w:vAlign w:val="center"/>
          </w:tcPr>
          <w:p>
            <w:pPr>
              <w:jc w:val="center"/>
              <w:rPr>
                <w:noProof/>
                <w:sz w:val="22"/>
                <w:highlight w:val="yellow"/>
              </w:rPr>
            </w:pPr>
            <w:r>
              <w:rPr>
                <w:noProof/>
                <w:sz w:val="22"/>
              </w:rPr>
              <w:t>НЕ</w:t>
            </w:r>
          </w:p>
        </w:tc>
        <w:tc>
          <w:tcPr>
            <w:tcW w:w="1080" w:type="dxa"/>
            <w:vAlign w:val="center"/>
          </w:tcPr>
          <w:p>
            <w:pPr>
              <w:jc w:val="center"/>
              <w:rPr>
                <w:noProof/>
                <w:sz w:val="22"/>
                <w:highlight w:val="yellow"/>
              </w:rPr>
            </w:pPr>
            <w:r>
              <w:rPr>
                <w:noProof/>
                <w:sz w:val="22"/>
              </w:rPr>
              <w:t>НЕ</w:t>
            </w:r>
          </w:p>
        </w:tc>
        <w:tc>
          <w:tcPr>
            <w:tcW w:w="956" w:type="dxa"/>
            <w:vAlign w:val="center"/>
          </w:tcPr>
          <w:p>
            <w:pPr>
              <w:jc w:val="center"/>
              <w:rPr>
                <w:noProof/>
                <w:sz w:val="22"/>
                <w:highlight w:val="yellow"/>
              </w:rPr>
            </w:pPr>
            <w:r>
              <w:rPr>
                <w:noProof/>
                <w:sz w:val="22"/>
              </w:rPr>
              <w:t>НЕ</w:t>
            </w:r>
          </w:p>
        </w:tc>
        <w:tc>
          <w:tcPr>
            <w:tcW w:w="1448" w:type="dxa"/>
            <w:vAlign w:val="center"/>
          </w:tcPr>
          <w:p>
            <w:pPr>
              <w:jc w:val="center"/>
              <w:rPr>
                <w:noProof/>
                <w:sz w:val="22"/>
                <w:highlight w:val="yellow"/>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Очаквано отражение върху разходите </w:t>
      </w:r>
    </w:p>
    <w:p>
      <w:pPr>
        <w:ind w:left="850"/>
        <w:rPr>
          <w:noProof/>
        </w:rPr>
      </w:pPr>
      <w:r>
        <w:rPr>
          <w:noProof/>
        </w:rPr>
        <w:t>Предложението няма да увеличи общия размер на разходите, планирани по функция 1а от многогодишната финансова рамка за периода 2014—2020 г., тъй като финансовите пакети на Механизма за свързване на Европа, Европейската програма за спътникова навигация „Галилео“, програмата на Съюза за наблюдение и мониторинг на Земята, Програмата ITER и неразпределеният марж ще бъдат намалени, за да се финансира приносът от бюджета на Съюза за Европейската програма за промишлено развитие в областта на отбраната.</w:t>
      </w:r>
    </w:p>
    <w:p>
      <w:pPr>
        <w:ind w:left="850"/>
        <w:rPr>
          <w:noProof/>
        </w:rPr>
      </w:pPr>
    </w:p>
    <w:p>
      <w:pPr>
        <w:jc w:val="right"/>
        <w:rPr>
          <w:noProof/>
          <w:sz w:val="20"/>
        </w:rPr>
      </w:pPr>
      <w:r>
        <w:rPr>
          <w:noProof/>
          <w:sz w:val="20"/>
        </w:rPr>
        <w:t>млн. евро (до 3-тия знак след десетичната запетая)</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45"/>
        <w:gridCol w:w="1167"/>
      </w:tblGrid>
      <w:tr>
        <w:tc>
          <w:tcPr>
            <w:tcW w:w="4570" w:type="dxa"/>
            <w:shd w:val="clear" w:color="auto" w:fill="auto"/>
          </w:tcPr>
          <w:p>
            <w:pPr>
              <w:rPr>
                <w:noProof/>
                <w:sz w:val="18"/>
                <w:szCs w:val="18"/>
              </w:rPr>
            </w:pPr>
            <w:r>
              <w:rPr>
                <w:noProof/>
                <w:sz w:val="18"/>
              </w:rPr>
              <w:t>Източници на финансиране за Европейската програма за промишлено развитие в областта на отбраната</w:t>
            </w:r>
          </w:p>
        </w:tc>
        <w:tc>
          <w:tcPr>
            <w:tcW w:w="1251" w:type="dxa"/>
            <w:shd w:val="clear" w:color="auto" w:fill="auto"/>
          </w:tcPr>
          <w:p>
            <w:pPr>
              <w:jc w:val="center"/>
              <w:rPr>
                <w:noProof/>
                <w:sz w:val="18"/>
                <w:szCs w:val="18"/>
              </w:rPr>
            </w:pPr>
            <w:r>
              <w:rPr>
                <w:noProof/>
                <w:sz w:val="18"/>
              </w:rPr>
              <w:t>2019 г.</w:t>
            </w:r>
          </w:p>
        </w:tc>
        <w:tc>
          <w:tcPr>
            <w:tcW w:w="1245" w:type="dxa"/>
            <w:shd w:val="clear" w:color="auto" w:fill="auto"/>
          </w:tcPr>
          <w:p>
            <w:pPr>
              <w:jc w:val="center"/>
              <w:rPr>
                <w:noProof/>
                <w:sz w:val="18"/>
                <w:szCs w:val="18"/>
              </w:rPr>
            </w:pPr>
            <w:r>
              <w:rPr>
                <w:noProof/>
                <w:sz w:val="18"/>
              </w:rPr>
              <w:t>2020 г.</w:t>
            </w:r>
          </w:p>
        </w:tc>
        <w:tc>
          <w:tcPr>
            <w:tcW w:w="1167" w:type="dxa"/>
            <w:shd w:val="clear" w:color="auto" w:fill="auto"/>
          </w:tcPr>
          <w:p>
            <w:pPr>
              <w:jc w:val="center"/>
              <w:rPr>
                <w:noProof/>
                <w:sz w:val="18"/>
                <w:szCs w:val="18"/>
              </w:rPr>
            </w:pPr>
            <w:r>
              <w:rPr>
                <w:noProof/>
                <w:sz w:val="18"/>
              </w:rPr>
              <w:t>Общо</w:t>
            </w:r>
          </w:p>
        </w:tc>
      </w:tr>
      <w:tr>
        <w:tc>
          <w:tcPr>
            <w:tcW w:w="4570" w:type="dxa"/>
            <w:shd w:val="clear" w:color="auto" w:fill="auto"/>
          </w:tcPr>
          <w:p>
            <w:pPr>
              <w:jc w:val="left"/>
              <w:rPr>
                <w:noProof/>
                <w:sz w:val="18"/>
                <w:szCs w:val="18"/>
              </w:rPr>
            </w:pPr>
            <w:r>
              <w:rPr>
                <w:noProof/>
                <w:sz w:val="18"/>
              </w:rPr>
              <w:t>МЕХАНИЗЪМ ЗА СВЪРЗВАНЕ НА ЕВРОПА, от който</w:t>
            </w:r>
          </w:p>
        </w:tc>
        <w:tc>
          <w:tcPr>
            <w:tcW w:w="1251" w:type="dxa"/>
            <w:shd w:val="clear" w:color="auto" w:fill="auto"/>
          </w:tcPr>
          <w:p>
            <w:pPr>
              <w:jc w:val="right"/>
              <w:rPr>
                <w:noProof/>
                <w:sz w:val="18"/>
                <w:szCs w:val="18"/>
              </w:rPr>
            </w:pPr>
          </w:p>
        </w:tc>
        <w:tc>
          <w:tcPr>
            <w:tcW w:w="1245" w:type="dxa"/>
            <w:shd w:val="clear" w:color="auto" w:fill="auto"/>
          </w:tcPr>
          <w:p>
            <w:pPr>
              <w:jc w:val="right"/>
              <w:rPr>
                <w:noProof/>
                <w:sz w:val="18"/>
                <w:szCs w:val="18"/>
              </w:rPr>
            </w:pPr>
          </w:p>
        </w:tc>
        <w:tc>
          <w:tcPr>
            <w:tcW w:w="1167" w:type="dxa"/>
            <w:shd w:val="clear" w:color="auto" w:fill="auto"/>
          </w:tcPr>
          <w:p>
            <w:pPr>
              <w:jc w:val="right"/>
              <w:rPr>
                <w:noProof/>
                <w:sz w:val="18"/>
                <w:szCs w:val="18"/>
              </w:rPr>
            </w:pPr>
            <w:r>
              <w:rPr>
                <w:noProof/>
                <w:sz w:val="18"/>
              </w:rPr>
              <w:t>145</w:t>
            </w:r>
          </w:p>
        </w:tc>
      </w:tr>
      <w:tr>
        <w:tc>
          <w:tcPr>
            <w:tcW w:w="4570" w:type="dxa"/>
            <w:shd w:val="clear" w:color="auto" w:fill="auto"/>
            <w:vAlign w:val="center"/>
          </w:tcPr>
          <w:p>
            <w:pPr>
              <w:spacing w:before="60"/>
              <w:rPr>
                <w:noProof/>
                <w:sz w:val="18"/>
                <w:szCs w:val="18"/>
              </w:rPr>
            </w:pPr>
            <w:r>
              <w:rPr>
                <w:noProof/>
                <w:sz w:val="18"/>
              </w:rPr>
              <w:t>32.020101 — По-нататъшно интегриране на вътрешния енергиен пазар и оперативната съвместимост на трансграничните електроенергийни и газови мрежи</w:t>
            </w:r>
            <w:r>
              <w:rPr>
                <w:noProof/>
                <w:sz w:val="18"/>
                <w:szCs w:val="18"/>
              </w:rPr>
              <w:br/>
            </w:r>
            <w:r>
              <w:rPr>
                <w:noProof/>
                <w:sz w:val="18"/>
                <w:szCs w:val="18"/>
              </w:rPr>
              <w:br/>
            </w:r>
            <w:r>
              <w:rPr>
                <w:noProof/>
                <w:sz w:val="18"/>
                <w:szCs w:val="18"/>
              </w:rPr>
              <w:br/>
            </w:r>
            <w:r>
              <w:rPr>
                <w:noProof/>
                <w:sz w:val="18"/>
              </w:rPr>
              <w:t>32.020102 — Повишаване на сигурността на енергийните доставки в Съюза</w:t>
            </w:r>
          </w:p>
          <w:p>
            <w:pPr>
              <w:spacing w:before="60"/>
              <w:rPr>
                <w:noProof/>
                <w:sz w:val="18"/>
                <w:szCs w:val="18"/>
              </w:rPr>
            </w:pPr>
          </w:p>
          <w:p>
            <w:pPr>
              <w:spacing w:before="60"/>
              <w:rPr>
                <w:noProof/>
                <w:sz w:val="18"/>
                <w:szCs w:val="18"/>
              </w:rPr>
            </w:pPr>
            <w:r>
              <w:rPr>
                <w:noProof/>
                <w:sz w:val="18"/>
              </w:rPr>
              <w:t xml:space="preserve">32.020103 — Принос за устойчиво развитие и опазване на околната среда  </w:t>
            </w:r>
            <w:r>
              <w:rPr>
                <w:noProof/>
                <w:sz w:val="18"/>
                <w:szCs w:val="18"/>
              </w:rPr>
              <w:br/>
            </w:r>
          </w:p>
          <w:p>
            <w:pPr>
              <w:spacing w:before="60"/>
              <w:jc w:val="left"/>
              <w:rPr>
                <w:noProof/>
                <w:sz w:val="18"/>
                <w:szCs w:val="18"/>
              </w:rPr>
            </w:pPr>
            <w:r>
              <w:rPr>
                <w:noProof/>
                <w:sz w:val="18"/>
              </w:rPr>
              <w:t>09.0303 — Насърчаване на оперативната съвместимост, устойчивото внедряване, експлоатацията и модернизирането на трансевропейските инфраструктури за цифрови услуги, както и на координацията на европейско равнище</w:t>
            </w:r>
          </w:p>
        </w:tc>
        <w:tc>
          <w:tcPr>
            <w:tcW w:w="1251" w:type="dxa"/>
            <w:shd w:val="clear" w:color="auto" w:fill="auto"/>
          </w:tcPr>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jc w:val="right"/>
              <w:rPr>
                <w:noProof/>
                <w:sz w:val="18"/>
                <w:szCs w:val="18"/>
              </w:rPr>
            </w:pPr>
            <w:r>
              <w:rPr>
                <w:noProof/>
                <w:sz w:val="18"/>
              </w:rPr>
              <w:t>10</w:t>
            </w:r>
          </w:p>
        </w:tc>
        <w:tc>
          <w:tcPr>
            <w:tcW w:w="1245" w:type="dxa"/>
            <w:shd w:val="clear" w:color="auto" w:fill="auto"/>
          </w:tcPr>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jc w:val="right"/>
              <w:rPr>
                <w:noProof/>
                <w:sz w:val="18"/>
                <w:szCs w:val="18"/>
              </w:rPr>
            </w:pPr>
            <w:r>
              <w:rPr>
                <w:noProof/>
                <w:sz w:val="18"/>
              </w:rPr>
              <w:t>15</w:t>
            </w:r>
          </w:p>
        </w:tc>
        <w:tc>
          <w:tcPr>
            <w:tcW w:w="1167" w:type="dxa"/>
            <w:shd w:val="clear" w:color="auto" w:fill="auto"/>
          </w:tcPr>
          <w:p>
            <w:pPr>
              <w:pStyle w:val="Text1"/>
              <w:ind w:left="0"/>
              <w:jc w:val="right"/>
              <w:rPr>
                <w:noProof/>
                <w:sz w:val="18"/>
                <w:szCs w:val="18"/>
              </w:rPr>
            </w:pPr>
            <w:r>
              <w:rPr>
                <w:noProof/>
                <w:sz w:val="18"/>
              </w:rPr>
              <w:t>40</w:t>
            </w:r>
          </w:p>
          <w:p>
            <w:pPr>
              <w:pStyle w:val="Text1"/>
              <w:ind w:left="0"/>
              <w:jc w:val="right"/>
              <w:rPr>
                <w:noProof/>
                <w:sz w:val="18"/>
                <w:szCs w:val="18"/>
              </w:rPr>
            </w:pPr>
          </w:p>
          <w:p>
            <w:pPr>
              <w:pStyle w:val="Text1"/>
              <w:ind w:left="0"/>
              <w:jc w:val="right"/>
              <w:rPr>
                <w:noProof/>
                <w:sz w:val="18"/>
                <w:szCs w:val="18"/>
              </w:rPr>
            </w:pPr>
          </w:p>
          <w:p>
            <w:pPr>
              <w:pStyle w:val="Text1"/>
              <w:ind w:left="0"/>
              <w:jc w:val="right"/>
              <w:rPr>
                <w:noProof/>
                <w:sz w:val="18"/>
                <w:szCs w:val="18"/>
              </w:rPr>
            </w:pPr>
            <w:r>
              <w:rPr>
                <w:noProof/>
                <w:sz w:val="18"/>
              </w:rPr>
              <w:t>40</w:t>
            </w:r>
          </w:p>
          <w:p>
            <w:pPr>
              <w:pStyle w:val="Text1"/>
              <w:ind w:left="0"/>
              <w:jc w:val="right"/>
              <w:rPr>
                <w:noProof/>
                <w:sz w:val="18"/>
                <w:szCs w:val="18"/>
              </w:rPr>
            </w:pPr>
          </w:p>
          <w:p>
            <w:pPr>
              <w:pStyle w:val="Text1"/>
              <w:ind w:left="0"/>
              <w:jc w:val="right"/>
              <w:rPr>
                <w:noProof/>
                <w:sz w:val="18"/>
                <w:szCs w:val="18"/>
              </w:rPr>
            </w:pPr>
            <w:r>
              <w:rPr>
                <w:noProof/>
                <w:sz w:val="18"/>
              </w:rPr>
              <w:t>40</w:t>
            </w:r>
          </w:p>
          <w:p>
            <w:pPr>
              <w:pStyle w:val="Text1"/>
              <w:ind w:left="0"/>
              <w:jc w:val="right"/>
              <w:rPr>
                <w:noProof/>
                <w:sz w:val="18"/>
                <w:szCs w:val="18"/>
              </w:rPr>
            </w:pPr>
          </w:p>
          <w:p>
            <w:pPr>
              <w:pStyle w:val="Text1"/>
              <w:ind w:left="0"/>
              <w:jc w:val="right"/>
              <w:rPr>
                <w:noProof/>
                <w:sz w:val="18"/>
                <w:szCs w:val="18"/>
              </w:rPr>
            </w:pPr>
          </w:p>
          <w:p>
            <w:pPr>
              <w:jc w:val="right"/>
              <w:rPr>
                <w:noProof/>
                <w:sz w:val="18"/>
                <w:szCs w:val="18"/>
              </w:rPr>
            </w:pPr>
            <w:r>
              <w:rPr>
                <w:noProof/>
                <w:sz w:val="18"/>
              </w:rPr>
              <w:t>25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Default"/>
              <w:spacing w:before="60" w:after="60"/>
              <w:jc w:val="both"/>
              <w:rPr>
                <w:noProof/>
                <w:color w:val="auto"/>
                <w:sz w:val="16"/>
                <w:szCs w:val="16"/>
                <w:lang w:val="bg-BG"/>
              </w:rPr>
            </w:pPr>
            <w:r>
              <w:rPr>
                <w:noProof/>
                <w:color w:val="auto"/>
                <w:sz w:val="16"/>
                <w:lang w:val="bg-BG"/>
              </w:rPr>
              <w:t>ЕВРОПЕЙСКИ ПРОГРАМИ ЗА СПЪТНИКОВА НАВИГАЦИЯ (EGNOS И „ГАЛИЛЕО“)</w:t>
            </w:r>
            <w:r>
              <w:rPr>
                <w:noProof/>
                <w:color w:val="auto"/>
                <w:sz w:val="18"/>
                <w:lang w:val="bg-BG"/>
              </w:rPr>
              <w:t xml:space="preserve">, от които </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135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 xml:space="preserve">02.0501 — Разработване и осигуряване на глобални инфраструктури и услуги за спътникова радионавигация („Галилео“) до 2020 г. </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80</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50</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130</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6"/>
                <w:szCs w:val="16"/>
              </w:rPr>
            </w:pPr>
            <w:r>
              <w:rPr>
                <w:noProof/>
                <w:sz w:val="18"/>
              </w:rPr>
              <w:t>02.0502 — Предоставяне на спътникови услуги, които да подобрят работата на Глобалната система за позициониране (GPS), която постепенно да обхване целия регион на Европейската конференция за гражданска авиация (ЕКГА) до 2020 г. (EGNOS)</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Програма на Съюза за наблюдение и мониторинг на Земята, от която</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02.0601 — Предоставяне на оперативни услуги, основаващи се на космически наблюдения и данни in-situ („Коперник“)</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10</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 xml:space="preserve">Проект ITER, от който </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80</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32.050102 — Изграждане, работа и експлоатация на съоръженията на ITER — Европейско съвместно предприятие за „ITER“ — „Ядрен синтез за добиване на енергия“ (F4E)</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30</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50</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80</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Неразпределен марж, от който</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125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 xml:space="preserve">Неразпределен марж </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55</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70</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125</w:t>
            </w:r>
          </w:p>
        </w:tc>
      </w:tr>
    </w:tbl>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1A</w:t>
            </w:r>
          </w:p>
        </w:tc>
        <w:tc>
          <w:tcPr>
            <w:tcW w:w="7817" w:type="dxa"/>
            <w:vAlign w:val="center"/>
          </w:tcPr>
          <w:p>
            <w:pPr>
              <w:spacing w:before="60" w:after="60"/>
              <w:jc w:val="left"/>
              <w:rPr>
                <w:noProof/>
              </w:rPr>
            </w:pPr>
            <w:r>
              <w:rPr>
                <w:noProof/>
              </w:rPr>
              <w:t>Конкурентоспособност за растеж и работни места</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tc>
          <w:tcPr>
            <w:tcW w:w="3960" w:type="dxa"/>
            <w:vAlign w:val="center"/>
          </w:tcPr>
          <w:p>
            <w:pPr>
              <w:jc w:val="center"/>
              <w:rPr>
                <w:noProof/>
              </w:rPr>
            </w:pPr>
            <w:r>
              <w:rPr>
                <w:noProof/>
                <w:sz w:val="22"/>
              </w:rPr>
              <w:t>ГД: „Вътрешен пазар, промишленост, предприемачество и МСП“</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868" w:type="dxa"/>
            <w:vAlign w:val="center"/>
          </w:tcPr>
          <w:p>
            <w:pPr>
              <w:jc w:val="center"/>
              <w:rPr>
                <w:noProof/>
                <w:sz w:val="20"/>
              </w:rPr>
            </w:pPr>
            <w:r>
              <w:rPr>
                <w:noProof/>
                <w:sz w:val="20"/>
              </w:rPr>
              <w:t>2021 г.</w:t>
            </w:r>
          </w:p>
        </w:tc>
        <w:tc>
          <w:tcPr>
            <w:tcW w:w="868" w:type="dxa"/>
            <w:vAlign w:val="center"/>
          </w:tcPr>
          <w:p>
            <w:pPr>
              <w:jc w:val="center"/>
              <w:rPr>
                <w:noProof/>
                <w:sz w:val="20"/>
              </w:rPr>
            </w:pPr>
            <w:r>
              <w:rPr>
                <w:noProof/>
                <w:sz w:val="20"/>
              </w:rPr>
              <w:t>2022 г.</w:t>
            </w:r>
          </w:p>
        </w:tc>
        <w:tc>
          <w:tcPr>
            <w:tcW w:w="868" w:type="dxa"/>
            <w:vAlign w:val="center"/>
          </w:tcPr>
          <w:p>
            <w:pPr>
              <w:jc w:val="center"/>
              <w:rPr>
                <w:b/>
                <w:noProof/>
                <w:sz w:val="18"/>
              </w:rPr>
            </w:pPr>
            <w:r>
              <w:rPr>
                <w:noProof/>
                <w:sz w:val="18"/>
              </w:rPr>
              <w:t>2023 г.</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b/>
                <w:noProof/>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02.07 01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244,7</w:t>
            </w:r>
          </w:p>
        </w:tc>
        <w:tc>
          <w:tcPr>
            <w:tcW w:w="868" w:type="dxa"/>
            <w:vAlign w:val="center"/>
          </w:tcPr>
          <w:p>
            <w:pPr>
              <w:spacing w:before="20" w:after="20"/>
              <w:jc w:val="right"/>
              <w:rPr>
                <w:noProof/>
                <w:sz w:val="20"/>
              </w:rPr>
            </w:pPr>
            <w:r>
              <w:rPr>
                <w:noProof/>
                <w:sz w:val="20"/>
              </w:rPr>
              <w:t>254,5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499,2</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146,7</w:t>
            </w:r>
          </w:p>
        </w:tc>
        <w:tc>
          <w:tcPr>
            <w:tcW w:w="868" w:type="dxa"/>
            <w:vAlign w:val="center"/>
          </w:tcPr>
          <w:p>
            <w:pPr>
              <w:spacing w:before="20" w:after="20"/>
              <w:jc w:val="right"/>
              <w:rPr>
                <w:noProof/>
                <w:sz w:val="20"/>
              </w:rPr>
            </w:pPr>
            <w:r>
              <w:rPr>
                <w:noProof/>
                <w:sz w:val="20"/>
              </w:rPr>
              <w:t>201,5</w:t>
            </w:r>
          </w:p>
        </w:tc>
        <w:tc>
          <w:tcPr>
            <w:tcW w:w="868" w:type="dxa"/>
            <w:vAlign w:val="center"/>
          </w:tcPr>
          <w:p>
            <w:pPr>
              <w:spacing w:before="20" w:after="20"/>
              <w:jc w:val="right"/>
              <w:rPr>
                <w:noProof/>
                <w:sz w:val="20"/>
              </w:rPr>
            </w:pPr>
            <w:r>
              <w:rPr>
                <w:noProof/>
                <w:sz w:val="20"/>
              </w:rPr>
              <w:t>100</w:t>
            </w:r>
          </w:p>
        </w:tc>
        <w:tc>
          <w:tcPr>
            <w:tcW w:w="868" w:type="dxa"/>
            <w:vAlign w:val="center"/>
          </w:tcPr>
          <w:p>
            <w:pPr>
              <w:spacing w:before="20" w:after="20"/>
              <w:jc w:val="right"/>
              <w:rPr>
                <w:noProof/>
                <w:sz w:val="20"/>
              </w:rPr>
            </w:pPr>
            <w:r>
              <w:rPr>
                <w:noProof/>
                <w:sz w:val="20"/>
              </w:rPr>
              <w:t>51</w:t>
            </w:r>
          </w:p>
        </w:tc>
        <w:tc>
          <w:tcPr>
            <w:tcW w:w="868" w:type="dxa"/>
            <w:vAlign w:val="center"/>
          </w:tcPr>
          <w:p>
            <w:pPr>
              <w:spacing w:before="20" w:after="20"/>
              <w:jc w:val="right"/>
              <w:rPr>
                <w:noProof/>
                <w:sz w:val="20"/>
              </w:rPr>
            </w:pPr>
            <w:r>
              <w:rPr>
                <w:noProof/>
                <w:sz w:val="20"/>
              </w:rPr>
              <w:t>p.m</w:t>
            </w:r>
          </w:p>
        </w:tc>
        <w:tc>
          <w:tcPr>
            <w:tcW w:w="1777" w:type="dxa"/>
            <w:vAlign w:val="center"/>
          </w:tcPr>
          <w:p>
            <w:pPr>
              <w:spacing w:before="20" w:after="20"/>
              <w:jc w:val="right"/>
              <w:rPr>
                <w:b/>
                <w:noProof/>
                <w:sz w:val="20"/>
              </w:rPr>
            </w:pPr>
            <w:r>
              <w:rPr>
                <w:b/>
                <w:noProof/>
                <w:sz w:val="20"/>
              </w:rPr>
              <w:t>499,2</w:t>
            </w:r>
          </w:p>
        </w:tc>
      </w:tr>
      <w:tr>
        <w:trPr>
          <w:trHeight w:val="231"/>
        </w:trPr>
        <w:tc>
          <w:tcPr>
            <w:tcW w:w="6054" w:type="dxa"/>
            <w:gridSpan w:val="4"/>
            <w:vAlign w:val="bottom"/>
          </w:tcPr>
          <w:p>
            <w:pPr>
              <w:spacing w:before="20" w:after="20"/>
              <w:jc w:val="center"/>
              <w:rPr>
                <w:noProof/>
                <w:sz w:val="21"/>
              </w:rPr>
            </w:pPr>
          </w:p>
          <w:p>
            <w:pPr>
              <w:spacing w:before="20" w:after="20"/>
              <w:jc w:val="center"/>
              <w:rPr>
                <w:noProof/>
              </w:rPr>
            </w:pPr>
            <w:r>
              <w:rPr>
                <w:noProof/>
                <w:sz w:val="21"/>
              </w:rPr>
              <w:sym w:font="Wingdings" w:char="F09F"/>
            </w:r>
            <w:r>
              <w:rPr>
                <w:noProof/>
              </w:rPr>
              <w:t>Бюджетни кредити за административни разходи, финансирани от пакета за определени програми</w:t>
            </w:r>
            <w:r>
              <w:rPr>
                <w:rStyle w:val="FootnoteReference"/>
                <w:noProof/>
              </w:rPr>
              <w:footnoteReference w:id="16"/>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02.01 04 05</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0,3</w:t>
            </w:r>
          </w:p>
        </w:tc>
        <w:tc>
          <w:tcPr>
            <w:tcW w:w="868" w:type="dxa"/>
            <w:vAlign w:val="center"/>
          </w:tcPr>
          <w:p>
            <w:pPr>
              <w:spacing w:before="40" w:after="40"/>
              <w:jc w:val="right"/>
              <w:rPr>
                <w:noProof/>
                <w:sz w:val="20"/>
              </w:rPr>
            </w:pPr>
            <w:r>
              <w:rPr>
                <w:noProof/>
                <w:sz w:val="20"/>
              </w:rPr>
              <w:t>0,5</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r>
              <w:rPr>
                <w:b/>
                <w:noProof/>
                <w:sz w:val="20"/>
              </w:rPr>
              <w:t>0,8</w:t>
            </w:r>
          </w:p>
        </w:tc>
      </w:tr>
      <w:tr>
        <w:tc>
          <w:tcPr>
            <w:tcW w:w="3960" w:type="dxa"/>
            <w:vMerge w:val="restart"/>
            <w:vAlign w:val="center"/>
          </w:tcPr>
          <w:p>
            <w:pPr>
              <w:jc w:val="center"/>
              <w:rPr>
                <w:b/>
                <w:noProof/>
              </w:rPr>
            </w:pPr>
            <w:r>
              <w:rPr>
                <w:b/>
                <w:noProof/>
              </w:rPr>
              <w:t>ОБЩО бюджетни кредити</w:t>
            </w:r>
            <w:r>
              <w:rPr>
                <w:noProof/>
                <w:sz w:val="22"/>
              </w:rPr>
              <w:br/>
            </w:r>
            <w:r>
              <w:rPr>
                <w:b/>
                <w:noProof/>
                <w:sz w:val="22"/>
              </w:rPr>
              <w:t>за ГД „ВЪТРЕШЕН ПАЗАР, ПРОМИШЛЕНОСТ, ПРЕДПРИЕМАЧЕСТВО И МСП“</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vAlign w:val="center"/>
          </w:tcPr>
          <w:p>
            <w:pPr>
              <w:spacing w:before="20" w:after="20"/>
              <w:jc w:val="right"/>
              <w:rPr>
                <w:noProof/>
                <w:sz w:val="20"/>
              </w:rPr>
            </w:pPr>
            <w:r>
              <w:rPr>
                <w:noProof/>
                <w:sz w:val="20"/>
              </w:rPr>
              <w:t>245</w:t>
            </w:r>
          </w:p>
        </w:tc>
        <w:tc>
          <w:tcPr>
            <w:tcW w:w="868" w:type="dxa"/>
            <w:vAlign w:val="center"/>
          </w:tcPr>
          <w:p>
            <w:pPr>
              <w:spacing w:before="20" w:after="20"/>
              <w:jc w:val="right"/>
              <w:rPr>
                <w:noProof/>
                <w:sz w:val="20"/>
              </w:rPr>
            </w:pPr>
            <w:r>
              <w:rPr>
                <w:noProof/>
                <w:sz w:val="20"/>
              </w:rPr>
              <w:t>255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500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147</w:t>
            </w:r>
          </w:p>
        </w:tc>
        <w:tc>
          <w:tcPr>
            <w:tcW w:w="868" w:type="dxa"/>
            <w:vAlign w:val="center"/>
          </w:tcPr>
          <w:p>
            <w:pPr>
              <w:spacing w:before="20" w:after="20"/>
              <w:jc w:val="right"/>
              <w:rPr>
                <w:noProof/>
                <w:sz w:val="20"/>
              </w:rPr>
            </w:pPr>
            <w:r>
              <w:rPr>
                <w:noProof/>
                <w:sz w:val="20"/>
              </w:rPr>
              <w:t>202</w:t>
            </w:r>
          </w:p>
        </w:tc>
        <w:tc>
          <w:tcPr>
            <w:tcW w:w="868" w:type="dxa"/>
            <w:vAlign w:val="center"/>
          </w:tcPr>
          <w:p>
            <w:pPr>
              <w:spacing w:before="20" w:after="20"/>
              <w:jc w:val="right"/>
              <w:rPr>
                <w:noProof/>
                <w:sz w:val="20"/>
              </w:rPr>
            </w:pPr>
            <w:r>
              <w:rPr>
                <w:noProof/>
                <w:sz w:val="20"/>
              </w:rPr>
              <w:t>100</w:t>
            </w:r>
          </w:p>
        </w:tc>
        <w:tc>
          <w:tcPr>
            <w:tcW w:w="868" w:type="dxa"/>
            <w:vAlign w:val="center"/>
          </w:tcPr>
          <w:p>
            <w:pPr>
              <w:spacing w:before="20" w:after="20"/>
              <w:jc w:val="right"/>
              <w:rPr>
                <w:noProof/>
                <w:sz w:val="20"/>
              </w:rPr>
            </w:pPr>
            <w:r>
              <w:rPr>
                <w:noProof/>
                <w:sz w:val="20"/>
              </w:rPr>
              <w:t>51</w:t>
            </w:r>
          </w:p>
        </w:tc>
        <w:tc>
          <w:tcPr>
            <w:tcW w:w="868" w:type="dxa"/>
            <w:vAlign w:val="center"/>
          </w:tcPr>
          <w:p>
            <w:pPr>
              <w:spacing w:before="20" w:after="20"/>
              <w:jc w:val="right"/>
              <w:rPr>
                <w:noProof/>
                <w:sz w:val="20"/>
              </w:rPr>
            </w:pPr>
            <w:r>
              <w:rPr>
                <w:noProof/>
                <w:sz w:val="20"/>
              </w:rPr>
              <w:t xml:space="preserve">p.m. </w:t>
            </w:r>
          </w:p>
        </w:tc>
        <w:tc>
          <w:tcPr>
            <w:tcW w:w="1777" w:type="dxa"/>
            <w:vAlign w:val="center"/>
          </w:tcPr>
          <w:p>
            <w:pPr>
              <w:spacing w:before="20" w:after="20"/>
              <w:jc w:val="right"/>
              <w:rPr>
                <w:b/>
                <w:noProof/>
                <w:sz w:val="20"/>
              </w:rPr>
            </w:pPr>
            <w:r>
              <w:rPr>
                <w:b/>
                <w:noProof/>
                <w:sz w:val="20"/>
              </w:rPr>
              <w:t>500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244,7</w:t>
            </w:r>
          </w:p>
        </w:tc>
        <w:tc>
          <w:tcPr>
            <w:tcW w:w="868" w:type="dxa"/>
            <w:vAlign w:val="center"/>
          </w:tcPr>
          <w:p>
            <w:pPr>
              <w:spacing w:before="20" w:after="20"/>
              <w:jc w:val="right"/>
              <w:rPr>
                <w:noProof/>
                <w:sz w:val="20"/>
              </w:rPr>
            </w:pPr>
            <w:r>
              <w:rPr>
                <w:noProof/>
                <w:sz w:val="20"/>
              </w:rPr>
              <w:t>254,5</w:t>
            </w:r>
          </w:p>
        </w:tc>
        <w:tc>
          <w:tcPr>
            <w:tcW w:w="868" w:type="dxa"/>
            <w:vAlign w:val="center"/>
          </w:tcPr>
          <w:p>
            <w:pPr>
              <w:spacing w:before="20" w:after="20"/>
              <w:jc w:val="right"/>
              <w:rPr>
                <w:noProof/>
                <w:sz w:val="20"/>
              </w:rPr>
            </w:pPr>
            <w:r>
              <w:rPr>
                <w:noProof/>
                <w:sz w:val="20"/>
              </w:rPr>
              <w:t> </w:t>
            </w:r>
          </w:p>
        </w:tc>
        <w:tc>
          <w:tcPr>
            <w:tcW w:w="868" w:type="dxa"/>
            <w:vAlign w:val="center"/>
          </w:tcPr>
          <w:p>
            <w:pPr>
              <w:spacing w:before="20" w:after="20"/>
              <w:jc w:val="right"/>
              <w:rPr>
                <w:noProof/>
                <w:sz w:val="20"/>
              </w:rPr>
            </w:pPr>
            <w:r>
              <w:rPr>
                <w:noProof/>
                <w:sz w:val="20"/>
              </w:rPr>
              <w:t> </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499,2</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146,7</w:t>
            </w:r>
          </w:p>
        </w:tc>
        <w:tc>
          <w:tcPr>
            <w:tcW w:w="868" w:type="dxa"/>
            <w:vAlign w:val="center"/>
          </w:tcPr>
          <w:p>
            <w:pPr>
              <w:spacing w:before="20" w:after="20"/>
              <w:jc w:val="right"/>
              <w:rPr>
                <w:noProof/>
                <w:sz w:val="20"/>
              </w:rPr>
            </w:pPr>
            <w:r>
              <w:rPr>
                <w:noProof/>
                <w:sz w:val="20"/>
              </w:rPr>
              <w:t>201,5</w:t>
            </w:r>
          </w:p>
        </w:tc>
        <w:tc>
          <w:tcPr>
            <w:tcW w:w="868" w:type="dxa"/>
            <w:vAlign w:val="center"/>
          </w:tcPr>
          <w:p>
            <w:pPr>
              <w:spacing w:before="20" w:after="20"/>
              <w:jc w:val="right"/>
              <w:rPr>
                <w:noProof/>
                <w:sz w:val="20"/>
              </w:rPr>
            </w:pPr>
            <w:r>
              <w:rPr>
                <w:noProof/>
                <w:sz w:val="20"/>
              </w:rPr>
              <w:t>100</w:t>
            </w:r>
          </w:p>
        </w:tc>
        <w:tc>
          <w:tcPr>
            <w:tcW w:w="868" w:type="dxa"/>
            <w:vAlign w:val="center"/>
          </w:tcPr>
          <w:p>
            <w:pPr>
              <w:spacing w:before="20" w:after="20"/>
              <w:jc w:val="right"/>
              <w:rPr>
                <w:noProof/>
                <w:sz w:val="20"/>
              </w:rPr>
            </w:pPr>
            <w:r>
              <w:rPr>
                <w:noProof/>
                <w:sz w:val="20"/>
              </w:rPr>
              <w:t>51</w:t>
            </w:r>
          </w:p>
        </w:tc>
        <w:tc>
          <w:tcPr>
            <w:tcW w:w="868" w:type="dxa"/>
            <w:vAlign w:val="center"/>
          </w:tcPr>
          <w:p>
            <w:pPr>
              <w:spacing w:before="20" w:after="20"/>
              <w:jc w:val="right"/>
              <w:rPr>
                <w:noProof/>
                <w:sz w:val="20"/>
              </w:rPr>
            </w:pPr>
            <w:r>
              <w:rPr>
                <w:noProof/>
                <w:sz w:val="20"/>
              </w:rPr>
              <w:t xml:space="preserve">p.m. </w:t>
            </w:r>
          </w:p>
        </w:tc>
        <w:tc>
          <w:tcPr>
            <w:tcW w:w="1777" w:type="dxa"/>
            <w:vAlign w:val="center"/>
          </w:tcPr>
          <w:p>
            <w:pPr>
              <w:spacing w:before="20" w:after="20"/>
              <w:jc w:val="right"/>
              <w:rPr>
                <w:b/>
                <w:noProof/>
                <w:sz w:val="20"/>
              </w:rPr>
            </w:pPr>
            <w:r>
              <w:rPr>
                <w:b/>
                <w:noProof/>
                <w:sz w:val="20"/>
              </w:rPr>
              <w:t>499,2</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shd w:val="clear" w:color="auto" w:fill="auto"/>
            <w:vAlign w:val="center"/>
          </w:tcPr>
          <w:p>
            <w:pPr>
              <w:spacing w:before="20" w:after="20"/>
              <w:jc w:val="right"/>
              <w:rPr>
                <w:b/>
                <w:noProof/>
                <w:sz w:val="20"/>
              </w:rPr>
            </w:pPr>
            <w:r>
              <w:rPr>
                <w:noProof/>
                <w:sz w:val="20"/>
              </w:rPr>
              <w:t>0,3</w:t>
            </w:r>
          </w:p>
        </w:tc>
        <w:tc>
          <w:tcPr>
            <w:tcW w:w="868" w:type="dxa"/>
            <w:shd w:val="clear" w:color="auto" w:fill="auto"/>
            <w:vAlign w:val="center"/>
          </w:tcPr>
          <w:p>
            <w:pPr>
              <w:spacing w:before="20" w:after="20"/>
              <w:jc w:val="right"/>
              <w:rPr>
                <w:b/>
                <w:noProof/>
                <w:sz w:val="20"/>
              </w:rPr>
            </w:pPr>
            <w:r>
              <w:rPr>
                <w:noProof/>
                <w:sz w:val="20"/>
              </w:rPr>
              <w:t>0,5</w:t>
            </w: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1777" w:type="dxa"/>
            <w:shd w:val="clear" w:color="auto" w:fill="auto"/>
            <w:vAlign w:val="center"/>
          </w:tcPr>
          <w:p>
            <w:pPr>
              <w:spacing w:before="20" w:after="20"/>
              <w:jc w:val="right"/>
              <w:rPr>
                <w:b/>
                <w:noProof/>
                <w:sz w:val="20"/>
              </w:rPr>
            </w:pPr>
            <w:r>
              <w:rPr>
                <w:b/>
                <w:noProof/>
                <w:sz w:val="20"/>
              </w:rPr>
              <w:t>0,8</w:t>
            </w:r>
          </w:p>
        </w:tc>
      </w:tr>
      <w:tr>
        <w:tc>
          <w:tcPr>
            <w:tcW w:w="3960" w:type="dxa"/>
            <w:vMerge w:val="restart"/>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ФУНКЦИЯ 1</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shd w:val="clear" w:color="auto" w:fill="auto"/>
            <w:vAlign w:val="center"/>
          </w:tcPr>
          <w:p>
            <w:pPr>
              <w:spacing w:before="20" w:after="20"/>
              <w:jc w:val="right"/>
              <w:rPr>
                <w:noProof/>
                <w:sz w:val="20"/>
              </w:rPr>
            </w:pPr>
            <w:r>
              <w:rPr>
                <w:noProof/>
                <w:sz w:val="20"/>
              </w:rPr>
              <w:t>245</w:t>
            </w:r>
          </w:p>
        </w:tc>
        <w:tc>
          <w:tcPr>
            <w:tcW w:w="868" w:type="dxa"/>
            <w:shd w:val="clear" w:color="auto" w:fill="auto"/>
            <w:vAlign w:val="center"/>
          </w:tcPr>
          <w:p>
            <w:pPr>
              <w:spacing w:before="20" w:after="20"/>
              <w:jc w:val="right"/>
              <w:rPr>
                <w:noProof/>
                <w:sz w:val="20"/>
              </w:rPr>
            </w:pPr>
            <w:r>
              <w:rPr>
                <w:noProof/>
                <w:sz w:val="20"/>
              </w:rPr>
              <w:t>255</w:t>
            </w:r>
          </w:p>
        </w:tc>
        <w:tc>
          <w:tcPr>
            <w:tcW w:w="868" w:type="dxa"/>
            <w:shd w:val="clear" w:color="auto" w:fill="auto"/>
            <w:vAlign w:val="center"/>
          </w:tcPr>
          <w:p>
            <w:pPr>
              <w:spacing w:before="20" w:after="20"/>
              <w:jc w:val="right"/>
              <w:rPr>
                <w:noProof/>
                <w:sz w:val="20"/>
              </w:rPr>
            </w:pPr>
            <w:r>
              <w:rPr>
                <w:noProof/>
                <w:sz w:val="20"/>
              </w:rPr>
              <w:t> </w:t>
            </w:r>
          </w:p>
        </w:tc>
        <w:tc>
          <w:tcPr>
            <w:tcW w:w="868" w:type="dxa"/>
            <w:shd w:val="clear" w:color="auto" w:fill="auto"/>
            <w:vAlign w:val="center"/>
          </w:tcPr>
          <w:p>
            <w:pPr>
              <w:spacing w:before="20" w:after="20"/>
              <w:jc w:val="right"/>
              <w:rPr>
                <w:noProof/>
                <w:sz w:val="20"/>
              </w:rPr>
            </w:pPr>
            <w:r>
              <w:rPr>
                <w:noProof/>
                <w:sz w:val="20"/>
              </w:rPr>
              <w:t> </w:t>
            </w: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right"/>
              <w:rPr>
                <w:b/>
                <w:noProof/>
                <w:sz w:val="20"/>
              </w:rPr>
            </w:pPr>
            <w:r>
              <w:rPr>
                <w:b/>
                <w:noProof/>
                <w:sz w:val="20"/>
              </w:rPr>
              <w:t>500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shd w:val="clear" w:color="auto" w:fill="auto"/>
            <w:vAlign w:val="center"/>
          </w:tcPr>
          <w:p>
            <w:pPr>
              <w:spacing w:before="20" w:after="20"/>
              <w:jc w:val="right"/>
              <w:rPr>
                <w:noProof/>
                <w:sz w:val="20"/>
              </w:rPr>
            </w:pPr>
            <w:r>
              <w:rPr>
                <w:noProof/>
                <w:sz w:val="20"/>
              </w:rPr>
              <w:t>147</w:t>
            </w:r>
          </w:p>
        </w:tc>
        <w:tc>
          <w:tcPr>
            <w:tcW w:w="868" w:type="dxa"/>
            <w:shd w:val="clear" w:color="auto" w:fill="auto"/>
            <w:vAlign w:val="center"/>
          </w:tcPr>
          <w:p>
            <w:pPr>
              <w:spacing w:before="20" w:after="20"/>
              <w:jc w:val="right"/>
              <w:rPr>
                <w:noProof/>
                <w:sz w:val="20"/>
              </w:rPr>
            </w:pPr>
            <w:r>
              <w:rPr>
                <w:noProof/>
                <w:sz w:val="20"/>
              </w:rPr>
              <w:t>202</w:t>
            </w:r>
          </w:p>
        </w:tc>
        <w:tc>
          <w:tcPr>
            <w:tcW w:w="868" w:type="dxa"/>
            <w:shd w:val="clear" w:color="auto" w:fill="auto"/>
            <w:vAlign w:val="center"/>
          </w:tcPr>
          <w:p>
            <w:pPr>
              <w:spacing w:before="20" w:after="20"/>
              <w:jc w:val="right"/>
              <w:rPr>
                <w:noProof/>
                <w:sz w:val="20"/>
              </w:rPr>
            </w:pPr>
            <w:r>
              <w:rPr>
                <w:noProof/>
                <w:sz w:val="20"/>
              </w:rPr>
              <w:t>100</w:t>
            </w:r>
          </w:p>
        </w:tc>
        <w:tc>
          <w:tcPr>
            <w:tcW w:w="868" w:type="dxa"/>
            <w:shd w:val="clear" w:color="auto" w:fill="auto"/>
            <w:vAlign w:val="center"/>
          </w:tcPr>
          <w:p>
            <w:pPr>
              <w:spacing w:before="20" w:after="20"/>
              <w:jc w:val="right"/>
              <w:rPr>
                <w:noProof/>
                <w:sz w:val="20"/>
              </w:rPr>
            </w:pPr>
            <w:r>
              <w:rPr>
                <w:noProof/>
                <w:sz w:val="20"/>
              </w:rPr>
              <w:t>51</w:t>
            </w:r>
          </w:p>
        </w:tc>
        <w:tc>
          <w:tcPr>
            <w:tcW w:w="868" w:type="dxa"/>
            <w:shd w:val="clear" w:color="auto" w:fill="auto"/>
            <w:vAlign w:val="center"/>
          </w:tcPr>
          <w:p>
            <w:pPr>
              <w:spacing w:before="20" w:after="20"/>
              <w:jc w:val="right"/>
              <w:rPr>
                <w:noProof/>
                <w:sz w:val="20"/>
              </w:rPr>
            </w:pPr>
            <w:r>
              <w:rPr>
                <w:noProof/>
                <w:sz w:val="20"/>
              </w:rPr>
              <w:t>p.m.</w:t>
            </w:r>
          </w:p>
        </w:tc>
        <w:tc>
          <w:tcPr>
            <w:tcW w:w="1777" w:type="dxa"/>
            <w:shd w:val="clear" w:color="auto" w:fill="auto"/>
            <w:vAlign w:val="center"/>
          </w:tcPr>
          <w:p>
            <w:pPr>
              <w:spacing w:before="20" w:after="20"/>
              <w:jc w:val="right"/>
              <w:rPr>
                <w:b/>
                <w:noProof/>
                <w:sz w:val="20"/>
              </w:rPr>
            </w:pPr>
            <w:r>
              <w:rPr>
                <w:b/>
                <w:noProof/>
                <w:sz w:val="20"/>
              </w:rPr>
              <w:t>500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rPr>
              <w:t xml:space="preserve">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868"/>
        <w:gridCol w:w="24"/>
        <w:gridCol w:w="868"/>
        <w:gridCol w:w="868"/>
        <w:gridCol w:w="868"/>
        <w:gridCol w:w="868"/>
        <w:gridCol w:w="1165"/>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10" w:type="dxa"/>
            <w:tcBorders>
              <w:top w:val="nil"/>
              <w:left w:val="nil"/>
            </w:tcBorders>
          </w:tcPr>
          <w:p>
            <w:pPr>
              <w:jc w:val="center"/>
              <w:rPr>
                <w:noProof/>
                <w:sz w:val="20"/>
              </w:rPr>
            </w:pPr>
          </w:p>
        </w:tc>
        <w:tc>
          <w:tcPr>
            <w:tcW w:w="892" w:type="dxa"/>
            <w:gridSpan w:val="2"/>
            <w:vAlign w:val="center"/>
          </w:tcPr>
          <w:p>
            <w:pPr>
              <w:jc w:val="center"/>
              <w:rPr>
                <w:noProof/>
                <w:sz w:val="20"/>
              </w:rPr>
            </w:pPr>
            <w:r>
              <w:rPr>
                <w:noProof/>
                <w:sz w:val="20"/>
              </w:rPr>
              <w:t>2018 г.</w:t>
            </w:r>
          </w:p>
        </w:tc>
        <w:tc>
          <w:tcPr>
            <w:tcW w:w="868"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868" w:type="dxa"/>
            <w:vAlign w:val="center"/>
          </w:tcPr>
          <w:p>
            <w:pPr>
              <w:jc w:val="center"/>
              <w:rPr>
                <w:noProof/>
                <w:sz w:val="20"/>
              </w:rPr>
            </w:pPr>
            <w:r>
              <w:rPr>
                <w:noProof/>
                <w:sz w:val="20"/>
              </w:rPr>
              <w:t>2021 г.</w:t>
            </w:r>
          </w:p>
        </w:tc>
        <w:tc>
          <w:tcPr>
            <w:tcW w:w="868" w:type="dxa"/>
            <w:vAlign w:val="center"/>
          </w:tcPr>
          <w:p>
            <w:pPr>
              <w:jc w:val="center"/>
              <w:rPr>
                <w:noProof/>
                <w:sz w:val="20"/>
              </w:rPr>
            </w:pPr>
            <w:r>
              <w:rPr>
                <w:noProof/>
                <w:sz w:val="20"/>
              </w:rPr>
              <w:t>2022 г.</w:t>
            </w:r>
          </w:p>
        </w:tc>
        <w:tc>
          <w:tcPr>
            <w:tcW w:w="1165" w:type="dxa"/>
            <w:vAlign w:val="center"/>
          </w:tcPr>
          <w:p>
            <w:pPr>
              <w:jc w:val="center"/>
              <w:rPr>
                <w:noProof/>
                <w:sz w:val="20"/>
              </w:rPr>
            </w:pPr>
            <w:r>
              <w:rPr>
                <w:noProof/>
                <w:sz w:val="20"/>
              </w:rPr>
              <w:t>2023 г.</w:t>
            </w:r>
          </w:p>
        </w:tc>
        <w:tc>
          <w:tcPr>
            <w:tcW w:w="1777" w:type="dxa"/>
            <w:vAlign w:val="center"/>
          </w:tcPr>
          <w:p>
            <w:pPr>
              <w:jc w:val="center"/>
              <w:rPr>
                <w:b/>
                <w:noProof/>
                <w:sz w:val="20"/>
              </w:rPr>
            </w:pPr>
            <w:r>
              <w:rPr>
                <w:b/>
                <w:noProof/>
                <w:sz w:val="20"/>
              </w:rPr>
              <w:t>ОБЩО</w:t>
            </w:r>
          </w:p>
        </w:tc>
      </w:tr>
      <w:tr>
        <w:trPr>
          <w:gridAfter w:val="7"/>
          <w:wAfter w:w="6438" w:type="dxa"/>
        </w:trPr>
        <w:tc>
          <w:tcPr>
            <w:tcW w:w="3960" w:type="dxa"/>
            <w:vAlign w:val="center"/>
          </w:tcPr>
          <w:p>
            <w:pPr>
              <w:spacing w:before="60" w:after="60"/>
              <w:jc w:val="center"/>
              <w:rPr>
                <w:noProof/>
              </w:rPr>
            </w:pPr>
            <w:r>
              <w:rPr>
                <w:noProof/>
                <w:sz w:val="22"/>
              </w:rPr>
              <w:t>ГД: „Вътрешен пазар, промишленост, предприемачество и МСП“</w:t>
            </w:r>
          </w:p>
        </w:tc>
        <w:tc>
          <w:tcPr>
            <w:tcW w:w="2070" w:type="dxa"/>
            <w:gridSpan w:val="2"/>
          </w:tcPr>
          <w:p>
            <w:pPr>
              <w:spacing w:before="60" w:after="60"/>
              <w:jc w:val="center"/>
              <w:rPr>
                <w:noProof/>
                <w:sz w:val="22"/>
              </w:rPr>
            </w:pPr>
          </w:p>
        </w:tc>
        <w:tc>
          <w:tcPr>
            <w:tcW w:w="868" w:type="dxa"/>
          </w:tcPr>
          <w:p>
            <w:pPr>
              <w:spacing w:before="60" w:after="60"/>
              <w:jc w:val="center"/>
              <w:rPr>
                <w:noProof/>
                <w:sz w:val="22"/>
              </w:rPr>
            </w:pPr>
          </w:p>
        </w:tc>
      </w:tr>
      <w:tr>
        <w:trPr>
          <w:trHeight w:val="313"/>
        </w:trPr>
        <w:tc>
          <w:tcPr>
            <w:tcW w:w="6030" w:type="dxa"/>
            <w:gridSpan w:val="3"/>
            <w:vAlign w:val="center"/>
          </w:tcPr>
          <w:p>
            <w:pPr>
              <w:spacing w:before="20" w:after="20"/>
              <w:rPr>
                <w:noProof/>
              </w:rPr>
            </w:pPr>
            <w:r>
              <w:rPr>
                <w:noProof/>
                <w:sz w:val="22"/>
              </w:rPr>
              <w:sym w:font="Wingdings" w:char="F09F"/>
            </w:r>
            <w:r>
              <w:rPr>
                <w:noProof/>
              </w:rPr>
              <w:t>Човешки ресурси</w:t>
            </w:r>
          </w:p>
        </w:tc>
        <w:tc>
          <w:tcPr>
            <w:tcW w:w="892" w:type="dxa"/>
            <w:gridSpan w:val="2"/>
            <w:vAlign w:val="center"/>
          </w:tcPr>
          <w:p>
            <w:pPr>
              <w:spacing w:before="20" w:after="20"/>
              <w:jc w:val="center"/>
              <w:rPr>
                <w:noProof/>
                <w:sz w:val="20"/>
              </w:rPr>
            </w:pPr>
            <w:r>
              <w:rPr>
                <w:noProof/>
                <w:sz w:val="20"/>
              </w:rPr>
              <w:t>0,966</w:t>
            </w:r>
          </w:p>
        </w:tc>
        <w:tc>
          <w:tcPr>
            <w:tcW w:w="868" w:type="dxa"/>
            <w:vAlign w:val="center"/>
          </w:tcPr>
          <w:p>
            <w:pPr>
              <w:spacing w:before="20" w:after="20"/>
              <w:jc w:val="center"/>
              <w:rPr>
                <w:noProof/>
                <w:sz w:val="20"/>
              </w:rPr>
            </w:pPr>
            <w:r>
              <w:rPr>
                <w:noProof/>
                <w:sz w:val="20"/>
              </w:rPr>
              <w:t>0,985</w:t>
            </w:r>
          </w:p>
        </w:tc>
        <w:tc>
          <w:tcPr>
            <w:tcW w:w="868" w:type="dxa"/>
          </w:tcPr>
          <w:p>
            <w:pPr>
              <w:spacing w:before="20" w:after="20"/>
              <w:jc w:val="center"/>
              <w:rPr>
                <w:noProof/>
                <w:sz w:val="20"/>
                <w:szCs w:val="20"/>
              </w:rPr>
            </w:pPr>
            <w:r>
              <w:rPr>
                <w:noProof/>
                <w:sz w:val="20"/>
              </w:rPr>
              <w:t>1,005</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2,956</w:t>
            </w:r>
          </w:p>
        </w:tc>
      </w:tr>
      <w:tr>
        <w:trPr>
          <w:trHeight w:val="351"/>
        </w:trPr>
        <w:tc>
          <w:tcPr>
            <w:tcW w:w="6030" w:type="dxa"/>
            <w:gridSpan w:val="3"/>
            <w:vAlign w:val="center"/>
          </w:tcPr>
          <w:p>
            <w:pPr>
              <w:spacing w:before="20" w:after="20"/>
              <w:rPr>
                <w:noProof/>
              </w:rPr>
            </w:pPr>
            <w:r>
              <w:rPr>
                <w:noProof/>
                <w:sz w:val="22"/>
              </w:rPr>
              <w:sym w:font="Wingdings" w:char="F09F"/>
            </w:r>
            <w:r>
              <w:rPr>
                <w:noProof/>
              </w:rPr>
              <w:t>Други административни разходи</w:t>
            </w:r>
          </w:p>
        </w:tc>
        <w:tc>
          <w:tcPr>
            <w:tcW w:w="892" w:type="dxa"/>
            <w:gridSpan w:val="2"/>
            <w:vAlign w:val="center"/>
          </w:tcPr>
          <w:p>
            <w:pPr>
              <w:spacing w:before="20" w:after="20"/>
              <w:jc w:val="center"/>
              <w:rPr>
                <w:noProof/>
                <w:sz w:val="20"/>
              </w:rPr>
            </w:pPr>
            <w:r>
              <w:rPr>
                <w:noProof/>
                <w:sz w:val="20"/>
              </w:rPr>
              <w:t>0,199</w:t>
            </w:r>
          </w:p>
        </w:tc>
        <w:tc>
          <w:tcPr>
            <w:tcW w:w="868" w:type="dxa"/>
            <w:vAlign w:val="center"/>
          </w:tcPr>
          <w:p>
            <w:pPr>
              <w:spacing w:before="20" w:after="20"/>
              <w:jc w:val="center"/>
              <w:rPr>
                <w:noProof/>
                <w:sz w:val="20"/>
              </w:rPr>
            </w:pPr>
            <w:r>
              <w:rPr>
                <w:noProof/>
                <w:sz w:val="20"/>
              </w:rPr>
              <w:t>0,249</w:t>
            </w:r>
          </w:p>
        </w:tc>
        <w:tc>
          <w:tcPr>
            <w:tcW w:w="868" w:type="dxa"/>
            <w:vAlign w:val="center"/>
          </w:tcPr>
          <w:p>
            <w:pPr>
              <w:spacing w:before="20" w:after="20"/>
              <w:jc w:val="center"/>
              <w:rPr>
                <w:bCs/>
                <w:noProof/>
                <w:sz w:val="20"/>
                <w:szCs w:val="20"/>
              </w:rPr>
            </w:pPr>
            <w:r>
              <w:rPr>
                <w:noProof/>
                <w:sz w:val="20"/>
              </w:rPr>
              <w:t>0,249</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0,697</w:t>
            </w:r>
          </w:p>
        </w:tc>
      </w:tr>
      <w:tr>
        <w:tc>
          <w:tcPr>
            <w:tcW w:w="3960" w:type="dxa"/>
            <w:vAlign w:val="center"/>
          </w:tcPr>
          <w:p>
            <w:pPr>
              <w:jc w:val="center"/>
              <w:rPr>
                <w:b/>
                <w:noProof/>
              </w:rPr>
            </w:pPr>
            <w:r>
              <w:rPr>
                <w:b/>
                <w:noProof/>
              </w:rPr>
              <w:t>ОБЩО ГД</w:t>
            </w:r>
            <w:r>
              <w:rPr>
                <w:noProof/>
              </w:rPr>
              <w:t xml:space="preserve"> „ВЪТРЕШЕН ПАЗАР, ПРОМИШЛЕНОСТ, ПРЕДПРИЕМАЧЕСТВО И МСП“</w:t>
            </w:r>
          </w:p>
        </w:tc>
        <w:tc>
          <w:tcPr>
            <w:tcW w:w="2070" w:type="dxa"/>
            <w:gridSpan w:val="2"/>
            <w:vAlign w:val="center"/>
          </w:tcPr>
          <w:p>
            <w:pPr>
              <w:rPr>
                <w:noProof/>
                <w:sz w:val="14"/>
              </w:rPr>
            </w:pPr>
            <w:r>
              <w:rPr>
                <w:noProof/>
                <w:sz w:val="18"/>
              </w:rPr>
              <w:t xml:space="preserve">Бюджетни кредити </w:t>
            </w:r>
          </w:p>
        </w:tc>
        <w:tc>
          <w:tcPr>
            <w:tcW w:w="892" w:type="dxa"/>
            <w:gridSpan w:val="2"/>
            <w:vAlign w:val="center"/>
          </w:tcPr>
          <w:p>
            <w:pPr>
              <w:spacing w:before="20" w:after="20"/>
              <w:jc w:val="center"/>
              <w:rPr>
                <w:bCs/>
                <w:noProof/>
                <w:sz w:val="20"/>
                <w:szCs w:val="20"/>
              </w:rPr>
            </w:pPr>
            <w:r>
              <w:rPr>
                <w:noProof/>
                <w:sz w:val="20"/>
              </w:rPr>
              <w:t>1,165</w:t>
            </w:r>
          </w:p>
        </w:tc>
        <w:tc>
          <w:tcPr>
            <w:tcW w:w="868" w:type="dxa"/>
            <w:vAlign w:val="center"/>
          </w:tcPr>
          <w:p>
            <w:pPr>
              <w:spacing w:before="20" w:after="20"/>
              <w:jc w:val="center"/>
              <w:rPr>
                <w:bCs/>
                <w:noProof/>
                <w:sz w:val="20"/>
                <w:szCs w:val="20"/>
              </w:rPr>
            </w:pPr>
            <w:r>
              <w:rPr>
                <w:noProof/>
                <w:sz w:val="20"/>
              </w:rPr>
              <w:t>1,234</w:t>
            </w:r>
          </w:p>
        </w:tc>
        <w:tc>
          <w:tcPr>
            <w:tcW w:w="868" w:type="dxa"/>
            <w:vAlign w:val="center"/>
          </w:tcPr>
          <w:p>
            <w:pPr>
              <w:spacing w:before="20" w:after="20"/>
              <w:jc w:val="center"/>
              <w:rPr>
                <w:bCs/>
                <w:noProof/>
                <w:sz w:val="20"/>
                <w:szCs w:val="20"/>
              </w:rPr>
            </w:pPr>
            <w:r>
              <w:rPr>
                <w:noProof/>
                <w:sz w:val="20"/>
              </w:rPr>
              <w:t>1,254</w:t>
            </w:r>
          </w:p>
        </w:tc>
        <w:tc>
          <w:tcPr>
            <w:tcW w:w="868" w:type="dxa"/>
            <w:vAlign w:val="center"/>
          </w:tcPr>
          <w:p>
            <w:pPr>
              <w:spacing w:before="20" w:after="20"/>
              <w:jc w:val="center"/>
              <w:rPr>
                <w:bCs/>
                <w:noProof/>
                <w:sz w:val="20"/>
                <w:szCs w:val="20"/>
              </w:rPr>
            </w:pPr>
          </w:p>
        </w:tc>
        <w:tc>
          <w:tcPr>
            <w:tcW w:w="868" w:type="dxa"/>
            <w:vAlign w:val="center"/>
          </w:tcPr>
          <w:p>
            <w:pPr>
              <w:spacing w:before="20" w:after="20"/>
              <w:jc w:val="center"/>
              <w:rPr>
                <w:bCs/>
                <w:noProof/>
                <w:sz w:val="20"/>
                <w:szCs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3,653</w:t>
            </w:r>
          </w:p>
        </w:tc>
      </w:tr>
    </w:tbl>
    <w:p>
      <w:pPr>
        <w:rPr>
          <w: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165"/>
        <w:gridCol w:w="1777"/>
      </w:tblGrid>
      <w:tr>
        <w:tc>
          <w:tcPr>
            <w:tcW w:w="3960" w:type="dxa"/>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center"/>
              <w:rPr>
                <w:rFonts w:ascii="Arial Narrow" w:hAnsi="Arial Narrow" w:cs="Arial"/>
                <w:bCs/>
                <w:noProof/>
                <w:sz w:val="20"/>
                <w:szCs w:val="20"/>
              </w:rPr>
            </w:pPr>
            <w:r>
              <w:rPr>
                <w:noProof/>
                <w:sz w:val="20"/>
              </w:rPr>
              <w:t>1,165</w:t>
            </w:r>
          </w:p>
        </w:tc>
        <w:tc>
          <w:tcPr>
            <w:tcW w:w="868" w:type="dxa"/>
            <w:vAlign w:val="center"/>
          </w:tcPr>
          <w:p>
            <w:pPr>
              <w:spacing w:before="20" w:after="20"/>
              <w:jc w:val="center"/>
              <w:rPr>
                <w:rFonts w:ascii="Arial Narrow" w:hAnsi="Arial Narrow" w:cs="Arial"/>
                <w:bCs/>
                <w:noProof/>
                <w:sz w:val="20"/>
                <w:szCs w:val="20"/>
              </w:rPr>
            </w:pPr>
            <w:r>
              <w:rPr>
                <w:noProof/>
                <w:sz w:val="20"/>
              </w:rPr>
              <w:t>1,234</w:t>
            </w:r>
          </w:p>
        </w:tc>
        <w:tc>
          <w:tcPr>
            <w:tcW w:w="868" w:type="dxa"/>
            <w:vAlign w:val="center"/>
          </w:tcPr>
          <w:p>
            <w:pPr>
              <w:spacing w:before="20" w:after="20"/>
              <w:jc w:val="center"/>
              <w:rPr>
                <w:rFonts w:ascii="Arial Narrow" w:hAnsi="Arial Narrow" w:cs="Arial"/>
                <w:bCs/>
                <w:noProof/>
                <w:sz w:val="20"/>
                <w:szCs w:val="20"/>
              </w:rPr>
            </w:pPr>
            <w:r>
              <w:rPr>
                <w:noProof/>
                <w:sz w:val="20"/>
              </w:rPr>
              <w:t>1,254</w:t>
            </w:r>
          </w:p>
        </w:tc>
        <w:tc>
          <w:tcPr>
            <w:tcW w:w="868" w:type="dxa"/>
            <w:vAlign w:val="center"/>
          </w:tcPr>
          <w:p>
            <w:pPr>
              <w:spacing w:before="20" w:after="20"/>
              <w:jc w:val="center"/>
              <w:rPr>
                <w:rFonts w:ascii="Arial Narrow" w:hAnsi="Arial Narrow" w:cs="Arial"/>
                <w:bCs/>
                <w:noProof/>
                <w:sz w:val="20"/>
                <w:szCs w:val="20"/>
              </w:rPr>
            </w:pPr>
          </w:p>
        </w:tc>
        <w:tc>
          <w:tcPr>
            <w:tcW w:w="868" w:type="dxa"/>
            <w:vAlign w:val="center"/>
          </w:tcPr>
          <w:p>
            <w:pPr>
              <w:spacing w:before="20" w:after="20"/>
              <w:jc w:val="center"/>
              <w:rPr>
                <w:rFonts w:ascii="Arial Narrow" w:hAnsi="Arial Narrow" w:cs="Arial"/>
                <w:bCs/>
                <w:noProof/>
                <w:sz w:val="20"/>
                <w:szCs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3,653</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951"/>
        <w:gridCol w:w="992"/>
        <w:gridCol w:w="868"/>
        <w:gridCol w:w="868"/>
        <w:gridCol w:w="1165"/>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2018 г.</w:t>
            </w:r>
          </w:p>
        </w:tc>
        <w:tc>
          <w:tcPr>
            <w:tcW w:w="951" w:type="dxa"/>
            <w:vAlign w:val="center"/>
          </w:tcPr>
          <w:p>
            <w:pPr>
              <w:jc w:val="center"/>
              <w:rPr>
                <w:noProof/>
                <w:sz w:val="20"/>
              </w:rPr>
            </w:pPr>
            <w:r>
              <w:rPr>
                <w:noProof/>
                <w:sz w:val="20"/>
              </w:rPr>
              <w:t>2019 г.</w:t>
            </w:r>
          </w:p>
        </w:tc>
        <w:tc>
          <w:tcPr>
            <w:tcW w:w="992" w:type="dxa"/>
            <w:vAlign w:val="center"/>
          </w:tcPr>
          <w:p>
            <w:pPr>
              <w:jc w:val="center"/>
              <w:rPr>
                <w:noProof/>
                <w:sz w:val="20"/>
              </w:rPr>
            </w:pPr>
            <w:r>
              <w:rPr>
                <w:noProof/>
                <w:sz w:val="20"/>
              </w:rPr>
              <w:t>2020 г.</w:t>
            </w:r>
          </w:p>
        </w:tc>
        <w:tc>
          <w:tcPr>
            <w:tcW w:w="868" w:type="dxa"/>
            <w:vAlign w:val="center"/>
          </w:tcPr>
          <w:p>
            <w:pPr>
              <w:jc w:val="center"/>
              <w:rPr>
                <w:noProof/>
                <w:sz w:val="20"/>
              </w:rPr>
            </w:pPr>
            <w:r>
              <w:rPr>
                <w:noProof/>
                <w:sz w:val="20"/>
              </w:rPr>
              <w:t>2021 г.</w:t>
            </w:r>
          </w:p>
        </w:tc>
        <w:tc>
          <w:tcPr>
            <w:tcW w:w="868" w:type="dxa"/>
            <w:vAlign w:val="center"/>
          </w:tcPr>
          <w:p>
            <w:pPr>
              <w:jc w:val="center"/>
              <w:rPr>
                <w:noProof/>
                <w:sz w:val="20"/>
              </w:rPr>
            </w:pPr>
            <w:r>
              <w:rPr>
                <w:noProof/>
                <w:sz w:val="20"/>
              </w:rPr>
              <w:t>2022 г.</w:t>
            </w:r>
          </w:p>
        </w:tc>
        <w:tc>
          <w:tcPr>
            <w:tcW w:w="1165" w:type="dxa"/>
            <w:vAlign w:val="center"/>
          </w:tcPr>
          <w:p>
            <w:pPr>
              <w:jc w:val="center"/>
              <w:rPr>
                <w:b/>
                <w:noProof/>
                <w:sz w:val="20"/>
              </w:rPr>
            </w:pPr>
            <w:r>
              <w:rPr>
                <w:noProof/>
                <w:sz w:val="20"/>
              </w:rPr>
              <w:t>2023</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20" w:after="20"/>
              <w:jc w:val="center"/>
              <w:rPr>
                <w:bCs/>
                <w:noProof/>
                <w:sz w:val="20"/>
                <w:szCs w:val="20"/>
              </w:rPr>
            </w:pPr>
            <w:r>
              <w:rPr>
                <w:noProof/>
                <w:sz w:val="20"/>
              </w:rPr>
              <w:t>1,165</w:t>
            </w:r>
          </w:p>
        </w:tc>
        <w:tc>
          <w:tcPr>
            <w:tcW w:w="951" w:type="dxa"/>
            <w:vAlign w:val="center"/>
          </w:tcPr>
          <w:p>
            <w:pPr>
              <w:spacing w:before="20" w:after="20"/>
              <w:jc w:val="center"/>
              <w:rPr>
                <w:bCs/>
                <w:noProof/>
                <w:sz w:val="20"/>
                <w:szCs w:val="20"/>
              </w:rPr>
            </w:pPr>
            <w:r>
              <w:rPr>
                <w:noProof/>
                <w:sz w:val="20"/>
              </w:rPr>
              <w:t>246,234</w:t>
            </w:r>
          </w:p>
        </w:tc>
        <w:tc>
          <w:tcPr>
            <w:tcW w:w="992" w:type="dxa"/>
            <w:vAlign w:val="center"/>
          </w:tcPr>
          <w:p>
            <w:pPr>
              <w:spacing w:before="20" w:after="20"/>
              <w:jc w:val="center"/>
              <w:rPr>
                <w:bCs/>
                <w:noProof/>
                <w:sz w:val="20"/>
                <w:szCs w:val="20"/>
              </w:rPr>
            </w:pPr>
            <w:r>
              <w:rPr>
                <w:noProof/>
                <w:sz w:val="20"/>
              </w:rPr>
              <w:t>256,254</w:t>
            </w:r>
          </w:p>
        </w:tc>
        <w:tc>
          <w:tcPr>
            <w:tcW w:w="868" w:type="dxa"/>
            <w:vAlign w:val="center"/>
          </w:tcPr>
          <w:p>
            <w:pPr>
              <w:spacing w:before="20" w:after="20"/>
              <w:jc w:val="center"/>
              <w:rPr>
                <w:bCs/>
                <w:noProof/>
                <w:sz w:val="20"/>
                <w:szCs w:val="20"/>
              </w:rPr>
            </w:pPr>
          </w:p>
        </w:tc>
        <w:tc>
          <w:tcPr>
            <w:tcW w:w="868" w:type="dxa"/>
            <w:vAlign w:val="center"/>
          </w:tcPr>
          <w:p>
            <w:pPr>
              <w:spacing w:before="20" w:after="20"/>
              <w:jc w:val="center"/>
              <w:rPr>
                <w:bCs/>
                <w:noProof/>
                <w:sz w:val="20"/>
                <w:szCs w:val="20"/>
              </w:rPr>
            </w:pPr>
          </w:p>
        </w:tc>
        <w:tc>
          <w:tcPr>
            <w:tcW w:w="1165" w:type="dxa"/>
            <w:vAlign w:val="center"/>
          </w:tcPr>
          <w:p>
            <w:pPr>
              <w:spacing w:before="20" w:after="20"/>
              <w:jc w:val="center"/>
              <w:rPr>
                <w:bCs/>
                <w:noProof/>
                <w:sz w:val="20"/>
                <w:szCs w:val="20"/>
              </w:rPr>
            </w:pPr>
          </w:p>
        </w:tc>
        <w:tc>
          <w:tcPr>
            <w:tcW w:w="1777" w:type="dxa"/>
            <w:vAlign w:val="center"/>
          </w:tcPr>
          <w:p>
            <w:pPr>
              <w:spacing w:before="60" w:after="60"/>
              <w:jc w:val="right"/>
              <w:rPr>
                <w:b/>
                <w:noProof/>
                <w:sz w:val="20"/>
              </w:rPr>
            </w:pPr>
            <w:r>
              <w:rPr>
                <w:b/>
                <w:noProof/>
                <w:sz w:val="20"/>
              </w:rPr>
              <w:t>503,653</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20" w:after="20"/>
              <w:jc w:val="center"/>
              <w:rPr>
                <w:bCs/>
                <w:noProof/>
                <w:sz w:val="20"/>
                <w:szCs w:val="20"/>
              </w:rPr>
            </w:pPr>
            <w:r>
              <w:rPr>
                <w:noProof/>
                <w:sz w:val="20"/>
              </w:rPr>
              <w:t>1,165</w:t>
            </w:r>
          </w:p>
        </w:tc>
        <w:tc>
          <w:tcPr>
            <w:tcW w:w="951" w:type="dxa"/>
            <w:vAlign w:val="center"/>
          </w:tcPr>
          <w:p>
            <w:pPr>
              <w:spacing w:before="20" w:after="20"/>
              <w:jc w:val="center"/>
              <w:rPr>
                <w:bCs/>
                <w:noProof/>
                <w:sz w:val="20"/>
                <w:szCs w:val="20"/>
              </w:rPr>
            </w:pPr>
            <w:r>
              <w:rPr>
                <w:noProof/>
                <w:sz w:val="20"/>
              </w:rPr>
              <w:t>148,234</w:t>
            </w:r>
          </w:p>
        </w:tc>
        <w:tc>
          <w:tcPr>
            <w:tcW w:w="992" w:type="dxa"/>
            <w:vAlign w:val="center"/>
          </w:tcPr>
          <w:p>
            <w:pPr>
              <w:spacing w:before="20" w:after="20"/>
              <w:jc w:val="center"/>
              <w:rPr>
                <w:bCs/>
                <w:noProof/>
                <w:sz w:val="20"/>
                <w:szCs w:val="20"/>
              </w:rPr>
            </w:pPr>
            <w:r>
              <w:rPr>
                <w:noProof/>
                <w:sz w:val="20"/>
              </w:rPr>
              <w:t>203,254</w:t>
            </w:r>
          </w:p>
        </w:tc>
        <w:tc>
          <w:tcPr>
            <w:tcW w:w="868" w:type="dxa"/>
            <w:vAlign w:val="center"/>
          </w:tcPr>
          <w:p>
            <w:pPr>
              <w:spacing w:before="20" w:after="20"/>
              <w:jc w:val="center"/>
              <w:rPr>
                <w:bCs/>
                <w:noProof/>
                <w:sz w:val="20"/>
                <w:szCs w:val="20"/>
              </w:rPr>
            </w:pPr>
            <w:r>
              <w:rPr>
                <w:noProof/>
                <w:sz w:val="20"/>
              </w:rPr>
              <w:t>100</w:t>
            </w:r>
          </w:p>
        </w:tc>
        <w:tc>
          <w:tcPr>
            <w:tcW w:w="868" w:type="dxa"/>
            <w:vAlign w:val="center"/>
          </w:tcPr>
          <w:p>
            <w:pPr>
              <w:spacing w:before="20" w:after="20"/>
              <w:jc w:val="center"/>
              <w:rPr>
                <w:bCs/>
                <w:noProof/>
                <w:sz w:val="20"/>
                <w:szCs w:val="20"/>
              </w:rPr>
            </w:pPr>
            <w:r>
              <w:rPr>
                <w:noProof/>
                <w:sz w:val="20"/>
              </w:rPr>
              <w:t>51</w:t>
            </w:r>
          </w:p>
        </w:tc>
        <w:tc>
          <w:tcPr>
            <w:tcW w:w="1165" w:type="dxa"/>
            <w:vAlign w:val="center"/>
          </w:tcPr>
          <w:p>
            <w:pPr>
              <w:spacing w:before="20" w:after="20"/>
              <w:jc w:val="center"/>
              <w:rPr>
                <w:bCs/>
                <w:noProof/>
                <w:sz w:val="20"/>
                <w:szCs w:val="20"/>
              </w:rPr>
            </w:pPr>
          </w:p>
        </w:tc>
        <w:tc>
          <w:tcPr>
            <w:tcW w:w="1777" w:type="dxa"/>
            <w:vAlign w:val="center"/>
          </w:tcPr>
          <w:p>
            <w:pPr>
              <w:spacing w:before="60" w:after="60"/>
              <w:jc w:val="right"/>
              <w:rPr>
                <w:b/>
                <w:noProof/>
                <w:sz w:val="20"/>
              </w:rPr>
            </w:pPr>
            <w:r>
              <w:rPr>
                <w:b/>
                <w:noProof/>
                <w:sz w:val="20"/>
              </w:rPr>
              <w:t>503,653</w:t>
            </w: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 xml:space="preserve"> </w:t>
      </w: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E"/>
      </w:r>
      <w:r>
        <w:rPr>
          <w:noProof/>
        </w:rPr>
        <w:t xml:space="preserve"> </w:t>
      </w:r>
      <w:r>
        <w:rPr>
          <w:noProof/>
        </w:rPr>
        <w:sym w:font="Wingdings" w:char="F0FE"/>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932"/>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2019 г.</w:t>
            </w:r>
          </w:p>
        </w:tc>
        <w:tc>
          <w:tcPr>
            <w:tcW w:w="1260" w:type="dxa"/>
            <w:gridSpan w:val="2"/>
            <w:vAlign w:val="center"/>
          </w:tcPr>
          <w:p>
            <w:pPr>
              <w:ind w:right="-29"/>
              <w:jc w:val="center"/>
              <w:rPr>
                <w:noProof/>
                <w:sz w:val="18"/>
                <w:szCs w:val="18"/>
              </w:rPr>
            </w:pPr>
            <w:r>
              <w:rPr>
                <w:noProof/>
                <w:sz w:val="18"/>
              </w:rPr>
              <w:t>2020 г.</w:t>
            </w:r>
          </w:p>
        </w:tc>
        <w:tc>
          <w:tcPr>
            <w:tcW w:w="1652"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5557" w:type="dxa"/>
            <w:gridSpan w:val="8"/>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rPr>
              <w:footnoteReference w:id="17"/>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szCs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b/>
                <w:noProof/>
                <w:sz w:val="18"/>
                <w:szCs w:val="18"/>
              </w:rPr>
            </w:pPr>
            <w:r>
              <w:rPr>
                <w:b/>
                <w:noProof/>
                <w:sz w:val="18"/>
              </w:rPr>
              <w:t>Общ брой</w:t>
            </w:r>
          </w:p>
        </w:tc>
        <w:tc>
          <w:tcPr>
            <w:tcW w:w="932" w:type="dxa"/>
            <w:tcBorders>
              <w:left w:val="dashSmallGap" w:sz="4" w:space="0" w:color="auto"/>
            </w:tcBorders>
            <w:shd w:val="pct10" w:color="auto" w:fill="auto"/>
            <w:vAlign w:val="center"/>
          </w:tcPr>
          <w:p>
            <w:pPr>
              <w:jc w:val="center"/>
              <w:rPr>
                <w:b/>
                <w:noProof/>
                <w:sz w:val="18"/>
                <w:szCs w:val="18"/>
              </w:rPr>
            </w:pPr>
            <w:r>
              <w:rPr>
                <w:b/>
                <w:noProof/>
                <w:sz w:val="18"/>
              </w:rPr>
              <w:t>Общо разходи</w:t>
            </w:r>
          </w:p>
        </w:tc>
      </w:tr>
      <w:tr>
        <w:trPr>
          <w:jc w:val="center"/>
        </w:trPr>
        <w:tc>
          <w:tcPr>
            <w:tcW w:w="6980" w:type="dxa"/>
            <w:gridSpan w:val="9"/>
            <w:vAlign w:val="center"/>
          </w:tcPr>
          <w:p>
            <w:pPr>
              <w:spacing w:before="60" w:after="60"/>
              <w:ind w:right="-29"/>
              <w:jc w:val="left"/>
              <w:rPr>
                <w:noProof/>
                <w:sz w:val="18"/>
              </w:rPr>
            </w:pPr>
            <w:r>
              <w:rPr>
                <w:noProof/>
                <w:sz w:val="18"/>
              </w:rPr>
              <w:t>КОНКРЕТНИ ЦЕЛИ</w:t>
            </w:r>
            <w:r>
              <w:rPr>
                <w:rStyle w:val="FootnoteReference"/>
                <w:noProof/>
              </w:rPr>
              <w:footnoteReference w:id="18"/>
            </w:r>
            <w:r>
              <w:rPr>
                <w:noProof/>
                <w:sz w:val="18"/>
              </w:rPr>
              <w:t xml:space="preserve"> </w:t>
            </w:r>
          </w:p>
          <w:p>
            <w:pPr>
              <w:spacing w:before="60" w:after="60"/>
              <w:ind w:right="-29"/>
              <w:jc w:val="left"/>
              <w:rPr>
                <w:noProof/>
                <w:sz w:val="18"/>
              </w:rPr>
            </w:pPr>
            <w:r>
              <w:rPr>
                <w:noProof/>
                <w:sz w:val="18"/>
              </w:rPr>
              <w:t>1 - Насърчаване на конкурентоспособността на отбранителната промишленост</w:t>
            </w:r>
          </w:p>
          <w:p>
            <w:pPr>
              <w:spacing w:before="60" w:after="60"/>
              <w:ind w:right="-29"/>
              <w:jc w:val="left"/>
              <w:rPr>
                <w:noProof/>
                <w:sz w:val="18"/>
              </w:rPr>
            </w:pPr>
            <w:r>
              <w:rPr>
                <w:noProof/>
                <w:sz w:val="18"/>
              </w:rPr>
              <w:t>2 - Подкрепа и оптимизиране на сътрудничеството между предприятията при разработването на продукти и технологии в областта на отбраната</w:t>
            </w:r>
          </w:p>
          <w:p>
            <w:pPr>
              <w:spacing w:before="60" w:after="60"/>
              <w:ind w:right="-29"/>
              <w:rPr>
                <w:noProof/>
                <w:sz w:val="18"/>
                <w:szCs w:val="18"/>
              </w:rPr>
            </w:pPr>
            <w:r>
              <w:rPr>
                <w:noProof/>
                <w:sz w:val="18"/>
              </w:rPr>
              <w:t>3 — Скъсяване на дистанцията между научните изследвания и иновациите и насърчаване на всички форми на иновации</w:t>
            </w: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244,7</w:t>
            </w:r>
          </w:p>
        </w:tc>
        <w:tc>
          <w:tcPr>
            <w:tcW w:w="54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254,5</w:t>
            </w:r>
          </w:p>
        </w:tc>
        <w:tc>
          <w:tcPr>
            <w:tcW w:w="720" w:type="dxa"/>
          </w:tcPr>
          <w:p>
            <w:pPr>
              <w:ind w:right="-29"/>
              <w:jc w:val="center"/>
              <w:rPr>
                <w:b/>
                <w:noProof/>
                <w:sz w:val="18"/>
                <w:szCs w:val="18"/>
              </w:rPr>
            </w:pPr>
            <w:r>
              <w:rPr>
                <w:b/>
                <w:noProof/>
                <w:sz w:val="18"/>
              </w:rPr>
              <w:t>3</w:t>
            </w:r>
          </w:p>
        </w:tc>
        <w:tc>
          <w:tcPr>
            <w:tcW w:w="932" w:type="dxa"/>
          </w:tcPr>
          <w:p>
            <w:pPr>
              <w:ind w:right="-29"/>
              <w:jc w:val="center"/>
              <w:rPr>
                <w:b/>
                <w:noProof/>
                <w:sz w:val="18"/>
                <w:szCs w:val="18"/>
              </w:rPr>
            </w:pPr>
            <w:r>
              <w:rPr>
                <w:b/>
                <w:noProof/>
                <w:sz w:val="18"/>
              </w:rPr>
              <w:t>499,2</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r>
              <w:rPr>
                <w:noProof/>
                <w:sz w:val="18"/>
              </w:rPr>
              <w:t>2</w:t>
            </w:r>
          </w:p>
        </w:tc>
        <w:tc>
          <w:tcPr>
            <w:tcW w:w="720" w:type="dxa"/>
            <w:tcBorders>
              <w:bottom w:val="single" w:sz="12" w:space="0" w:color="auto"/>
            </w:tcBorders>
          </w:tcPr>
          <w:p>
            <w:pPr>
              <w:ind w:right="-29"/>
              <w:jc w:val="center"/>
              <w:rPr>
                <w:noProof/>
                <w:sz w:val="18"/>
                <w:szCs w:val="18"/>
              </w:rPr>
            </w:pPr>
            <w:r>
              <w:rPr>
                <w:noProof/>
                <w:sz w:val="18"/>
              </w:rPr>
              <w:t>244,7</w:t>
            </w:r>
          </w:p>
        </w:tc>
        <w:tc>
          <w:tcPr>
            <w:tcW w:w="54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254,5</w:t>
            </w:r>
          </w:p>
        </w:tc>
        <w:tc>
          <w:tcPr>
            <w:tcW w:w="720" w:type="dxa"/>
            <w:tcBorders>
              <w:bottom w:val="single" w:sz="12" w:space="0" w:color="auto"/>
            </w:tcBorders>
          </w:tcPr>
          <w:p>
            <w:pPr>
              <w:ind w:right="-29"/>
              <w:jc w:val="center"/>
              <w:rPr>
                <w:b/>
                <w:noProof/>
                <w:sz w:val="18"/>
                <w:szCs w:val="18"/>
              </w:rPr>
            </w:pPr>
            <w:r>
              <w:rPr>
                <w:b/>
                <w:noProof/>
                <w:sz w:val="18"/>
              </w:rPr>
              <w:t>3</w:t>
            </w:r>
          </w:p>
        </w:tc>
        <w:tc>
          <w:tcPr>
            <w:tcW w:w="932" w:type="dxa"/>
            <w:tcBorders>
              <w:bottom w:val="single" w:sz="12" w:space="0" w:color="auto"/>
            </w:tcBorders>
          </w:tcPr>
          <w:p>
            <w:pPr>
              <w:ind w:right="-29"/>
              <w:jc w:val="center"/>
              <w:rPr>
                <w:b/>
                <w:noProof/>
                <w:sz w:val="18"/>
                <w:szCs w:val="18"/>
              </w:rPr>
            </w:pPr>
            <w:r>
              <w:rPr>
                <w:b/>
                <w:noProof/>
                <w:sz w:val="18"/>
              </w:rPr>
              <w:t>499,2</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b/>
                <w:noProof/>
                <w:sz w:val="18"/>
                <w:szCs w:val="18"/>
              </w:rPr>
            </w:pPr>
            <w:r>
              <w:rPr>
                <w:b/>
                <w:noProof/>
                <w:sz w:val="18"/>
              </w:rPr>
              <w:t>2</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244,7</w:t>
            </w:r>
          </w:p>
        </w:tc>
        <w:tc>
          <w:tcPr>
            <w:tcW w:w="54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1</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254,5</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w:t>
            </w:r>
          </w:p>
        </w:tc>
        <w:tc>
          <w:tcPr>
            <w:tcW w:w="932" w:type="dxa"/>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rPr>
              <w:t>499,2</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 xml:space="preserve"> </w:t>
      </w: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 xml:space="preserve"> </w:t>
      </w:r>
      <w:r>
        <w:rPr>
          <w:noProof/>
        </w:rPr>
        <w:sym w:font="Wingdings" w:char="F0FE"/>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b/>
                <w:noProof/>
                <w:sz w:val="16"/>
                <w:szCs w:val="16"/>
              </w:rPr>
            </w:pPr>
            <w:r>
              <w:rPr>
                <w:b/>
                <w:noProof/>
                <w:sz w:val="16"/>
              </w:rPr>
              <w:t>2018 г.</w:t>
            </w:r>
          </w:p>
        </w:tc>
        <w:tc>
          <w:tcPr>
            <w:tcW w:w="1080" w:type="dxa"/>
            <w:vAlign w:val="center"/>
          </w:tcPr>
          <w:p>
            <w:pPr>
              <w:spacing w:before="60" w:after="60" w:line="200" w:lineRule="exact"/>
              <w:jc w:val="center"/>
              <w:rPr>
                <w:b/>
                <w:noProof/>
                <w:sz w:val="16"/>
                <w:szCs w:val="16"/>
              </w:rPr>
            </w:pPr>
            <w:r>
              <w:rPr>
                <w:b/>
                <w:noProof/>
                <w:sz w:val="16"/>
              </w:rPr>
              <w:t>2019 г.</w:t>
            </w:r>
          </w:p>
        </w:tc>
        <w:tc>
          <w:tcPr>
            <w:tcW w:w="1080" w:type="dxa"/>
            <w:vAlign w:val="center"/>
          </w:tcPr>
          <w:p>
            <w:pPr>
              <w:spacing w:before="60" w:after="60" w:line="200" w:lineRule="exact"/>
              <w:jc w:val="center"/>
              <w:rPr>
                <w:b/>
                <w:noProof/>
                <w:sz w:val="16"/>
              </w:rPr>
            </w:pPr>
            <w:r>
              <w:rPr>
                <w:b/>
                <w:noProof/>
                <w:sz w:val="16"/>
              </w:rPr>
              <w:t>2020 г.</w:t>
            </w:r>
          </w:p>
        </w:tc>
        <w:tc>
          <w:tcPr>
            <w:tcW w:w="1080" w:type="dxa"/>
            <w:vAlign w:val="center"/>
          </w:tcPr>
          <w:p>
            <w:pPr>
              <w:spacing w:before="60" w:after="60" w:line="200" w:lineRule="exact"/>
              <w:jc w:val="center"/>
              <w:rPr>
                <w:b/>
                <w:noProof/>
                <w:sz w:val="16"/>
              </w:rPr>
            </w:pPr>
            <w:r>
              <w:rPr>
                <w:b/>
                <w:noProof/>
                <w:sz w:val="16"/>
              </w:rPr>
              <w:t>2021 г.</w:t>
            </w:r>
          </w:p>
        </w:tc>
        <w:tc>
          <w:tcPr>
            <w:tcW w:w="1080" w:type="dxa"/>
            <w:vAlign w:val="center"/>
          </w:tcPr>
          <w:p>
            <w:pPr>
              <w:spacing w:before="60" w:after="60" w:line="200" w:lineRule="exact"/>
              <w:jc w:val="center"/>
              <w:rPr>
                <w:b/>
                <w:noProof/>
                <w:sz w:val="16"/>
              </w:rPr>
            </w:pPr>
            <w:r>
              <w:rPr>
                <w:b/>
                <w:noProof/>
                <w:sz w:val="16"/>
              </w:rPr>
              <w:t>2022 г.</w:t>
            </w:r>
          </w:p>
        </w:tc>
        <w:tc>
          <w:tcPr>
            <w:tcW w:w="1080" w:type="dxa"/>
            <w:vAlign w:val="center"/>
          </w:tcPr>
          <w:p>
            <w:pPr>
              <w:spacing w:before="60" w:after="60" w:line="200" w:lineRule="exact"/>
              <w:jc w:val="center"/>
              <w:rPr>
                <w:b/>
                <w:noProof/>
                <w:sz w:val="16"/>
              </w:rPr>
            </w:pPr>
            <w:r>
              <w:rPr>
                <w:b/>
                <w:noProof/>
                <w:sz w:val="16"/>
              </w:rPr>
              <w:t>2023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 xml:space="preserve">ФУНКЦИЯ 5 </w:t>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noProof/>
                <w:sz w:val="16"/>
                <w:szCs w:val="16"/>
              </w:rPr>
            </w:pPr>
            <w:r>
              <w:rPr>
                <w:noProof/>
                <w:sz w:val="20"/>
              </w:rPr>
              <w:t>0,966</w:t>
            </w:r>
          </w:p>
        </w:tc>
        <w:tc>
          <w:tcPr>
            <w:tcW w:w="1080" w:type="dxa"/>
            <w:vAlign w:val="center"/>
          </w:tcPr>
          <w:p>
            <w:pPr>
              <w:spacing w:before="60" w:after="60" w:line="200" w:lineRule="exact"/>
              <w:jc w:val="center"/>
              <w:rPr>
                <w:noProof/>
                <w:sz w:val="16"/>
                <w:szCs w:val="16"/>
              </w:rPr>
            </w:pPr>
            <w:r>
              <w:rPr>
                <w:noProof/>
                <w:sz w:val="20"/>
              </w:rPr>
              <w:t>0,985</w:t>
            </w:r>
          </w:p>
        </w:tc>
        <w:tc>
          <w:tcPr>
            <w:tcW w:w="1080" w:type="dxa"/>
            <w:vAlign w:val="center"/>
          </w:tcPr>
          <w:p>
            <w:pPr>
              <w:spacing w:before="60" w:after="60" w:line="200" w:lineRule="exact"/>
              <w:jc w:val="center"/>
              <w:rPr>
                <w:noProof/>
                <w:sz w:val="16"/>
                <w:szCs w:val="16"/>
              </w:rPr>
            </w:pPr>
            <w:r>
              <w:rPr>
                <w:noProof/>
                <w:sz w:val="20"/>
              </w:rPr>
              <w:t>1,005</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right"/>
              <w:rPr>
                <w:b/>
                <w:noProof/>
                <w:sz w:val="16"/>
                <w:szCs w:val="16"/>
              </w:rPr>
            </w:pPr>
            <w:r>
              <w:rPr>
                <w:b/>
                <w:noProof/>
                <w:sz w:val="20"/>
              </w:rPr>
              <w:t>2,956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r>
              <w:rPr>
                <w:noProof/>
                <w:sz w:val="20"/>
              </w:rPr>
              <w:t>0,199</w:t>
            </w:r>
          </w:p>
        </w:tc>
        <w:tc>
          <w:tcPr>
            <w:tcW w:w="1080" w:type="dxa"/>
            <w:vAlign w:val="center"/>
          </w:tcPr>
          <w:p>
            <w:pPr>
              <w:spacing w:before="60" w:after="60" w:line="200" w:lineRule="exact"/>
              <w:jc w:val="center"/>
              <w:rPr>
                <w:noProof/>
                <w:sz w:val="16"/>
                <w:szCs w:val="16"/>
              </w:rPr>
            </w:pPr>
            <w:r>
              <w:rPr>
                <w:noProof/>
                <w:sz w:val="20"/>
              </w:rPr>
              <w:t>0,249</w:t>
            </w:r>
          </w:p>
        </w:tc>
        <w:tc>
          <w:tcPr>
            <w:tcW w:w="1080" w:type="dxa"/>
            <w:vAlign w:val="center"/>
          </w:tcPr>
          <w:p>
            <w:pPr>
              <w:spacing w:before="60" w:after="60" w:line="200" w:lineRule="exact"/>
              <w:jc w:val="center"/>
              <w:rPr>
                <w:rFonts w:ascii="Arial Narrow" w:hAnsi="Arial Narrow" w:cs="Arial"/>
                <w:bCs/>
                <w:noProof/>
                <w:sz w:val="16"/>
                <w:szCs w:val="16"/>
              </w:rPr>
            </w:pPr>
            <w:r>
              <w:rPr>
                <w:noProof/>
                <w:sz w:val="20"/>
              </w:rPr>
              <w:t>0,249</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right"/>
              <w:rPr>
                <w:b/>
                <w:noProof/>
                <w:sz w:val="16"/>
                <w:szCs w:val="16"/>
              </w:rPr>
            </w:pPr>
            <w:r>
              <w:rPr>
                <w:b/>
                <w:noProof/>
                <w:sz w:val="20"/>
              </w:rPr>
              <w:t>0,697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Междинен сбор за ФУНКЦИЯ 5</w:t>
            </w:r>
            <w:r>
              <w:rPr>
                <w:noProof/>
                <w:sz w:val="16"/>
                <w:szCs w:val="16"/>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b/>
                <w:noProof/>
                <w:sz w:val="16"/>
                <w:szCs w:val="16"/>
              </w:rPr>
            </w:pPr>
            <w:r>
              <w:rPr>
                <w:noProof/>
                <w:sz w:val="20"/>
              </w:rPr>
              <w:t>1,165</w:t>
            </w:r>
          </w:p>
        </w:tc>
        <w:tc>
          <w:tcPr>
            <w:tcW w:w="1080" w:type="dxa"/>
            <w:vAlign w:val="center"/>
          </w:tcPr>
          <w:p>
            <w:pPr>
              <w:spacing w:before="60" w:after="60" w:line="200" w:lineRule="exact"/>
              <w:jc w:val="center"/>
              <w:rPr>
                <w:b/>
                <w:noProof/>
                <w:sz w:val="16"/>
                <w:szCs w:val="16"/>
              </w:rPr>
            </w:pPr>
            <w:r>
              <w:rPr>
                <w:noProof/>
                <w:sz w:val="20"/>
              </w:rPr>
              <w:t>1,234</w:t>
            </w:r>
          </w:p>
        </w:tc>
        <w:tc>
          <w:tcPr>
            <w:tcW w:w="1080" w:type="dxa"/>
            <w:vAlign w:val="center"/>
          </w:tcPr>
          <w:p>
            <w:pPr>
              <w:spacing w:before="60" w:after="60" w:line="200" w:lineRule="exact"/>
              <w:jc w:val="center"/>
              <w:rPr>
                <w:b/>
                <w:noProof/>
                <w:sz w:val="16"/>
                <w:szCs w:val="16"/>
              </w:rPr>
            </w:pPr>
            <w:r>
              <w:rPr>
                <w:noProof/>
                <w:sz w:val="20"/>
              </w:rPr>
              <w:t>1,254</w:t>
            </w: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right"/>
              <w:rPr>
                <w:b/>
                <w:noProof/>
                <w:sz w:val="16"/>
                <w:szCs w:val="16"/>
              </w:rPr>
            </w:pPr>
            <w:r>
              <w:rPr>
                <w:b/>
                <w:noProof/>
                <w:sz w:val="20"/>
              </w:rPr>
              <w:t>3,653</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rPr>
              <w:t>Извън ФУНКЦИЯ 5</w:t>
            </w:r>
            <w:r>
              <w:rPr>
                <w:rStyle w:val="FootnoteReference"/>
                <w:noProof/>
              </w:rPr>
              <w:footnoteReference w:id="19"/>
            </w:r>
            <w:r>
              <w:rPr>
                <w:noProof/>
                <w:sz w:val="16"/>
                <w:szCs w:val="16"/>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16"/>
                <w:szCs w:val="16"/>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Междинен сбор</w:t>
            </w:r>
            <w:r>
              <w:rPr>
                <w:noProof/>
                <w:sz w:val="16"/>
                <w:szCs w:val="16"/>
              </w:rPr>
              <w:br/>
            </w:r>
            <w:r>
              <w:rPr>
                <w:b/>
                <w:noProof/>
                <w:sz w:val="16"/>
              </w:rPr>
              <w:t>извън ФУНКЦИЯ 5</w:t>
            </w:r>
            <w:r>
              <w:rPr>
                <w:noProof/>
                <w:sz w:val="16"/>
                <w:szCs w:val="16"/>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r>
              <w:rPr>
                <w:noProof/>
                <w:sz w:val="20"/>
              </w:rPr>
              <w:t>1,165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r>
              <w:rPr>
                <w:noProof/>
                <w:sz w:val="20"/>
              </w:rPr>
              <w:t>1,234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rFonts w:ascii="Arial Narrow" w:hAnsi="Arial Narrow" w:cs="Arial"/>
                <w:b/>
                <w:bCs/>
                <w:noProof/>
                <w:sz w:val="16"/>
                <w:szCs w:val="16"/>
              </w:rPr>
            </w:pPr>
            <w:r>
              <w:rPr>
                <w:noProof/>
                <w:sz w:val="20"/>
              </w:rPr>
              <w:t>1,254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r>
              <w:rPr>
                <w:b/>
                <w:noProof/>
                <w:sz w:val="20"/>
              </w:rPr>
              <w:t>3,653</w:t>
            </w: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действието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p>
    <w:p>
      <w:pPr>
        <w:pStyle w:val="ManualHeading4"/>
        <w:rPr>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 xml:space="preserve"> </w:t>
      </w: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FE"/>
      </w:r>
      <w:r>
        <w:rPr>
          <w:noProof/>
        </w:rPr>
        <w:t xml:space="preserve"> </w:t>
      </w:r>
      <w:r>
        <w:rPr>
          <w:noProof/>
        </w:rPr>
        <w:sym w:font="Wingdings" w:char="F0FE"/>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3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4"/>
        <w:gridCol w:w="1955"/>
        <w:gridCol w:w="653"/>
        <w:gridCol w:w="724"/>
        <w:gridCol w:w="720"/>
        <w:gridCol w:w="720"/>
        <w:gridCol w:w="717"/>
        <w:gridCol w:w="714"/>
      </w:tblGrid>
      <w:tr>
        <w:trPr>
          <w:gridBefore w:val="1"/>
          <w:wBefore w:w="6" w:type="pct"/>
          <w:trHeight w:val="289"/>
        </w:trPr>
        <w:tc>
          <w:tcPr>
            <w:tcW w:w="2393" w:type="pct"/>
            <w:gridSpan w:val="2"/>
            <w:shd w:val="clear" w:color="auto" w:fill="auto"/>
          </w:tcPr>
          <w:p>
            <w:pPr>
              <w:spacing w:before="40" w:after="40"/>
              <w:jc w:val="center"/>
              <w:rPr>
                <w:i/>
                <w:noProof/>
                <w:sz w:val="16"/>
                <w:szCs w:val="16"/>
              </w:rPr>
            </w:pPr>
          </w:p>
        </w:tc>
        <w:tc>
          <w:tcPr>
            <w:tcW w:w="400" w:type="pct"/>
            <w:shd w:val="clear" w:color="auto" w:fill="auto"/>
            <w:vAlign w:val="center"/>
          </w:tcPr>
          <w:p>
            <w:pPr>
              <w:spacing w:before="20" w:after="20"/>
              <w:jc w:val="center"/>
              <w:rPr>
                <w:b/>
                <w:noProof/>
                <w:sz w:val="16"/>
                <w:szCs w:val="16"/>
              </w:rPr>
            </w:pPr>
            <w:r>
              <w:rPr>
                <w:b/>
                <w:noProof/>
                <w:sz w:val="16"/>
              </w:rPr>
              <w:t>2018 г.</w:t>
            </w:r>
          </w:p>
        </w:tc>
        <w:tc>
          <w:tcPr>
            <w:tcW w:w="443" w:type="pct"/>
            <w:shd w:val="clear" w:color="auto" w:fill="auto"/>
            <w:vAlign w:val="center"/>
          </w:tcPr>
          <w:p>
            <w:pPr>
              <w:spacing w:before="20" w:after="20"/>
              <w:jc w:val="center"/>
              <w:rPr>
                <w:b/>
                <w:noProof/>
                <w:sz w:val="16"/>
                <w:szCs w:val="16"/>
              </w:rPr>
            </w:pPr>
            <w:r>
              <w:rPr>
                <w:b/>
                <w:noProof/>
                <w:sz w:val="16"/>
              </w:rPr>
              <w:t>2019 г.</w:t>
            </w:r>
          </w:p>
        </w:tc>
        <w:tc>
          <w:tcPr>
            <w:tcW w:w="441" w:type="pct"/>
            <w:vAlign w:val="center"/>
          </w:tcPr>
          <w:p>
            <w:pPr>
              <w:spacing w:before="20" w:after="20"/>
              <w:jc w:val="center"/>
              <w:rPr>
                <w:b/>
                <w:noProof/>
                <w:sz w:val="16"/>
              </w:rPr>
            </w:pPr>
            <w:r>
              <w:rPr>
                <w:b/>
                <w:noProof/>
                <w:sz w:val="16"/>
              </w:rPr>
              <w:t>2020 г.</w:t>
            </w:r>
          </w:p>
        </w:tc>
        <w:tc>
          <w:tcPr>
            <w:tcW w:w="441" w:type="pct"/>
            <w:vAlign w:val="center"/>
          </w:tcPr>
          <w:p>
            <w:pPr>
              <w:spacing w:before="20" w:after="20"/>
              <w:jc w:val="center"/>
              <w:rPr>
                <w:b/>
                <w:noProof/>
                <w:sz w:val="16"/>
              </w:rPr>
            </w:pPr>
            <w:r>
              <w:rPr>
                <w:b/>
                <w:noProof/>
                <w:sz w:val="16"/>
              </w:rPr>
              <w:t>2021 г.</w:t>
            </w:r>
          </w:p>
        </w:tc>
        <w:tc>
          <w:tcPr>
            <w:tcW w:w="439" w:type="pct"/>
            <w:vAlign w:val="center"/>
          </w:tcPr>
          <w:p>
            <w:pPr>
              <w:spacing w:before="20" w:after="20"/>
              <w:jc w:val="center"/>
              <w:rPr>
                <w:b/>
                <w:noProof/>
                <w:sz w:val="16"/>
              </w:rPr>
            </w:pPr>
            <w:r>
              <w:rPr>
                <w:b/>
                <w:noProof/>
                <w:sz w:val="16"/>
              </w:rPr>
              <w:t>2022 г.</w:t>
            </w:r>
          </w:p>
        </w:tc>
        <w:tc>
          <w:tcPr>
            <w:tcW w:w="437" w:type="pct"/>
            <w:vAlign w:val="center"/>
          </w:tcPr>
          <w:p>
            <w:pPr>
              <w:spacing w:before="20" w:after="20"/>
              <w:jc w:val="center"/>
              <w:rPr>
                <w:b/>
                <w:noProof/>
                <w:sz w:val="16"/>
              </w:rPr>
            </w:pPr>
            <w:r>
              <w:rPr>
                <w:b/>
                <w:noProof/>
                <w:sz w:val="16"/>
              </w:rPr>
              <w:t>2023 г.</w:t>
            </w:r>
          </w:p>
        </w:tc>
      </w:tr>
      <w:tr>
        <w:trPr>
          <w:gridBefore w:val="1"/>
          <w:wBefore w:w="6" w:type="pct"/>
          <w:trHeight w:val="289"/>
        </w:trPr>
        <w:tc>
          <w:tcPr>
            <w:tcW w:w="4994" w:type="pct"/>
            <w:gridSpan w:val="8"/>
            <w:shd w:val="clear" w:color="auto" w:fill="auto"/>
          </w:tcPr>
          <w:p>
            <w:pPr>
              <w:spacing w:before="20" w:after="20"/>
              <w:rPr>
                <w:b/>
                <w:noProof/>
                <w:sz w:val="16"/>
              </w:rPr>
            </w:pPr>
            <w:r>
              <w:rPr>
                <w:b/>
                <w:noProof/>
                <w:sz w:val="16"/>
              </w:rPr>
              <w:sym w:font="Wingdings" w:char="F09F"/>
            </w:r>
            <w:r>
              <w:rPr>
                <w:b/>
                <w:noProof/>
              </w:rPr>
              <w:t>Длъжности в щатното разписание (длъжностни лица и срочно наети служители)</w:t>
            </w: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b/>
                <w:noProof/>
                <w:sz w:val="16"/>
                <w:szCs w:val="16"/>
              </w:rPr>
            </w:pPr>
            <w:r>
              <w:rPr>
                <w:noProof/>
                <w:sz w:val="16"/>
              </w:rPr>
              <w:t>02 01 01 01 (Централа и представителства на Комисията)</w:t>
            </w:r>
          </w:p>
        </w:tc>
        <w:tc>
          <w:tcPr>
            <w:tcW w:w="400" w:type="pct"/>
            <w:shd w:val="clear" w:color="auto" w:fill="auto"/>
            <w:vAlign w:val="center"/>
          </w:tcPr>
          <w:p>
            <w:pPr>
              <w:spacing w:beforeLines="20" w:before="48" w:afterLines="20" w:after="48"/>
              <w:jc w:val="center"/>
              <w:rPr>
                <w:noProof/>
                <w:sz w:val="16"/>
                <w:szCs w:val="16"/>
              </w:rPr>
            </w:pPr>
            <w:r>
              <w:rPr>
                <w:noProof/>
                <w:sz w:val="16"/>
              </w:rPr>
              <w:t>7</w:t>
            </w:r>
          </w:p>
        </w:tc>
        <w:tc>
          <w:tcPr>
            <w:tcW w:w="443" w:type="pct"/>
            <w:shd w:val="clear" w:color="auto" w:fill="auto"/>
            <w:vAlign w:val="center"/>
          </w:tcPr>
          <w:p>
            <w:pPr>
              <w:spacing w:beforeLines="20" w:before="48" w:afterLines="20" w:after="48"/>
              <w:jc w:val="center"/>
              <w:rPr>
                <w:noProof/>
                <w:sz w:val="16"/>
                <w:szCs w:val="16"/>
              </w:rPr>
            </w:pPr>
            <w:r>
              <w:rPr>
                <w:noProof/>
                <w:sz w:val="16"/>
              </w:rPr>
              <w:t>7</w:t>
            </w:r>
          </w:p>
        </w:tc>
        <w:tc>
          <w:tcPr>
            <w:tcW w:w="441" w:type="pct"/>
            <w:vAlign w:val="center"/>
          </w:tcPr>
          <w:p>
            <w:pPr>
              <w:spacing w:beforeLines="20" w:before="48" w:afterLines="20" w:after="48"/>
              <w:jc w:val="center"/>
              <w:rPr>
                <w:noProof/>
                <w:sz w:val="16"/>
                <w:szCs w:val="16"/>
              </w:rPr>
            </w:pPr>
            <w:r>
              <w:rPr>
                <w:noProof/>
                <w:sz w:val="16"/>
              </w:rPr>
              <w:t>7</w:t>
            </w:r>
          </w:p>
        </w:tc>
        <w:tc>
          <w:tcPr>
            <w:tcW w:w="441" w:type="pct"/>
            <w:vAlign w:val="center"/>
          </w:tcPr>
          <w:p>
            <w:pPr>
              <w:spacing w:beforeLines="20" w:before="48" w:afterLines="20" w:after="48"/>
              <w:jc w:val="center"/>
              <w:rPr>
                <w:noProof/>
                <w:sz w:val="16"/>
                <w:szCs w:val="16"/>
              </w:rPr>
            </w:pPr>
          </w:p>
        </w:tc>
        <w:tc>
          <w:tcPr>
            <w:tcW w:w="439" w:type="pct"/>
            <w:vAlign w:val="center"/>
          </w:tcPr>
          <w:p>
            <w:pPr>
              <w:spacing w:beforeLines="20" w:before="48" w:afterLines="20" w:after="48"/>
              <w:jc w:val="center"/>
              <w:rPr>
                <w:noProof/>
                <w:sz w:val="16"/>
                <w:szCs w:val="16"/>
              </w:rPr>
            </w:pPr>
          </w:p>
        </w:tc>
        <w:tc>
          <w:tcPr>
            <w:tcW w:w="437" w:type="pct"/>
            <w:vAlign w:val="center"/>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trHeight w:val="248"/>
        </w:trPr>
        <w:tc>
          <w:tcPr>
            <w:tcW w:w="5000" w:type="pct"/>
            <w:gridSpan w:val="9"/>
            <w:shd w:val="clear" w:color="auto" w:fill="auto"/>
            <w:vAlign w:val="center"/>
          </w:tcPr>
          <w:p>
            <w:pPr>
              <w:spacing w:before="60" w:after="60"/>
              <w:jc w:val="left"/>
              <w:rPr>
                <w:b/>
                <w:noProof/>
                <w:sz w:val="16"/>
                <w:szCs w:val="16"/>
              </w:rPr>
            </w:pPr>
            <w:r>
              <w:rPr>
                <w:b/>
                <w:noProof/>
                <w:sz w:val="16"/>
              </w:rPr>
              <w:sym w:font="Wingdings" w:char="F09F"/>
            </w:r>
            <w:r>
              <w:rPr>
                <w:b/>
                <w:noProof/>
              </w:rPr>
              <w:t xml:space="preserve">Външен персонал (в еквивалент на пълно работно време: </w:t>
            </w:r>
            <w:r>
              <w:rPr>
                <w:b/>
                <w:noProof/>
                <w:sz w:val="16"/>
              </w:rPr>
              <w:t xml:space="preserve"> ЕПРВ)</w:t>
            </w:r>
            <w:r>
              <w:rPr>
                <w:rStyle w:val="FootnoteReference"/>
                <w:noProof/>
              </w:rPr>
              <w:footnoteReference w:id="20"/>
            </w:r>
          </w:p>
          <w:p>
            <w:pPr>
              <w:spacing w:before="60" w:after="60"/>
              <w:jc w:val="left"/>
              <w:rPr>
                <w:b/>
                <w:noProof/>
                <w:sz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b/>
                <w:noProof/>
                <w:sz w:val="16"/>
                <w:szCs w:val="16"/>
              </w:rPr>
            </w:pPr>
            <w:r>
              <w:rPr>
                <w:noProof/>
                <w:sz w:val="16"/>
              </w:rPr>
              <w:t>XX 01 02 01 (ДНП, КНЕ, ПНА от общия финансов пакет)</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1196" w:type="pct"/>
            <w:vMerge w:val="restart"/>
            <w:shd w:val="clear" w:color="auto" w:fill="auto"/>
            <w:vAlign w:val="center"/>
          </w:tcPr>
          <w:p>
            <w:pPr>
              <w:spacing w:beforeLines="20" w:before="48" w:afterLines="20" w:after="48"/>
              <w:ind w:left="136"/>
              <w:jc w:val="left"/>
              <w:rPr>
                <w:noProof/>
                <w:sz w:val="16"/>
              </w:rPr>
            </w:pPr>
            <w:r>
              <w:rPr>
                <w:noProof/>
                <w:sz w:val="16"/>
              </w:rPr>
              <w:t xml:space="preserve">XX 01 04 yy </w:t>
            </w:r>
            <w:r>
              <w:rPr>
                <w:rStyle w:val="FootnoteReference"/>
                <w:noProof/>
              </w:rPr>
              <w:footnoteReference w:id="21"/>
            </w:r>
          </w:p>
          <w:p>
            <w:pPr>
              <w:spacing w:beforeLines="20" w:before="48" w:afterLines="20" w:after="48"/>
              <w:ind w:left="136"/>
              <w:jc w:val="left"/>
              <w:rPr>
                <w:noProof/>
                <w:sz w:val="16"/>
              </w:rPr>
            </w:pPr>
          </w:p>
        </w:tc>
        <w:tc>
          <w:tcPr>
            <w:tcW w:w="1197"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400" w:type="pct"/>
            <w:shd w:val="clear" w:color="auto" w:fill="auto"/>
            <w:vAlign w:val="center"/>
          </w:tcPr>
          <w:p>
            <w:pPr>
              <w:spacing w:beforeLines="20" w:before="48" w:afterLines="20" w:after="48"/>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1196" w:type="pct"/>
            <w:vMerge/>
            <w:shd w:val="clear" w:color="auto" w:fill="auto"/>
            <w:vAlign w:val="center"/>
          </w:tcPr>
          <w:p>
            <w:pPr>
              <w:spacing w:beforeLines="20" w:before="48" w:afterLines="20" w:after="48"/>
              <w:ind w:left="136"/>
              <w:jc w:val="left"/>
              <w:rPr>
                <w:noProof/>
                <w:sz w:val="16"/>
              </w:rPr>
            </w:pPr>
          </w:p>
        </w:tc>
        <w:tc>
          <w:tcPr>
            <w:tcW w:w="1197"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400" w:type="pct"/>
            <w:shd w:val="clear" w:color="auto" w:fill="auto"/>
            <w:vAlign w:val="center"/>
          </w:tcPr>
          <w:p>
            <w:pPr>
              <w:spacing w:beforeLines="20" w:before="48" w:afterLines="20" w:after="48"/>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noProof/>
                <w:sz w:val="16"/>
              </w:rPr>
            </w:pPr>
            <w:r>
              <w:rPr>
                <w:noProof/>
                <w:sz w:val="16"/>
              </w:rPr>
              <w:t>XX 01 05 02 (ДНП, КНЕ, ПНА — Непреки научни изследвания)</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noProof/>
                <w:sz w:val="16"/>
                <w:szCs w:val="16"/>
              </w:rPr>
            </w:pPr>
            <w:r>
              <w:rPr>
                <w:noProof/>
                <w:sz w:val="16"/>
              </w:rPr>
              <w:t>10 01 05 02 (ДНП, КНЕ, ПНА — Преки научни изследвания)</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40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1" w:type="pct"/>
            <w:tcBorders>
              <w:bottom w:val="double" w:sz="4" w:space="0" w:color="auto"/>
            </w:tcBorders>
          </w:tcPr>
          <w:p>
            <w:pPr>
              <w:spacing w:beforeLines="20" w:before="48" w:afterLines="20" w:after="48"/>
              <w:jc w:val="center"/>
              <w:rPr>
                <w:noProof/>
                <w:sz w:val="16"/>
                <w:szCs w:val="16"/>
              </w:rPr>
            </w:pPr>
          </w:p>
        </w:tc>
        <w:tc>
          <w:tcPr>
            <w:tcW w:w="441" w:type="pct"/>
            <w:tcBorders>
              <w:bottom w:val="double" w:sz="4" w:space="0" w:color="auto"/>
            </w:tcBorders>
          </w:tcPr>
          <w:p>
            <w:pPr>
              <w:spacing w:beforeLines="20" w:before="48" w:afterLines="20" w:after="48"/>
              <w:jc w:val="center"/>
              <w:rPr>
                <w:noProof/>
                <w:sz w:val="16"/>
                <w:szCs w:val="16"/>
              </w:rPr>
            </w:pPr>
          </w:p>
        </w:tc>
        <w:tc>
          <w:tcPr>
            <w:tcW w:w="439" w:type="pct"/>
            <w:tcBorders>
              <w:bottom w:val="double" w:sz="4" w:space="0" w:color="auto"/>
            </w:tcBorders>
          </w:tcPr>
          <w:p>
            <w:pPr>
              <w:spacing w:beforeLines="20" w:before="48" w:afterLines="20" w:after="48"/>
              <w:jc w:val="center"/>
              <w:rPr>
                <w:noProof/>
                <w:sz w:val="16"/>
                <w:szCs w:val="16"/>
              </w:rPr>
            </w:pPr>
          </w:p>
        </w:tc>
        <w:tc>
          <w:tcPr>
            <w:tcW w:w="437" w:type="pct"/>
            <w:tcBorders>
              <w:bottom w:val="double" w:sz="4" w:space="0" w:color="auto"/>
            </w:tcBorders>
          </w:tcPr>
          <w:p>
            <w:pPr>
              <w:spacing w:beforeLines="20" w:before="48" w:afterLines="20" w:after="48"/>
              <w:jc w:val="center"/>
              <w:rPr>
                <w:noProof/>
                <w:sz w:val="16"/>
                <w:szCs w:val="16"/>
              </w:rPr>
            </w:pPr>
          </w:p>
        </w:tc>
      </w:tr>
      <w:tr>
        <w:trPr>
          <w:gridBefore w:val="1"/>
          <w:wBefore w:w="6" w:type="pct"/>
          <w:trHeight w:val="289"/>
        </w:trPr>
        <w:tc>
          <w:tcPr>
            <w:tcW w:w="2393"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40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w:t>
            </w:r>
          </w:p>
        </w:tc>
        <w:tc>
          <w:tcPr>
            <w:tcW w:w="441" w:type="pct"/>
            <w:tcBorders>
              <w:top w:val="double" w:sz="4" w:space="0" w:color="auto"/>
            </w:tcBorders>
          </w:tcPr>
          <w:p>
            <w:pPr>
              <w:spacing w:beforeLines="20" w:before="48" w:afterLines="20" w:after="48"/>
              <w:jc w:val="center"/>
              <w:rPr>
                <w:b/>
                <w:noProof/>
                <w:sz w:val="16"/>
                <w:szCs w:val="16"/>
              </w:rPr>
            </w:pPr>
            <w:r>
              <w:rPr>
                <w:b/>
                <w:noProof/>
                <w:sz w:val="16"/>
              </w:rPr>
              <w:t>7</w:t>
            </w:r>
          </w:p>
        </w:tc>
        <w:tc>
          <w:tcPr>
            <w:tcW w:w="441" w:type="pct"/>
            <w:tcBorders>
              <w:top w:val="double" w:sz="4" w:space="0" w:color="auto"/>
            </w:tcBorders>
          </w:tcPr>
          <w:p>
            <w:pPr>
              <w:spacing w:beforeLines="20" w:before="48" w:afterLines="20" w:after="48"/>
              <w:jc w:val="center"/>
              <w:rPr>
                <w:b/>
                <w:noProof/>
                <w:sz w:val="16"/>
                <w:szCs w:val="16"/>
              </w:rPr>
            </w:pPr>
          </w:p>
        </w:tc>
        <w:tc>
          <w:tcPr>
            <w:tcW w:w="439" w:type="pct"/>
            <w:tcBorders>
              <w:top w:val="double" w:sz="4" w:space="0" w:color="auto"/>
            </w:tcBorders>
          </w:tcPr>
          <w:p>
            <w:pPr>
              <w:spacing w:beforeLines="20" w:before="48" w:afterLines="20" w:after="48"/>
              <w:jc w:val="center"/>
              <w:rPr>
                <w:b/>
                <w:noProof/>
                <w:sz w:val="16"/>
                <w:szCs w:val="16"/>
              </w:rPr>
            </w:pPr>
          </w:p>
        </w:tc>
        <w:tc>
          <w:tcPr>
            <w:tcW w:w="437" w:type="pct"/>
            <w:tcBorders>
              <w:top w:val="double" w:sz="4" w:space="0" w:color="auto"/>
            </w:tcBorders>
          </w:tcPr>
          <w:p>
            <w:pPr>
              <w:spacing w:beforeLines="20" w:before="48" w:afterLines="20" w:after="48"/>
              <w:jc w:val="center"/>
              <w:rPr>
                <w:b/>
                <w:noProof/>
                <w:sz w:val="16"/>
                <w:szCs w:val="16"/>
              </w:rPr>
            </w:pPr>
          </w:p>
        </w:tc>
      </w:tr>
    </w:tbl>
    <w:p>
      <w:pPr>
        <w:spacing w:before="60" w:after="60"/>
        <w:ind w:left="851"/>
        <w:rPr>
          <w:noProof/>
          <w:sz w:val="18"/>
          <w:szCs w:val="18"/>
        </w:rPr>
      </w:pPr>
      <w:r>
        <w:rPr>
          <w:b/>
          <w:noProof/>
        </w:rPr>
        <w:t>XX</w:t>
      </w:r>
      <w:r>
        <w:rPr>
          <w:noProof/>
        </w:rPr>
        <w:t xml:space="preserve"> е съответната област на политиката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 xml:space="preserve">Определяне на нуждите и концептуално функционални предложения </w:t>
            </w:r>
          </w:p>
          <w:p>
            <w:pPr>
              <w:rPr>
                <w:noProof/>
                <w:sz w:val="20"/>
              </w:rPr>
            </w:pPr>
            <w:r>
              <w:rPr>
                <w:noProof/>
                <w:sz w:val="20"/>
              </w:rPr>
              <w:t>Класифициране на данните с оглед на сигурността, изграждане и управление на необходимите системи за обработка на поверителна информация</w:t>
            </w:r>
          </w:p>
          <w:p>
            <w:pPr>
              <w:rPr>
                <w:noProof/>
                <w:sz w:val="20"/>
              </w:rPr>
            </w:pPr>
            <w:r>
              <w:rPr>
                <w:noProof/>
                <w:sz w:val="20"/>
              </w:rPr>
              <w:t>Изготвяне на необходимата правна документация, подготовка на необходимите оценки на въздействието, предложения за програми и решения на Комисията</w:t>
            </w:r>
          </w:p>
          <w:p>
            <w:pPr>
              <w:rPr>
                <w:noProof/>
                <w:sz w:val="20"/>
              </w:rPr>
            </w:pPr>
            <w:r>
              <w:rPr>
                <w:noProof/>
                <w:sz w:val="20"/>
              </w:rPr>
              <w:t xml:space="preserve">Осигуряване на надеждно управление на програмата и подготовка на работни програми </w:t>
            </w:r>
          </w:p>
          <w:p>
            <w:pPr>
              <w:rPr>
                <w:noProof/>
                <w:sz w:val="20"/>
              </w:rPr>
            </w:pPr>
            <w:r>
              <w:rPr>
                <w:noProof/>
                <w:sz w:val="20"/>
              </w:rPr>
              <w:t>Подкрепа при оценката и подбора на предложенията за безвъзмездни средства</w:t>
            </w:r>
          </w:p>
          <w:p>
            <w:pPr>
              <w:rPr>
                <w:noProof/>
                <w:sz w:val="20"/>
              </w:rPr>
            </w:pPr>
            <w:r>
              <w:rPr>
                <w:noProof/>
                <w:sz w:val="20"/>
              </w:rPr>
              <w:t>Осигуряване на надежден финансов мониторинг и анализ на разходите</w:t>
            </w:r>
          </w:p>
          <w:p>
            <w:pPr>
              <w:rPr>
                <w:noProof/>
                <w:sz w:val="20"/>
              </w:rPr>
            </w:pPr>
            <w:r>
              <w:rPr>
                <w:noProof/>
                <w:sz w:val="20"/>
              </w:rPr>
              <w:t xml:space="preserve">Мониторинг на действието и анализ на техническия напредък </w:t>
            </w:r>
          </w:p>
          <w:p>
            <w:pPr>
              <w:rPr>
                <w:noProof/>
                <w:sz w:val="20"/>
              </w:rPr>
            </w:pPr>
            <w:r>
              <w:rPr>
                <w:noProof/>
                <w:sz w:val="20"/>
              </w:rPr>
              <w:t>Участие в по-важните заседания по проекта</w:t>
            </w:r>
          </w:p>
          <w:p>
            <w:pPr>
              <w:rPr>
                <w:noProof/>
                <w:sz w:val="20"/>
              </w:rPr>
            </w:pPr>
            <w:r>
              <w:rPr>
                <w:noProof/>
                <w:sz w:val="20"/>
              </w:rPr>
              <w:t>Докладване пред ръководството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A8"/>
      </w:r>
      <w:r>
        <w:rPr>
          <w:noProof/>
        </w:rPr>
        <w:sym w:font="Wingdings" w:char="F0A8"/>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FE"/>
      </w:r>
      <w:r>
        <w:rPr>
          <w:noProof/>
        </w:rPr>
        <w:t xml:space="preserve"> </w:t>
      </w:r>
      <w:r>
        <w:rPr>
          <w:noProof/>
        </w:rPr>
        <w:sym w:font="Wingdings" w:char="F0FE"/>
      </w:r>
      <w:r>
        <w:rPr>
          <w:noProof/>
        </w:rPr>
        <w:t xml:space="preserve"> 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Предложението ще бъде финансирано от специфични бюджетни редове:</w:t>
      </w:r>
    </w:p>
    <w:p>
      <w:pPr>
        <w:pBdr>
          <w:top w:val="single" w:sz="4" w:space="1" w:color="auto"/>
          <w:left w:val="single" w:sz="4" w:space="4" w:color="auto"/>
          <w:bottom w:val="single" w:sz="4" w:space="1" w:color="auto"/>
          <w:right w:val="single" w:sz="4" w:space="4" w:color="auto"/>
        </w:pBdr>
        <w:ind w:left="850"/>
        <w:rPr>
          <w:noProof/>
          <w:sz w:val="20"/>
        </w:rPr>
      </w:pPr>
      <w:r>
        <w:rPr>
          <w:noProof/>
          <w:sz w:val="20"/>
        </w:rPr>
        <w:t>02.0501 Разработване и осигуряване на глобални инфраструктури и услуги за спътникова радионавигация („Галилео“) до 2020 г.</w:t>
      </w:r>
    </w:p>
    <w:p>
      <w:pPr>
        <w:pBdr>
          <w:top w:val="single" w:sz="4" w:space="1" w:color="auto"/>
          <w:left w:val="single" w:sz="4" w:space="4" w:color="auto"/>
          <w:bottom w:val="single" w:sz="4" w:space="1" w:color="auto"/>
          <w:right w:val="single" w:sz="4" w:space="4" w:color="auto"/>
        </w:pBdr>
        <w:ind w:left="850"/>
        <w:rPr>
          <w:noProof/>
          <w:sz w:val="20"/>
        </w:rPr>
      </w:pPr>
      <w:r>
        <w:rPr>
          <w:noProof/>
          <w:sz w:val="20"/>
        </w:rPr>
        <w:t>02.0502 Предоставяне на спътникови услуги, които да подобрят работата на Глобалната система за позициониране (GPS), която постепенно да обхване целия регион на Европейската конференция за гражданска авиация (ЕКГА) до 2020 г. (EGNOS)</w:t>
      </w:r>
    </w:p>
    <w:p>
      <w:pPr>
        <w:pBdr>
          <w:top w:val="single" w:sz="4" w:space="1" w:color="auto"/>
          <w:left w:val="single" w:sz="4" w:space="4" w:color="auto"/>
          <w:bottom w:val="single" w:sz="4" w:space="1" w:color="auto"/>
          <w:right w:val="single" w:sz="4" w:space="4" w:color="auto"/>
        </w:pBdr>
        <w:ind w:left="850"/>
        <w:rPr>
          <w:noProof/>
          <w:sz w:val="20"/>
        </w:rPr>
      </w:pPr>
      <w:r>
        <w:rPr>
          <w:noProof/>
          <w:sz w:val="20"/>
        </w:rPr>
        <w:t>02.0601 Предоставяне на оперативни услуги, основаващи се на космически наблюдения и данни in-situ („Коперник“)</w:t>
      </w:r>
    </w:p>
    <w:p>
      <w:pPr>
        <w:pBdr>
          <w:top w:val="single" w:sz="4" w:space="1" w:color="auto"/>
          <w:left w:val="single" w:sz="4" w:space="4" w:color="auto"/>
          <w:bottom w:val="single" w:sz="4" w:space="1" w:color="auto"/>
          <w:right w:val="single" w:sz="4" w:space="4" w:color="auto"/>
        </w:pBdr>
        <w:ind w:left="850"/>
        <w:rPr>
          <w:noProof/>
          <w:sz w:val="20"/>
        </w:rPr>
      </w:pPr>
      <w:r>
        <w:rPr>
          <w:noProof/>
          <w:sz w:val="20"/>
        </w:rPr>
        <w:t>32.050102 Изграждане, работа и експлоатация на съоръженията на ITER — Европейско съвместно предприятие за „ITER“ — „Ядрен синтез за добиване на енергия“ (F4E)</w:t>
      </w:r>
    </w:p>
    <w:p>
      <w:pPr>
        <w:pBdr>
          <w:top w:val="single" w:sz="4" w:space="1" w:color="auto"/>
          <w:left w:val="single" w:sz="4" w:space="4" w:color="auto"/>
          <w:bottom w:val="single" w:sz="4" w:space="1" w:color="auto"/>
          <w:right w:val="single" w:sz="4" w:space="4" w:color="auto"/>
        </w:pBdr>
        <w:ind w:left="850"/>
        <w:rPr>
          <w:noProof/>
          <w:sz w:val="20"/>
        </w:rPr>
      </w:pPr>
      <w:r>
        <w:rPr>
          <w:noProof/>
          <w:sz w:val="20"/>
        </w:rPr>
        <w:t>32.020101 По-нататъшно интегриране на вътрешния енергиен пазар и оперативната съвместимост на трансграничните електроенергийни и газови мрежи</w:t>
      </w:r>
    </w:p>
    <w:p>
      <w:pPr>
        <w:pBdr>
          <w:top w:val="single" w:sz="4" w:space="1" w:color="auto"/>
          <w:left w:val="single" w:sz="4" w:space="4" w:color="auto"/>
          <w:bottom w:val="single" w:sz="4" w:space="1" w:color="auto"/>
          <w:right w:val="single" w:sz="4" w:space="4" w:color="auto"/>
        </w:pBdr>
        <w:ind w:left="850"/>
        <w:rPr>
          <w:noProof/>
          <w:sz w:val="20"/>
        </w:rPr>
      </w:pPr>
      <w:r>
        <w:rPr>
          <w:noProof/>
          <w:sz w:val="20"/>
        </w:rPr>
        <w:t>32.020102 Повишаване на сигурността на енергийните доставки в Съюза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32.020103 Принос за устойчиво развитие и опазване на околната среда  </w:t>
      </w:r>
    </w:p>
    <w:p>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09.0303 Насърчаване на оперативната съвместимост, устойчивото внедряване, експлоатацията и модернизирането на трансевропейските инфраструктури за цифрови услуги, както и на координацията на европейско равнище </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Неразпределен марж</w:t>
      </w:r>
    </w:p>
    <w:p>
      <w:pPr>
        <w:pStyle w:val="ListDash1"/>
        <w:rPr>
          <w:noProof/>
        </w:rPr>
      </w:pPr>
      <w:r>
        <w:rPr>
          <w:noProof/>
        </w:rPr>
        <w:sym w:font="Wingdings" w:char="F0A8"/>
      </w:r>
      <w:r>
        <w:rPr>
          <w:noProof/>
        </w:rPr>
        <w:t xml:space="preserve"> </w:t>
      </w: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FE"/>
      </w:r>
      <w:r>
        <w:rPr>
          <w:noProof/>
        </w:rPr>
        <w:t xml:space="preserve"> Предложението/инициативата не предвижда съфинансиране от трети страни. </w:t>
      </w:r>
    </w:p>
    <w:p>
      <w:pPr>
        <w:pStyle w:val="ListDash1"/>
        <w:rPr>
          <w:noProof/>
        </w:rPr>
      </w:pPr>
      <w:r>
        <w:rPr>
          <w:noProof/>
        </w:rPr>
        <w:sym w:font="Wingdings" w:char="F0A8"/>
      </w:r>
      <w:r>
        <w:rPr>
          <w:noProof/>
        </w:rPr>
        <w:t xml:space="preserve"> 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0"/>
              </w:rPr>
              <w:br/>
              <w:t>N</w:t>
            </w:r>
          </w:p>
        </w:tc>
        <w:tc>
          <w:tcPr>
            <w:tcW w:w="964" w:type="dxa"/>
            <w:vAlign w:val="center"/>
          </w:tcPr>
          <w:p>
            <w:pPr>
              <w:jc w:val="center"/>
              <w:rPr>
                <w:noProof/>
                <w:sz w:val="20"/>
              </w:rPr>
            </w:pPr>
            <w:r>
              <w:rPr>
                <w:noProof/>
                <w:sz w:val="20"/>
              </w:rPr>
              <w:t>ГодинаN+1</w:t>
            </w:r>
          </w:p>
        </w:tc>
        <w:tc>
          <w:tcPr>
            <w:tcW w:w="964" w:type="dxa"/>
            <w:vAlign w:val="center"/>
          </w:tcPr>
          <w:p>
            <w:pPr>
              <w:jc w:val="center"/>
              <w:rPr>
                <w:noProof/>
                <w:sz w:val="20"/>
              </w:rPr>
            </w:pPr>
            <w:r>
              <w:rPr>
                <w:noProof/>
                <w:sz w:val="20"/>
              </w:rPr>
              <w:t>ГодинаN+2</w:t>
            </w:r>
          </w:p>
        </w:tc>
        <w:tc>
          <w:tcPr>
            <w:tcW w:w="964" w:type="dxa"/>
            <w:vAlign w:val="center"/>
          </w:tcPr>
          <w:p>
            <w:pPr>
              <w:jc w:val="center"/>
              <w:rPr>
                <w:noProof/>
                <w:sz w:val="20"/>
              </w:rPr>
            </w:pPr>
            <w:r>
              <w:rPr>
                <w:noProof/>
                <w:sz w:val="20"/>
              </w:rPr>
              <w:t>ГодинаN+3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jc w:val="left"/>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 xml:space="preserve"> </w:t>
      </w:r>
      <w:r>
        <w:rPr>
          <w:noProof/>
        </w:rPr>
        <w:sym w:font="Wingdings" w:char="F0FE"/>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 xml:space="preserve"> </w:t>
      </w:r>
      <w:r>
        <w:rPr>
          <w:noProof/>
        </w:rPr>
        <w:sym w:font="Wingdings" w:char="F0A8"/>
      </w:r>
      <w:r>
        <w:rPr>
          <w:noProof/>
        </w:rPr>
        <w:t xml:space="preserve"> Предложението/инициативата има следното финансово отражение:</w:t>
      </w:r>
    </w:p>
    <w:p>
      <w:pPr>
        <w:pStyle w:val="ListNumberLevel3"/>
        <w:rPr>
          <w:noProof/>
        </w:rPr>
      </w:pPr>
      <w:r>
        <w:rPr>
          <w:noProof/>
        </w:rPr>
        <w:sym w:font="Wingdings" w:char="F0A8"/>
      </w:r>
      <w:r>
        <w:rPr>
          <w:noProof/>
        </w:rPr>
        <w:t xml:space="preserve"> </w:t>
      </w:r>
      <w:r>
        <w:rPr>
          <w:noProof/>
        </w:rPr>
        <w:sym w:font="Wingdings" w:char="F0A8"/>
      </w:r>
      <w:r>
        <w:rPr>
          <w:noProof/>
        </w:rPr>
        <w:t xml:space="preserve"> върху собствените ресурси </w:t>
      </w:r>
    </w:p>
    <w:p>
      <w:pPr>
        <w:pStyle w:val="ListNumberLevel3"/>
        <w:rPr>
          <w:noProof/>
        </w:rPr>
      </w:pPr>
      <w:r>
        <w:rPr>
          <w:noProof/>
        </w:rPr>
        <w:sym w:font="Wingdings" w:char="F0A8"/>
      </w:r>
      <w:r>
        <w:rPr>
          <w:noProof/>
        </w:rPr>
        <w:t xml:space="preserve"> </w:t>
      </w:r>
      <w:r>
        <w:rPr>
          <w:noProof/>
        </w:rPr>
        <w:sym w:font="Wingdings" w:char="F0A8"/>
      </w:r>
      <w:r>
        <w:rPr>
          <w:noProof/>
        </w:rPr>
        <w:t xml:space="preserve"> върху разните приходи </w:t>
      </w:r>
    </w:p>
    <w:p>
      <w:pPr>
        <w:jc w:val="right"/>
        <w:rPr>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400"/>
        <w:gridCol w:w="956"/>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400" w:type="dxa"/>
            <w:vMerge w:val="restart"/>
            <w:vAlign w:val="center"/>
          </w:tcPr>
          <w:p>
            <w:pPr>
              <w:jc w:val="center"/>
              <w:rPr>
                <w:noProof/>
                <w:sz w:val="18"/>
              </w:rPr>
            </w:pPr>
            <w:r>
              <w:rPr>
                <w:noProof/>
                <w:sz w:val="18"/>
              </w:rPr>
              <w:t>Налични бюджетни кредити за текущата финансова година</w:t>
            </w:r>
          </w:p>
        </w:tc>
        <w:tc>
          <w:tcPr>
            <w:tcW w:w="7076"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22"/>
            </w:r>
          </w:p>
        </w:tc>
      </w:tr>
      <w:tr>
        <w:trPr>
          <w:trHeight w:val="388"/>
        </w:trPr>
        <w:tc>
          <w:tcPr>
            <w:tcW w:w="2144" w:type="dxa"/>
            <w:vMerge/>
          </w:tcPr>
          <w:p>
            <w:pPr>
              <w:spacing w:before="40" w:after="40"/>
              <w:rPr>
                <w:noProof/>
                <w:sz w:val="18"/>
              </w:rPr>
            </w:pPr>
          </w:p>
        </w:tc>
        <w:tc>
          <w:tcPr>
            <w:tcW w:w="1400" w:type="dxa"/>
            <w:vMerge/>
          </w:tcPr>
          <w:p>
            <w:pPr>
              <w:spacing w:beforeLines="40" w:before="96" w:afterLines="40" w:after="96"/>
              <w:rPr>
                <w:i/>
                <w:noProof/>
                <w:sz w:val="18"/>
              </w:rPr>
            </w:pPr>
          </w:p>
        </w:tc>
        <w:tc>
          <w:tcPr>
            <w:tcW w:w="956" w:type="dxa"/>
            <w:vAlign w:val="center"/>
          </w:tcPr>
          <w:p>
            <w:pPr>
              <w:jc w:val="center"/>
              <w:rPr>
                <w:noProof/>
                <w:sz w:val="18"/>
              </w:rPr>
            </w:pPr>
            <w:r>
              <w:rPr>
                <w:noProof/>
                <w:sz w:val="18"/>
              </w:rPr>
              <w:t>Година N</w:t>
            </w:r>
          </w:p>
        </w:tc>
        <w:tc>
          <w:tcPr>
            <w:tcW w:w="900" w:type="dxa"/>
            <w:vAlign w:val="center"/>
          </w:tcPr>
          <w:p>
            <w:pPr>
              <w:jc w:val="center"/>
              <w:rPr>
                <w:noProof/>
                <w:sz w:val="18"/>
              </w:rPr>
            </w:pPr>
            <w:r>
              <w:rPr>
                <w:noProof/>
                <w:sz w:val="18"/>
              </w:rPr>
              <w:t>Година N+1</w:t>
            </w:r>
          </w:p>
        </w:tc>
        <w:tc>
          <w:tcPr>
            <w:tcW w:w="900" w:type="dxa"/>
            <w:vAlign w:val="center"/>
          </w:tcPr>
          <w:p>
            <w:pPr>
              <w:jc w:val="center"/>
              <w:rPr>
                <w:noProof/>
                <w:sz w:val="18"/>
              </w:rPr>
            </w:pPr>
            <w:r>
              <w:rPr>
                <w:noProof/>
                <w:sz w:val="18"/>
              </w:rPr>
              <w:t>Година N+2</w:t>
            </w:r>
          </w:p>
        </w:tc>
        <w:tc>
          <w:tcPr>
            <w:tcW w:w="1080" w:type="dxa"/>
            <w:vAlign w:val="center"/>
          </w:tcPr>
          <w:p>
            <w:pPr>
              <w:jc w:val="center"/>
              <w:rPr>
                <w:noProof/>
                <w:sz w:val="18"/>
              </w:rPr>
            </w:pPr>
            <w:r>
              <w:rPr>
                <w:noProof/>
                <w:sz w:val="18"/>
              </w:rPr>
              <w:t>Година 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400" w:type="dxa"/>
          </w:tcPr>
          <w:p>
            <w:pPr>
              <w:spacing w:beforeLines="40" w:before="96" w:afterLines="40" w:after="96"/>
              <w:jc w:val="center"/>
              <w:rPr>
                <w:i/>
                <w:noProof/>
                <w:sz w:val="18"/>
              </w:rPr>
            </w:pPr>
          </w:p>
        </w:tc>
        <w:tc>
          <w:tcPr>
            <w:tcW w:w="956"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rPr>
      </w:pPr>
    </w:p>
    <w:p>
      <w:pPr>
        <w:jc w:val="center"/>
        <w:rPr>
          <w:noProof/>
        </w:rPr>
      </w:pPr>
    </w:p>
    <w:sectPr>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Заключения на Съвета по външни работи, 15.11.2016 г.  </w:t>
      </w:r>
    </w:p>
  </w:footnote>
  <w:footnote w:id="2">
    <w:p>
      <w:pPr>
        <w:pStyle w:val="FootnoteText"/>
      </w:pPr>
      <w:r>
        <w:rPr>
          <w:rStyle w:val="FootnoteReference"/>
        </w:rPr>
        <w:footnoteRef/>
      </w:r>
      <w:r>
        <w:tab/>
        <w:t>Вж. също стр. 12 от работния документ на службите на Комисията, придружаващ регламента.</w:t>
      </w:r>
    </w:p>
  </w:footnote>
  <w:footnote w:id="3">
    <w:p>
      <w:pPr>
        <w:pStyle w:val="FootnoteText"/>
      </w:pPr>
      <w:r>
        <w:rPr>
          <w:rStyle w:val="FootnoteReference"/>
        </w:rPr>
        <w:footnoteRef/>
      </w:r>
      <w:r>
        <w:tab/>
        <w:t>Заключения на Съвета по външни работи, 15.11.2016 г.</w:t>
      </w:r>
    </w:p>
  </w:footnote>
  <w:footnote w:id="4">
    <w:p>
      <w:pPr>
        <w:pStyle w:val="FootnoteText"/>
      </w:pPr>
      <w:r>
        <w:rPr>
          <w:rStyle w:val="FootnoteReference"/>
        </w:rPr>
        <w:footnoteRef/>
      </w:r>
      <w:r>
        <w:tab/>
        <w:t>ОВ C […], […] г., стр. […].</w:t>
      </w:r>
    </w:p>
  </w:footnote>
  <w:footnote w:id="5">
    <w:p>
      <w:pPr>
        <w:pStyle w:val="FootnoteText"/>
      </w:pPr>
      <w:r>
        <w:rPr>
          <w:rStyle w:val="FootnoteReference"/>
        </w:rPr>
        <w:footnoteRef/>
      </w:r>
      <w:r>
        <w:tab/>
        <w:t>ОВ C […], […] г., стр. […].</w:t>
      </w:r>
    </w:p>
  </w:footnote>
  <w:footnote w:id="6">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footnote>
  <w:footnote w:id="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footnote>
  <w:footnote w:id="8">
    <w:p>
      <w:pPr>
        <w:pStyle w:val="FootnoteText"/>
      </w:pPr>
      <w:r>
        <w:rPr>
          <w:rStyle w:val="FootnoteReference"/>
        </w:rPr>
        <w:footnoteRef/>
      </w:r>
      <w:r>
        <w:tab/>
        <w:t>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9">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0">
    <w:p>
      <w:pPr>
        <w:pStyle w:val="FootnoteText"/>
      </w:pPr>
      <w:r>
        <w:rPr>
          <w:rStyle w:val="FootnoteReference"/>
        </w:rPr>
        <w:footnoteRef/>
      </w:r>
      <w:r>
        <w:tab/>
        <w:t xml:space="preserve">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 </w:t>
      </w:r>
    </w:p>
    <w:p>
      <w:pPr>
        <w:pStyle w:val="FootnoteText"/>
      </w:pPr>
    </w:p>
  </w:footnote>
  <w:footnote w:id="11">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2">
    <w:p>
      <w:pPr>
        <w:pStyle w:val="FootnoteText"/>
        <w:jc w:val="left"/>
        <w:rPr>
          <w:szCs w:val="24"/>
        </w:rPr>
      </w:pPr>
      <w:r>
        <w:rPr>
          <w:rStyle w:val="FootnoteReference"/>
        </w:rPr>
        <w:footnoteRef/>
      </w:r>
      <w:r>
        <w:tab/>
        <w:t xml:space="preserve">Подробни разяснения във връзка с методите на управление и позоваванията на Финансовия регламент могат да бъдат намерени на уебсайта BudgWeb: </w:t>
      </w:r>
      <w:hyperlink r:id="rId1">
        <w:r>
          <w:rPr>
            <w:rStyle w:val="Hyperlink"/>
            <w:color w:val="auto"/>
          </w:rPr>
          <w:t>https://myintracomm.ec.europa.eu/budgweb/EN/man/budgmanag/Pages/budgmanag.aspx</w:t>
        </w:r>
      </w:hyperlink>
      <w:r>
        <w:t xml:space="preserve"> </w:t>
      </w:r>
    </w:p>
  </w:footnote>
  <w:footnote w:id="1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4">
    <w:p>
      <w:pPr>
        <w:pStyle w:val="FootnoteText"/>
        <w:rPr>
          <w:szCs w:val="24"/>
        </w:rPr>
      </w:pPr>
      <w:r>
        <w:rPr>
          <w:rStyle w:val="FootnoteReference"/>
        </w:rPr>
        <w:footnoteRef/>
      </w:r>
      <w:r>
        <w:tab/>
        <w:t xml:space="preserve">ЕАСТ: Европейска асоциация за свободна търговия. </w:t>
      </w:r>
    </w:p>
  </w:footnote>
  <w:footnote w:id="15">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Съюза (предишни редове „BA“), непреки научни изследвания, преки научни изследвания.</w:t>
      </w:r>
    </w:p>
  </w:footnote>
  <w:footnote w:id="17">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8">
    <w:p>
      <w:pPr>
        <w:pStyle w:val="FootnoteText"/>
        <w:rPr>
          <w:szCs w:val="24"/>
        </w:rPr>
      </w:pPr>
      <w:r>
        <w:rPr>
          <w:rStyle w:val="FootnoteReference"/>
        </w:rPr>
        <w:footnoteRef/>
      </w:r>
      <w:r>
        <w:tab/>
        <w:t xml:space="preserve">Съгласно описанието в точка 1.4.2. „Конкретни цели…“. </w:t>
      </w:r>
    </w:p>
  </w:footnote>
  <w:footnote w:id="1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Съюза (предишни редове „BA“), непреки научни изследвания, преки научни изследвания.</w:t>
      </w:r>
    </w:p>
  </w:footnote>
  <w:footnote w:id="2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C476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6E71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F6F9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C612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F46A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0"/>
  </w:num>
  <w:num w:numId="10">
    <w:abstractNumId w:val="2"/>
  </w:num>
  <w:num w:numId="11">
    <w:abstractNumId w:val="1"/>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2 11:16: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7"/>
    <w:docVar w:name="DQCStatus" w:val="Green"/>
    <w:docVar w:name="DQCVersion" w:val="3"/>
    <w:docVar w:name="DQCWithWarnings" w:val="0"/>
    <w:docVar w:name="LW_CONFIDENCE" w:val=" "/>
    <w:docVar w:name="LW_CONST_RESTREINT_UE" w:val="RESTREINT UE"/>
    <w:docVar w:name="LW_CORRIGENDUM" w:val="&lt;UNUSED&gt;"/>
    <w:docVar w:name="LW_COVERPAGE_GUID" w:val="65CCFED26C4E46AE857BD3B0592A468C"/>
    <w:docVar w:name="LW_CROSSREFERENCE" w:val="{SWD(2017) 228 final}"/>
    <w:docVar w:name="LW_DocType" w:val="COM"/>
    <w:docVar w:name="LW_EMISSION" w:val="7.6.2017"/>
    <w:docVar w:name="LW_EMISSION_ISODATE" w:val="2017-06-0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5"/>
    <w:docVar w:name="LW_REF.II.NEW.CP_YEAR" w:val="2017"/>
    <w:docVar w:name="LW_REF.INST.NEW" w:val="COM"/>
    <w:docVar w:name="LW_REF.INST.NEW_ADOPTED" w:val="final"/>
    <w:docVar w:name="LW_REF.INST.NEW_TEXT" w:val="(2017) 294"/>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45?\u1074?\u1088?\u1086?\u1087?\u1077?\u1081?\u1089?\u1082?\u1072? \u1087?\u1088?\u1086?\u1075?\u1088?\u1072?\u1084?\u1072? \u1079?\u1072? \u1087?\u1088?\u1086?\u1084?\u1080?\u1096?\u1083?\u1077?\u1085?\u1086? \u1088?\u1072?\u1079?\u1074?\u1080?\u1090?\u1080?\u1077? \u1074? \u1086?\u1073?\u1083?\u1072?\u1089?\u1090?\u1090?\u1072? \u1085?\u1072? \u1086?\u1090?\u1073?\u1088?\u1072?\u1085?\u1072?\u1090?\u1072? \u1089? \u1094?\u1077?\u1083? \u1087?\u1086?\u1076?\u1082?\u1088?\u1077?\u1087?\u1072? \u1085?\u1072? \u1082?\u1086?\u1085?\u1082?\u1091?\u1088?\u1077?\u1085?\u1090?\u1086?\u1089?\u1087?\u1086?\u1089?\u1086?\u1073?\u1085?\u1086?\u1089?\u1090?\u1090?\u1072? \u1080? \u1080?\u1085?\u1086?\u1074?\u1072?\u1094?\u1080?\u1086?\u1085?\u1085?\u1080?\u1103? \u1082?\u1072?\u1087?\u1072?\u1094?\u1080?\u1090?\u1077?\u1090? \u1085?\u1072? \u1086?\u1090?\u1073?\u1088?\u1072?\u1085?\u1080?\u1090?\u1077?\u1083?\u1085?\u1072?\u1090?\u1072? \u1087?\u1088?\u1086?\u1084?\u1080?\u1096?\u1083?\u1077?\u1085?\u1086?\u1089?\u1090? \u1085?\u1072? \u1045?\u105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umPar10">
    <w:name w:val="NumPar1"/>
    <w:basedOn w:val="ManualNumPar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Text10">
    <w:name w:val="Text1"/>
    <w:basedOn w:val="Normal"/>
    <w:pPr>
      <w:pBdr>
        <w:top w:val="single" w:sz="4" w:space="1" w:color="auto"/>
        <w:left w:val="single" w:sz="4" w:space="4" w:color="auto"/>
        <w:bottom w:val="single" w:sz="4" w:space="1" w:color="auto"/>
        <w:right w:val="single" w:sz="4" w:space="4" w:color="auto"/>
      </w:pBdr>
      <w:ind w:left="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umPar10">
    <w:name w:val="NumPar1"/>
    <w:basedOn w:val="ManualNumPar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Text10">
    <w:name w:val="Text1"/>
    <w:basedOn w:val="Normal"/>
    <w:pPr>
      <w:pBdr>
        <w:top w:val="single" w:sz="4" w:space="1" w:color="auto"/>
        <w:left w:val="single" w:sz="4" w:space="4" w:color="auto"/>
        <w:bottom w:val="single" w:sz="4" w:space="1" w:color="auto"/>
        <w:right w:val="single" w:sz="4" w:space="4" w:color="auto"/>
      </w:pBdr>
      <w:ind w:left="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41</Pages>
  <Words>10063</Words>
  <Characters>61889</Characters>
  <Application>Microsoft Office Word</Application>
  <DocSecurity>0</DocSecurity>
  <Lines>1934</Lines>
  <Paragraphs>866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2017-06-01T14:40:00Z</cp:lastPrinted>
  <dcterms:created xsi:type="dcterms:W3CDTF">2017-06-08T14:26:00Z</dcterms:created>
  <dcterms:modified xsi:type="dcterms:W3CDTF">2017-06-12T09:16:00Z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