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F18E25D8E31C4ABF96BC6C5817C4E0C7" style="width:450.8pt;height:393.2pt">
            <v:imagedata r:id="rId9" o:title=""/>
          </v:shape>
        </w:pict>
      </w:r>
    </w:p>
    <w:p>
      <w:pPr>
        <w:pStyle w:val="Pagedecouverture"/>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За да осигури необходимата правна сигурност и хомогенност на вътрешния пазар, Съвместният комитет на ЕИП следва да включва всички релевантни законодателни актове на ЕС в Споразумението за ЕИП във възможно най-кратък срок след тяхното приемане, както и да дава възможност за участие на членуващите в ЕИП държави от ЕАСТ в дейностите и програмите на ЕС от значение за ЕИП.</w:t>
      </w:r>
    </w:p>
    <w:p>
      <w:pPr>
        <w:rPr>
          <w:noProof/>
        </w:rPr>
      </w:pPr>
      <w:r>
        <w:rPr>
          <w:noProof/>
        </w:rPr>
        <w:t>С проекта на решение на Съвместния комитет на ЕИП (приложен към предложението за решение на Съвета) се цели изменение на Протокол 31 към Споразумението за ЕИП относно сътрудничеството в специфични области извън четирите свободи, за да се позволи на членуващите в ЕИП държави от ЕАСТ (Норвегия, Исландия и Лихтенщайн) да продължат сътрудничеството в действията на Съюза, финансирани от общия бюджет на Европейския съюз и свързани със свободното движение на работници, координирането на системите за социална сигурност и мерките за мигрантите, включително мигрантите от трети държави (бюджетен ред 04 03 01 03), вписани в общия бюджет на Европейския съюза за финансовата 2017-а година.</w:t>
      </w:r>
    </w:p>
    <w:p>
      <w:pPr>
        <w:rPr>
          <w:noProof/>
        </w:rPr>
      </w:pP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Приложеният проект на решение на Съвместния комитет е в пълно съответствие с целта на Споразумението за ЕИП да подпомага постоянното и балансирано укрепване на търговските и икономическите отношения между договарящите се страни при еднакви условия на конкуренция и при спазване на същите правила за създаване на хомогенно Европейско икономическо пространство.</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Решението на Съвместния комитет е също така в съответствие с други политики на Съюза, по-специално с цел да се защити хомогенността на вътрешния пазар на ЕС.</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Съгласно член 1, параграф 3 от Регламент (ЕО) № 2894/94 на Съвета</w:t>
      </w:r>
      <w:r>
        <w:rPr>
          <w:rStyle w:val="FootnoteReference"/>
          <w:noProof/>
        </w:rPr>
        <w:footnoteReference w:id="1"/>
      </w:r>
      <w:r>
        <w:rPr>
          <w:noProof/>
        </w:rPr>
        <w:t xml:space="preserve"> относно условията за прилагане на Споразумението за Европейското икономическо пространство Съветът определя въз основа на предложение на Комисията позицията, която да бъде заета от името на Съюза по отношение на подобни решения. </w:t>
      </w:r>
    </w:p>
    <w:p>
      <w:pPr>
        <w:rPr>
          <w:noProof/>
        </w:rPr>
      </w:pPr>
      <w:r>
        <w:rPr>
          <w:noProof/>
        </w:rPr>
        <w:t>В сътрудничество с ЕСВД Комисията представя проекта на решение на Съвместния комитет на ЕИП пред Съвета, който следва да го приеме като позиция на Съюза. Комисията се надява да има възможност да представи позицията на Съюза в рамките на Съвместния комитет на ЕИП възможно най-скоро.</w:t>
      </w:r>
    </w:p>
    <w:p>
      <w:pPr>
        <w:rPr>
          <w:noProof/>
        </w:rPr>
      </w:pPr>
    </w:p>
    <w:p>
      <w:pPr>
        <w:pStyle w:val="ManualHeading2"/>
        <w:rPr>
          <w:rFonts w:eastAsia="Arial Unicode MS"/>
          <w:noProof/>
          <w:u w:color="000000"/>
          <w:bdr w:val="nil"/>
        </w:rPr>
      </w:pPr>
      <w:r>
        <w:rPr>
          <w:noProof/>
        </w:rPr>
        <w:lastRenderedPageBreak/>
        <w:t>•</w:t>
      </w:r>
      <w:r>
        <w:rPr>
          <w:noProof/>
        </w:rPr>
        <w:tab/>
        <w:t xml:space="preserve">Субсидиарност (при неизключителна компетентност) </w:t>
      </w:r>
    </w:p>
    <w:p>
      <w:pPr>
        <w:rPr>
          <w:rFonts w:cs="EUAlbertina"/>
          <w:noProof/>
          <w:color w:val="000000"/>
        </w:rPr>
      </w:pPr>
      <w:r>
        <w:rPr>
          <w:noProof/>
        </w:rPr>
        <w:t>Предложението е в съответствие с принципа на субсидиарност по следната причина:</w:t>
      </w:r>
    </w:p>
    <w:p>
      <w:pPr>
        <w:rPr>
          <w:rFonts w:cs="EUAlbertina"/>
          <w:noProof/>
          <w:color w:val="000000"/>
          <w:szCs w:val="24"/>
        </w:rPr>
      </w:pPr>
      <w:r>
        <w:rPr>
          <w:noProof/>
          <w:color w:val="000000"/>
        </w:rPr>
        <w:t xml:space="preserve">Целта на настоящото предложение, а именно да се гарантира хомогенността на вътрешния пазар, не може да бъде постигната в достатъчна степен от държавите членки, вследствие на което може, поради последиците, да бъде постигната по-добре на равнището на Съюза. </w:t>
      </w:r>
    </w:p>
    <w:p>
      <w:pPr>
        <w:pStyle w:val="ManualHeading2"/>
        <w:rPr>
          <w:rFonts w:eastAsia="Arial Unicode MS"/>
          <w:noProof/>
          <w:u w:color="000000"/>
          <w:bdr w:val="nil"/>
        </w:rPr>
      </w:pPr>
      <w:r>
        <w:rPr>
          <w:noProof/>
        </w:rPr>
        <w:t>•</w:t>
      </w:r>
      <w:r>
        <w:rPr>
          <w:noProof/>
        </w:rPr>
        <w:tab/>
        <w:t>Пропорционалност</w:t>
      </w:r>
    </w:p>
    <w:p>
      <w:pPr>
        <w:pBdr>
          <w:top w:val="nil"/>
          <w:left w:val="nil"/>
          <w:bottom w:val="nil"/>
          <w:right w:val="nil"/>
          <w:between w:val="nil"/>
          <w:bar w:val="nil"/>
        </w:pBdr>
        <w:spacing w:before="0" w:after="240"/>
        <w:rPr>
          <w:rFonts w:cs="EUAlbertina"/>
          <w:noProof/>
          <w:color w:val="000000"/>
          <w:szCs w:val="24"/>
        </w:rPr>
      </w:pPr>
      <w:r>
        <w:rPr>
          <w:noProof/>
          <w:color w:val="000000"/>
        </w:rPr>
        <w:t>В съответствие с принципа на пропорционалност предложението не надхвърля необходимото за постигането на целта му — да се гарантира хомогенността на вътрешния пазар.</w:t>
      </w:r>
    </w:p>
    <w:p>
      <w:pPr>
        <w:pStyle w:val="ManualHeading2"/>
        <w:rPr>
          <w:rFonts w:eastAsia="Arial Unicode MS"/>
          <w:noProof/>
          <w:u w:color="000000"/>
          <w:bdr w:val="nil"/>
        </w:rPr>
      </w:pPr>
      <w:r>
        <w:rPr>
          <w:noProof/>
        </w:rPr>
        <w:t>•</w:t>
      </w:r>
      <w:r>
        <w:rPr>
          <w:noProof/>
        </w:rPr>
        <w:tab/>
        <w:t>Избор на инструмент</w:t>
      </w:r>
    </w:p>
    <w:p>
      <w:pPr>
        <w:pBdr>
          <w:top w:val="nil"/>
          <w:left w:val="nil"/>
          <w:bottom w:val="nil"/>
          <w:right w:val="nil"/>
          <w:between w:val="nil"/>
          <w:bar w:val="nil"/>
        </w:pBdr>
        <w:spacing w:before="0" w:after="240"/>
        <w:rPr>
          <w:bCs/>
          <w:noProof/>
          <w:szCs w:val="24"/>
        </w:rPr>
      </w:pPr>
      <w:r>
        <w:rPr>
          <w:noProof/>
        </w:rPr>
        <w:t xml:space="preserve">В съответствие с член 98 от Споразумението за ЕИП избраният инструмент е решение на Съвместния комитет на ЕИП. Съвместният комитет на ЕИП осигурява ефективното изпълнение и функциониране на Споразумението за ЕИП. За тази цел той взема решения в случаите, предвидени в това споразумение. </w:t>
      </w:r>
    </w:p>
    <w:p>
      <w:pPr>
        <w:pStyle w:val="ManualHeading1"/>
        <w:rPr>
          <w:noProof/>
        </w:rPr>
      </w:pPr>
      <w:r>
        <w:rPr>
          <w:noProof/>
        </w:rPr>
        <w:t>3.</w:t>
      </w:r>
      <w:r>
        <w:rPr>
          <w:noProof/>
        </w:rPr>
        <w:tab/>
        <w:t>ОТРАЖЕНИЕ ВЪРХУ БЮДЖЕТА</w:t>
      </w:r>
    </w:p>
    <w:p>
      <w:pPr>
        <w:pBdr>
          <w:top w:val="nil"/>
          <w:left w:val="nil"/>
          <w:bottom w:val="nil"/>
          <w:right w:val="nil"/>
          <w:between w:val="nil"/>
          <w:bar w:val="nil"/>
        </w:pBdr>
        <w:spacing w:before="0" w:after="240"/>
        <w:rPr>
          <w:noProof/>
        </w:rPr>
      </w:pPr>
      <w:r>
        <w:rPr>
          <w:noProof/>
        </w:rPr>
        <w:t xml:space="preserve">Членуващите в ЕИП държави от ЕАСТ участват финансово в бюджетен ред 04 03 01 03 „Свободно движение на работници, координиране на схемите за социална сигурност и мерки за мигрантите, включително мигрантите от трети държави“. Точният размер на участието им ще бъде определен в съответствие с разпоредбите на Споразумението за ЕИП, след като настоящият проект на решение на Съвета бъде приет. </w:t>
      </w:r>
    </w:p>
    <w:p>
      <w:pPr>
        <w:pStyle w:val="ManualHeading1"/>
        <w:rPr>
          <w:noProof/>
        </w:rPr>
      </w:pPr>
      <w:r>
        <w:rPr>
          <w:noProof/>
        </w:rPr>
        <w:t>4.</w:t>
      </w:r>
      <w:r>
        <w:rPr>
          <w:noProof/>
        </w:rPr>
        <w:tab/>
        <w:t>ДРУГИ ЕЛЕМЕНТИ</w:t>
      </w:r>
    </w:p>
    <w:p>
      <w:pPr>
        <w:spacing w:before="0" w:after="240"/>
        <w:rPr>
          <w:noProof/>
        </w:rPr>
      </w:pPr>
      <w:r>
        <w:rPr>
          <w:noProof/>
        </w:rPr>
        <w:t>В съответствие с бюджетната политика на ЕС всяко участие в дейност на ЕС може да бъде осъществено само след като бъде изплатена съответната сума за финансово участие. Въпреки това, в съответствие с протокол 32 към Споразумението за ЕИП, сумата за годишното финансово участие на членуващите в ЕИП държави от ЕАСТ се изплаща всяка година до 31 август след поканата от ЕС за внасяне на средства, съставена от Европейската комисия и представена на членуващите в ЕИП държави от ЕАСТ до 15 август.</w:t>
      </w:r>
    </w:p>
    <w:p>
      <w:pPr>
        <w:spacing w:before="0" w:after="240"/>
        <w:rPr>
          <w:noProof/>
        </w:rPr>
      </w:pPr>
      <w:r>
        <w:rPr>
          <w:noProof/>
        </w:rPr>
        <w:t>Ето защо, за да се покрие периодът между януари и август, проектът на решение на Съвместния комитет следва да се прилага с обратно действие от януари. По този начин се осигурява непрекъснатост на сътрудничеството, както е предвидено в Споразумението за ЕИП, през цялата календарна година.</w:t>
      </w:r>
    </w:p>
    <w:p>
      <w:pPr>
        <w:spacing w:before="0" w:after="240"/>
        <w:rPr>
          <w:rFonts w:eastAsia="Arial Unicode MS"/>
          <w:noProof/>
        </w:rPr>
      </w:pPr>
      <w:r>
        <w:rPr>
          <w:noProof/>
        </w:rPr>
        <w:t xml:space="preserve">Обратното действие не засяга правата и задълженията на съответните лица и е в съответствие с принципа на оправданите правни очаквания. </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2017/0130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да бъде приета от името на Европейския съюз в рамките на Съвместния комитет на ЕИП във връзка с изменение на Протокол 31 към Споразумението за ЕИП относно сътрудничеството в специфични области извън четирите свободи</w:t>
      </w:r>
      <w:r>
        <w:rPr>
          <w:noProof/>
        </w:rPr>
        <w:br/>
        <w:t>(бюджетен ред 04 03 01 03)</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членове 46 и 48 във връзка с член 218, параграф 9 от него,</w:t>
      </w:r>
    </w:p>
    <w:p>
      <w:pPr>
        <w:rPr>
          <w:noProof/>
        </w:rPr>
      </w:pPr>
      <w:r>
        <w:rPr>
          <w:noProof/>
        </w:rPr>
        <w:t>като взе предвид Регламент (ЕО) № 2894/94 на Съвета от 28 ноември 1994 г. относно условията за прилагане на Споразумението за Европейското икономическо пространство</w:t>
      </w:r>
      <w:r>
        <w:rPr>
          <w:rStyle w:val="FootnoteReference"/>
          <w:noProof/>
        </w:rPr>
        <w:footnoteReference w:id="2"/>
      </w:r>
      <w:r>
        <w:rPr>
          <w:noProof/>
        </w:rPr>
        <w:t>, и по-специално член 1, параграф 3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Европейското икономическо пространство</w:t>
      </w:r>
      <w:r>
        <w:rPr>
          <w:rStyle w:val="FootnoteReference"/>
          <w:noProof/>
        </w:rPr>
        <w:footnoteReference w:id="3"/>
      </w:r>
      <w:r>
        <w:rPr>
          <w:noProof/>
        </w:rPr>
        <w:t xml:space="preserve"> (наричано по-нататък „Споразумението за ЕИП“) влезе в сила на 1 януари 1994 г.</w:t>
      </w:r>
    </w:p>
    <w:p>
      <w:pPr>
        <w:pStyle w:val="ManualConsidrant"/>
        <w:rPr>
          <w:noProof/>
        </w:rPr>
      </w:pPr>
      <w:r>
        <w:t>(2)</w:t>
      </w:r>
      <w:r>
        <w:tab/>
      </w:r>
      <w:r>
        <w:rPr>
          <w:noProof/>
        </w:rPr>
        <w:t>Съгласно член 98 от Споразумението за ЕИП Съвместният комитет на ЕИП може да реши да измени, inter alia, Протокол 31 към Споразумението за ЕИП (наричан по-нататък „Протокол 31“).</w:t>
      </w:r>
    </w:p>
    <w:p>
      <w:pPr>
        <w:pStyle w:val="ManualConsidrant"/>
        <w:rPr>
          <w:noProof/>
        </w:rPr>
      </w:pPr>
      <w:r>
        <w:t>(3)</w:t>
      </w:r>
      <w:r>
        <w:tab/>
      </w:r>
      <w:r>
        <w:rPr>
          <w:noProof/>
        </w:rPr>
        <w:t>Протокол 31 към Споразумението за ЕИП съдържа специфични разпоредби относно сътрудничеството в специфични области извън четирите свободи.</w:t>
      </w:r>
    </w:p>
    <w:p>
      <w:pPr>
        <w:pStyle w:val="ManualConsidrant"/>
        <w:rPr>
          <w:noProof/>
        </w:rPr>
      </w:pPr>
      <w:r>
        <w:t>(4)</w:t>
      </w:r>
      <w:r>
        <w:tab/>
      </w:r>
      <w:r>
        <w:rPr>
          <w:noProof/>
        </w:rPr>
        <w:t>Целесъобразно е да се продължи сътрудничеството между договарящите се страни по Споразумението за ЕИП в действията на Съюза, финансирани от общия бюджет на Европейския съюз и свързани със сътрудничество относно свободно движение на работници, координиране на системите за социална сигурност и мерки за мигрантите, включително мигрантите от трети държави.</w:t>
      </w:r>
    </w:p>
    <w:p>
      <w:pPr>
        <w:pStyle w:val="ManualConsidrant"/>
        <w:rPr>
          <w:noProof/>
        </w:rPr>
      </w:pPr>
      <w:r>
        <w:t>(5)</w:t>
      </w:r>
      <w:r>
        <w:tab/>
      </w:r>
      <w:r>
        <w:rPr>
          <w:noProof/>
        </w:rPr>
        <w:t>Поради това Протокол 31 към Споразумението за ЕИП следва да бъде изменен, за да може това разширено сътрудничество да продължи и след 31 декември 2016 г.</w:t>
      </w:r>
    </w:p>
    <w:p>
      <w:pPr>
        <w:pStyle w:val="ManualConsidrant"/>
        <w:rPr>
          <w:noProof/>
        </w:rPr>
      </w:pPr>
      <w:r>
        <w:t>(6)</w:t>
      </w:r>
      <w:r>
        <w:tab/>
      </w:r>
      <w:r>
        <w:rPr>
          <w:noProof/>
        </w:rPr>
        <w:t>С оглед на това позицията на Съюза в рамките на Съвместния комитет на ЕИП следва да се основава на приложения проект на решение,</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Позицията, която да бъде приета от името на Съюза в рамките на Съвместния комитет на ЕИП във връзка с предложеното изменение на Протокол 31 към Споразумението за ЕИП относно сътрудничеството в специфични области извън четирите свободи, се основава на проекта на решение на Съвместния комитет на ЕИП, приложен към настоящото решение.</w:t>
      </w:r>
    </w:p>
    <w:p>
      <w:pPr>
        <w:pStyle w:val="Titrearticle"/>
        <w:rPr>
          <w:noProof/>
        </w:rPr>
      </w:pPr>
      <w:r>
        <w:rPr>
          <w:noProof/>
        </w:rPr>
        <w:t>Член 2</w:t>
      </w:r>
    </w:p>
    <w:p>
      <w:pPr>
        <w:keepLines/>
        <w:rPr>
          <w:noProof/>
        </w:rPr>
      </w:pPr>
      <w:r>
        <w:rPr>
          <w:noProof/>
        </w:rPr>
        <w:t>Настоящото решение влиза в сила в деня на приемането му.</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305, 30.11.1994 г., стр. 6.</w:t>
      </w:r>
    </w:p>
  </w:footnote>
  <w:footnote w:id="2">
    <w:p>
      <w:pPr>
        <w:pStyle w:val="FootnoteText"/>
        <w:rPr>
          <w:lang w:val="pl-PL"/>
        </w:rPr>
      </w:pPr>
      <w:r>
        <w:rPr>
          <w:rStyle w:val="FootnoteReference"/>
        </w:rPr>
        <w:footnoteRef/>
      </w:r>
      <w:r>
        <w:tab/>
        <w:t>ОВ L 305, 30.11.1994 г., стр. 6.</w:t>
      </w:r>
    </w:p>
  </w:footnote>
  <w:footnote w:id="3">
    <w:p>
      <w:pPr>
        <w:pStyle w:val="FootnoteText"/>
        <w:rPr>
          <w:lang w:val="pl-PL"/>
        </w:rPr>
      </w:pPr>
      <w:r>
        <w:rPr>
          <w:rStyle w:val="FootnoteReference"/>
        </w:rPr>
        <w:footnoteRef/>
      </w:r>
      <w:r>
        <w:tab/>
        <w:t xml:space="preserve">ОВ L 1, 3.1.1994 г., стр. 3.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D825506"/>
    <w:lvl w:ilvl="0">
      <w:start w:val="1"/>
      <w:numFmt w:val="decimal"/>
      <w:pStyle w:val="ListNumber4"/>
      <w:lvlText w:val="%1."/>
      <w:lvlJc w:val="left"/>
      <w:pPr>
        <w:tabs>
          <w:tab w:val="num" w:pos="1209"/>
        </w:tabs>
        <w:ind w:left="1209" w:hanging="360"/>
      </w:pPr>
      <w:rPr>
        <w:rFonts w:cs="Times New Roman"/>
      </w:rPr>
    </w:lvl>
  </w:abstractNum>
  <w:abstractNum w:abstractNumId="1">
    <w:nsid w:val="FFFFFF7E"/>
    <w:multiLevelType w:val="singleLevel"/>
    <w:tmpl w:val="99641A32"/>
    <w:lvl w:ilvl="0">
      <w:start w:val="1"/>
      <w:numFmt w:val="decimal"/>
      <w:pStyle w:val="ListNumber3"/>
      <w:lvlText w:val="%1."/>
      <w:lvlJc w:val="left"/>
      <w:pPr>
        <w:tabs>
          <w:tab w:val="num" w:pos="926"/>
        </w:tabs>
        <w:ind w:left="926" w:hanging="360"/>
      </w:pPr>
      <w:rPr>
        <w:rFonts w:cs="Times New Roman"/>
      </w:rPr>
    </w:lvl>
  </w:abstractNum>
  <w:abstractNum w:abstractNumId="2">
    <w:nsid w:val="FFFFFF7F"/>
    <w:multiLevelType w:val="singleLevel"/>
    <w:tmpl w:val="C1429B2A"/>
    <w:lvl w:ilvl="0">
      <w:start w:val="1"/>
      <w:numFmt w:val="decimal"/>
      <w:pStyle w:val="ListNumber2"/>
      <w:lvlText w:val="%1."/>
      <w:lvlJc w:val="left"/>
      <w:pPr>
        <w:tabs>
          <w:tab w:val="num" w:pos="643"/>
        </w:tabs>
        <w:ind w:left="643" w:hanging="360"/>
      </w:pPr>
      <w:rPr>
        <w:rFonts w:cs="Times New Roman"/>
      </w:rPr>
    </w:lvl>
  </w:abstractNum>
  <w:abstractNum w:abstractNumId="3">
    <w:nsid w:val="FFFFFF81"/>
    <w:multiLevelType w:val="singleLevel"/>
    <w:tmpl w:val="87EA8CFE"/>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B8C657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DA4E724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39C3710"/>
    <w:lvl w:ilvl="0">
      <w:start w:val="1"/>
      <w:numFmt w:val="decimal"/>
      <w:pStyle w:val="ListNumber"/>
      <w:lvlText w:val="%1."/>
      <w:lvlJc w:val="left"/>
      <w:pPr>
        <w:tabs>
          <w:tab w:val="num" w:pos="360"/>
        </w:tabs>
        <w:ind w:left="360" w:hanging="360"/>
      </w:pPr>
      <w:rPr>
        <w:rFonts w:cs="Times New Roman"/>
      </w:rPr>
    </w:lvl>
  </w:abstractNum>
  <w:abstractNum w:abstractNumId="7">
    <w:nsid w:val="FFFFFF89"/>
    <w:multiLevelType w:val="singleLevel"/>
    <w:tmpl w:val="339AF32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21"/>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18"/>
  </w:num>
  <w:num w:numId="26">
    <w:abstractNumId w:val="12"/>
  </w:num>
  <w:num w:numId="27">
    <w:abstractNumId w:val="20"/>
  </w:num>
  <w:num w:numId="28">
    <w:abstractNumId w:val="11"/>
  </w:num>
  <w:num w:numId="29">
    <w:abstractNumId w:val="13"/>
  </w:num>
  <w:num w:numId="30">
    <w:abstractNumId w:val="9"/>
  </w:num>
  <w:num w:numId="31">
    <w:abstractNumId w:val="19"/>
  </w:num>
  <w:num w:numId="32">
    <w:abstractNumId w:val="8"/>
  </w:num>
  <w:num w:numId="33">
    <w:abstractNumId w:val="14"/>
  </w:num>
  <w:num w:numId="34">
    <w:abstractNumId w:val="16"/>
  </w:num>
  <w:num w:numId="35">
    <w:abstractNumId w:val="17"/>
  </w:num>
  <w:num w:numId="36">
    <w:abstractNumId w:val="10"/>
  </w:num>
  <w:num w:numId="37">
    <w:abstractNumId w:val="15"/>
  </w:num>
  <w:num w:numId="38">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drawingGridHorizontalSpacing w:val="57"/>
  <w:characterSpacingControl w:val="doNotCompress"/>
  <w:hdrShapeDefaults>
    <o:shapedefaults v:ext="edit" spidmax="19457"/>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
  <w:docVars>
    <w:docVar w:name="COVERPAGE_EXISTS" w:val="True"/>
    <w:docVar w:name="DQCDateTime" w:val="2017-06-06 17:35: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F18E25D8E31C4ABF96BC6C5817C4E0C7"/>
    <w:docVar w:name="LW_CROSSREFERENCE" w:val="&lt;UNUSED&gt;"/>
    <w:docVar w:name="LW_DocType" w:val="COM"/>
    <w:docVar w:name="LW_EMISSION" w:val="13.6.2017"/>
    <w:docVar w:name="LW_EMISSION_ISODATE" w:val="2017-06-13"/>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30"/>
    <w:docVar w:name="LW_REF.II.NEW.CP_YEAR" w:val="2017"/>
    <w:docVar w:name="LW_REF.INST.NEW" w:val="COM"/>
    <w:docVar w:name="LW_REF.INST.NEW_ADOPTED" w:val="final"/>
    <w:docVar w:name="LW_REF.INST.NEW_TEXT" w:val="(2017) 316"/>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76?\u1072? \u1073?\u1098?\u1076?\u1077? \u1087?\u1088?\u1080?\u1077?\u1090?\u1072? \u1086?\u1090? \u1080?\u1084?\u1077?\u1090?\u1086? \u1085?\u1072? \u1045?\u1074?\u1088?\u1086?\u1087?\u1077?\u1081?\u1089?\u1082?\u1080?\u1103? \u1089?\u1098?\u1102?\u1079? \u1074? \u1088?\u1072?\u1084?\u1082?\u1080?\u1090?\u1077? \u1085?\u1072? \u1057?\u1098?\u1074?\u1084?\u1077?\u1089?\u1090?\u1085?\u1080?\u1103? \u1082?\u1086?\u1084?\u1080?\u1090?\u1077?\u1090? \u1085?\u1072? \u1045?\u1048?\u1055? \u1074?\u1098?\u1074? \u1074?\u1088?\u1098?\u1079?\u1082?\u1072? \u1089? \u1080?\u1079?\u1084?\u1077?\u1085?\u1077?\u1085?\u1080?\u1077? \u1085?\u1072? \u1055?\u1088?\u1086?\u1090?\u1086?\u1082?\u1086?\u1083? 31 \u1082?\u1098?\u1084? \u1057?\u1087?\u1086?\u1088?\u1072?\u1079?\u1091?\u1084?\u1077?\u1085?\u1080?\u1077?\u1090?\u1086? \u1079?\u1072? \u1045?\u1048?\u1055? \u1086?\u1090?\u1085?\u1086?\u1089?\u1085?\u1086? \u1089?\u1098?\u1090?\u1088?\u1091?\u1076?\u1085?\u1080?\u1095?\u1077?\u1089?\u1090?\u1074?\u1086?\u1090?\u1086? \u1074? \u1089?\u1087?\u1077?\u1094?\u1080?\u1092?\u1080?\u1095?\u1085?\u1080? \u1086?\u1073?\u1083?\u1072?\u1089?\u1090?\u1080? \u1080?\u1079?\u1074?\u1098?\u1085? \u1095?\u1077?\u1090?\u1080?\u1088?\u1080?\u1090?\u1077? \u1089?\u1074?\u1086?\u1073?\u1086?\u1076?\u1080?_x000b_(\u1073?\u1102?\u1076?\u1078?\u1077?\u1090?\u1077?\u1085? \u1088?\u1077?\u1076? 04 03 01 03)"/>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bg-BG"/>
      </w:rPr>
    </w:rPrDefault>
    <w:pPrDefault>
      <w:pPr>
        <w:spacing w:after="200" w:line="276" w:lineRule="auto"/>
      </w:pPr>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line="240" w:lineRule="auto"/>
      <w:jc w:val="both"/>
    </w:pPr>
    <w:rPr>
      <w:sz w:val="24"/>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pPr>
      <w:spacing w:before="0"/>
      <w:ind w:left="283"/>
      <w:jc w:val="left"/>
    </w:pPr>
  </w:style>
  <w:style w:type="character" w:customStyle="1" w:styleId="BodyTextIndentChar">
    <w:name w:val="Body Text Indent Char"/>
    <w:link w:val="BodyTextIndent"/>
    <w:uiPriority w:val="99"/>
    <w:locked/>
    <w:rPr>
      <w:sz w:val="24"/>
      <w:lang w:val="bg-BG" w:eastAsia="bg-BG"/>
    </w:rPr>
  </w:style>
  <w:style w:type="paragraph" w:styleId="BodyText2">
    <w:name w:val="Body Text 2"/>
    <w:basedOn w:val="Normal"/>
    <w:link w:val="BodyText2Char"/>
    <w:uiPriority w:val="99"/>
    <w:pPr>
      <w:spacing w:line="480" w:lineRule="auto"/>
    </w:pPr>
  </w:style>
  <w:style w:type="character" w:customStyle="1" w:styleId="BodyText2Char">
    <w:name w:val="Body Text 2 Char"/>
    <w:link w:val="BodyText2"/>
    <w:uiPriority w:val="99"/>
    <w:locked/>
    <w:rPr>
      <w:sz w:val="24"/>
      <w:lang w:val="bg-BG" w:eastAsia="bg-BG"/>
    </w:rPr>
  </w:style>
  <w:style w:type="paragraph" w:customStyle="1" w:styleId="Default">
    <w:name w:val="Default"/>
    <w:pPr>
      <w:autoSpaceDE w:val="0"/>
      <w:autoSpaceDN w:val="0"/>
      <w:adjustRightInd w:val="0"/>
    </w:pPr>
    <w:rPr>
      <w:color w:val="000000"/>
      <w:sz w:val="24"/>
      <w:szCs w:val="24"/>
    </w:rPr>
  </w:style>
  <w:style w:type="paragraph" w:styleId="ListBullet">
    <w:name w:val="List Bullet"/>
    <w:basedOn w:val="Normal"/>
    <w:uiPriority w:val="99"/>
    <w:pPr>
      <w:numPr>
        <w:numId w:val="1"/>
      </w:numPr>
      <w:contextualSpacing/>
    </w:pPr>
  </w:style>
  <w:style w:type="paragraph" w:styleId="ListBullet2">
    <w:name w:val="List Bullet 2"/>
    <w:basedOn w:val="Normal"/>
    <w:uiPriority w:val="99"/>
    <w:pPr>
      <w:numPr>
        <w:numId w:val="2"/>
      </w:numPr>
      <w:contextualSpacing/>
    </w:pPr>
  </w:style>
  <w:style w:type="paragraph" w:styleId="ListBullet3">
    <w:name w:val="List Bullet 3"/>
    <w:basedOn w:val="Normal"/>
    <w:uiPriority w:val="99"/>
    <w:pPr>
      <w:numPr>
        <w:numId w:val="3"/>
      </w:numPr>
      <w:contextualSpacing/>
    </w:pPr>
  </w:style>
  <w:style w:type="paragraph" w:styleId="ListBullet4">
    <w:name w:val="List Bullet 4"/>
    <w:basedOn w:val="Normal"/>
    <w:uiPriority w:val="99"/>
    <w:pPr>
      <w:numPr>
        <w:numId w:val="4"/>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tyle>
  <w:style w:type="paragraph" w:styleId="ListNumber">
    <w:name w:val="List Number"/>
    <w:basedOn w:val="Normal"/>
    <w:uiPriority w:val="99"/>
    <w:pPr>
      <w:numPr>
        <w:numId w:val="6"/>
      </w:numPr>
      <w:contextualSpacing/>
    </w:pPr>
  </w:style>
  <w:style w:type="paragraph" w:styleId="ListNumber2">
    <w:name w:val="List Number 2"/>
    <w:basedOn w:val="Normal"/>
    <w:uiPriority w:val="99"/>
    <w:pPr>
      <w:numPr>
        <w:numId w:val="7"/>
      </w:numPr>
      <w:contextualSpacing/>
    </w:pPr>
  </w:style>
  <w:style w:type="paragraph" w:styleId="ListNumber3">
    <w:name w:val="List Number 3"/>
    <w:basedOn w:val="Normal"/>
    <w:uiPriority w:val="99"/>
    <w:pPr>
      <w:numPr>
        <w:numId w:val="8"/>
      </w:numPr>
      <w:contextualSpacing/>
    </w:pPr>
  </w:style>
  <w:style w:type="paragraph" w:styleId="ListNumber4">
    <w:name w:val="List Number 4"/>
    <w:basedOn w:val="Normal"/>
    <w:uiPriority w:val="99"/>
    <w:pPr>
      <w:numPr>
        <w:numId w:val="9"/>
      </w:numPr>
      <w:contextualSpacing/>
    </w:p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character" w:customStyle="1" w:styleId="CommentTextChar">
    <w:name w:val="Comment Text Char"/>
    <w:link w:val="CommentText"/>
    <w:uiPriority w:val="99"/>
    <w:locked/>
    <w:rPr>
      <w:rFonts w:cs="Times New Roman"/>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locked/>
    <w:rPr>
      <w:rFonts w:cs="Times New Roman"/>
      <w:b/>
    </w:rPr>
  </w:style>
  <w:style w:type="character" w:styleId="Hyperlink">
    <w:name w:val="Hyperlink"/>
    <w:uiPriority w:val="99"/>
    <w:rPr>
      <w:color w:val="0000FF"/>
      <w:u w:val="single"/>
    </w:rPr>
  </w:style>
  <w:style w:type="paragraph" w:styleId="BalloonText">
    <w:name w:val="Balloon Text"/>
    <w:basedOn w:val="Normal"/>
    <w:link w:val="BalloonTextChar"/>
    <w:uiPriority w:val="99"/>
    <w:pPr>
      <w:spacing w:before="0" w:after="0"/>
    </w:pPr>
    <w:rPr>
      <w:rFonts w:ascii="Tahoma" w:hAnsi="Tahoma" w:cs="Tahoma"/>
      <w:sz w:val="16"/>
      <w:szCs w:val="16"/>
    </w:rPr>
  </w:style>
  <w:style w:type="character" w:customStyle="1" w:styleId="BalloonTextChar">
    <w:name w:val="Balloon Text Char"/>
    <w:link w:val="BalloonText"/>
    <w:uiPriority w:val="99"/>
    <w:locked/>
    <w:rPr>
      <w:rFonts w:ascii="Tahoma" w:hAnsi="Tahoma"/>
      <w:sz w:val="16"/>
    </w:rPr>
  </w:style>
  <w:style w:type="paragraph" w:styleId="Header">
    <w:name w:val="header"/>
    <w:basedOn w:val="Normal"/>
    <w:link w:val="HeaderChar"/>
    <w:uiPriority w:val="99"/>
    <w:unhideWhenUsed/>
    <w:pPr>
      <w:tabs>
        <w:tab w:val="center" w:pos="4535"/>
        <w:tab w:val="right" w:pos="9071"/>
      </w:tabs>
      <w:spacing w:before="0"/>
    </w:pPr>
    <w:rPr>
      <w:rFonts w:eastAsia="Calibri"/>
      <w:lang w:eastAsia="en-US" w:bidi="ar-SA"/>
    </w:rPr>
  </w:style>
  <w:style w:type="character" w:customStyle="1" w:styleId="HeaderChar">
    <w:name w:val="Header Char"/>
    <w:link w:val="Header"/>
    <w:uiPriority w:val="99"/>
    <w:rPr>
      <w:rFonts w:eastAsia="Calibri"/>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Calibr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6441612">
      <w:marLeft w:val="0"/>
      <w:marRight w:val="0"/>
      <w:marTop w:val="0"/>
      <w:marBottom w:val="0"/>
      <w:divBdr>
        <w:top w:val="none" w:sz="0" w:space="0" w:color="auto"/>
        <w:left w:val="none" w:sz="0" w:space="0" w:color="auto"/>
        <w:bottom w:val="none" w:sz="0" w:space="0" w:color="auto"/>
        <w:right w:val="none" w:sz="0" w:space="0" w:color="auto"/>
      </w:divBdr>
      <w:divsChild>
        <w:div w:id="1756441606">
          <w:marLeft w:val="0"/>
          <w:marRight w:val="0"/>
          <w:marTop w:val="0"/>
          <w:marBottom w:val="0"/>
          <w:divBdr>
            <w:top w:val="none" w:sz="0" w:space="0" w:color="auto"/>
            <w:left w:val="none" w:sz="0" w:space="0" w:color="auto"/>
            <w:bottom w:val="none" w:sz="0" w:space="0" w:color="auto"/>
            <w:right w:val="none" w:sz="0" w:space="0" w:color="auto"/>
          </w:divBdr>
          <w:divsChild>
            <w:div w:id="1756441607">
              <w:marLeft w:val="2"/>
              <w:marRight w:val="2"/>
              <w:marTop w:val="0"/>
              <w:marBottom w:val="0"/>
              <w:divBdr>
                <w:top w:val="none" w:sz="0" w:space="0" w:color="auto"/>
                <w:left w:val="none" w:sz="0" w:space="0" w:color="auto"/>
                <w:bottom w:val="none" w:sz="0" w:space="0" w:color="auto"/>
                <w:right w:val="none" w:sz="0" w:space="0" w:color="auto"/>
              </w:divBdr>
              <w:divsChild>
                <w:div w:id="1756441615">
                  <w:marLeft w:val="0"/>
                  <w:marRight w:val="0"/>
                  <w:marTop w:val="0"/>
                  <w:marBottom w:val="0"/>
                  <w:divBdr>
                    <w:top w:val="none" w:sz="0" w:space="0" w:color="auto"/>
                    <w:left w:val="none" w:sz="0" w:space="0" w:color="auto"/>
                    <w:bottom w:val="none" w:sz="0" w:space="0" w:color="auto"/>
                    <w:right w:val="none" w:sz="0" w:space="0" w:color="auto"/>
                  </w:divBdr>
                  <w:divsChild>
                    <w:div w:id="1756441609">
                      <w:marLeft w:val="0"/>
                      <w:marRight w:val="0"/>
                      <w:marTop w:val="0"/>
                      <w:marBottom w:val="0"/>
                      <w:divBdr>
                        <w:top w:val="none" w:sz="0" w:space="0" w:color="auto"/>
                        <w:left w:val="none" w:sz="0" w:space="0" w:color="auto"/>
                        <w:bottom w:val="none" w:sz="0" w:space="0" w:color="auto"/>
                        <w:right w:val="none" w:sz="0" w:space="0" w:color="auto"/>
                      </w:divBdr>
                      <w:divsChild>
                        <w:div w:id="1756441616">
                          <w:marLeft w:val="0"/>
                          <w:marRight w:val="0"/>
                          <w:marTop w:val="0"/>
                          <w:marBottom w:val="0"/>
                          <w:divBdr>
                            <w:top w:val="none" w:sz="0" w:space="0" w:color="auto"/>
                            <w:left w:val="none" w:sz="0" w:space="0" w:color="auto"/>
                            <w:bottom w:val="none" w:sz="0" w:space="0" w:color="auto"/>
                            <w:right w:val="none" w:sz="0" w:space="0" w:color="auto"/>
                          </w:divBdr>
                          <w:divsChild>
                            <w:div w:id="1756441617">
                              <w:marLeft w:val="0"/>
                              <w:marRight w:val="0"/>
                              <w:marTop w:val="0"/>
                              <w:marBottom w:val="0"/>
                              <w:divBdr>
                                <w:top w:val="none" w:sz="0" w:space="0" w:color="auto"/>
                                <w:left w:val="none" w:sz="0" w:space="0" w:color="auto"/>
                                <w:bottom w:val="none" w:sz="0" w:space="0" w:color="auto"/>
                                <w:right w:val="none" w:sz="0" w:space="0" w:color="auto"/>
                              </w:divBdr>
                              <w:divsChild>
                                <w:div w:id="1756441610">
                                  <w:marLeft w:val="0"/>
                                  <w:marRight w:val="0"/>
                                  <w:marTop w:val="0"/>
                                  <w:marBottom w:val="0"/>
                                  <w:divBdr>
                                    <w:top w:val="none" w:sz="0" w:space="0" w:color="auto"/>
                                    <w:left w:val="none" w:sz="0" w:space="0" w:color="auto"/>
                                    <w:bottom w:val="none" w:sz="0" w:space="0" w:color="auto"/>
                                    <w:right w:val="none" w:sz="0" w:space="0" w:color="auto"/>
                                  </w:divBdr>
                                  <w:divsChild>
                                    <w:div w:id="1756441614">
                                      <w:marLeft w:val="0"/>
                                      <w:marRight w:val="0"/>
                                      <w:marTop w:val="0"/>
                                      <w:marBottom w:val="0"/>
                                      <w:divBdr>
                                        <w:top w:val="none" w:sz="0" w:space="0" w:color="auto"/>
                                        <w:left w:val="none" w:sz="0" w:space="0" w:color="auto"/>
                                        <w:bottom w:val="none" w:sz="0" w:space="0" w:color="auto"/>
                                        <w:right w:val="none" w:sz="0" w:space="0" w:color="auto"/>
                                      </w:divBdr>
                                      <w:divsChild>
                                        <w:div w:id="1756441611">
                                          <w:marLeft w:val="0"/>
                                          <w:marRight w:val="0"/>
                                          <w:marTop w:val="0"/>
                                          <w:marBottom w:val="0"/>
                                          <w:divBdr>
                                            <w:top w:val="none" w:sz="0" w:space="0" w:color="auto"/>
                                            <w:left w:val="none" w:sz="0" w:space="0" w:color="auto"/>
                                            <w:bottom w:val="none" w:sz="0" w:space="0" w:color="auto"/>
                                            <w:right w:val="none" w:sz="0" w:space="0" w:color="auto"/>
                                          </w:divBdr>
                                          <w:divsChild>
                                            <w:div w:id="1756441613">
                                              <w:marLeft w:val="0"/>
                                              <w:marRight w:val="0"/>
                                              <w:marTop w:val="0"/>
                                              <w:marBottom w:val="0"/>
                                              <w:divBdr>
                                                <w:top w:val="none" w:sz="0" w:space="0" w:color="auto"/>
                                                <w:left w:val="none" w:sz="0" w:space="0" w:color="auto"/>
                                                <w:bottom w:val="none" w:sz="0" w:space="0" w:color="auto"/>
                                                <w:right w:val="none" w:sz="0" w:space="0" w:color="auto"/>
                                              </w:divBdr>
                                              <w:divsChild>
                                                <w:div w:id="17564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243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069C4-8AC2-4FEE-9B0A-3B71AB3CF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5</Pages>
  <Words>1064</Words>
  <Characters>5982</Characters>
  <Application>Microsoft Office Word</Application>
  <DocSecurity>0</DocSecurity>
  <Lines>122</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DIGIT/A3</cp:lastModifiedBy>
  <cp:revision>18</cp:revision>
  <cp:lastPrinted>2014-02-26T13:25:00Z</cp:lastPrinted>
  <dcterms:created xsi:type="dcterms:W3CDTF">2017-04-12T10:15:00Z</dcterms:created>
  <dcterms:modified xsi:type="dcterms:W3CDTF">2017-06-06T15:35:00Z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5.8.64.0</vt:lpwstr>
  </property>
  <property fmtid="{D5CDD505-2E9C-101B-9397-08002B2CF9AE}" pid="5" name="Last edited using">
    <vt:lpwstr>LW 5.8.4, Build 20141001</vt:lpwstr>
  </property>
  <property fmtid="{D5CDD505-2E9C-101B-9397-08002B2CF9AE}" pid="6" name="Created using">
    <vt:lpwstr>LW 5.8.2, Build 20120919</vt:lpwstr>
  </property>
  <property fmtid="{D5CDD505-2E9C-101B-9397-08002B2CF9AE}" pid="7" name="LWTemplateID">
    <vt:lpwstr>SJ-019</vt:lpwstr>
  </property>
  <property fmtid="{D5CDD505-2E9C-101B-9397-08002B2CF9AE}" pid="8" name="Part">
    <vt:lpwstr>1</vt:lpwstr>
  </property>
  <property fmtid="{D5CDD505-2E9C-101B-9397-08002B2CF9AE}" pid="9" name="Total parts">
    <vt:lpwstr>1</vt:lpwstr>
  </property>
  <property fmtid="{D5CDD505-2E9C-101B-9397-08002B2CF9AE}" pid="10" name="_NewReviewCycle">
    <vt:lpwstr/>
  </property>
  <property fmtid="{D5CDD505-2E9C-101B-9397-08002B2CF9AE}" pid="11" name="DQCStatus">
    <vt:lpwstr>Green (DQC version 03)</vt:lpwstr>
  </property>
</Properties>
</file>