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11" w:rsidRDefault="001106FA" w:rsidP="001106F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204C57A1E8143EE8F4F33CD356066C8" style="width:451.2pt;height:365.4pt">
            <v:imagedata r:id="rId9" o:title=""/>
          </v:shape>
        </w:pict>
      </w:r>
    </w:p>
    <w:p w:rsidR="00D37C11" w:rsidRDefault="00D37C11">
      <w:pPr>
        <w:pStyle w:val="Pagedecouverture"/>
        <w:rPr>
          <w:noProof/>
        </w:rPr>
        <w:sectPr w:rsidR="00D37C11" w:rsidSect="001106F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37C11" w:rsidRDefault="001106FA">
      <w:pPr>
        <w:pStyle w:val="Exposdesmotifstitre"/>
        <w:rPr>
          <w:noProof/>
        </w:rPr>
      </w:pPr>
      <w:bookmarkStart w:id="0" w:name="_GoBack"/>
      <w:bookmarkEnd w:id="0"/>
      <w:r>
        <w:rPr>
          <w:noProof/>
        </w:rPr>
        <w:lastRenderedPageBreak/>
        <w:t>ОБЯСНИТЕЛЕН МЕМОРАНДУМ</w:t>
      </w:r>
    </w:p>
    <w:p w:rsidR="00D37C11" w:rsidRDefault="001106FA">
      <w:pPr>
        <w:rPr>
          <w:rFonts w:eastAsia="Calibri"/>
          <w:noProof/>
        </w:rPr>
      </w:pPr>
      <w:r>
        <w:rPr>
          <w:noProof/>
        </w:rPr>
        <w:t xml:space="preserve">В отговор на искане, отправено на 8 юли 2015 г. от Република Гърция до </w:t>
      </w:r>
      <w:r>
        <w:rPr>
          <w:noProof/>
        </w:rPr>
        <w:t>председателя на Съвета на управителите на Европейския механизъм за стабилност (ЕМС), за подкрепа за стабилността под формата на заем с период на предоставяне от три години, Съветът на управителите на ЕМС поиска от Европейската комисия да постигне споразуме</w:t>
      </w:r>
      <w:r>
        <w:rPr>
          <w:noProof/>
        </w:rPr>
        <w:t>ние с Европейската централна банка и Международния валутен фонд относно меморандум за разбирателство, с който се уточняват условията за финансова помощ, обхващаща периода 2015—2018 г., в съответствие с член 13, параграф 3 от Договора за ЕМС, и относно прог</w:t>
      </w:r>
      <w:r>
        <w:rPr>
          <w:noProof/>
        </w:rPr>
        <w:t xml:space="preserve">рама за макроикономически корекции на Гърция. Програмата бе изготвена в съответствие с процедурата, предвидена в член 7, параграф 1 от Регламент (ЕС) № 472/2013. На 11 август 2015 г. тези институции постигнаха споразумение на техническо равнище с гръцкото </w:t>
      </w:r>
      <w:r>
        <w:rPr>
          <w:noProof/>
        </w:rPr>
        <w:t>правителство относно програма за макроикономически корекции (наричана по-нататък „програмата“).</w:t>
      </w:r>
    </w:p>
    <w:p w:rsidR="00D37C11" w:rsidRDefault="001106FA">
      <w:pPr>
        <w:rPr>
          <w:rFonts w:eastAsia="Calibri"/>
          <w:noProof/>
        </w:rPr>
      </w:pPr>
      <w:r>
        <w:rPr>
          <w:noProof/>
        </w:rPr>
        <w:t>По предложение на Комисията Съветът прие Решение за изпълнение 2015/1411/EС, с което одобри програмата.</w:t>
      </w:r>
    </w:p>
    <w:p w:rsidR="00D37C11" w:rsidRDefault="001106FA">
      <w:pPr>
        <w:rPr>
          <w:rFonts w:eastAsia="Calibri"/>
          <w:noProof/>
        </w:rPr>
      </w:pPr>
      <w:r>
        <w:rPr>
          <w:noProof/>
        </w:rPr>
        <w:t>В съответствие с член 1, параграф 2 от Решение 2015/1411</w:t>
      </w:r>
      <w:r>
        <w:rPr>
          <w:noProof/>
        </w:rPr>
        <w:t>/ЕС Комисията, в сътрудничество с Европейската централна банка (ЕЦБ) и, когато беше уместно, с Международния валутен фонд (МВФ) извърши втори преглед на напредъка по изпълнението на договорените мерки, както и на тяхната ефективност и социално-икономическо</w:t>
      </w:r>
      <w:r>
        <w:rPr>
          <w:noProof/>
        </w:rPr>
        <w:t xml:space="preserve"> въздействие. В резултат на прегледа съществуващата програма за макроикономически корекции беше актуализирана, за да бъдат отразени действията, предприети от гръцките органи до края на първото тримесечие на 2017 г.</w:t>
      </w:r>
    </w:p>
    <w:p w:rsidR="00D37C11" w:rsidRDefault="001106FA">
      <w:pPr>
        <w:rPr>
          <w:rFonts w:eastAsia="Calibri"/>
          <w:noProof/>
        </w:rPr>
      </w:pPr>
      <w:r>
        <w:rPr>
          <w:noProof/>
        </w:rPr>
        <w:t>След обсъжданията, проведени между тези и</w:t>
      </w:r>
      <w:r>
        <w:rPr>
          <w:noProof/>
        </w:rPr>
        <w:t>нституции и гръцкото правителство, и в съответствие с процедурата, предвидена по член 7, параграф 5 от Регламент (ЕС) № 472/2013, и след като бяха определени условията, които да залегнат в основата на програмата, Комисията прие предложение за Решение за из</w:t>
      </w:r>
      <w:r>
        <w:rPr>
          <w:noProof/>
        </w:rPr>
        <w:t>пълнение на Съвета за изменение на Решение за изпълнение 2015/1411/EU за одобряване на програмата за макроикономически корекции на Гърция по силата на Регламент (ЕС) № 472/2013.</w:t>
      </w:r>
    </w:p>
    <w:p w:rsidR="00D37C11" w:rsidRDefault="00D37C11">
      <w:pPr>
        <w:rPr>
          <w:noProof/>
        </w:rPr>
        <w:sectPr w:rsidR="00D37C11" w:rsidSect="001106FA">
          <w:footerReference w:type="default" r:id="rId16"/>
          <w:footerReference w:type="first" r:id="rId17"/>
          <w:pgSz w:w="11907" w:h="16839"/>
          <w:pgMar w:top="1134" w:right="1417" w:bottom="1134" w:left="1417" w:header="709" w:footer="709" w:gutter="0"/>
          <w:cols w:space="708"/>
          <w:docGrid w:linePitch="360"/>
        </w:sectPr>
      </w:pPr>
    </w:p>
    <w:p w:rsidR="00D37C11" w:rsidRDefault="001106FA" w:rsidP="001106FA">
      <w:pPr>
        <w:pStyle w:val="Rfrenceinterinstitutionnelle"/>
        <w:rPr>
          <w:noProof/>
        </w:rPr>
      </w:pPr>
      <w:r w:rsidRPr="001106FA">
        <w:lastRenderedPageBreak/>
        <w:t>2017/0129 (NLE)</w:t>
      </w:r>
    </w:p>
    <w:p w:rsidR="00D37C11" w:rsidRDefault="001106FA" w:rsidP="001106FA">
      <w:pPr>
        <w:pStyle w:val="Statut"/>
        <w:rPr>
          <w:noProof/>
        </w:rPr>
      </w:pPr>
      <w:r w:rsidRPr="001106FA">
        <w:t>Предложение за</w:t>
      </w:r>
    </w:p>
    <w:p w:rsidR="00D37C11" w:rsidRDefault="001106FA" w:rsidP="001106FA">
      <w:pPr>
        <w:pStyle w:val="Typedudocument"/>
        <w:rPr>
          <w:noProof/>
        </w:rPr>
      </w:pPr>
      <w:r w:rsidRPr="001106FA">
        <w:t>РЕШЕНИЕ ЗА ИЗПЪЛНЕНИЕ НА СЪВЕТА</w:t>
      </w:r>
    </w:p>
    <w:p w:rsidR="00D37C11" w:rsidRDefault="001106FA" w:rsidP="001106FA">
      <w:pPr>
        <w:pStyle w:val="Titreobjet"/>
        <w:rPr>
          <w:noProof/>
        </w:rPr>
      </w:pPr>
      <w:r w:rsidRPr="001106FA">
        <w:t>за изменение на Решение за изпълнение 2015/1411/ЕС на Съвета за одобряване на програмата за макроикономически корекции на Гърция</w:t>
      </w:r>
      <w:r w:rsidRPr="001106FA">
        <w:br/>
      </w:r>
    </w:p>
    <w:p w:rsidR="00D37C11" w:rsidRDefault="001106FA">
      <w:pPr>
        <w:pStyle w:val="Institutionquiagit"/>
        <w:rPr>
          <w:noProof/>
        </w:rPr>
      </w:pPr>
      <w:r>
        <w:rPr>
          <w:noProof/>
        </w:rPr>
        <w:t>СЪВЕТЪТ НА ЕВРОПЕЙСКИЯ СЪЮЗ,</w:t>
      </w:r>
    </w:p>
    <w:p w:rsidR="00D37C11" w:rsidRDefault="001106FA">
      <w:pPr>
        <w:rPr>
          <w:noProof/>
        </w:rPr>
      </w:pPr>
      <w:r>
        <w:rPr>
          <w:noProof/>
        </w:rPr>
        <w:t>като взе п</w:t>
      </w:r>
      <w:r>
        <w:rPr>
          <w:noProof/>
        </w:rPr>
        <w:t xml:space="preserve">редвид Договора за функционирането на Европейския съюз, </w:t>
      </w:r>
    </w:p>
    <w:p w:rsidR="00D37C11" w:rsidRDefault="001106FA">
      <w:pPr>
        <w:rPr>
          <w:noProof/>
        </w:rPr>
      </w:pPr>
      <w:r>
        <w:rPr>
          <w:noProof/>
        </w:rPr>
        <w:t>като взе предвид 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w:t>
      </w:r>
      <w:r>
        <w:rPr>
          <w:noProof/>
        </w:rPr>
        <w:t xml:space="preserve"> застрашени от сериозни затруднения по отношение на финансовата си стабилност</w:t>
      </w:r>
      <w:r>
        <w:rPr>
          <w:rStyle w:val="FootnoteReference"/>
          <w:noProof/>
        </w:rPr>
        <w:footnoteReference w:id="1"/>
      </w:r>
      <w:r>
        <w:rPr>
          <w:noProof/>
        </w:rPr>
        <w:t xml:space="preserve">, и по-специално член 7, параграф 5 от него, </w:t>
      </w:r>
    </w:p>
    <w:p w:rsidR="00D37C11" w:rsidRDefault="001106FA">
      <w:pPr>
        <w:rPr>
          <w:noProof/>
        </w:rPr>
      </w:pPr>
      <w:r>
        <w:rPr>
          <w:noProof/>
        </w:rPr>
        <w:t xml:space="preserve">като взе предвид предложението на Европейската комисия, </w:t>
      </w:r>
    </w:p>
    <w:p w:rsidR="00D37C11" w:rsidRDefault="001106FA">
      <w:pPr>
        <w:rPr>
          <w:noProof/>
        </w:rPr>
      </w:pPr>
      <w:r>
        <w:rPr>
          <w:noProof/>
        </w:rPr>
        <w:t xml:space="preserve">като има предвид, че: </w:t>
      </w:r>
    </w:p>
    <w:p w:rsidR="00D37C11" w:rsidRDefault="001106FA">
      <w:pPr>
        <w:pStyle w:val="ManualConsidrant"/>
        <w:rPr>
          <w:noProof/>
        </w:rPr>
      </w:pPr>
      <w:r>
        <w:rPr>
          <w:noProof/>
        </w:rPr>
        <w:t>(1)</w:t>
      </w:r>
      <w:r>
        <w:rPr>
          <w:noProof/>
        </w:rPr>
        <w:tab/>
        <w:t xml:space="preserve">На 16 юли 2015 г. Съветът на управителите на </w:t>
      </w:r>
      <w:r>
        <w:rPr>
          <w:noProof/>
        </w:rPr>
        <w:t xml:space="preserve">Европейския механизъм за стабилност („ЕМС“) прикани Комисията да постигне споразумение с Европейската централна банка („ЕЦБ“), ЕМС, гръцките органи и, когато е целесъобразно, Международния валутен фонд („МВФ“), по програма за макроикономически корекции на </w:t>
      </w:r>
      <w:r>
        <w:rPr>
          <w:noProof/>
        </w:rPr>
        <w:t>Гърция под формата на заем. Програмата бе изготвена в съответствие с процедурата, предвидена в член 7, параграф 1 от Регламент (ЕС) № 472/2013. На 11 август 2015 г. тези институции постигнаха споразумение на техническо равнище с гръцкото правителство относ</w:t>
      </w:r>
      <w:r>
        <w:rPr>
          <w:noProof/>
        </w:rPr>
        <w:t>но програма за макроикономически корекции (наричана по-нататък „програмата“). Въз основа на предложение на Комисията програмата бе приета от Съвета под формата на решение за изпълнение на Съвета(</w:t>
      </w:r>
      <w:r>
        <w:rPr>
          <w:rStyle w:val="FootnoteReference"/>
          <w:noProof/>
        </w:rPr>
        <w:footnoteReference w:id="2"/>
      </w:r>
      <w:r>
        <w:rPr>
          <w:noProof/>
        </w:rPr>
        <w:t xml:space="preserve">). </w:t>
      </w:r>
    </w:p>
    <w:p w:rsidR="00D37C11" w:rsidRDefault="001106FA">
      <w:pPr>
        <w:pStyle w:val="ManualConsidrant"/>
        <w:rPr>
          <w:noProof/>
        </w:rPr>
      </w:pPr>
      <w:r>
        <w:rPr>
          <w:noProof/>
        </w:rPr>
        <w:t>(2)</w:t>
      </w:r>
      <w:r>
        <w:rPr>
          <w:noProof/>
        </w:rPr>
        <w:tab/>
        <w:t>След постигането на споразумението Гърция прие всеоб</w:t>
      </w:r>
      <w:r>
        <w:rPr>
          <w:noProof/>
        </w:rPr>
        <w:t xml:space="preserve">хватен пакет от мерки на политиката, които ще бъдат изпълнени в рамките на тригодишна програма на ЕМС за макроикономически корекции, който ще обхваща периода от третото тримесечие на 2015 г. до третото тримесечие на 2018 г. </w:t>
      </w:r>
    </w:p>
    <w:p w:rsidR="00D37C11" w:rsidRDefault="001106FA">
      <w:pPr>
        <w:pStyle w:val="ManualConsidrant"/>
        <w:rPr>
          <w:noProof/>
        </w:rPr>
      </w:pPr>
      <w:r>
        <w:rPr>
          <w:noProof/>
        </w:rPr>
        <w:t>(3)</w:t>
      </w:r>
      <w:r>
        <w:rPr>
          <w:noProof/>
        </w:rPr>
        <w:tab/>
        <w:t>Всеобхватният пакет от мерк</w:t>
      </w:r>
      <w:r>
        <w:rPr>
          <w:noProof/>
        </w:rPr>
        <w:t>и, изложен в меморандум за разбирателство по линия на ЕМС относно специфичните условия на икономическата политика (по-нататък „меморандумът за разбирателство“) от 19 август 2015 г., има за цел да се възстанови доверието на финансовите пазари, да се възстан</w:t>
      </w:r>
      <w:r>
        <w:rPr>
          <w:noProof/>
        </w:rPr>
        <w:t>ови доброто макроикономическо равновесие и да се създадат условия за възстановяване на устойчивия икономически растеж. Той се основава на четири стълба: възстановяване на фискалната стабилност, запазване на финансовата стабилност, повишаване на конкурентос</w:t>
      </w:r>
      <w:r>
        <w:rPr>
          <w:noProof/>
        </w:rPr>
        <w:t>пособността и растежа и модернизиране на държавната и публичната администрация.</w:t>
      </w:r>
    </w:p>
    <w:p w:rsidR="00D37C11" w:rsidRDefault="001106FA">
      <w:pPr>
        <w:pStyle w:val="ManualConsidrant"/>
        <w:rPr>
          <w:noProof/>
        </w:rPr>
      </w:pPr>
      <w:r>
        <w:rPr>
          <w:noProof/>
        </w:rPr>
        <w:t>(4)</w:t>
      </w:r>
      <w:r>
        <w:rPr>
          <w:noProof/>
        </w:rPr>
        <w:tab/>
        <w:t>След като приключи първият преглед на програмата и след изявлението на Еврогрупата от 25 май 2016 г., както и след положителна оценка от страна на Комисията и ЕЦБ за изпълн</w:t>
      </w:r>
      <w:r>
        <w:rPr>
          <w:noProof/>
        </w:rPr>
        <w:t>ението на програмата и одобрението на ЕМС, на 16 юни 2016 г. Гърция и Комисията, действаща от името на ЕМС, подписаха Допълнителен меморандум за разбирателство. Допълнителният меморандум за разбирателство актуализира условията на политиката, посочени в Мем</w:t>
      </w:r>
      <w:r>
        <w:rPr>
          <w:noProof/>
        </w:rPr>
        <w:t>орандума за разбирателство, с цел да бъде отразен постигнатият напредък в изпълнението на програмата.</w:t>
      </w:r>
    </w:p>
    <w:p w:rsidR="00D37C11" w:rsidRDefault="001106FA">
      <w:pPr>
        <w:pStyle w:val="ManualConsidrant"/>
        <w:rPr>
          <w:noProof/>
        </w:rPr>
      </w:pPr>
      <w:r>
        <w:rPr>
          <w:noProof/>
        </w:rPr>
        <w:t>(5)</w:t>
      </w:r>
      <w:r>
        <w:rPr>
          <w:noProof/>
        </w:rPr>
        <w:tab/>
        <w:t>На 25 май 2016 г. Еврогрупата разгледа също така и устойчивостта на гръцкия дълг. Тя постигна съгласие по пакет от мерки за дълга, които ще бъдат прил</w:t>
      </w:r>
      <w:r>
        <w:rPr>
          <w:noProof/>
        </w:rPr>
        <w:t>ожени постепенно и по целесъобразност, с цел да бъде постигнат договореният показател за брутни потребности от финансиране. Еврогрупата постигна съгласие първият набор от мерки да бъде изпълнен в краткосрочен план, тоест след приключването на първия прегле</w:t>
      </w:r>
      <w:r>
        <w:rPr>
          <w:noProof/>
        </w:rPr>
        <w:t>д и до края на програмата. На 23 януари 2017 г. съветът на директорите на Европейския механизъм за стабилност и съветът на директорите на Европейския инструмент за финансова стабилност приеха правилата за изпълнение на набор от краткосрочни мерки за облекч</w:t>
      </w:r>
      <w:r>
        <w:rPr>
          <w:noProof/>
        </w:rPr>
        <w:t>аване на дълга на Гърция, чието прилагане започна. На 25 май 2016 г. Еврогрупата постигна съгласие и по отношение на това, че след успешното изпълнение на програмата до средата на 2018 г. Еврогрупата очаква да бъде приложен евентуален втори набор от мерки,</w:t>
      </w:r>
      <w:r>
        <w:rPr>
          <w:noProof/>
        </w:rPr>
        <w:t xml:space="preserve"> ако това е необходимо за изпълнението на договорените критерии за устойчивост на дълга. </w:t>
      </w:r>
    </w:p>
    <w:p w:rsidR="00D37C11" w:rsidRDefault="001106FA">
      <w:pPr>
        <w:pStyle w:val="ManualConsidrant"/>
        <w:rPr>
          <w:noProof/>
        </w:rPr>
      </w:pPr>
      <w:r>
        <w:rPr>
          <w:noProof/>
        </w:rPr>
        <w:t>(6)</w:t>
      </w:r>
      <w:r>
        <w:rPr>
          <w:noProof/>
        </w:rPr>
        <w:tab/>
        <w:t>На 25 май 2016 г. Еврогрупата приветства намерението на ръководството на МВФ да препоръча на изпълнителния съвет на МВФ да одобри финансово споразумение за Гърция</w:t>
      </w:r>
      <w:r>
        <w:rPr>
          <w:noProof/>
        </w:rPr>
        <w:t>. Еврогрупата потвърди тази позиция на 5 декември 2016 г. и изтъкна също необходимостта от общи условия, договорени между всички институции и Гърция</w:t>
      </w:r>
      <w:r>
        <w:rPr>
          <w:rStyle w:val="FootnoteReference"/>
          <w:noProof/>
        </w:rPr>
        <w:footnoteReference w:id="3"/>
      </w:r>
      <w:r>
        <w:rPr>
          <w:noProof/>
        </w:rPr>
        <w:t xml:space="preserve">. На 5 декември 2016 г. Еврогрупата също призова институциите и Гърция незабавно да възобновят преговорите </w:t>
      </w:r>
      <w:r>
        <w:rPr>
          <w:noProof/>
        </w:rPr>
        <w:t>за постигане във възможно най-кратки срокове на споразумение на ниво експерти въз основа на такива общи условия и възложи на Работната група за Еврогрупата да оцени това споразумение на ниво експерти. Тези условия включват приемането на законодателен пакет</w:t>
      </w:r>
      <w:r>
        <w:rPr>
          <w:noProof/>
        </w:rPr>
        <w:t xml:space="preserve"> от фискални мерки, с които да се спомогне за гарантиране на първичен излишък от 3,5 % от БВП в средносрочен план.  </w:t>
      </w:r>
    </w:p>
    <w:p w:rsidR="00D37C11" w:rsidRDefault="001106FA">
      <w:pPr>
        <w:pStyle w:val="ManualConsidrant"/>
        <w:rPr>
          <w:noProof/>
        </w:rPr>
      </w:pPr>
      <w:r>
        <w:rPr>
          <w:noProof/>
        </w:rPr>
        <w:t>(7)</w:t>
      </w:r>
      <w:r>
        <w:rPr>
          <w:noProof/>
        </w:rPr>
        <w:tab/>
        <w:t xml:space="preserve">Гръцката икономика демонстрира висока степен на устойчивост в среда на завишена несигурност и налагане на контрол върху капитала, като </w:t>
      </w:r>
      <w:r>
        <w:rPr>
          <w:noProof/>
        </w:rPr>
        <w:t>БВП се сви само с 0,2 % през 2015 г. През 2016 г. гръцката икономика беше в застой, тъй като зараждащият се ръст на частното потребление бе компенсиран от спад в публичното потребление и нетния износ. Според прогнозата на Комисията от пролетта на 2017 г. с</w:t>
      </w:r>
      <w:r>
        <w:rPr>
          <w:noProof/>
        </w:rPr>
        <w:t>е очаква гръцката икономика да нарасне съответно с 2,1 % и 2,5 % през 2017 и 2018 г., което се дължи на подобряващите се икономически настроения, които подкрепят инвестициите и потреблението.</w:t>
      </w:r>
    </w:p>
    <w:p w:rsidR="00D37C11" w:rsidRDefault="001106FA">
      <w:pPr>
        <w:pStyle w:val="ManualConsidrant"/>
        <w:rPr>
          <w:noProof/>
        </w:rPr>
      </w:pPr>
      <w:r>
        <w:rPr>
          <w:noProof/>
        </w:rPr>
        <w:t>(8)</w:t>
      </w:r>
      <w:r>
        <w:rPr>
          <w:noProof/>
        </w:rPr>
        <w:tab/>
        <w:t>Според тази прогноза съотношението на дълга спрямо БВП възли</w:t>
      </w:r>
      <w:r>
        <w:rPr>
          <w:noProof/>
        </w:rPr>
        <w:t>за на 179,0 % през 2016 г., 178,8 % през 2017 г., 174,6 % през 2018 г. и 165,2 % през 2019 г. Следователно съотношението на дълга към БВП ще започне да намалява от 2017 г. нататък. Гърция постигна първичен излишък от 0,5 % от БВП през 2015 г. и 4,2 % от БВ</w:t>
      </w:r>
      <w:r>
        <w:rPr>
          <w:noProof/>
        </w:rPr>
        <w:t>П през 2016 г., като преизпълни целите в своята програма със съответно -0,25 % и 0,5 % от БВП. Гръцките органи ще изпълнят фискален план, основаващ се на цели за първичния излишък от 1,75 % от БВП през 2017 г. и 3,5 % от БВП през 2018 г. и в средносрочен п</w:t>
      </w:r>
      <w:r>
        <w:rPr>
          <w:noProof/>
        </w:rPr>
        <w:t>лан. Кривата на фискалните цели е в съответствие с очакваните темпове на растеж на гръцката икономика, която се възстановява след най-тежката рецесия в своята история.</w:t>
      </w:r>
    </w:p>
    <w:p w:rsidR="00D37C11" w:rsidRDefault="001106FA">
      <w:pPr>
        <w:pStyle w:val="ManualConsidrant"/>
        <w:rPr>
          <w:noProof/>
        </w:rPr>
      </w:pPr>
      <w:r>
        <w:rPr>
          <w:noProof/>
        </w:rPr>
        <w:t>(9)</w:t>
      </w:r>
      <w:r>
        <w:rPr>
          <w:noProof/>
        </w:rPr>
        <w:tab/>
        <w:t xml:space="preserve">С оглед на актуализираните прогнози на службите на Комисията и на резултатите от </w:t>
      </w:r>
      <w:r>
        <w:rPr>
          <w:noProof/>
        </w:rPr>
        <w:t xml:space="preserve">втория преглед, проведен от Комисията в сътрудничество с ЕЦБ и, когато е уместно, с МВФ, е необходима актуализация на съществуващата програма, за да бъдат отразени предприетите реформи от гръцките органи до края на първото тримесечие на 2017 г. Въз основа </w:t>
      </w:r>
      <w:r>
        <w:rPr>
          <w:noProof/>
        </w:rPr>
        <w:t>на това актуализираните условия следва да очертават набора от политики, необходими за успешното изпълнение на програмата в бъдеще, с цел връщане на гръцката икономика към устойчив растеж. Поради това е уместно Решение за изпълнение (ЕС) 2015/1411 на Съвета</w:t>
      </w:r>
      <w:r>
        <w:rPr>
          <w:noProof/>
        </w:rPr>
        <w:t xml:space="preserve"> да бъде съответно изменено.</w:t>
      </w:r>
    </w:p>
    <w:p w:rsidR="00D37C11" w:rsidRDefault="001106FA">
      <w:pPr>
        <w:pStyle w:val="ManualConsidrant"/>
        <w:rPr>
          <w:noProof/>
        </w:rPr>
      </w:pPr>
      <w:r>
        <w:rPr>
          <w:noProof/>
        </w:rPr>
        <w:t>(10)</w:t>
      </w:r>
      <w:r>
        <w:rPr>
          <w:noProof/>
        </w:rPr>
        <w:tab/>
        <w:t>Всяка форма на финансова подкрепа, предоставена на Гърция с цел да ѝ се помогне за изпълнението на политиките в рамките на нейната програма, следва да съответства на правните изисквания и политиките на Съюза, и по-специалн</w:t>
      </w:r>
      <w:r>
        <w:rPr>
          <w:noProof/>
        </w:rPr>
        <w:t>о на рамката за икономическо управление на Съюза и Хартата на основните права. Ако някоя от мерките, предвидени в програмата за макроикономически корекции, ограничава упражняването на правата и свободите, признати в Хартата на основните права на Европейски</w:t>
      </w:r>
      <w:r>
        <w:rPr>
          <w:noProof/>
        </w:rPr>
        <w:t>я съюз, това ограничаване е в съответствие с член 52, параграф 1 от нея. Всяка намеса в подкрепа на финансови институции следва да бъде извършвана съгласно правилата на Съюза в областта на конкуренцията. Комисията следва да гарантира, че всяка мярка, посоч</w:t>
      </w:r>
      <w:r>
        <w:rPr>
          <w:noProof/>
        </w:rPr>
        <w:t>ена в Меморандума за разбирателство, сключен в контекста на поискана финансова помощ по линия на ЕМС, е в пълно съответствие с настоящото решение,</w:t>
      </w:r>
    </w:p>
    <w:p w:rsidR="00D37C11" w:rsidRDefault="00D37C11">
      <w:pPr>
        <w:rPr>
          <w:noProof/>
        </w:rPr>
      </w:pPr>
    </w:p>
    <w:p w:rsidR="00D37C11" w:rsidRDefault="001106FA">
      <w:pPr>
        <w:pStyle w:val="Formuledadoption"/>
        <w:rPr>
          <w:noProof/>
        </w:rPr>
      </w:pPr>
      <w:r>
        <w:rPr>
          <w:noProof/>
        </w:rPr>
        <w:t xml:space="preserve">ПРИЕ НАСТОЯЩОТО РЕШЕНИЕ: </w:t>
      </w:r>
    </w:p>
    <w:p w:rsidR="00D37C11" w:rsidRDefault="001106FA">
      <w:pPr>
        <w:pStyle w:val="Titrearticle"/>
        <w:rPr>
          <w:noProof/>
        </w:rPr>
      </w:pPr>
      <w:r>
        <w:rPr>
          <w:noProof/>
        </w:rPr>
        <w:t>Член 1</w:t>
      </w:r>
    </w:p>
    <w:p w:rsidR="00D37C11" w:rsidRDefault="001106FA">
      <w:pPr>
        <w:rPr>
          <w:rFonts w:eastAsia="Calibri"/>
          <w:noProof/>
        </w:rPr>
      </w:pPr>
      <w:r>
        <w:rPr>
          <w:noProof/>
        </w:rPr>
        <w:t>Член 2 от Решение за изпълнение (ЕС) 2015/1411 се заменя със следното:</w:t>
      </w:r>
    </w:p>
    <w:p w:rsidR="00D37C11" w:rsidRDefault="001106FA">
      <w:pPr>
        <w:pStyle w:val="ManualNumPar1"/>
        <w:rPr>
          <w:noProof/>
        </w:rPr>
      </w:pPr>
      <w:r>
        <w:rPr>
          <w:rStyle w:val="st"/>
          <w:noProof/>
        </w:rPr>
        <w:t>„</w:t>
      </w:r>
      <w:r>
        <w:rPr>
          <w:noProof/>
        </w:rPr>
        <w:t>1.</w:t>
      </w:r>
      <w:r>
        <w:rPr>
          <w:noProof/>
        </w:rPr>
        <w:tab/>
      </w:r>
      <w:r>
        <w:rPr>
          <w:noProof/>
        </w:rPr>
        <w:t>Гърция провежда фискална консолидация посредством висококачествени постоянни мерки, като същевременно свежда до минимум въздействието върху хората в неравностойно положение. Гръцките органи се ангажират с осигуряването на устойчиви публични финанси и с пос</w:t>
      </w:r>
      <w:r>
        <w:rPr>
          <w:noProof/>
        </w:rPr>
        <w:t>тигането на значителни и устойчиви първични излишъци в средносрочен план, което ще послужи за стабилното намаляване на съотношението на дълга спрямо БВП. Съответно Гърция провежда фискален план, основаващ се на цели за първичния излишък от 1,75 % от БВП пр</w:t>
      </w:r>
      <w:r>
        <w:rPr>
          <w:noProof/>
        </w:rPr>
        <w:t>ез 2017 г. и 3,5 % от БВП от 2018 г. нататък и в средносрочен план. Органите поемат ангажимент да предприемат допълнителни структурни мерки в размер на 0,3 % от БВП до 2018 г. с цел да гарантират постигането на плана за целевия първичен излишък. Мерките за</w:t>
      </w:r>
      <w:r>
        <w:rPr>
          <w:noProof/>
        </w:rPr>
        <w:t xml:space="preserve"> постигане на тези цели за първичния излишък, договорени като част от втория преглед на програмата, включват: рационализиране на системата за социалните помощи и премахване на данъчните разходи въз основа на препоръките от прегледа на системата на социално</w:t>
      </w:r>
      <w:r>
        <w:rPr>
          <w:noProof/>
        </w:rPr>
        <w:t xml:space="preserve"> подпомагане на Световната банка; рационализиране на разходите за здравеопазване чрез разширяване на обхвата на затворената бюджетна рамка и намаляването на таваните за възстановяване на средства; въвеждане на данък върху краткосрочното туристическо настан</w:t>
      </w:r>
      <w:r>
        <w:rPr>
          <w:noProof/>
        </w:rPr>
        <w:t>яване под наем и рационализиране на определени стимули за постигане на резултати и обезщетения в публичния сектор.</w:t>
      </w:r>
    </w:p>
    <w:p w:rsidR="00D37C11" w:rsidRDefault="001106FA">
      <w:pPr>
        <w:pStyle w:val="ManualNumPar1"/>
        <w:rPr>
          <w:rFonts w:cs="Arial"/>
          <w:bCs/>
          <w:noProof/>
          <w:szCs w:val="20"/>
        </w:rPr>
      </w:pPr>
      <w:r>
        <w:rPr>
          <w:noProof/>
        </w:rPr>
        <w:t>2.</w:t>
      </w:r>
      <w:r>
        <w:rPr>
          <w:noProof/>
        </w:rPr>
        <w:tab/>
        <w:t>За да се подпомогне възстановяването на баланса в бюджета към по-благоприятни за растежа политики, които водят до справедливо разпределени</w:t>
      </w:r>
      <w:r>
        <w:rPr>
          <w:noProof/>
        </w:rPr>
        <w:t xml:space="preserve">е на положителните ефекти, като същевременно се гарантира изпълнението на средносрочните фискални цели, органите въвеждат законодателство за: </w:t>
      </w:r>
    </w:p>
    <w:p w:rsidR="00D37C11" w:rsidRDefault="001106FA">
      <w:pPr>
        <w:pStyle w:val="Point1"/>
        <w:rPr>
          <w:noProof/>
        </w:rPr>
      </w:pPr>
      <w:r>
        <w:rPr>
          <w:noProof/>
        </w:rPr>
        <w:t>i.</w:t>
      </w:r>
      <w:r>
        <w:rPr>
          <w:noProof/>
        </w:rPr>
        <w:tab/>
        <w:t>средносрочна фискална стратегия за периода 2018—2021 г. в съответствие със съгласуваните средносрочни цели, ко</w:t>
      </w:r>
      <w:r>
        <w:rPr>
          <w:noProof/>
        </w:rPr>
        <w:t>ито трябва да бъдат постигнати без мерки, които имат неблагоприятно влияние върху растежа;</w:t>
      </w:r>
    </w:p>
    <w:p w:rsidR="00D37C11" w:rsidRDefault="001106FA">
      <w:pPr>
        <w:pStyle w:val="Point1"/>
        <w:rPr>
          <w:noProof/>
        </w:rPr>
      </w:pPr>
      <w:r>
        <w:rPr>
          <w:noProof/>
        </w:rPr>
        <w:t>ii</w:t>
      </w:r>
      <w:r>
        <w:rPr>
          <w:noProof/>
        </w:rPr>
        <w:tab/>
        <w:t>провеждане на пенсионна реформа, осигуряваща нетни икономии в размер на 1 % от БВП в средносрочен план и реформа в данъка върху доходите на физическите лица, осиг</w:t>
      </w:r>
      <w:r>
        <w:rPr>
          <w:noProof/>
        </w:rPr>
        <w:t xml:space="preserve">уряваща нетни икономии в размер на 1 % от БВП през 2020 г. и в средносрочен план;  </w:t>
      </w:r>
    </w:p>
    <w:p w:rsidR="00D37C11" w:rsidRDefault="001106FA">
      <w:pPr>
        <w:pStyle w:val="Point1"/>
        <w:rPr>
          <w:noProof/>
        </w:rPr>
      </w:pPr>
      <w:r>
        <w:rPr>
          <w:noProof/>
        </w:rPr>
        <w:t>iii</w:t>
      </w:r>
      <w:r>
        <w:rPr>
          <w:noProof/>
        </w:rPr>
        <w:tab/>
        <w:t>данъчен пакет за повишаване на растежа, равняващ се в нетно изражение на приходите от реформата на данъка върху доходите на физическите лица, който включва: i) намалява</w:t>
      </w:r>
      <w:r>
        <w:rPr>
          <w:noProof/>
        </w:rPr>
        <w:t>не на ставките на данъка върху доходите на физическите лица и на допълнителния данък „солидарност“ със средносрочно фискално въздействие в размер на 0,8 % от БВП; ii) намаляване на ставките на корпоративния данък със средносрочно бюджетно въздействие в раз</w:t>
      </w:r>
      <w:r>
        <w:rPr>
          <w:noProof/>
        </w:rPr>
        <w:t xml:space="preserve">мер на 0,1 % от БВП, и iii) намаляване на данък сгради (ENFIA) с въздействие от 0,1 % от БВП; </w:t>
      </w:r>
    </w:p>
    <w:p w:rsidR="00D37C11" w:rsidRDefault="001106FA">
      <w:pPr>
        <w:pStyle w:val="Point1"/>
        <w:rPr>
          <w:noProof/>
        </w:rPr>
      </w:pPr>
      <w:r>
        <w:rPr>
          <w:noProof/>
        </w:rPr>
        <w:t>iv</w:t>
      </w:r>
      <w:r>
        <w:rPr>
          <w:noProof/>
        </w:rPr>
        <w:tab/>
        <w:t>пакет за целеви разходи, равняващ се в нетно изражение на приходите от пенсионната реформа, състоящ се от: i) увеличаване на разходите за планираните социални</w:t>
      </w:r>
      <w:r>
        <w:rPr>
          <w:noProof/>
        </w:rPr>
        <w:t xml:space="preserve"> обезщетения (помощ за жилищно настаняване; помощи за деца; училищна храна; образование и грижи в ранна детска възраст и предучилищно образование; обвързано с доходите намаляване на здравните вноски за сметка на гражданите) в размер на 0,7 % от БВП, ii) ка</w:t>
      </w:r>
      <w:r>
        <w:rPr>
          <w:noProof/>
        </w:rPr>
        <w:t xml:space="preserve">чествени публични инвестиции в инфраструктура в размер на 0,15 % от БВП, и iii) активни политики на пазара на труда в размер на 0,15 % от БВП; </w:t>
      </w:r>
    </w:p>
    <w:p w:rsidR="00D37C11" w:rsidRDefault="001106FA">
      <w:pPr>
        <w:pStyle w:val="Point1"/>
        <w:rPr>
          <w:noProof/>
        </w:rPr>
      </w:pPr>
      <w:r>
        <w:rPr>
          <w:noProof/>
        </w:rPr>
        <w:t>v</w:t>
      </w:r>
      <w:r>
        <w:rPr>
          <w:noProof/>
        </w:rPr>
        <w:tab/>
        <w:t>мерките, свързани с подоходното облагане на физическите лица, ще бъдат изпълнени през 2019 г., ако, на основат</w:t>
      </w:r>
      <w:r>
        <w:rPr>
          <w:noProof/>
        </w:rPr>
        <w:t>а на ориентирана към бъдещето оценка в контекста на окончателния преглед на програмата, е необходимо по-ранното им прилагане за постигане на договорената фискална цел за първичния излишък от 3,5 % от БВП през 2019 г., която трябва да бъде постигната без ме</w:t>
      </w:r>
      <w:r>
        <w:rPr>
          <w:noProof/>
        </w:rPr>
        <w:t xml:space="preserve">рки с отрицателно въздействие върху растежа; </w:t>
      </w:r>
    </w:p>
    <w:p w:rsidR="00D37C11" w:rsidRDefault="001106FA">
      <w:pPr>
        <w:pStyle w:val="Point1"/>
        <w:rPr>
          <w:noProof/>
        </w:rPr>
      </w:pPr>
      <w:r>
        <w:rPr>
          <w:noProof/>
        </w:rPr>
        <w:t>vi</w:t>
      </w:r>
      <w:r>
        <w:rPr>
          <w:noProof/>
        </w:rPr>
        <w:tab/>
        <w:t>изпълнението на експанзионистичния пакет ще започне през 2019 г., в зависимост от оценката и одобрението на окончателния преглед на програмата, чрез прозрачен процес, като сумата, която ще бъде предоставена,</w:t>
      </w:r>
      <w:r>
        <w:rPr>
          <w:noProof/>
        </w:rPr>
        <w:t xml:space="preserve"> е в съответствие с прогнозите на институциите във връзка с преизпълнението спрямо договорените средносрочни цели, за да се гарантира тяхното постигане.</w:t>
      </w:r>
    </w:p>
    <w:p w:rsidR="00D37C11" w:rsidRDefault="001106FA">
      <w:pPr>
        <w:pStyle w:val="ManualNumPar1"/>
        <w:rPr>
          <w:noProof/>
        </w:rPr>
      </w:pPr>
      <w:r>
        <w:rPr>
          <w:noProof/>
        </w:rPr>
        <w:t>3.</w:t>
      </w:r>
      <w:r>
        <w:rPr>
          <w:noProof/>
        </w:rPr>
        <w:tab/>
        <w:t>Органите завършват рамката, необходима за пълноценното създаване на Независимия орган за публични пр</w:t>
      </w:r>
      <w:r>
        <w:rPr>
          <w:noProof/>
        </w:rPr>
        <w:t xml:space="preserve">иходи и за неговото ефективно функциониране. Те предприемат допълнителни мерки за подобряване на спазването на данъчното законодателство, включително разработват законодателство за насърчаване и улесняване на използването на електронни плащания. С мерките </w:t>
      </w:r>
      <w:r>
        <w:rPr>
          <w:noProof/>
        </w:rPr>
        <w:t xml:space="preserve">за засилване на борбата срещу отклонението от данъчно облагане, наред с другото, се цели подобряване на модела на сътрудничество между съдебните и данъчните администрации.  </w:t>
      </w:r>
    </w:p>
    <w:p w:rsidR="00D37C11" w:rsidRDefault="001106FA">
      <w:pPr>
        <w:pStyle w:val="ManualNumPar1"/>
        <w:rPr>
          <w:noProof/>
        </w:rPr>
      </w:pPr>
      <w:r>
        <w:rPr>
          <w:noProof/>
        </w:rPr>
        <w:t>4.</w:t>
      </w:r>
      <w:r>
        <w:rPr>
          <w:noProof/>
        </w:rPr>
        <w:tab/>
        <w:t>Органите предприемат мерки за по-нататъшно укрепване на бюджетния процес и упра</w:t>
      </w:r>
      <w:r>
        <w:rPr>
          <w:noProof/>
        </w:rPr>
        <w:t xml:space="preserve">влението на публичните финанси. Те гарантират, че националното законодателство е напълно в съответствие с Договора за стабилност, координация и управление в икономическия и паричен съюз („Фискалния пакт“). Органите представят също така и средносрочен план </w:t>
      </w:r>
      <w:r>
        <w:rPr>
          <w:noProof/>
        </w:rPr>
        <w:t>за действие, за да гарантират, че плащанията са извършени в съответствие с Директива 2011/7/ЕС от 16 февруари 2011 г. на Европейския парламент и на Съвета относно борбата със забавяне на плащането по търговски сделки</w:t>
      </w:r>
      <w:r>
        <w:rPr>
          <w:rStyle w:val="FootnoteReference"/>
          <w:noProof/>
        </w:rPr>
        <w:footnoteReference w:id="4"/>
      </w:r>
      <w:r>
        <w:rPr>
          <w:noProof/>
        </w:rPr>
        <w:t>. Те укрепват рамката за обществените п</w:t>
      </w:r>
      <w:r>
        <w:rPr>
          <w:noProof/>
        </w:rPr>
        <w:t>оръчки, включително като насърчават централизираните обществени поръчки.</w:t>
      </w:r>
    </w:p>
    <w:p w:rsidR="00D37C11" w:rsidRDefault="001106FA">
      <w:pPr>
        <w:pStyle w:val="ManualNumPar1"/>
        <w:rPr>
          <w:noProof/>
        </w:rPr>
      </w:pPr>
      <w:r>
        <w:rPr>
          <w:noProof/>
        </w:rPr>
        <w:t>5.</w:t>
      </w:r>
      <w:r>
        <w:rPr>
          <w:noProof/>
        </w:rPr>
        <w:tab/>
        <w:t>Органите гарантират пълното изпълнение на новите законодателни разпоредби на всеобхватната пенсионна реформа от 2016 г. С цел да рационализират разходите за обществено здравеопазва</w:t>
      </w:r>
      <w:r>
        <w:rPr>
          <w:noProof/>
        </w:rPr>
        <w:t>не, органите предприемат структурни мерки, насочени към подобряване на ефикасността, включително затворен бюджет (таван за публичните разходи) за покриване на позиции, които по-рано не са били попадали в обхвата на този таван. Те публикуват актуализиран бю</w:t>
      </w:r>
      <w:r>
        <w:rPr>
          <w:noProof/>
        </w:rPr>
        <w:t>летин за цените за намаляване на цените на лекарствените продукти, актуализират и публикуват редовно положителните и отрицателните списъци и приемат допълнителни мерки за подобряване на навлизането на генерични лекарства.</w:t>
      </w:r>
    </w:p>
    <w:p w:rsidR="00D37C11" w:rsidRDefault="001106FA">
      <w:pPr>
        <w:pStyle w:val="ManualNumPar1"/>
        <w:rPr>
          <w:noProof/>
        </w:rPr>
      </w:pPr>
      <w:r>
        <w:rPr>
          <w:noProof/>
        </w:rPr>
        <w:t>6.</w:t>
      </w:r>
      <w:r>
        <w:rPr>
          <w:noProof/>
        </w:rPr>
        <w:tab/>
        <w:t>Органите гарантират гладкото въ</w:t>
      </w:r>
      <w:r>
        <w:rPr>
          <w:noProof/>
        </w:rPr>
        <w:t>веждане и прилагане на новата схема за социално солидарни доходи. Те провеждат широкообхватна реформа на системата за социално подпомагане въз основа на съответните препоръки от прегледа на системата на социално подпомагане, предоставени от Световната банк</w:t>
      </w:r>
      <w:r>
        <w:rPr>
          <w:noProof/>
        </w:rPr>
        <w:t xml:space="preserve">а. С тази реформа се цели оптимизирането на системата и по-доброто ѝ насочване към нуждите на най-уязвимите хора, включително пренасочване на ресурси за финансирането на национално равнище на въвеждането на новата схема за социално солидарни доходи. </w:t>
      </w:r>
    </w:p>
    <w:p w:rsidR="00D37C11" w:rsidRDefault="001106FA">
      <w:pPr>
        <w:pStyle w:val="ManualNumPar1"/>
        <w:rPr>
          <w:noProof/>
        </w:rPr>
      </w:pPr>
      <w:r>
        <w:rPr>
          <w:noProof/>
        </w:rPr>
        <w:t>7.</w:t>
      </w:r>
      <w:r>
        <w:rPr>
          <w:noProof/>
        </w:rPr>
        <w:tab/>
        <w:t xml:space="preserve">С </w:t>
      </w:r>
      <w:r>
        <w:rPr>
          <w:noProof/>
        </w:rPr>
        <w:t>цел запазване на финансовата стабилност органите публикуват пътна карта за облекчаване на контрола върху капитала, като се избягват неоправдани забавяния и без да се застрашава финансовата стабилност. Те оценяват и предприемат действия по отношение на преч</w:t>
      </w:r>
      <w:r>
        <w:rPr>
          <w:noProof/>
        </w:rPr>
        <w:t>ките на вторичния пазар за необслужвани заеми, които са откроени в доклада относно прегледа на прилагането на Закон 4354/2015, с цел оптимизиране на процеса на лицензиране за органите за управление на необслужвани заеми. Органите въвеждат схема за извънсъд</w:t>
      </w:r>
      <w:r>
        <w:rPr>
          <w:noProof/>
        </w:rPr>
        <w:t>ебно преструктуриране на необслужвани заеми и осигуряват безпроблемното ѝ изпълнение, като правят възможно участието в механизма както на малки, така и на големи длъжници с дълг над минимален праг, и използването на механизма за преструктуриране на дълга з</w:t>
      </w:r>
      <w:r>
        <w:rPr>
          <w:noProof/>
        </w:rPr>
        <w:t>а всички елементи на дълг, включително дълга на частния сектор и държавния дълг, с изключение на вноските за социално осигуряване и данъците, удържани при източника. Органите модернизират също така и рамката на корпоративната несъстоятелност и гарантират н</w:t>
      </w:r>
      <w:r>
        <w:rPr>
          <w:noProof/>
        </w:rPr>
        <w:t>ейното ефективно прилагане, с ключов акцент върху ролята на синдиците. Те правят преглед на Гражданския процесуален кодекс с цел да го приведат в съответствие с най-добрите практики в Съюза.</w:t>
      </w:r>
    </w:p>
    <w:p w:rsidR="00D37C11" w:rsidRDefault="001106FA">
      <w:pPr>
        <w:pStyle w:val="ManualNumPar1"/>
        <w:rPr>
          <w:noProof/>
        </w:rPr>
      </w:pPr>
      <w:r>
        <w:rPr>
          <w:noProof/>
        </w:rPr>
        <w:t>8.</w:t>
      </w:r>
      <w:r>
        <w:rPr>
          <w:noProof/>
        </w:rPr>
        <w:tab/>
        <w:t>За да насърчат растежа, конкурентоспособността и инвестициите,</w:t>
      </w:r>
      <w:r>
        <w:rPr>
          <w:noProof/>
        </w:rPr>
        <w:t xml:space="preserve"> органите продължават да разработват и прилагат широк кръг реформи на продуктовите пазари, целящи постигането на най-добрите практики в Съюза. Реформите включват: по-нататъшно прилагане на препоръките от инструментариума на ОИСР за премахване на пречките з</w:t>
      </w:r>
      <w:r>
        <w:rPr>
          <w:noProof/>
        </w:rPr>
        <w:t xml:space="preserve">а конкуренция в широк диапазон от сектори; реформи за либерализиране на инвестиционното лицензиране и намаляване на административната тежест за започване на бизнес; по-нататъшни стъпки за либерализация на регулираните професии; реформи за модернизиране на </w:t>
      </w:r>
      <w:r>
        <w:rPr>
          <w:noProof/>
        </w:rPr>
        <w:t xml:space="preserve">рамката за земеползване, включително пространственото планиране и кадастъра; и мерки за подобряване на функционирането на секторите на водите и транспорта.   </w:t>
      </w:r>
    </w:p>
    <w:p w:rsidR="00D37C11" w:rsidRDefault="001106FA">
      <w:pPr>
        <w:pStyle w:val="ManualNumPar1"/>
        <w:rPr>
          <w:noProof/>
        </w:rPr>
      </w:pPr>
      <w:r>
        <w:rPr>
          <w:noProof/>
        </w:rPr>
        <w:t>9.</w:t>
      </w:r>
      <w:r>
        <w:rPr>
          <w:noProof/>
        </w:rPr>
        <w:tab/>
        <w:t>По отношение на пазарите на труда Гърция приема законодателство, в което се пояснява, че рефор</w:t>
      </w:r>
      <w:r>
        <w:rPr>
          <w:noProof/>
        </w:rPr>
        <w:t>мите за колективното договаряне от 2011 г. ще бъдат удължени до края на програмата. Органите заменят настоящата административна рамка на колективните уволнения с процедура на уведомяване от не повече от три месеца, която не включва предварително одобрение,</w:t>
      </w:r>
      <w:r>
        <w:rPr>
          <w:noProof/>
        </w:rPr>
        <w:t xml:space="preserve"> и изменя законодателството относно действията при колективни трудови спорове. Те предприемат също и по-нататъшни стъпки за борба срещу недекларирания труд, укрепват професионалното образование и обучение и прилагат тригодишния план за действие за образова</w:t>
      </w:r>
      <w:r>
        <w:rPr>
          <w:noProof/>
        </w:rPr>
        <w:t>нието.</w:t>
      </w:r>
    </w:p>
    <w:p w:rsidR="00D37C11" w:rsidRDefault="001106FA">
      <w:pPr>
        <w:pStyle w:val="ManualNumPar1"/>
        <w:rPr>
          <w:noProof/>
        </w:rPr>
      </w:pPr>
      <w:r>
        <w:rPr>
          <w:noProof/>
        </w:rPr>
        <w:t>10.</w:t>
      </w:r>
      <w:r>
        <w:rPr>
          <w:noProof/>
        </w:rPr>
        <w:tab/>
        <w:t>Органите продължават да провеждат широкообхватни реформи на енергийните пазари, за да ги приведат в съответствие със законодателството и политиките на Съюза, да ги модернизират и направят по-конкурентоспособни, да намалят монополните печалби и н</w:t>
      </w:r>
      <w:r>
        <w:rPr>
          <w:noProof/>
        </w:rPr>
        <w:t>еефективността, да насърчат иновациите и по-широкото използване на възобновяеми източници на енергия и природен газ, както и да гарантират, че ползите от всички тези промени ще достигнат до потребителите. По отношение на пазара на електроенергия, за да дос</w:t>
      </w:r>
      <w:r>
        <w:rPr>
          <w:noProof/>
        </w:rPr>
        <w:t>тигне пазарният дял на заварения оператор договорените цели, органите продължават да провеждат търгове на електроенергия и предлагат безусловни структурни мерки за продажба на част от производствените мощности на заварения оператор, в съответствие със съот</w:t>
      </w:r>
      <w:r>
        <w:rPr>
          <w:noProof/>
        </w:rPr>
        <w:t>ветните решения на Европейската комисия</w:t>
      </w:r>
      <w:r>
        <w:rPr>
          <w:rStyle w:val="FootnoteReference"/>
          <w:noProof/>
        </w:rPr>
        <w:footnoteReference w:id="5"/>
      </w:r>
      <w:r>
        <w:rPr>
          <w:noProof/>
        </w:rPr>
        <w:t>. В допълнение органите продължават процеса, водещ към пълното отделяне на оператора на преносната система от заварения оператор, продължават реформата на стимулите за възобновяемите източници на енергия и гарантират</w:t>
      </w:r>
      <w:r>
        <w:rPr>
          <w:noProof/>
        </w:rPr>
        <w:t xml:space="preserve"> своевременното изпълнение на други пазарни реформи. По отношение на пазара на газ, продължаването на текущите реформи наред с други мерки ще доведе до възможност за безпрепятствена смяна на доставчика за всички потребители до 2018 г. съгласно планираното.</w:t>
      </w:r>
      <w:r>
        <w:rPr>
          <w:noProof/>
        </w:rPr>
        <w:t xml:space="preserve"> Органите предприемат по-нататъшни действия за премахване на все още съществуващите пречки пред ефективната конкуренция на пазарите на едро и пазарите на дребно на газ и за насърчаване на междусистемните връзки, както и за диверсифицирането на източниците </w:t>
      </w:r>
      <w:r>
        <w:rPr>
          <w:noProof/>
        </w:rPr>
        <w:t xml:space="preserve">на снабдяване. </w:t>
      </w:r>
    </w:p>
    <w:p w:rsidR="00D37C11" w:rsidRDefault="001106FA">
      <w:pPr>
        <w:pStyle w:val="ManualNumPar1"/>
        <w:rPr>
          <w:noProof/>
        </w:rPr>
      </w:pPr>
      <w:r>
        <w:rPr>
          <w:noProof/>
        </w:rPr>
        <w:t>11.</w:t>
      </w:r>
      <w:r>
        <w:rPr>
          <w:noProof/>
        </w:rPr>
        <w:tab/>
        <w:t>Органите продължават да прилагат амбициозна приватизационна програма и политики в подкрепа на инвестициите.</w:t>
      </w:r>
      <w:r>
        <w:rPr>
          <w:noProof/>
          <w:color w:val="444444"/>
          <w:sz w:val="27"/>
        </w:rPr>
        <w:t xml:space="preserve"> </w:t>
      </w:r>
      <w:r>
        <w:rPr>
          <w:noProof/>
        </w:rPr>
        <w:t>Органите се ангажират да улеснят процеса на приватизация и да предприемат всички необходими действия на ниво правителство, за да</w:t>
      </w:r>
      <w:r>
        <w:rPr>
          <w:noProof/>
        </w:rPr>
        <w:t xml:space="preserve"> гарантират успешното провеждане на тръжните процедури. В тази връзка органите изпълняват всички необходими действия, договаряни на тримесечна основа между Фонда за развитие на активите на Република Гърция („HRADF“), институциите и правителството. Списъкът</w:t>
      </w:r>
      <w:r>
        <w:rPr>
          <w:noProof/>
        </w:rPr>
        <w:t xml:space="preserve"> на действията, които правителството трябва да предприеме, беше одобрен от Съвета на директорите на HRADF. След създаването на Гръцката корпорация за активи и участия (Hellenic Corporation for Assets and Participations — HCAP), която държи ценни гръцки акт</w:t>
      </w:r>
      <w:r>
        <w:rPr>
          <w:noProof/>
        </w:rPr>
        <w:t>иви, органите гарантират, че управлението и вътрешният правилник на HCAP отговарят на международните стандарти и най-добрите практики, включително на Насоките на ОИСР относно управлението на държавните предприятия. Основната цел на HCAP е да управлява ценн</w:t>
      </w:r>
      <w:r>
        <w:rPr>
          <w:noProof/>
        </w:rPr>
        <w:t>и гръцки активи, както и да защитава, създава и в крайна сметка да максимизира тяхната стойност чрез приватизирането им и чрез други средства.</w:t>
      </w:r>
    </w:p>
    <w:p w:rsidR="00D37C11" w:rsidRDefault="001106FA">
      <w:pPr>
        <w:pStyle w:val="ManualNumPar1"/>
        <w:rPr>
          <w:noProof/>
        </w:rPr>
      </w:pPr>
      <w:r>
        <w:rPr>
          <w:noProof/>
        </w:rPr>
        <w:t>12.</w:t>
      </w:r>
      <w:r>
        <w:rPr>
          <w:noProof/>
        </w:rPr>
        <w:tab/>
        <w:t xml:space="preserve">Ключов приоритет на програмата продължава да бъде изграждането на модерна държавна и публична администрация. </w:t>
      </w:r>
      <w:r>
        <w:rPr>
          <w:noProof/>
        </w:rPr>
        <w:t>Органите обръщат особено внимание на прилагането на мерките, които вече са взети по линия на програмата за повишаване на ефикасността на публичния сектор при предоставянето на основни обществени блага и услуги, и по-специално на назначаването и деполитизир</w:t>
      </w:r>
      <w:r>
        <w:rPr>
          <w:noProof/>
        </w:rPr>
        <w:t>ането на управителите, оценките на дейността и мобилността. Предприемат се мерки за повишаване на ефективността на съдебната система, в това число като се предвиди изпълнението на електронни търгове, и за подобряване на борбата с корупцията. Чрез по-нататъ</w:t>
      </w:r>
      <w:r>
        <w:rPr>
          <w:noProof/>
        </w:rPr>
        <w:t>шното изпълнение на приетите реформи се укрепва институционалната и оперативната независимост на ключови институции, като например приходната администрация и статистическия институт (Elstat).“</w:t>
      </w:r>
    </w:p>
    <w:p w:rsidR="00D37C11" w:rsidRDefault="00D37C11">
      <w:pPr>
        <w:rPr>
          <w:rFonts w:eastAsia="Calibri"/>
          <w:noProof/>
        </w:rPr>
      </w:pPr>
    </w:p>
    <w:p w:rsidR="00D37C11" w:rsidRDefault="001106FA">
      <w:pPr>
        <w:pStyle w:val="Titrearticle"/>
        <w:rPr>
          <w:noProof/>
        </w:rPr>
      </w:pPr>
      <w:r>
        <w:rPr>
          <w:noProof/>
        </w:rPr>
        <w:t>Член 2</w:t>
      </w:r>
    </w:p>
    <w:p w:rsidR="00D37C11" w:rsidRDefault="001106FA">
      <w:pPr>
        <w:rPr>
          <w:rFonts w:eastAsia="Calibri"/>
          <w:noProof/>
        </w:rPr>
      </w:pPr>
      <w:r>
        <w:rPr>
          <w:noProof/>
        </w:rPr>
        <w:t xml:space="preserve">Адресат на настоящото решение е Република Гърция. </w:t>
      </w:r>
    </w:p>
    <w:p w:rsidR="00D37C11" w:rsidRDefault="00D37C11">
      <w:pPr>
        <w:rPr>
          <w:noProof/>
        </w:rPr>
      </w:pPr>
    </w:p>
    <w:p w:rsidR="00D37C11" w:rsidRDefault="001106FA" w:rsidP="001106FA">
      <w:pPr>
        <w:pStyle w:val="Fait"/>
        <w:rPr>
          <w:noProof/>
        </w:rPr>
      </w:pPr>
      <w:r w:rsidRPr="001106FA">
        <w:t xml:space="preserve">Съставено в Брюксел на </w:t>
      </w:r>
      <w:r w:rsidRPr="001106FA">
        <w:rPr>
          <w:rStyle w:val="Marker2"/>
        </w:rPr>
        <w:t>[…]</w:t>
      </w:r>
      <w:r w:rsidRPr="001106FA">
        <w:t xml:space="preserve"> година.</w:t>
      </w:r>
    </w:p>
    <w:p w:rsidR="00D37C11" w:rsidRDefault="001106FA">
      <w:pPr>
        <w:pStyle w:val="Institutionquisigne"/>
        <w:rPr>
          <w:noProof/>
        </w:rPr>
      </w:pPr>
      <w:r>
        <w:rPr>
          <w:noProof/>
        </w:rPr>
        <w:tab/>
        <w:t>За Съвета</w:t>
      </w:r>
    </w:p>
    <w:p w:rsidR="00D37C11" w:rsidRDefault="001106FA">
      <w:pPr>
        <w:pStyle w:val="Personnequisigne"/>
        <w:rPr>
          <w:noProof/>
        </w:rPr>
      </w:pPr>
      <w:r>
        <w:rPr>
          <w:noProof/>
        </w:rPr>
        <w:tab/>
        <w:t>Председател</w:t>
      </w:r>
    </w:p>
    <w:sectPr w:rsidR="00D37C11" w:rsidSect="001106F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11" w:rsidRDefault="001106FA">
      <w:pPr>
        <w:spacing w:before="0" w:after="0"/>
      </w:pPr>
      <w:r>
        <w:separator/>
      </w:r>
    </w:p>
  </w:endnote>
  <w:endnote w:type="continuationSeparator" w:id="0">
    <w:p w:rsidR="00D37C11" w:rsidRDefault="001106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11" w:rsidRPr="001106FA" w:rsidRDefault="001106FA" w:rsidP="001106FA">
    <w:pPr>
      <w:pStyle w:val="Footer"/>
      <w:rPr>
        <w:rFonts w:ascii="Arial" w:hAnsi="Arial" w:cs="Arial"/>
        <w:b/>
        <w:sz w:val="48"/>
      </w:rPr>
    </w:pPr>
    <w:r w:rsidRPr="001106FA">
      <w:rPr>
        <w:rFonts w:ascii="Arial" w:hAnsi="Arial" w:cs="Arial"/>
        <w:b/>
        <w:sz w:val="48"/>
      </w:rPr>
      <w:t>BG</w:t>
    </w:r>
    <w:r w:rsidRPr="001106FA">
      <w:rPr>
        <w:rFonts w:ascii="Arial" w:hAnsi="Arial" w:cs="Arial"/>
        <w:b/>
        <w:sz w:val="48"/>
      </w:rPr>
      <w:tab/>
    </w:r>
    <w:r w:rsidRPr="001106FA">
      <w:rPr>
        <w:rFonts w:ascii="Arial" w:hAnsi="Arial" w:cs="Arial"/>
        <w:b/>
        <w:sz w:val="48"/>
      </w:rPr>
      <w:tab/>
    </w:r>
    <w:fldSimple w:instr=" DOCVARIABLE &quot;LW_Confidence&quot; \* MERGEFORMAT ">
      <w:r>
        <w:t xml:space="preserve"> </w:t>
      </w:r>
    </w:fldSimple>
    <w:r w:rsidRPr="001106FA">
      <w:tab/>
    </w:r>
    <w:proofErr w:type="spellStart"/>
    <w:r w:rsidRPr="001106FA">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Footer"/>
      <w:rPr>
        <w:rFonts w:ascii="Arial" w:hAnsi="Arial" w:cs="Arial"/>
        <w:b/>
        <w:sz w:val="48"/>
      </w:rPr>
    </w:pPr>
    <w:r w:rsidRPr="001106FA">
      <w:rPr>
        <w:rFonts w:ascii="Arial" w:hAnsi="Arial" w:cs="Arial"/>
        <w:b/>
        <w:sz w:val="48"/>
      </w:rPr>
      <w:t>BG</w:t>
    </w:r>
    <w:r w:rsidRPr="001106FA">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fldSimple w:instr=" DOCVARIABLE &quot;LW_Confidence&quot; \* MERGEFORMAT ">
      <w:r>
        <w:t xml:space="preserve"> </w:t>
      </w:r>
    </w:fldSimple>
    <w:r w:rsidRPr="001106FA">
      <w:tab/>
    </w:r>
    <w:r w:rsidRPr="001106FA">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11" w:rsidRDefault="001106FA">
      <w:pPr>
        <w:spacing w:before="0" w:after="0"/>
      </w:pPr>
      <w:r>
        <w:separator/>
      </w:r>
    </w:p>
  </w:footnote>
  <w:footnote w:type="continuationSeparator" w:id="0">
    <w:p w:rsidR="00D37C11" w:rsidRDefault="001106FA">
      <w:pPr>
        <w:spacing w:before="0" w:after="0"/>
      </w:pPr>
      <w:r>
        <w:continuationSeparator/>
      </w:r>
    </w:p>
  </w:footnote>
  <w:footnote w:id="1">
    <w:p w:rsidR="00D37C11" w:rsidRDefault="001106FA">
      <w:pPr>
        <w:pStyle w:val="FootnoteText"/>
      </w:pPr>
      <w:r>
        <w:rPr>
          <w:rStyle w:val="FootnoteReference"/>
        </w:rPr>
        <w:footnoteRef/>
      </w:r>
      <w:r>
        <w:tab/>
        <w:t>ОВ L 140, 27.5.2013 г., стр. 1.</w:t>
      </w:r>
    </w:p>
  </w:footnote>
  <w:footnote w:id="2">
    <w:p w:rsidR="00D37C11" w:rsidRDefault="001106FA">
      <w:pPr>
        <w:pStyle w:val="FootnoteText"/>
      </w:pPr>
      <w:r>
        <w:rPr>
          <w:rStyle w:val="FootnoteReference"/>
        </w:rPr>
        <w:footnoteRef/>
      </w:r>
      <w:r>
        <w:tab/>
      </w:r>
      <w:r>
        <w:t>Решение за изпълнение (ЕС) 2015/1411 на Съвета от 20 август 2015 г. за одобряване на програмата за макроикономически корекции на Гърция (ОВ L 219, 20.8.2015 г., ст</w:t>
      </w:r>
      <w:r>
        <w:t>р. 12).</w:t>
      </w:r>
    </w:p>
  </w:footnote>
  <w:footnote w:id="3">
    <w:p w:rsidR="00D37C11" w:rsidRDefault="001106FA">
      <w:pPr>
        <w:pStyle w:val="FootnoteText"/>
      </w:pPr>
      <w:r>
        <w:rPr>
          <w:rStyle w:val="FootnoteReference"/>
        </w:rPr>
        <w:footnoteRef/>
      </w:r>
      <w:r>
        <w:tab/>
      </w:r>
      <w:hyperlink r:id="rId1">
        <w:r>
          <w:rPr>
            <w:rStyle w:val="Hyperlink"/>
          </w:rPr>
          <w:t>http://www.consilium.europa.eu/en/press/press-releases/2016/12/05-eurogroup-statement-greece/</w:t>
        </w:r>
      </w:hyperlink>
    </w:p>
    <w:p w:rsidR="00D37C11" w:rsidRDefault="00D37C11">
      <w:pPr>
        <w:pStyle w:val="FootnoteText"/>
      </w:pPr>
    </w:p>
  </w:footnote>
  <w:footnote w:id="4">
    <w:p w:rsidR="00D37C11" w:rsidRDefault="001106FA">
      <w:pPr>
        <w:pStyle w:val="FootnoteText"/>
      </w:pPr>
      <w:r>
        <w:rPr>
          <w:rStyle w:val="FootnoteReference"/>
        </w:rPr>
        <w:footnoteRef/>
      </w:r>
      <w:r>
        <w:tab/>
      </w:r>
      <w:r>
        <w:t>ОВ L 48, 23.2.2011 г., стр. 1.</w:t>
      </w:r>
    </w:p>
  </w:footnote>
  <w:footnote w:id="5">
    <w:p w:rsidR="00D37C11" w:rsidRDefault="001106FA">
      <w:pPr>
        <w:pStyle w:val="FootnoteText"/>
        <w:ind w:left="0" w:firstLine="0"/>
      </w:pPr>
      <w:r>
        <w:rPr>
          <w:rStyle w:val="FootnoteReference"/>
        </w:rPr>
        <w:footnoteRef/>
      </w:r>
      <w:r>
        <w:tab/>
      </w:r>
      <w:r>
        <w:t>Решения C(2008) 824 окончателен и C(2009) 6244 окончателен, подкрепени с решения на Общия съд на Европейския съюз от 15 декември 2016 г. съответно по дело T-169/08 RENV и по дело T-421/09 RENV.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FA" w:rsidRPr="001106FA" w:rsidRDefault="001106FA" w:rsidP="00110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C04C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CA34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6C10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CCC7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17E7A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D651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8E66D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D029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4:55: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204C57A1E8143EE8F4F33CD356066C8"/>
    <w:docVar w:name="LW_CROSSREFERENCE" w:val="&lt;UNUSED&gt;"/>
    <w:docVar w:name="LW_DocType" w:val="COM"/>
    <w:docVar w:name="LW_EMISSION" w:val="2.6.2017"/>
    <w:docVar w:name="LW_EMISSION_ISODATE" w:val="2017-06-02"/>
    <w:docVar w:name="LW_EMISSION_LOCATION" w:val="BRX"/>
    <w:docVar w:name="LW_EMISSION_PREFIX" w:val="\u1041?\u1088?\u1102?\u1082?\u1089?\u1077?\u1083?,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9"/>
    <w:docVar w:name="LW_REF.II.NEW.CP_YEAR" w:val="2017"/>
    <w:docVar w:name="LW_REF.INST.NEW" w:val="COM"/>
    <w:docVar w:name="LW_REF.INST.NEW_ADOPTED" w:val="final"/>
    <w:docVar w:name="LW_REF.INST.NEW_TEXT" w:val="(2017) 31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5/1411/\u1045?\u1057? \u1085?\u1072? \u1057?\u1098?\u1074?\u1077?\u1090?\u1072? \u1079?\u1072? \u1086?\u1076?\u1086?\u1073?\u1088?\u1103?\u1074?\u1072?\u1085?\u1077? \u1085?\u1072? \u1087?\u1088?\u1086?\u1075?\u1088?\u1072?\u1084?\u1072?\u1090?\u1072? \u1079?\u1072? \u1084?\u1072?\u1082?\u1088?\u1086?\u1080?\u1082?\u1086?\u1085?\u1086?\u1084?\u1080?\u1095?\u1077?\u1089?\u1082?\u1080? \u1082?\u1086?\u1088?\u1077?\u1082?\u1094?\u1080?\u1080? \u1085?\u1072? \u1043?\u1098?\u1088?\u1094?\u1080?\u1103?_x000b_"/>
    <w:docVar w:name="LW_TYPE.DOC.CP" w:val="\u1056?\u1045?\u1064?\u1045?\u1053?\u1048?\u1045? \u1047?\u1040? \u1048?\u1047?\u1055?\u1066?\u1051?\u1053?\u1045?\u1053?\u1048?\u1045? \u1053?\u1040? \u1057?\u1066?\u1042?\u1045?\u1058?\u1040?"/>
  </w:docVars>
  <w:rsids>
    <w:rsidRoot w:val="00D37C11"/>
    <w:rsid w:val="001106FA"/>
    <w:rsid w:val="00D3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ListNumber3">
    <w:name w:val="List Number 3"/>
    <w:basedOn w:val="Normal"/>
    <w:uiPriority w:val="99"/>
    <w:semiHidden/>
    <w:unhideWhenUsed/>
    <w:pPr>
      <w:numPr>
        <w:numId w:val="5"/>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1106F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106F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106F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ListNumber3">
    <w:name w:val="List Number 3"/>
    <w:basedOn w:val="Normal"/>
    <w:uiPriority w:val="99"/>
    <w:semiHidden/>
    <w:unhideWhenUsed/>
    <w:pPr>
      <w:numPr>
        <w:numId w:val="5"/>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1106F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106F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106F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12/05-eurogroup-statement-gre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C1DD-20A1-452B-8560-360704EC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3243</Words>
  <Characters>19075</Characters>
  <Application>Microsoft Office Word</Application>
  <DocSecurity>0</DocSecurity>
  <Lines>340</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34</cp:revision>
  <dcterms:created xsi:type="dcterms:W3CDTF">2017-06-12T12:42:00Z</dcterms:created>
  <dcterms:modified xsi:type="dcterms:W3CDTF">2017-06-13T12:59:00Z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