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83F0A851B9C419BB92DBD392F1CF4DE"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noProof/>
        </w:rPr>
      </w:pPr>
      <w:bookmarkStart w:id="1" w:name="_GoBack"/>
      <w:bookmarkEnd w:id="1"/>
      <w:r>
        <w:rPr>
          <w:rFonts w:ascii="Times New Roman" w:hAnsi="Times New Roman"/>
          <w:b/>
          <w:noProof/>
          <w:sz w:val="24"/>
        </w:rPr>
        <w:lastRenderedPageBreak/>
        <w:t>ПРИНОС НА ЕС ЗА ПРЕРАЗГЛЕДАН ПРОЕКТ ЗА МЕЖДУНАРОДЕН ЕКСПЕРИМЕНТАЛЕН ТЕРМОЯДРЕН РЕАКТОР (ITER)</w:t>
      </w:r>
    </w:p>
    <w:p>
      <w:pPr>
        <w:spacing w:after="0"/>
        <w:rPr>
          <w:rFonts w:ascii="Times New Roman" w:hAnsi="Times New Roman" w:cs="Times New Roman"/>
          <w:noProof/>
        </w:rPr>
      </w:pPr>
    </w:p>
    <w:p>
      <w:pPr>
        <w:pStyle w:val="ListParagraph"/>
        <w:numPr>
          <w:ilvl w:val="0"/>
          <w:numId w:val="19"/>
        </w:numPr>
        <w:spacing w:after="240"/>
        <w:ind w:left="1440"/>
        <w:rPr>
          <w:rFonts w:ascii="Times New Roman Bold" w:hAnsi="Times New Roman Bold" w:cs="Times New Roman"/>
          <w:b/>
          <w:smallCaps/>
          <w:noProof/>
          <w:sz w:val="24"/>
        </w:rPr>
      </w:pPr>
      <w:r>
        <w:rPr>
          <w:rFonts w:ascii="Times New Roman Bold" w:hAnsi="Times New Roman Bold"/>
          <w:b/>
          <w:smallCaps/>
          <w:noProof/>
          <w:sz w:val="24"/>
        </w:rPr>
        <w:t>Въведение</w:t>
      </w:r>
    </w:p>
    <w:p>
      <w:pPr>
        <w:spacing w:after="120"/>
        <w:jc w:val="both"/>
        <w:rPr>
          <w:rFonts w:ascii="Times New Roman" w:hAnsi="Times New Roman" w:cs="Times New Roman"/>
          <w:noProof/>
          <w:sz w:val="24"/>
          <w:szCs w:val="24"/>
        </w:rPr>
      </w:pPr>
      <w:r>
        <w:rPr>
          <w:rFonts w:ascii="Times New Roman" w:hAnsi="Times New Roman"/>
          <w:noProof/>
          <w:sz w:val="24"/>
        </w:rPr>
        <w:t>Очаква се в бъдеще термоядреният синтез да играе важна роля в европейската енергетика поради това, че е практически неизчерпаем и благоприятен за климата източник на енергия. Термоядреният синтез не поражда парникови газове, нито дълготрайна радиоактивност, а горивото за него е широко разпространено и практически неизчерпаемо. До края на настоящия век енергията от термоядрен синтез може да стане подходящо допълнение към енергията от възобновяеми източници, тъй като изкопаемите горива постепенно ще бъдат извадени от енергийния микс. Това е от особено значение след Парижкото споразумение от 2015 г. и ангажиментът на ЕС да е водещ в декарбонизацията на икономиката и в овладяването на изменението на климата по разходоефективен начин.</w:t>
      </w:r>
    </w:p>
    <w:p>
      <w:pPr>
        <w:spacing w:after="120"/>
        <w:jc w:val="both"/>
        <w:rPr>
          <w:rFonts w:ascii="Times New Roman" w:hAnsi="Times New Roman" w:cs="Times New Roman"/>
          <w:noProof/>
          <w:sz w:val="24"/>
          <w:szCs w:val="24"/>
        </w:rPr>
      </w:pPr>
      <w:r>
        <w:rPr>
          <w:rFonts w:ascii="Times New Roman" w:hAnsi="Times New Roman"/>
          <w:noProof/>
          <w:sz w:val="24"/>
        </w:rPr>
        <w:t>Благодарение на напредъка в научните изследвания в областта на термоядрения синтез, ITER, което означава „път“ на латински, има за цел да допринесе за значително по-бързото реализиране на перспективата голяма част от нашите нужди от електроенергия да се покриват от термоядрен синтез. Стартиран през 2005 г. и включващ сега седем партньора от цял свят (Евратом</w:t>
      </w:r>
      <w:r>
        <w:rPr>
          <w:rStyle w:val="FootnoteReference"/>
          <w:rFonts w:ascii="Times New Roman" w:hAnsi="Times New Roman"/>
          <w:noProof/>
          <w:sz w:val="24"/>
        </w:rPr>
        <w:footnoteReference w:id="2"/>
      </w:r>
      <w:r>
        <w:rPr>
          <w:rFonts w:ascii="Times New Roman" w:hAnsi="Times New Roman"/>
          <w:noProof/>
          <w:sz w:val="24"/>
        </w:rPr>
        <w:t>, САЩ, Русия, Япония, Китай, Южна Корея и Индия), ITER е новаторски проект за изграждането и експлоатацията на експериментално съоръжение, за да се демонстрира жизнеспособността от научна гледна точка на термоядрения синтез като бъдещ устойчив източник на енергия.</w:t>
      </w:r>
    </w:p>
    <w:p>
      <w:pPr>
        <w:spacing w:after="120"/>
        <w:jc w:val="both"/>
        <w:rPr>
          <w:rFonts w:ascii="Times New Roman" w:hAnsi="Times New Roman" w:cs="Times New Roman"/>
          <w:noProof/>
          <w:sz w:val="24"/>
          <w:szCs w:val="24"/>
        </w:rPr>
      </w:pPr>
      <w:r>
        <w:rPr>
          <w:rFonts w:ascii="Times New Roman" w:hAnsi="Times New Roman"/>
          <w:noProof/>
          <w:sz w:val="24"/>
        </w:rPr>
        <w:t>Европа пое водеща роля с дял от 45 % в разходите за изграждането, 80 % от които се финансират от бюджета на ЕС и 20 % — от Франция като страна домакин на ITER</w:t>
      </w:r>
      <w:r>
        <w:rPr>
          <w:rStyle w:val="FootnoteReference"/>
          <w:rFonts w:ascii="Times New Roman" w:hAnsi="Times New Roman"/>
          <w:noProof/>
          <w:sz w:val="24"/>
        </w:rPr>
        <w:footnoteReference w:id="3"/>
      </w:r>
      <w:r>
        <w:rPr>
          <w:rFonts w:ascii="Times New Roman" w:hAnsi="Times New Roman"/>
          <w:noProof/>
          <w:sz w:val="24"/>
        </w:rPr>
        <w:t xml:space="preserve"> (делът на всеки от останалите членове на ITER е около 9 %). Това разпределение на разходите ще се промени на етапа на експлоатация, когато Европа ще осигурява 34 %. Конструкцията на ITER включва над 10 милиона компоненти, които се изготвят в заводи по цял свят. Около 75 % от инвестициите се изразходват за придобиване на нови знания и за създаване на авангардни материали и технологии. Това предоставя на европейските високотехнологични сектори и МСП ценна възможност за нововъведения и за разработване на съпътстващи продукти за използване извън областта на термоядрения синтез (например в енергийния сектор като цяло, въздухоплаването и високотехнологични прибори като апарати за ядрено-магнитен резонанс (ЯМР).</w:t>
      </w:r>
    </w:p>
    <w:p>
      <w:pPr>
        <w:spacing w:after="120"/>
        <w:jc w:val="both"/>
        <w:rPr>
          <w:rFonts w:ascii="Times New Roman" w:hAnsi="Times New Roman" w:cs="Times New Roman"/>
          <w:noProof/>
          <w:sz w:val="24"/>
          <w:szCs w:val="24"/>
        </w:rPr>
      </w:pPr>
      <w:r>
        <w:rPr>
          <w:rFonts w:ascii="Times New Roman" w:hAnsi="Times New Roman"/>
          <w:noProof/>
          <w:sz w:val="24"/>
        </w:rPr>
        <w:t>През юли 2010 г. Съветът на ЕС възложи на Европейската комисия да одобри от името на Евратом сегашните референтни параметри на ITER</w:t>
      </w:r>
      <w:r>
        <w:rPr>
          <w:rStyle w:val="FootnoteReference"/>
          <w:rFonts w:ascii="Times New Roman" w:hAnsi="Times New Roman"/>
          <w:noProof/>
          <w:sz w:val="24"/>
        </w:rPr>
        <w:footnoteReference w:id="4"/>
      </w:r>
      <w:r>
        <w:rPr>
          <w:rFonts w:ascii="Times New Roman" w:hAnsi="Times New Roman"/>
          <w:noProof/>
          <w:sz w:val="24"/>
        </w:rPr>
        <w:t>, основани на предположението, че изграждането на ITER ще бъде завършено с така наречената „Първа плазма“</w:t>
      </w:r>
      <w:r>
        <w:rPr>
          <w:rStyle w:val="FootnoteReference"/>
          <w:rFonts w:ascii="Times New Roman" w:hAnsi="Times New Roman"/>
          <w:noProof/>
          <w:sz w:val="24"/>
        </w:rPr>
        <w:footnoteReference w:id="5"/>
      </w:r>
      <w:r>
        <w:rPr>
          <w:rFonts w:ascii="Times New Roman" w:hAnsi="Times New Roman"/>
          <w:noProof/>
          <w:sz w:val="24"/>
        </w:rPr>
        <w:t xml:space="preserve"> през 2020 г. Съветът на ЕС въведе таван в размер на 6,6 млрд. евро (по стойности от 2008 г.) за бюджета за етапа на изграждане до 2020 г. Тези средства покриват и административните разходи на съвместното предприятие на Евратом „Термоядрен синтез за енергия“ (F4E)</w:t>
      </w:r>
      <w:r>
        <w:rPr>
          <w:rStyle w:val="FootnoteReference"/>
          <w:rFonts w:ascii="Times New Roman" w:hAnsi="Times New Roman"/>
          <w:noProof/>
          <w:sz w:val="24"/>
        </w:rPr>
        <w:footnoteReference w:id="6"/>
      </w:r>
      <w:r>
        <w:rPr>
          <w:rFonts w:ascii="Times New Roman" w:hAnsi="Times New Roman"/>
          <w:noProof/>
          <w:sz w:val="24"/>
        </w:rPr>
        <w:t>.Разходите за ITER трябва да се разглеждат в контекста на значителното преустройство на енергетиката в Европа, заложено в стратегията за енергиен съюз</w:t>
      </w:r>
      <w:r>
        <w:rPr>
          <w:rStyle w:val="FootnoteReference"/>
          <w:rFonts w:ascii="Times New Roman" w:hAnsi="Times New Roman"/>
          <w:noProof/>
          <w:sz w:val="24"/>
        </w:rPr>
        <w:footnoteReference w:id="7"/>
      </w:r>
      <w:r>
        <w:rPr>
          <w:rFonts w:ascii="Times New Roman" w:hAnsi="Times New Roman"/>
          <w:noProof/>
          <w:sz w:val="24"/>
        </w:rPr>
        <w:t>, за което се прогнозира, че ще бъдат необходими по около 200 млрд. евро годишно през следващото десетилетие.</w:t>
      </w:r>
    </w:p>
    <w:p>
      <w:pPr>
        <w:spacing w:after="120"/>
        <w:jc w:val="both"/>
        <w:rPr>
          <w:rFonts w:ascii="Times New Roman" w:hAnsi="Times New Roman" w:cs="Times New Roman"/>
          <w:noProof/>
          <w:sz w:val="24"/>
          <w:szCs w:val="24"/>
        </w:rPr>
      </w:pPr>
      <w:r>
        <w:rPr>
          <w:rFonts w:ascii="Times New Roman" w:hAnsi="Times New Roman"/>
          <w:noProof/>
          <w:sz w:val="24"/>
        </w:rPr>
        <w:t>От приемането през 2010 г. на референтните параметри до сега се натрупаха закъснения и преразходи на средства, дължащи се главно на промени в конструктивното решение и на производствени предизвикателства поради „първия по рода си“ характер на проекта, но също и поради слабости в неговото управление и ръководство. Поради тези закъснения стана невъзможно изграждането да бъде завършено в предвидения срок. По-специално, след като встъпи в длъжност новият генерален директор на организацията ITER през 2015 г., интензивните усилия на Евратом в сътрудничество с другите членове на ITER, за да се подобри управлението на проекта и за да се ограничат изоставането от графика и увеличението на разходите, доведоха до положителни общи резултати и напредък в строителните и производствените дейности.</w:t>
      </w:r>
    </w:p>
    <w:p>
      <w:pPr>
        <w:spacing w:after="120"/>
        <w:jc w:val="both"/>
        <w:rPr>
          <w:rFonts w:ascii="Times New Roman" w:hAnsi="Times New Roman" w:cs="Times New Roman"/>
          <w:noProof/>
          <w:sz w:val="24"/>
          <w:szCs w:val="24"/>
        </w:rPr>
      </w:pPr>
      <w:r>
        <w:rPr>
          <w:rFonts w:ascii="Times New Roman" w:hAnsi="Times New Roman"/>
          <w:noProof/>
          <w:sz w:val="24"/>
        </w:rPr>
        <w:t xml:space="preserve">След като независими експерти дадоха положителна оценка, през юни 2016 г. Съветът на ITER одобри </w:t>
      </w:r>
      <w:r>
        <w:rPr>
          <w:rFonts w:ascii="Times New Roman" w:hAnsi="Times New Roman"/>
          <w:i/>
          <w:noProof/>
          <w:sz w:val="24"/>
        </w:rPr>
        <w:t>ad referendum</w:t>
      </w:r>
      <w:r>
        <w:rPr>
          <w:rStyle w:val="FootnoteReference"/>
          <w:rFonts w:ascii="Times New Roman" w:hAnsi="Times New Roman"/>
          <w:i/>
          <w:noProof/>
          <w:sz w:val="24"/>
        </w:rPr>
        <w:footnoteReference w:id="8"/>
      </w:r>
      <w:r>
        <w:rPr>
          <w:rFonts w:ascii="Times New Roman" w:hAnsi="Times New Roman"/>
          <w:noProof/>
          <w:sz w:val="24"/>
        </w:rPr>
        <w:t xml:space="preserve"> актуализиран график и съответни прогнозни оценки за разходите, за да бъде завършено изграждането на ITER до „Първа плазма“, предвидено за декември 2025 г. Това е най-ранният срок, в който изграждането на ITER е технически постижимо</w:t>
      </w:r>
      <w:r>
        <w:rPr>
          <w:rStyle w:val="FootnoteReference"/>
          <w:rFonts w:ascii="Times New Roman" w:hAnsi="Times New Roman"/>
          <w:noProof/>
          <w:sz w:val="24"/>
        </w:rPr>
        <w:footnoteReference w:id="9"/>
      </w:r>
      <w:r>
        <w:rPr>
          <w:rFonts w:ascii="Times New Roman" w:hAnsi="Times New Roman"/>
          <w:noProof/>
          <w:sz w:val="24"/>
        </w:rPr>
        <w:t>. Въпросният график не включва извънредни ситуации, т.е. приема се, че всички големи рискове могат да бъдат намалени</w:t>
      </w:r>
      <w:r>
        <w:rPr>
          <w:rStyle w:val="FootnoteReference"/>
          <w:rFonts w:ascii="Times New Roman" w:hAnsi="Times New Roman"/>
          <w:noProof/>
          <w:sz w:val="24"/>
        </w:rPr>
        <w:footnoteReference w:id="10"/>
      </w:r>
      <w:r>
        <w:rPr>
          <w:rFonts w:ascii="Times New Roman" w:hAnsi="Times New Roman"/>
          <w:noProof/>
          <w:sz w:val="24"/>
        </w:rPr>
        <w:t xml:space="preserve">. Подробният график от „Първа плазма“ през декември 2025 г. до пускането в цялостна експлоатация с използването на гориво от деутерий и тритий (така наречения деутериево-тритиев етап), предвидено за 2035 г., беше одобрен от Съвета на ITER през ноември 2016 г. (свързаните разходи бяха одобрени </w:t>
      </w:r>
      <w:r>
        <w:rPr>
          <w:rFonts w:ascii="Times New Roman" w:hAnsi="Times New Roman"/>
          <w:i/>
          <w:noProof/>
          <w:sz w:val="24"/>
        </w:rPr>
        <w:t>ad referendum</w:t>
      </w:r>
      <w:r>
        <w:rPr>
          <w:rFonts w:ascii="Times New Roman" w:hAnsi="Times New Roman"/>
          <w:noProof/>
          <w:sz w:val="24"/>
        </w:rPr>
        <w:t>) като основа за новите референтни параметри на ITER</w:t>
      </w:r>
      <w:r>
        <w:rPr>
          <w:rFonts w:ascii="Times New Roman" w:hAnsi="Times New Roman"/>
          <w:i/>
          <w:noProof/>
          <w:sz w:val="24"/>
        </w:rPr>
        <w:t>.</w:t>
      </w:r>
      <w:r>
        <w:rPr>
          <w:rFonts w:ascii="Times New Roman" w:hAnsi="Times New Roman"/>
          <w:noProof/>
          <w:sz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rPr>
        <w:t>Този актуализиран график и съответната прогнозна оценка за разходите дават възможност на Евратом да остане в рамките на сегашния бюджетен таван, определен от Съвета на ЕС през 2010 г., т.е. 6,6 млрд. EUR до 2020 г. (по стойности от 2008 г.), като по този начин се гарантира, че всички необходими договори могат да продължат да са двигател на напредъка в изграждането и че допълнителните закъснения и преразходи на средства могат да бъдат сведени до минимум. В настоящото съобщение се уточняват необходимите ресурси за изграждането на ITER след 2020 г. при актуализираните референтни параметри.</w:t>
      </w:r>
    </w:p>
    <w:p>
      <w:pPr>
        <w:spacing w:after="120"/>
        <w:jc w:val="both"/>
        <w:rPr>
          <w:rFonts w:ascii="Times New Roman" w:hAnsi="Times New Roman" w:cs="Times New Roman"/>
          <w:noProof/>
          <w:sz w:val="24"/>
          <w:szCs w:val="24"/>
        </w:rPr>
      </w:pPr>
      <w:r>
        <w:rPr>
          <w:rFonts w:ascii="Times New Roman" w:hAnsi="Times New Roman"/>
          <w:noProof/>
          <w:sz w:val="24"/>
        </w:rPr>
        <w:t xml:space="preserve">С настоящото съобщение Комисията търси съдействието на Европейския парламент и мандат от Съвета на ЕС за одобряване от Комисията на новите референтни параметри </w:t>
      </w:r>
      <w:r>
        <w:rPr>
          <w:rFonts w:ascii="Times New Roman" w:hAnsi="Times New Roman"/>
          <w:i/>
          <w:noProof/>
          <w:sz w:val="24"/>
        </w:rPr>
        <w:t>ad referendum</w:t>
      </w:r>
      <w:r>
        <w:rPr>
          <w:rFonts w:ascii="Times New Roman" w:hAnsi="Times New Roman"/>
          <w:noProof/>
          <w:sz w:val="24"/>
        </w:rPr>
        <w:t xml:space="preserve"> от името на Евратом на заседание на Съвета на ITER на министерско равнище, което би могло да се проведе през 2017 г. Одобрението все още ще бъде </w:t>
      </w:r>
      <w:r>
        <w:rPr>
          <w:rFonts w:ascii="Times New Roman" w:hAnsi="Times New Roman"/>
          <w:i/>
          <w:noProof/>
          <w:sz w:val="24"/>
        </w:rPr>
        <w:t>ad referendum</w:t>
      </w:r>
      <w:r>
        <w:rPr>
          <w:rFonts w:ascii="Times New Roman" w:hAnsi="Times New Roman"/>
          <w:noProof/>
          <w:sz w:val="24"/>
        </w:rPr>
        <w:t>, тъй като вноската</w:t>
      </w:r>
      <w:r>
        <w:rPr>
          <w:rStyle w:val="FootnoteReference"/>
          <w:rFonts w:ascii="Times New Roman" w:hAnsi="Times New Roman"/>
          <w:noProof/>
          <w:sz w:val="24"/>
        </w:rPr>
        <w:footnoteReference w:id="11"/>
      </w:r>
      <w:r>
        <w:rPr>
          <w:rFonts w:ascii="Times New Roman" w:hAnsi="Times New Roman"/>
          <w:noProof/>
          <w:sz w:val="24"/>
        </w:rPr>
        <w:t xml:space="preserve"> на Евратом от бюджета на ЕС не влияе на предложенията на Комисията, на резултатите от преговорите относно оттеглянето на Обединеното кралство от Евратом (излизането на Обединеното кралство от ЕС) и на многогодишната финансова рамка за периода след 2020 г.</w:t>
      </w:r>
    </w:p>
    <w:p>
      <w:pPr>
        <w:spacing w:after="120"/>
        <w:jc w:val="both"/>
        <w:rPr>
          <w:rFonts w:ascii="Times New Roman" w:hAnsi="Times New Roman" w:cs="Times New Roman"/>
          <w:noProof/>
          <w:sz w:val="24"/>
          <w:szCs w:val="24"/>
        </w:rPr>
      </w:pPr>
      <w:r>
        <w:rPr>
          <w:rFonts w:ascii="Times New Roman" w:hAnsi="Times New Roman"/>
          <w:noProof/>
          <w:sz w:val="24"/>
        </w:rPr>
        <w:t>Излизането на Обединеното кралство от ЕС не засяга общия правен ангажимент на Евратом за ITER, който се урежда от Споразумението за ITER. Излизането на Обединеното кралство от ЕС обаче ще окаже въздействие върху решенията, взети за следващата многогодишна финансова рамка, и следователно би могло да окаже косвено въздействие върху наличното финансиране от Евратом за ITER</w:t>
      </w:r>
      <w:r>
        <w:rPr>
          <w:rStyle w:val="FootnoteReference"/>
          <w:rFonts w:ascii="Times New Roman" w:hAnsi="Times New Roman"/>
          <w:noProof/>
          <w:sz w:val="24"/>
        </w:rPr>
        <w:footnoteReference w:id="12"/>
      </w:r>
      <w:r>
        <w:rPr>
          <w:rFonts w:ascii="Times New Roman" w:hAnsi="Times New Roman"/>
          <w:noProof/>
          <w:sz w:val="24"/>
        </w:rPr>
        <w:t>.</w:t>
      </w:r>
    </w:p>
    <w:p>
      <w:pPr>
        <w:spacing w:after="240"/>
        <w:jc w:val="both"/>
        <w:rPr>
          <w:rFonts w:ascii="Times New Roman" w:hAnsi="Times New Roman" w:cs="Times New Roman"/>
          <w:noProof/>
          <w:sz w:val="24"/>
          <w:szCs w:val="24"/>
        </w:rPr>
      </w:pPr>
      <w:r>
        <w:rPr>
          <w:rFonts w:ascii="Times New Roman" w:hAnsi="Times New Roman"/>
          <w:noProof/>
          <w:sz w:val="24"/>
        </w:rPr>
        <w:t xml:space="preserve">В този контекст одобрението </w:t>
      </w:r>
      <w:r>
        <w:rPr>
          <w:rFonts w:ascii="Times New Roman" w:hAnsi="Times New Roman"/>
          <w:i/>
          <w:noProof/>
          <w:sz w:val="24"/>
        </w:rPr>
        <w:t>ad referendum</w:t>
      </w:r>
      <w:r>
        <w:rPr>
          <w:rFonts w:ascii="Times New Roman" w:hAnsi="Times New Roman"/>
          <w:noProof/>
          <w:sz w:val="24"/>
        </w:rPr>
        <w:t xml:space="preserve"> от страна на Евратом на новите референтни параметри ще осигури необходимата стабилност за проекта и за дружествата и научните центрове, участващи в проекта, като ще позволи досегашните договори да бъдат надлежно изпълнени и да започне работата по необходимите нови такива през идните години. То ще позволи и продължаване на сътрудничеството с членовете на ITER и техните национални агенции съгласно условията на Споразумението за ITER. </w:t>
      </w:r>
    </w:p>
    <w:p>
      <w:pPr>
        <w:spacing w:after="240"/>
        <w:ind w:left="1440" w:hanging="720"/>
        <w:jc w:val="both"/>
        <w:rPr>
          <w:rFonts w:ascii="Times New Roman Bold" w:hAnsi="Times New Roman Bold" w:cs="Times New Roman"/>
          <w:b/>
          <w:smallCaps/>
          <w:noProof/>
          <w:sz w:val="24"/>
        </w:rPr>
      </w:pPr>
      <w:r>
        <w:rPr>
          <w:rFonts w:ascii="Times New Roman Bold" w:hAnsi="Times New Roman Bold"/>
          <w:b/>
          <w:smallCaps/>
          <w:noProof/>
          <w:sz w:val="24"/>
        </w:rPr>
        <w:t>II.</w:t>
      </w:r>
      <w:r>
        <w:rPr>
          <w:noProof/>
        </w:rPr>
        <w:tab/>
      </w:r>
      <w:r>
        <w:rPr>
          <w:rFonts w:ascii="Times New Roman Bold" w:hAnsi="Times New Roman Bold"/>
          <w:b/>
          <w:smallCaps/>
          <w:noProof/>
          <w:sz w:val="24"/>
        </w:rPr>
        <w:t>ITER — пътят към бъдещ нисковъглероден енергиен източник, ускоряващ технологичното развитие и растежа на ЕС</w:t>
      </w:r>
    </w:p>
    <w:p>
      <w:pPr>
        <w:spacing w:after="240"/>
        <w:jc w:val="both"/>
        <w:rPr>
          <w:rFonts w:ascii="Times New Roman" w:hAnsi="Times New Roman" w:cs="Times New Roman"/>
          <w:noProof/>
          <w:sz w:val="24"/>
          <w:szCs w:val="24"/>
        </w:rPr>
      </w:pPr>
      <w:r>
        <w:rPr>
          <w:rFonts w:ascii="Times New Roman" w:hAnsi="Times New Roman"/>
          <w:noProof/>
          <w:sz w:val="24"/>
        </w:rPr>
        <w:t>Бъдещето на термоядрения синтез като надежден източник на енергия зависи от успешното изграждане и експлоатация на ITER. Още на настоящия етап на изграждане ITER оказва положително въздействие върху европейската промишленост и МСП, участващи в производството на хиляди първи по рода технологични компоненти, изисквани за това сложно начинание. Пример за това е успешното изготвяне от европейски консорциум от дружества на свръхпроводници и пакети с намотки за тороидалните полеви бобини на ITER, което представлява съществен напредък в технологиите, тъй като никога досега не са били произвеждани пакети с намотки с такъв размер.</w:t>
      </w:r>
    </w:p>
    <w:p>
      <w:pPr>
        <w:spacing w:after="240"/>
        <w:ind w:left="720"/>
        <w:jc w:val="both"/>
        <w:rPr>
          <w:rFonts w:ascii="Times New Roman" w:hAnsi="Times New Roman" w:cs="Times New Roman"/>
          <w:noProof/>
          <w:sz w:val="24"/>
          <w:szCs w:val="24"/>
        </w:rPr>
      </w:pPr>
      <w:r>
        <w:rPr>
          <w:rFonts w:ascii="Times New Roman" w:hAnsi="Times New Roman"/>
          <w:b/>
          <w:noProof/>
          <w:sz w:val="24"/>
        </w:rPr>
        <w:t>II.1</w:t>
      </w:r>
      <w:r>
        <w:rPr>
          <w:noProof/>
        </w:rPr>
        <w:tab/>
      </w:r>
      <w:r>
        <w:rPr>
          <w:rFonts w:ascii="Times New Roman" w:hAnsi="Times New Roman"/>
          <w:b/>
          <w:noProof/>
          <w:sz w:val="24"/>
        </w:rPr>
        <w:t>ITER — инвестиция от полза за ЕС</w:t>
      </w:r>
    </w:p>
    <w:p>
      <w:pPr>
        <w:spacing w:after="120"/>
        <w:jc w:val="both"/>
        <w:rPr>
          <w:rFonts w:ascii="Times New Roman" w:hAnsi="Times New Roman" w:cs="Times New Roman"/>
          <w:noProof/>
          <w:sz w:val="24"/>
          <w:szCs w:val="24"/>
          <w:highlight w:val="green"/>
        </w:rPr>
      </w:pPr>
      <w:r>
        <w:rPr>
          <w:rFonts w:ascii="Times New Roman" w:hAnsi="Times New Roman"/>
          <w:noProof/>
          <w:sz w:val="24"/>
        </w:rPr>
        <w:t>Инвестирането от Евратом в изграждането на ITER носи важни ползи за европейската промишленост и за научноизследователската общност. Между януари 2008 г. (началото на дейностите по ITER) и декември 2016 г. предприятието „Термоядрен синтез за енергия“ е сключило 839 договора, включително за отпускане на безвъзмездни средства, на обща стойност приблизително 3,8 млрд. евро, разпределени в цяла Европа. Около 300 дружества, включително МСП, от около 20 различни държави — членки на ЕС, и Швейцария, както и около 60 научноизследователски организации, извършващи авангардна НИРД и работещи по технологиите, проектирането и производството на компоненти за ITER, се възползваха от тази инвестиция в дейности за ITER. Освен това организацията ITER, националните агенции</w:t>
      </w:r>
      <w:r>
        <w:rPr>
          <w:rStyle w:val="FootnoteReference"/>
          <w:rFonts w:ascii="Times New Roman" w:hAnsi="Times New Roman"/>
          <w:noProof/>
          <w:sz w:val="24"/>
        </w:rPr>
        <w:footnoteReference w:id="13"/>
      </w:r>
      <w:r>
        <w:rPr>
          <w:rFonts w:ascii="Times New Roman" w:hAnsi="Times New Roman"/>
          <w:noProof/>
          <w:sz w:val="24"/>
        </w:rPr>
        <w:t xml:space="preserve"> и предприятия на други членове на ITER също са подписали договори с европейски промишлени предприятия за подпомагане на изготвянето на собствените им компоненти за ITER.</w:t>
      </w:r>
    </w:p>
    <w:p>
      <w:pPr>
        <w:spacing w:after="120"/>
        <w:jc w:val="both"/>
        <w:rPr>
          <w:rFonts w:ascii="Times New Roman" w:hAnsi="Times New Roman" w:cs="Times New Roman"/>
          <w:noProof/>
          <w:sz w:val="24"/>
          <w:szCs w:val="24"/>
        </w:rPr>
      </w:pPr>
      <w:r>
        <w:rPr>
          <w:rFonts w:ascii="Times New Roman" w:hAnsi="Times New Roman"/>
          <w:noProof/>
          <w:sz w:val="24"/>
        </w:rPr>
        <w:t>Тази инвестиция вече се вижда в значителния напредък на работния обект на ITER с площ 42 хектара. Измежду планираните 39 сгради бързо израства Токамак Комплекс, за която са завършени двете подземни нива и сега тя се издига над нивото на земната повърхност. Наблизо са високата 60 метра монтажна зала, съоръжението за почистване и сградата за услуги по обекта, които са завършени. Постигнат е съществен напредък по няколко други сгради на обекта, като например за криогенната инсталация и охладителните кули, и през последните 18 месеца започна работа по повечето от останалите сгради. Вече са инсталирани шест електрически трансформатора (предоставени от САЩ и Китай). Всички части на основата на криостата са предадени от Индия и се заваряват. Предприятието „Термоядрен синтез за енергия“ е готово да започне изготвянето на четири гигантски тороидални пръстеновидни бобини (с диаметър 17 и 25 m) в специална сграда, дълга 250 метра.</w:t>
      </w:r>
    </w:p>
    <w:p>
      <w:pPr>
        <w:spacing w:after="240"/>
        <w:jc w:val="both"/>
        <w:rPr>
          <w:rFonts w:ascii="Times New Roman" w:hAnsi="Times New Roman" w:cs="Times New Roman"/>
          <w:noProof/>
          <w:sz w:val="24"/>
          <w:szCs w:val="24"/>
        </w:rPr>
      </w:pPr>
      <w:r>
        <w:rPr>
          <w:rFonts w:ascii="Times New Roman" w:hAnsi="Times New Roman"/>
          <w:noProof/>
          <w:sz w:val="24"/>
        </w:rPr>
        <w:t>В хода на работата по проекта през следващите години ще бъдат възложени нови доставки и ще бъдат отпуснати още безвъзмездни средства не само от „Термоядрен синтез за енергия“ за апортната вноска на Евратом</w:t>
      </w:r>
      <w:r>
        <w:rPr>
          <w:rStyle w:val="FootnoteReference"/>
          <w:rFonts w:ascii="Times New Roman" w:hAnsi="Times New Roman"/>
          <w:noProof/>
          <w:sz w:val="24"/>
        </w:rPr>
        <w:footnoteReference w:id="14"/>
      </w:r>
      <w:r>
        <w:rPr>
          <w:rFonts w:ascii="Times New Roman" w:hAnsi="Times New Roman"/>
          <w:noProof/>
          <w:sz w:val="24"/>
        </w:rPr>
        <w:t>, но в растяща степен и от организацията ITER за монтажната и инструментална работа, необходима за завършване на изграждането. Очаква се отсега до 2025 г. организацията ITER да сключи договори с външни изпълнители на обща стойност 1,8 млрд. евро, по-специално за високотехнологични решения в области, като диагностика, дистанционно манипулиране и нагревателни системи, с което ще се разкрият нови възможности за сектори и МСП в европейски региони, които досега не изпъкваха сред бенефициерите.</w:t>
      </w:r>
    </w:p>
    <w:p>
      <w:pPr>
        <w:spacing w:after="240"/>
        <w:ind w:left="1440" w:hanging="720"/>
        <w:jc w:val="both"/>
        <w:rPr>
          <w:rFonts w:ascii="Times New Roman" w:hAnsi="Times New Roman" w:cs="Times New Roman"/>
          <w:b/>
          <w:noProof/>
          <w:sz w:val="24"/>
          <w:szCs w:val="24"/>
        </w:rPr>
      </w:pPr>
      <w:r>
        <w:rPr>
          <w:rFonts w:ascii="Times New Roman" w:hAnsi="Times New Roman"/>
          <w:b/>
          <w:noProof/>
          <w:sz w:val="24"/>
        </w:rPr>
        <w:t>II.2</w:t>
      </w:r>
      <w:r>
        <w:rPr>
          <w:noProof/>
        </w:rPr>
        <w:tab/>
      </w:r>
      <w:r>
        <w:rPr>
          <w:rFonts w:ascii="Times New Roman" w:hAnsi="Times New Roman"/>
          <w:b/>
          <w:noProof/>
          <w:sz w:val="24"/>
        </w:rPr>
        <w:t>ITER — залегнал в европейската пътна карта за термоядрения синтез и отворен към света</w:t>
      </w:r>
    </w:p>
    <w:p>
      <w:pPr>
        <w:spacing w:after="120"/>
        <w:jc w:val="both"/>
        <w:rPr>
          <w:rFonts w:ascii="Times New Roman" w:hAnsi="Times New Roman" w:cs="Times New Roman"/>
          <w:noProof/>
          <w:sz w:val="24"/>
          <w:szCs w:val="24"/>
        </w:rPr>
      </w:pPr>
      <w:r>
        <w:rPr>
          <w:rFonts w:ascii="Times New Roman" w:hAnsi="Times New Roman"/>
          <w:noProof/>
          <w:sz w:val="24"/>
        </w:rPr>
        <w:t>За създаването в бъдеще на електроцентрала, основана на термоядрения синтез, се изисква устойчив научен, управленски и финансов ангажимент в размер, който никоя държава не може да осигури сама. Това е причината, поради която дейностите по термоядрения синтез са тясно интегрирани на европейско равнище, а също и поради която седем големи партньори подкрепят изграждането на ITER на международно равнище.</w:t>
      </w:r>
    </w:p>
    <w:p>
      <w:pPr>
        <w:spacing w:after="120"/>
        <w:jc w:val="both"/>
        <w:rPr>
          <w:rFonts w:ascii="Times New Roman" w:hAnsi="Times New Roman" w:cs="Times New Roman"/>
          <w:noProof/>
          <w:sz w:val="24"/>
          <w:szCs w:val="24"/>
        </w:rPr>
      </w:pPr>
      <w:r>
        <w:rPr>
          <w:rFonts w:ascii="Times New Roman" w:hAnsi="Times New Roman"/>
          <w:noProof/>
          <w:sz w:val="24"/>
        </w:rPr>
        <w:t>Успешното изграждане и експлоатация на ITER е в критичната част от европейската пътна карта за термоядрения синтез, която представлява всеобхватни целенасочени действия за производство на електроенергия чрез термоядрен синтез и е подкрепена от всички участници в научни изследвания по термоядрения синтез в Европа</w:t>
      </w:r>
      <w:r>
        <w:rPr>
          <w:rFonts w:ascii="Times New Roman" w:hAnsi="Times New Roman"/>
          <w:noProof/>
          <w:sz w:val="24"/>
          <w:vertAlign w:val="superscript"/>
        </w:rPr>
        <w:footnoteReference w:id="15"/>
      </w:r>
      <w:r>
        <w:rPr>
          <w:rFonts w:ascii="Times New Roman" w:hAnsi="Times New Roman"/>
          <w:noProof/>
          <w:sz w:val="24"/>
        </w:rPr>
        <w:t>. Новите референтни параметри включват реалистичен график за постигане на целта на ITER и са от съществено значение като източник за пътната карта. За да се ограничи въздействието на новия график за ITER върху пътната карта за термоядрения синтез, и по-специално за изграждането на демонстрационното съоръжение за производство на електроенергия чрез термоядрен синтез (DEMO), незабавно трябва да започнат особено важните продължителни научни изследвания, като например разработването на необходимите за DEMO нови материали. За целта ще се наложи изграждането на подходящи съоръжения,</w:t>
      </w:r>
      <w:r>
        <w:rPr>
          <w:noProof/>
        </w:rPr>
        <w:t xml:space="preserve"> </w:t>
      </w:r>
      <w:r>
        <w:rPr>
          <w:rFonts w:ascii="Times New Roman" w:hAnsi="Times New Roman"/>
          <w:noProof/>
          <w:sz w:val="24"/>
        </w:rPr>
        <w:t>като например планираното съоръжение за облъчване и изпитване на материали, необходими за DEMO (DONES — DEMO-Oriented Neutron Source, т.е. насочен към DEMO източник на неутрони).</w:t>
      </w:r>
    </w:p>
    <w:p>
      <w:pPr>
        <w:spacing w:after="120"/>
        <w:jc w:val="both"/>
        <w:rPr>
          <w:rFonts w:ascii="Times New Roman" w:hAnsi="Times New Roman" w:cs="Times New Roman"/>
          <w:noProof/>
          <w:sz w:val="24"/>
          <w:szCs w:val="24"/>
        </w:rPr>
      </w:pPr>
      <w:r>
        <w:rPr>
          <w:rFonts w:ascii="Times New Roman" w:hAnsi="Times New Roman"/>
          <w:noProof/>
          <w:sz w:val="24"/>
        </w:rPr>
        <w:t>Като се има предвид закъснението за реализиране на „Първа плазма“, научноизследователската общност в областта на термоядрения синтез има възможност да подобри координацията и експлоатацията за научни цели на съществуващите токамаци</w:t>
      </w:r>
      <w:r>
        <w:rPr>
          <w:rFonts w:ascii="Times New Roman" w:hAnsi="Times New Roman"/>
          <w:noProof/>
          <w:sz w:val="24"/>
          <w:vertAlign w:val="superscript"/>
        </w:rPr>
        <w:footnoteReference w:id="16"/>
      </w:r>
      <w:r>
        <w:rPr>
          <w:rFonts w:ascii="Times New Roman" w:hAnsi="Times New Roman"/>
          <w:noProof/>
          <w:sz w:val="24"/>
        </w:rPr>
        <w:t xml:space="preserve"> по света, като например JET (ЕС), K-STAR (Корея), EAST (Китай) и DIII-D (САЩ), с оглед на по-добра подготовка за експлоатацията на ITER. Такъв е по-специално случаят с токамака JT-60SA (Япония), който се изгражда с финансиране от Евратом и Япония като част от дейностите по по-широкообхватния подход и ще бъде пуснат в експлоатация до 2020 година</w:t>
      </w:r>
      <w:r>
        <w:rPr>
          <w:rStyle w:val="FootnoteReference"/>
          <w:rFonts w:ascii="Times New Roman" w:hAnsi="Times New Roman"/>
          <w:noProof/>
          <w:sz w:val="24"/>
        </w:rPr>
        <w:footnoteReference w:id="17"/>
      </w:r>
      <w:r>
        <w:rPr>
          <w:rFonts w:ascii="Times New Roman" w:hAnsi="Times New Roman"/>
          <w:noProof/>
          <w:sz w:val="24"/>
        </w:rPr>
        <w:t>.</w:t>
      </w:r>
    </w:p>
    <w:p>
      <w:pPr>
        <w:spacing w:after="120"/>
        <w:jc w:val="both"/>
        <w:rPr>
          <w:rFonts w:ascii="Times New Roman" w:hAnsi="Times New Roman" w:cs="Times New Roman"/>
          <w:noProof/>
          <w:sz w:val="24"/>
          <w:szCs w:val="24"/>
        </w:rPr>
      </w:pPr>
      <w:r>
        <w:rPr>
          <w:rFonts w:ascii="Times New Roman" w:hAnsi="Times New Roman"/>
          <w:noProof/>
          <w:sz w:val="24"/>
        </w:rPr>
        <w:t xml:space="preserve">Понастоящем Швейцария е единствената държава извън Евратом, която е асоциирана към дейностите на Евратом за ITER чрез „Термоядрен синтез за енергия“. Швейцария е асоциирана към дейностите по термоядрен синтез от 1978 г., което ѝ дава възможност да се възползва от договори с „Термоядрен синтез за енергия“ и организацията ITER, както и да получава безвъзмездни средства от тях и да бъде асоциирана към програмата на Евратом за научни изследвания. </w:t>
      </w:r>
    </w:p>
    <w:p>
      <w:pPr>
        <w:spacing w:after="240"/>
        <w:jc w:val="both"/>
        <w:rPr>
          <w:rFonts w:ascii="Times New Roman" w:hAnsi="Times New Roman" w:cs="Times New Roman"/>
          <w:noProof/>
          <w:sz w:val="24"/>
          <w:szCs w:val="24"/>
        </w:rPr>
      </w:pPr>
      <w:r>
        <w:rPr>
          <w:rFonts w:ascii="Times New Roman" w:hAnsi="Times New Roman"/>
          <w:noProof/>
          <w:sz w:val="24"/>
        </w:rPr>
        <w:t>Тъй като проектът напредва към етапа на експлоатация, може да се открият нови възможности за страни, които понастоящем не участват в ITER, чрез споразумения за сътрудничество (напр. с Австралия) или асоцииране към дейностите по ITER чрез Евратом</w:t>
      </w:r>
      <w:r>
        <w:rPr>
          <w:noProof/>
        </w:rPr>
        <w:t>,</w:t>
      </w:r>
      <w:r>
        <w:rPr>
          <w:rFonts w:ascii="Times New Roman" w:hAnsi="Times New Roman"/>
          <w:noProof/>
          <w:sz w:val="24"/>
        </w:rPr>
        <w:t xml:space="preserve"> какъвто е случаят с Швейцария. След подписването на Съвместния всеобхватен план за действие през юли 2015 г. организацията ITER проучва възможността за сътрудничество с Иран по термоядрения синтез.</w:t>
      </w:r>
    </w:p>
    <w:p>
      <w:pPr>
        <w:spacing w:after="240"/>
        <w:ind w:left="1440" w:hanging="720"/>
        <w:jc w:val="both"/>
        <w:rPr>
          <w:rFonts w:ascii="Times New Roman Bold" w:hAnsi="Times New Roman Bold" w:cs="Times New Roman"/>
          <w:b/>
          <w:smallCaps/>
          <w:noProof/>
          <w:sz w:val="24"/>
        </w:rPr>
      </w:pPr>
      <w:r>
        <w:rPr>
          <w:rFonts w:ascii="Times New Roman Bold" w:hAnsi="Times New Roman Bold"/>
          <w:b/>
          <w:smallCaps/>
          <w:noProof/>
          <w:sz w:val="24"/>
        </w:rPr>
        <w:t>III.</w:t>
      </w:r>
      <w:r>
        <w:rPr>
          <w:noProof/>
        </w:rPr>
        <w:tab/>
      </w:r>
      <w:r>
        <w:rPr>
          <w:rFonts w:ascii="Times New Roman Bold" w:hAnsi="Times New Roman Bold"/>
          <w:b/>
          <w:smallCaps/>
          <w:noProof/>
          <w:sz w:val="24"/>
        </w:rPr>
        <w:t>Осигуряване на надежден път към изграждането на ITER</w:t>
      </w:r>
    </w:p>
    <w:p>
      <w:pPr>
        <w:spacing w:after="120"/>
        <w:jc w:val="both"/>
        <w:rPr>
          <w:rFonts w:ascii="Times New Roman" w:hAnsi="Times New Roman" w:cs="Times New Roman"/>
          <w:noProof/>
          <w:sz w:val="24"/>
          <w:szCs w:val="24"/>
        </w:rPr>
      </w:pPr>
      <w:r>
        <w:rPr>
          <w:rFonts w:ascii="Times New Roman" w:hAnsi="Times New Roman"/>
          <w:noProof/>
          <w:sz w:val="24"/>
        </w:rPr>
        <w:t>Скоро след приемането през 2010 г. на референтните параметри членовете на ITER си дадоха сметка, че освен незрялостта на конструктивното решение и производствените предизвикателства също и недостатъци в управлението и липсата на сътрудничество между националните агенции и организацията ITER спъват осъществяването на проекта. Поради това както графикът от 2010 г., така и съответната прогнозна оценка за разходите се възприемаха като ненадеждни.</w:t>
      </w:r>
    </w:p>
    <w:p>
      <w:pPr>
        <w:spacing w:after="120"/>
        <w:jc w:val="both"/>
        <w:rPr>
          <w:rFonts w:ascii="Times New Roman" w:hAnsi="Times New Roman" w:cs="Times New Roman"/>
          <w:noProof/>
          <w:sz w:val="24"/>
          <w:szCs w:val="24"/>
          <w:highlight w:val="yellow"/>
        </w:rPr>
      </w:pPr>
      <w:r>
        <w:rPr>
          <w:rFonts w:ascii="Times New Roman" w:hAnsi="Times New Roman"/>
          <w:noProof/>
          <w:sz w:val="24"/>
        </w:rPr>
        <w:t>В резултат на независимата оценка от 2013 г. на управлението на организацията ITER бяха препоръчани промени в управлението на проекта и изготвянето на по-реалистичен график и план за ресурсите. През март 2015 г. Съветът на ITER взе решения за преструктуриране на управлението и относно план за действие под ръководството на нов генерален директор. В този план се предвиждаше пълно преустройство на организацията ITER, тясно сътрудничество с националните агенции</w:t>
      </w:r>
      <w:r>
        <w:rPr>
          <w:rStyle w:val="FootnoteReference"/>
          <w:rFonts w:ascii="Times New Roman" w:hAnsi="Times New Roman"/>
          <w:noProof/>
          <w:sz w:val="24"/>
        </w:rPr>
        <w:footnoteReference w:id="18"/>
      </w:r>
      <w:r>
        <w:rPr>
          <w:rFonts w:ascii="Times New Roman" w:hAnsi="Times New Roman"/>
          <w:noProof/>
          <w:sz w:val="24"/>
        </w:rPr>
        <w:t>, замразяване на конструктивните решения, за да се даде възможност за строителството на сгради и други компоненти, както и създаването на резервен фонд. Този фонд беше създаден с оглед покриване на допълнителните разходи за националните агенции, причинени от промените по инициатива на организацията ITER в конструктивното решение на компоненти. Разпоредбите за използването му бяха приети от Съвета на ITER през 2015 г. и генералният директор на организацията ITER носи пряката отговорност за реализацията му. Той се финансира от паричните вноски на членовете на ITER съобразно техния дял в етапа на изграждане (45 % за Евратом). Евратом гарантира, че неговото участие в резервния фонд е в рамките на ограничения му бюджет за ITER до 2020 г. Организацията ITER направи прогнозна оценка за общата вноска в резервния фонд от 2021 г. нататък, която е взета предвид от Евратом в прогнозната му оценка за паричните вноски (за подробности виж работния документ на службите на Комисията, придружаващ настоящото съобщение). С фонда се въвежда стимул за организацията ITER да сведе промените до възможния минимум, така че той действа като мярка за намаляване на риска.</w:t>
      </w:r>
    </w:p>
    <w:p>
      <w:pPr>
        <w:spacing w:after="120"/>
        <w:jc w:val="both"/>
        <w:rPr>
          <w:rFonts w:ascii="Times New Roman" w:hAnsi="Times New Roman" w:cs="Times New Roman"/>
          <w:noProof/>
          <w:sz w:val="24"/>
          <w:szCs w:val="24"/>
        </w:rPr>
      </w:pPr>
      <w:r>
        <w:rPr>
          <w:rFonts w:ascii="Times New Roman" w:hAnsi="Times New Roman"/>
          <w:noProof/>
          <w:sz w:val="24"/>
        </w:rPr>
        <w:t>Планът за действие е насочен и към контрола на разходите и установяването на нов надежден график и съответни прогнозни оценки за разходите, което следва да доведе до нови референтни параметри. В рамките на около година и половина организацията ITER вече изпълни около 60 % от този план за действие и напредва с добри темпове по останалата част от него.</w:t>
      </w:r>
    </w:p>
    <w:p>
      <w:pPr>
        <w:spacing w:after="240"/>
        <w:jc w:val="both"/>
        <w:rPr>
          <w:rFonts w:ascii="Times New Roman" w:hAnsi="Times New Roman" w:cs="Times New Roman"/>
          <w:noProof/>
          <w:sz w:val="24"/>
          <w:szCs w:val="24"/>
        </w:rPr>
      </w:pPr>
      <w:r>
        <w:rPr>
          <w:rFonts w:ascii="Times New Roman" w:hAnsi="Times New Roman"/>
          <w:noProof/>
          <w:sz w:val="24"/>
        </w:rPr>
        <w:t>През 2015 г. управителният съвет на „Термоядрен синтез за енергия“ прие допълнителен план за действие, който доведе до създаването на отдел „Управление на проекта“ с цел укрепване на процесите на планиране и контрол, преразпределение на персонал към високоприоритетни области и засилване на мерките за контрол върху проекта и за ограничаване на разходите. До момента са осъществени 80 % от действията и се напредва с добри темпове по оставащите.</w:t>
      </w:r>
    </w:p>
    <w:p>
      <w:pPr>
        <w:spacing w:after="240"/>
        <w:ind w:left="720"/>
        <w:jc w:val="both"/>
        <w:rPr>
          <w:rFonts w:ascii="Times New Roman" w:hAnsi="Times New Roman" w:cs="Times New Roman"/>
          <w:b/>
          <w:noProof/>
          <w:sz w:val="24"/>
          <w:szCs w:val="24"/>
        </w:rPr>
      </w:pPr>
      <w:r>
        <w:rPr>
          <w:rFonts w:ascii="Times New Roman" w:hAnsi="Times New Roman"/>
          <w:b/>
          <w:noProof/>
          <w:sz w:val="24"/>
        </w:rPr>
        <w:t>III.1</w:t>
      </w:r>
      <w:r>
        <w:rPr>
          <w:noProof/>
        </w:rPr>
        <w:tab/>
      </w:r>
      <w:r>
        <w:rPr>
          <w:rFonts w:ascii="Times New Roman" w:hAnsi="Times New Roman"/>
          <w:b/>
          <w:noProof/>
          <w:sz w:val="24"/>
        </w:rPr>
        <w:t>Дългосрочен график за проекта, следвайки поетапен подход</w:t>
      </w:r>
    </w:p>
    <w:p>
      <w:pPr>
        <w:spacing w:after="120"/>
        <w:jc w:val="both"/>
        <w:rPr>
          <w:rFonts w:ascii="Times New Roman" w:hAnsi="Times New Roman" w:cs="Times New Roman"/>
          <w:noProof/>
          <w:sz w:val="24"/>
          <w:szCs w:val="24"/>
        </w:rPr>
      </w:pPr>
      <w:r>
        <w:rPr>
          <w:rFonts w:ascii="Times New Roman" w:hAnsi="Times New Roman"/>
          <w:noProof/>
          <w:sz w:val="24"/>
        </w:rPr>
        <w:t>След положителна оценка от независимата Група за преглед към Съвета на ITER</w:t>
      </w:r>
      <w:r>
        <w:rPr>
          <w:rStyle w:val="FootnoteReference"/>
          <w:rFonts w:ascii="Times New Roman" w:hAnsi="Times New Roman"/>
          <w:noProof/>
          <w:sz w:val="24"/>
        </w:rPr>
        <w:footnoteReference w:id="19"/>
      </w:r>
      <w:r>
        <w:rPr>
          <w:rFonts w:ascii="Times New Roman" w:hAnsi="Times New Roman"/>
          <w:noProof/>
          <w:sz w:val="24"/>
        </w:rPr>
        <w:t xml:space="preserve"> организацията ITER представи през юни 2016 г. на Съвета на ITER нов график и съответни прогнозни оценки за разходите за завършване на изграждането на реактора за термоядрен синтез до „Първа плазма“. Понастоящем декември 2025 г. се преценява като най-ранният срок, в който реализирането на „Първа плазма“ е технически възможно, но в него не се включват извънредни ситуации, така че той зависи от намаляването от организацията ITER и националните агенции на всички големи рискове. Подробният график за периода от „Първа плазма“ през декември 2025 г. до пускането в цялостна експлоатация (така наречения деутериево-тритиев етап), предвидено за 2035 г., беше представен от организацията ITER и одобрен от Съвета на ITER през ноември 2016 г. въз основа на преразгледаните референтни параметри на ITER.</w:t>
      </w:r>
    </w:p>
    <w:p>
      <w:pPr>
        <w:spacing w:after="240"/>
        <w:jc w:val="both"/>
        <w:rPr>
          <w:rFonts w:ascii="Times New Roman" w:hAnsi="Times New Roman" w:cs="Times New Roman"/>
          <w:noProof/>
          <w:sz w:val="24"/>
          <w:szCs w:val="24"/>
        </w:rPr>
      </w:pPr>
      <w:r>
        <w:rPr>
          <w:rFonts w:ascii="Times New Roman" w:hAnsi="Times New Roman"/>
          <w:noProof/>
          <w:sz w:val="24"/>
        </w:rPr>
        <w:t>При новия график се следва така нареченият поетапен подход със съсредоточаване най-напред върху изграждането на компонентите, които са основни за реализиране на „Първа плазма“ през 2025 г., последвано от поредица от етапи на монтаж и изпитване преди започването на етапа на цялостна експлоатация (деутериево-тритиевата експлоатация) през 2035 г. Следователно дейностите по изграждане за „Първа плазма“ трябва да бъдат последвани от ограничени допълнителни дейности за окончателен монтаж (които също се покриват от бюджета за изграждането) през етапа на експлоатация от януари 2026 г. до началото на деутериево-тритиевата експлоатация през 2035 г. Този график дава възможност за по-добро управление на рисковете по проекта посредством постепенно справяне с предизвикателствата от технически характер и гарантиране, че организацията ITER и националните агенции се съсредоточават върху това, което е от най-голямо значение, за да се реализира „Първа плазма“. Това също така осигурява гъвкавост за приспособяване на възлагането на договори и дава възможност за по-дълга научноизследователска програма между „Първа плазма“ (2025 г.) и деутериево-тритиевия етап (2035 г.).</w:t>
      </w:r>
    </w:p>
    <w:p>
      <w:pPr>
        <w:spacing w:after="240"/>
        <w:ind w:left="720"/>
        <w:jc w:val="both"/>
        <w:rPr>
          <w:rFonts w:ascii="Times New Roman" w:hAnsi="Times New Roman" w:cs="Times New Roman"/>
          <w:b/>
          <w:noProof/>
          <w:sz w:val="24"/>
          <w:szCs w:val="24"/>
        </w:rPr>
      </w:pPr>
      <w:r>
        <w:rPr>
          <w:rFonts w:ascii="Times New Roman" w:hAnsi="Times New Roman"/>
          <w:b/>
          <w:noProof/>
          <w:sz w:val="24"/>
        </w:rPr>
        <w:t>III.2</w:t>
      </w:r>
      <w:r>
        <w:rPr>
          <w:noProof/>
        </w:rPr>
        <w:tab/>
      </w:r>
      <w:r>
        <w:rPr>
          <w:rFonts w:ascii="Times New Roman" w:hAnsi="Times New Roman"/>
          <w:b/>
          <w:noProof/>
          <w:sz w:val="24"/>
        </w:rPr>
        <w:t>Средства, необходими за пълното осъществяване на проекта ITER</w:t>
      </w:r>
    </w:p>
    <w:p>
      <w:pPr>
        <w:spacing w:before="120" w:after="0"/>
        <w:jc w:val="both"/>
        <w:rPr>
          <w:rFonts w:ascii="Times New Roman" w:hAnsi="Times New Roman" w:cs="Times New Roman"/>
          <w:noProof/>
          <w:sz w:val="24"/>
          <w:szCs w:val="24"/>
        </w:rPr>
      </w:pPr>
      <w:r>
        <w:rPr>
          <w:rFonts w:ascii="Times New Roman" w:hAnsi="Times New Roman"/>
          <w:noProof/>
          <w:sz w:val="24"/>
        </w:rPr>
        <w:t>Преразглеждането на разходите по проекта на всеки член на ITER, включително Евратом (средства от бюджета на ЕС и от Франция, както и от членовете на „Термоядрен синтез за енергия“), се състои по същество от две части: а) преразглеждане на паричните вноски на всеки член на организацията ITER за покриване на нейния дял в изграждането, монтажа и експлоатацията; и б) преразглеждане на средствата, необходими за набавянето на съответните апортни вноски, които всеки член е задължен да направи по проекта, както и на административните разходи за всяка национална агенция. В допълнение към сумата от 6,6 млрд. евро (по цени от 2008 г.), предвидена в бюджета за изграждането до 2020 г. по предишните референтни параметри, средствата, които са необходими на Евратом за осигуряване на успешното завършване на съоръжението и началото на етапа на експлоатация, бяха прогнозирани в настоящия раздел въз основа на: 1) паричното искане, представено от организацията ITER на Съвета на ITER през ноември 2016 г.</w:t>
      </w:r>
      <w:r>
        <w:rPr>
          <w:rStyle w:val="FootnoteReference"/>
          <w:rFonts w:ascii="Times New Roman" w:hAnsi="Times New Roman"/>
          <w:noProof/>
          <w:sz w:val="24"/>
        </w:rPr>
        <w:footnoteReference w:id="20"/>
      </w:r>
      <w:r>
        <w:rPr>
          <w:rFonts w:ascii="Times New Roman" w:hAnsi="Times New Roman"/>
          <w:noProof/>
          <w:sz w:val="24"/>
        </w:rPr>
        <w:t>; и 2) прогнозните оценки на предприятието „Термоядрен синтез за енергия“, представени на неговия управителен съвет през декември 2016 г.</w:t>
      </w:r>
      <w:r>
        <w:rPr>
          <w:rStyle w:val="FootnoteReference"/>
          <w:rFonts w:ascii="Times New Roman" w:hAnsi="Times New Roman"/>
          <w:noProof/>
          <w:sz w:val="24"/>
        </w:rPr>
        <w:footnoteReference w:id="21"/>
      </w:r>
      <w:r>
        <w:rPr>
          <w:rFonts w:ascii="Times New Roman" w:hAnsi="Times New Roman"/>
          <w:noProof/>
          <w:sz w:val="24"/>
        </w:rPr>
        <w:t xml:space="preserve"> (всички посочени стойности са от 2008 г., освен ако изрично е посочено друго; докато в приложените таблици прогнозните оценки се дават както в стойности от 2008 г., така и в текущи стойности), както и 3) предполагаемо пълно спазване на правните ангажименти съгласно Споразумението за ITER, по силата на което вноската на Евратом не е пряко засегната от излизането на Обединеното кралство от ЕС (вж. също стр. 3). Предполага се също така, че Франция като страна домакин ще продължи да предоставя 20 % от вноската на Евратом.</w:t>
      </w:r>
    </w:p>
    <w:p>
      <w:pPr>
        <w:spacing w:before="120" w:after="0"/>
        <w:jc w:val="both"/>
        <w:rPr>
          <w:rFonts w:ascii="Times New Roman" w:hAnsi="Times New Roman" w:cs="Times New Roman"/>
          <w:noProof/>
          <w:sz w:val="24"/>
          <w:szCs w:val="24"/>
          <w:u w:val="single"/>
        </w:rPr>
      </w:pPr>
      <w:r>
        <w:rPr>
          <w:rFonts w:ascii="Times New Roman" w:hAnsi="Times New Roman"/>
          <w:noProof/>
          <w:sz w:val="24"/>
          <w:u w:val="single"/>
        </w:rPr>
        <w:t>Парични вноски на Евратом по новия график</w:t>
      </w:r>
    </w:p>
    <w:p>
      <w:pPr>
        <w:spacing w:before="120" w:after="240"/>
        <w:jc w:val="both"/>
        <w:rPr>
          <w:rFonts w:ascii="Times New Roman" w:hAnsi="Times New Roman" w:cs="Times New Roman"/>
          <w:noProof/>
          <w:sz w:val="24"/>
          <w:szCs w:val="24"/>
        </w:rPr>
      </w:pPr>
      <w:r>
        <w:rPr>
          <w:rFonts w:ascii="Times New Roman" w:hAnsi="Times New Roman"/>
          <w:noProof/>
          <w:sz w:val="24"/>
        </w:rPr>
        <w:t>Сега се предвижда допълнителният</w:t>
      </w:r>
      <w:r>
        <w:rPr>
          <w:rStyle w:val="FootnoteReference"/>
          <w:rFonts w:ascii="Times New Roman" w:hAnsi="Times New Roman"/>
          <w:noProof/>
          <w:sz w:val="24"/>
        </w:rPr>
        <w:footnoteReference w:id="22"/>
      </w:r>
      <w:r>
        <w:rPr>
          <w:rFonts w:ascii="Times New Roman" w:hAnsi="Times New Roman"/>
          <w:noProof/>
          <w:sz w:val="24"/>
        </w:rPr>
        <w:t xml:space="preserve"> размер на паричните вноски в организацията ITER от Евратом (чрез бюджета на „Термоядрен синтез за енергия“) за етапа на изграждане до „Първа плазма“ да бъде 1,1 млрд. евро за периода 2021—2025 г. и около 0,6 млрд. евро за покриване на разходите по окончателния монтаж през периода 2026—2035 г. (също от бюджета за изграждането).</w:t>
      </w:r>
    </w:p>
    <w:p>
      <w:pPr>
        <w:keepNext/>
        <w:spacing w:before="120" w:after="0"/>
        <w:jc w:val="both"/>
        <w:rPr>
          <w:rFonts w:ascii="Times New Roman" w:hAnsi="Times New Roman" w:cs="Times New Roman"/>
          <w:noProof/>
          <w:sz w:val="24"/>
          <w:szCs w:val="24"/>
          <w:u w:val="single"/>
        </w:rPr>
      </w:pPr>
      <w:r>
        <w:rPr>
          <w:rFonts w:ascii="Times New Roman" w:hAnsi="Times New Roman"/>
          <w:noProof/>
          <w:sz w:val="24"/>
          <w:u w:val="single"/>
        </w:rPr>
        <w:t>Апортни вноски на Евратом по новия график</w:t>
      </w:r>
    </w:p>
    <w:p>
      <w:pPr>
        <w:spacing w:before="120" w:after="0"/>
        <w:jc w:val="both"/>
        <w:rPr>
          <w:rFonts w:ascii="Times New Roman" w:hAnsi="Times New Roman" w:cs="Times New Roman"/>
          <w:noProof/>
          <w:sz w:val="24"/>
          <w:szCs w:val="24"/>
        </w:rPr>
      </w:pPr>
      <w:r>
        <w:rPr>
          <w:rFonts w:ascii="Times New Roman" w:hAnsi="Times New Roman"/>
          <w:noProof/>
          <w:sz w:val="24"/>
        </w:rPr>
        <w:t>Освен това, въз основа на направените от „Термоядрен синтез за енергия“ прогнозни оценки за разходите въз основа на поетапния подход, ще са нужни допълнителни</w:t>
      </w:r>
      <w:r>
        <w:rPr>
          <w:rFonts w:ascii="Times New Roman" w:hAnsi="Times New Roman"/>
          <w:noProof/>
          <w:sz w:val="24"/>
          <w:vertAlign w:val="superscript"/>
        </w:rPr>
        <w:t>21</w:t>
      </w:r>
      <w:r>
        <w:rPr>
          <w:rFonts w:ascii="Times New Roman" w:hAnsi="Times New Roman"/>
          <w:noProof/>
          <w:sz w:val="24"/>
        </w:rPr>
        <w:t xml:space="preserve"> 2,1 млрд. евро през периода 2021—2025 г. за покриване на разходите за апортните вноски на Евратом, необходими за реализиране на „Първа плазма“, включително за компоненти в критичната част на проекта, като например вакуумната камера и сгради, и на разходите за началните етапи на дейности по проектирането и изграждането за компоненти под отговорността на Евратом, изисквани за последващите етапи на монтаж.</w:t>
      </w:r>
    </w:p>
    <w:p>
      <w:pPr>
        <w:spacing w:before="120" w:after="240"/>
        <w:jc w:val="both"/>
        <w:rPr>
          <w:rFonts w:ascii="Times New Roman" w:hAnsi="Times New Roman" w:cs="Times New Roman"/>
          <w:noProof/>
          <w:sz w:val="24"/>
          <w:szCs w:val="24"/>
        </w:rPr>
      </w:pPr>
      <w:r>
        <w:rPr>
          <w:rFonts w:ascii="Times New Roman" w:hAnsi="Times New Roman"/>
          <w:noProof/>
          <w:sz w:val="24"/>
        </w:rPr>
        <w:t>Важно е да се подчертае, че дейностите по изграждането въз основа на поетапния подход с цел реализиране на „Първа плазма“ през декември 2025 г. ще бъдат последвани от по-нататъшно разработване и изграждане на компоненти за реактора ITER по време на последващите дейности за окончателен монтаж. Допълнителните</w:t>
      </w:r>
      <w:r>
        <w:rPr>
          <w:rFonts w:ascii="Times New Roman" w:hAnsi="Times New Roman"/>
          <w:noProof/>
          <w:sz w:val="24"/>
          <w:vertAlign w:val="superscript"/>
        </w:rPr>
        <w:t>21</w:t>
      </w:r>
      <w:r>
        <w:rPr>
          <w:rFonts w:ascii="Times New Roman" w:hAnsi="Times New Roman"/>
          <w:noProof/>
          <w:sz w:val="24"/>
        </w:rPr>
        <w:t xml:space="preserve"> средства, необходими за завършване на оставащите апортни компоненти след 2025 г. до 2035 г. (началото на цялостната експлоатация), ще бъдат от порядъка на 0,9 млрд. евро, без да се вземат предвид възможните приходи от резервния фонд на организацията ITER.</w:t>
      </w:r>
    </w:p>
    <w:p>
      <w:pPr>
        <w:keepNext/>
        <w:spacing w:before="120" w:after="0"/>
        <w:jc w:val="both"/>
        <w:rPr>
          <w:rFonts w:ascii="Times New Roman" w:hAnsi="Times New Roman" w:cs="Times New Roman"/>
          <w:noProof/>
          <w:sz w:val="24"/>
          <w:szCs w:val="24"/>
          <w:u w:val="single"/>
        </w:rPr>
      </w:pPr>
      <w:r>
        <w:rPr>
          <w:rFonts w:ascii="Times New Roman" w:hAnsi="Times New Roman"/>
          <w:noProof/>
          <w:sz w:val="24"/>
          <w:u w:val="single"/>
        </w:rPr>
        <w:t>Сумарни разходи за вноската на Евратом за проекта ITER</w:t>
      </w:r>
    </w:p>
    <w:p>
      <w:pPr>
        <w:spacing w:before="120" w:after="0"/>
        <w:jc w:val="both"/>
        <w:rPr>
          <w:rFonts w:ascii="Times New Roman" w:hAnsi="Times New Roman" w:cs="Times New Roman"/>
          <w:noProof/>
          <w:sz w:val="24"/>
          <w:szCs w:val="24"/>
        </w:rPr>
      </w:pPr>
      <w:r>
        <w:rPr>
          <w:rFonts w:ascii="Times New Roman" w:hAnsi="Times New Roman"/>
          <w:noProof/>
          <w:sz w:val="24"/>
        </w:rPr>
        <w:t xml:space="preserve">Макар че целта на настоящото съобщение е преди всичко да се даде подробна информация относно прогнозните оценки на средствата за етапа на изграждане на проекта до „Първа плазма“ през 2025 г., в таблици 1 и 2 по-долу се посочва общият предвиждан размер на вноската на Евратом за постигане на преразгледаните референтни параметри на проекта въз основа на </w:t>
      </w:r>
      <w:r>
        <w:rPr>
          <w:rFonts w:ascii="Times New Roman" w:hAnsi="Times New Roman"/>
          <w:i/>
          <w:noProof/>
          <w:sz w:val="24"/>
        </w:rPr>
        <w:t>поетапния подход</w:t>
      </w:r>
      <w:r>
        <w:rPr>
          <w:rFonts w:ascii="Times New Roman" w:hAnsi="Times New Roman"/>
          <w:noProof/>
          <w:sz w:val="24"/>
        </w:rPr>
        <w:t xml:space="preserve"> (в млрд. евро съответно в стойност от 2008 г. и в текуща стойност).</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134"/>
        <w:gridCol w:w="1134"/>
        <w:gridCol w:w="1134"/>
        <w:gridCol w:w="1134"/>
        <w:gridCol w:w="1417"/>
      </w:tblGrid>
      <w:tr>
        <w:trPr>
          <w:trHeight w:val="776"/>
        </w:trPr>
        <w:tc>
          <w:tcPr>
            <w:tcW w:w="2127" w:type="dxa"/>
            <w:shd w:val="clear" w:color="auto" w:fill="auto"/>
            <w:vAlign w:val="center"/>
          </w:tcPr>
          <w:p>
            <w:pPr>
              <w:spacing w:before="60" w:after="60" w:line="240" w:lineRule="auto"/>
              <w:jc w:val="center"/>
              <w:rPr>
                <w:rFonts w:ascii="Calibri" w:eastAsia="Calibri" w:hAnsi="Calibri" w:cs="Calibri"/>
                <w:b/>
                <w:noProof/>
                <w:color w:val="FF0000"/>
                <w:sz w:val="18"/>
                <w:szCs w:val="18"/>
              </w:rPr>
            </w:pPr>
            <w:r>
              <w:rPr>
                <w:rFonts w:ascii="Calibri" w:hAnsi="Calibri"/>
                <w:b/>
                <w:noProof/>
                <w:color w:val="FF0000"/>
                <w:sz w:val="18"/>
              </w:rPr>
              <w:t>Вноски на Евратом</w:t>
            </w:r>
          </w:p>
          <w:p>
            <w:pPr>
              <w:spacing w:before="60" w:after="60" w:line="240" w:lineRule="auto"/>
              <w:jc w:val="center"/>
              <w:rPr>
                <w:rFonts w:ascii="Calibri" w:eastAsia="Calibri" w:hAnsi="Calibri" w:cs="Calibri"/>
                <w:b/>
                <w:noProof/>
                <w:sz w:val="18"/>
                <w:szCs w:val="18"/>
              </w:rPr>
            </w:pPr>
            <w:r>
              <w:rPr>
                <w:rFonts w:ascii="Calibri" w:hAnsi="Calibri"/>
                <w:b/>
                <w:noProof/>
                <w:color w:val="FF0000"/>
                <w:sz w:val="18"/>
              </w:rPr>
              <w:t>в стойност от 2008 г.</w:t>
            </w:r>
          </w:p>
        </w:tc>
        <w:tc>
          <w:tcPr>
            <w:tcW w:w="2268" w:type="dxa"/>
            <w:gridSpan w:val="2"/>
            <w:shd w:val="clear" w:color="auto" w:fill="auto"/>
            <w:vAlign w:val="center"/>
          </w:tcPr>
          <w:p>
            <w:pPr>
              <w:spacing w:before="60" w:after="60"/>
              <w:jc w:val="center"/>
              <w:rPr>
                <w:rFonts w:ascii="Calibri" w:eastAsia="Calibri" w:hAnsi="Calibri" w:cs="Calibri"/>
                <w:b/>
                <w:noProof/>
                <w:sz w:val="18"/>
                <w:szCs w:val="18"/>
              </w:rPr>
            </w:pPr>
            <w:r>
              <w:rPr>
                <w:rFonts w:ascii="Calibri" w:hAnsi="Calibri"/>
                <w:b/>
                <w:noProof/>
                <w:sz w:val="18"/>
              </w:rPr>
              <w:t>До края на текущия период на МФР</w:t>
            </w:r>
          </w:p>
          <w:p>
            <w:pPr>
              <w:spacing w:before="60" w:after="60"/>
              <w:jc w:val="center"/>
              <w:rPr>
                <w:rFonts w:ascii="Calibri" w:eastAsia="Calibri" w:hAnsi="Calibri" w:cs="Calibri"/>
                <w:b/>
                <w:noProof/>
                <w:sz w:val="18"/>
                <w:szCs w:val="18"/>
              </w:rPr>
            </w:pPr>
          </w:p>
        </w:tc>
        <w:tc>
          <w:tcPr>
            <w:tcW w:w="1134" w:type="dxa"/>
            <w:shd w:val="clear" w:color="auto" w:fill="auto"/>
            <w:vAlign w:val="center"/>
          </w:tcPr>
          <w:p>
            <w:pPr>
              <w:spacing w:before="60" w:after="60"/>
              <w:jc w:val="center"/>
              <w:rPr>
                <w:rFonts w:ascii="Calibri" w:eastAsia="Calibri" w:hAnsi="Calibri" w:cs="Calibri"/>
                <w:b/>
                <w:noProof/>
                <w:sz w:val="18"/>
                <w:szCs w:val="18"/>
              </w:rPr>
            </w:pPr>
            <w:r>
              <w:rPr>
                <w:rFonts w:ascii="Calibri" w:hAnsi="Calibri"/>
                <w:b/>
                <w:noProof/>
                <w:sz w:val="18"/>
              </w:rPr>
              <w:t>До ПП</w:t>
            </w:r>
          </w:p>
        </w:tc>
        <w:tc>
          <w:tcPr>
            <w:tcW w:w="2268" w:type="dxa"/>
            <w:gridSpan w:val="2"/>
            <w:shd w:val="clear" w:color="auto" w:fill="auto"/>
            <w:vAlign w:val="center"/>
          </w:tcPr>
          <w:p>
            <w:pPr>
              <w:spacing w:before="60" w:after="60"/>
              <w:jc w:val="center"/>
              <w:rPr>
                <w:rFonts w:ascii="Calibri" w:eastAsia="Calibri" w:hAnsi="Calibri" w:cs="Calibri"/>
                <w:b/>
                <w:noProof/>
                <w:sz w:val="18"/>
                <w:szCs w:val="18"/>
              </w:rPr>
            </w:pPr>
            <w:r>
              <w:rPr>
                <w:rFonts w:ascii="Calibri" w:hAnsi="Calibri"/>
                <w:b/>
                <w:noProof/>
                <w:sz w:val="18"/>
              </w:rPr>
              <w:t>От ПП до ДТ</w:t>
            </w:r>
          </w:p>
        </w:tc>
        <w:tc>
          <w:tcPr>
            <w:tcW w:w="1417" w:type="dxa"/>
            <w:shd w:val="clear" w:color="auto" w:fill="auto"/>
            <w:vAlign w:val="center"/>
          </w:tcPr>
          <w:p>
            <w:pPr>
              <w:spacing w:before="60" w:after="60"/>
              <w:jc w:val="center"/>
              <w:rPr>
                <w:rFonts w:ascii="Calibri" w:eastAsia="Calibri" w:hAnsi="Calibri" w:cs="Calibri"/>
                <w:b/>
                <w:noProof/>
                <w:sz w:val="18"/>
                <w:szCs w:val="18"/>
              </w:rPr>
            </w:pPr>
          </w:p>
        </w:tc>
      </w:tr>
      <w:tr>
        <w:tc>
          <w:tcPr>
            <w:tcW w:w="2127" w:type="dxa"/>
            <w:shd w:val="clear" w:color="auto" w:fill="auto"/>
          </w:tcPr>
          <w:p>
            <w:pPr>
              <w:spacing w:before="60" w:after="60"/>
              <w:jc w:val="both"/>
              <w:rPr>
                <w:rFonts w:ascii="Calibri" w:eastAsia="Calibri" w:hAnsi="Calibri" w:cs="Calibri"/>
                <w:noProof/>
                <w:sz w:val="18"/>
                <w:szCs w:val="18"/>
              </w:rPr>
            </w:pPr>
          </w:p>
        </w:tc>
        <w:tc>
          <w:tcPr>
            <w:tcW w:w="1134" w:type="dxa"/>
            <w:shd w:val="clear" w:color="auto" w:fill="auto"/>
          </w:tcPr>
          <w:p>
            <w:pPr>
              <w:spacing w:before="60" w:after="60"/>
              <w:jc w:val="center"/>
              <w:rPr>
                <w:rFonts w:ascii="Calibri" w:eastAsia="Calibri" w:hAnsi="Calibri" w:cs="Calibri"/>
                <w:b/>
                <w:noProof/>
                <w:sz w:val="18"/>
                <w:szCs w:val="18"/>
              </w:rPr>
            </w:pPr>
            <w:r>
              <w:rPr>
                <w:rFonts w:ascii="Calibri" w:hAnsi="Calibri"/>
                <w:b/>
                <w:noProof/>
                <w:sz w:val="18"/>
              </w:rPr>
              <w:t>2007—2013 г.</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2014—2020 г.</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2021—2025 г.</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2026—2027 г.</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2028—2035 г.</w:t>
            </w:r>
          </w:p>
        </w:tc>
        <w:tc>
          <w:tcPr>
            <w:tcW w:w="1417"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Общо</w:t>
            </w:r>
            <w:r>
              <w:rPr>
                <w:rStyle w:val="FootnoteReference"/>
                <w:noProof/>
              </w:rPr>
              <w:fldChar w:fldCharType="begin"/>
            </w:r>
            <w:r>
              <w:rPr>
                <w:rStyle w:val="FootnoteReference"/>
                <w:noProof/>
              </w:rPr>
              <w:instrText xml:space="preserve"> NOTEREF _Ref484171258 \h  \* MERGEFORMAT </w:instrText>
            </w:r>
            <w:r>
              <w:rPr>
                <w:rStyle w:val="FootnoteReference"/>
                <w:noProof/>
              </w:rPr>
            </w:r>
            <w:r>
              <w:rPr>
                <w:rStyle w:val="FootnoteReference"/>
                <w:noProof/>
              </w:rPr>
              <w:fldChar w:fldCharType="separate"/>
            </w:r>
            <w:r>
              <w:rPr>
                <w:rStyle w:val="FootnoteReference"/>
                <w:noProof/>
              </w:rPr>
              <w:t>22</w:t>
            </w:r>
            <w:r>
              <w:rPr>
                <w:rStyle w:val="FootnoteReference"/>
                <w:noProof/>
              </w:rPr>
              <w:fldChar w:fldCharType="end"/>
            </w:r>
            <w:r>
              <w:rPr>
                <w:rStyle w:val="FootnoteReference"/>
                <w:noProof/>
              </w:rPr>
              <w:t xml:space="preserve"> </w:t>
            </w:r>
            <w:r>
              <w:rPr>
                <w:rFonts w:ascii="Calibri" w:hAnsi="Calibri"/>
                <w:b/>
                <w:noProof/>
                <w:color w:val="000000"/>
                <w:sz w:val="18"/>
              </w:rPr>
              <w:t>след 2020 г.</w:t>
            </w:r>
          </w:p>
        </w:tc>
      </w:tr>
      <w:tr>
        <w:tc>
          <w:tcPr>
            <w:tcW w:w="2127" w:type="dxa"/>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Обща парична вноска на F4E за IO</w:t>
            </w:r>
          </w:p>
        </w:tc>
        <w:tc>
          <w:tcPr>
            <w:tcW w:w="1134" w:type="dxa"/>
            <w:vMerge w:val="restart"/>
            <w:shd w:val="clear" w:color="auto" w:fill="auto"/>
            <w:vAlign w:val="center"/>
          </w:tcPr>
          <w:p>
            <w:pPr>
              <w:spacing w:before="60" w:after="60"/>
              <w:jc w:val="center"/>
              <w:rPr>
                <w:rFonts w:ascii="Calibri" w:eastAsia="Calibri" w:hAnsi="Calibri" w:cs="Calibri"/>
                <w:noProof/>
                <w:sz w:val="18"/>
                <w:szCs w:val="18"/>
              </w:rPr>
            </w:pPr>
            <w:r>
              <w:rPr>
                <w:rFonts w:ascii="Calibri" w:hAnsi="Calibri"/>
                <w:noProof/>
                <w:sz w:val="18"/>
              </w:rPr>
              <w:t>3,2</w:t>
            </w:r>
          </w:p>
        </w:tc>
        <w:tc>
          <w:tcPr>
            <w:tcW w:w="1134" w:type="dxa"/>
            <w:shd w:val="clear" w:color="auto" w:fill="auto"/>
          </w:tcPr>
          <w:p>
            <w:pPr>
              <w:spacing w:before="60" w:after="60"/>
              <w:jc w:val="center"/>
              <w:rPr>
                <w:rFonts w:ascii="Calibri" w:eastAsia="Calibri" w:hAnsi="Calibri" w:cs="Calibri"/>
                <w:noProof/>
                <w:sz w:val="18"/>
                <w:szCs w:val="18"/>
              </w:rPr>
            </w:pPr>
            <w:r>
              <w:rPr>
                <w:rFonts w:ascii="Calibri" w:hAnsi="Calibri"/>
                <w:noProof/>
                <w:sz w:val="18"/>
              </w:rPr>
              <w:t>0,9</w:t>
            </w:r>
          </w:p>
        </w:tc>
        <w:tc>
          <w:tcPr>
            <w:tcW w:w="1134" w:type="dxa"/>
            <w:shd w:val="clear" w:color="auto" w:fill="auto"/>
          </w:tcPr>
          <w:p>
            <w:pPr>
              <w:spacing w:before="60" w:after="60"/>
              <w:jc w:val="center"/>
              <w:rPr>
                <w:rFonts w:ascii="Calibri" w:eastAsia="Calibri" w:hAnsi="Calibri" w:cs="Calibri"/>
                <w:noProof/>
                <w:sz w:val="18"/>
                <w:szCs w:val="18"/>
              </w:rPr>
            </w:pPr>
            <w:r>
              <w:rPr>
                <w:rFonts w:ascii="Calibri" w:hAnsi="Calibri"/>
                <w:noProof/>
                <w:sz w:val="18"/>
              </w:rPr>
              <w:t>1,1</w:t>
            </w:r>
          </w:p>
        </w:tc>
        <w:tc>
          <w:tcPr>
            <w:tcW w:w="1134" w:type="dxa"/>
            <w:shd w:val="clear" w:color="auto" w:fill="auto"/>
          </w:tcPr>
          <w:p>
            <w:pPr>
              <w:spacing w:before="60" w:after="60"/>
              <w:jc w:val="center"/>
              <w:rPr>
                <w:rFonts w:ascii="Calibri" w:eastAsia="Calibri" w:hAnsi="Calibri" w:cs="Calibri"/>
                <w:noProof/>
                <w:sz w:val="18"/>
                <w:szCs w:val="18"/>
              </w:rPr>
            </w:pPr>
            <w:r>
              <w:rPr>
                <w:rFonts w:ascii="Calibri" w:hAnsi="Calibri"/>
                <w:noProof/>
                <w:sz w:val="18"/>
              </w:rPr>
              <w:t>0,5</w:t>
            </w:r>
          </w:p>
        </w:tc>
        <w:tc>
          <w:tcPr>
            <w:tcW w:w="1134" w:type="dxa"/>
            <w:shd w:val="clear" w:color="auto" w:fill="auto"/>
          </w:tcPr>
          <w:p>
            <w:pPr>
              <w:spacing w:before="60" w:after="60"/>
              <w:jc w:val="center"/>
              <w:rPr>
                <w:rFonts w:ascii="Calibri" w:eastAsia="Calibri" w:hAnsi="Calibri" w:cs="Calibri"/>
                <w:noProof/>
                <w:sz w:val="18"/>
                <w:szCs w:val="18"/>
              </w:rPr>
            </w:pPr>
            <w:r>
              <w:rPr>
                <w:rFonts w:ascii="Calibri" w:hAnsi="Calibri"/>
                <w:noProof/>
                <w:sz w:val="18"/>
              </w:rPr>
              <w:t>1,1</w:t>
            </w:r>
          </w:p>
        </w:tc>
        <w:tc>
          <w:tcPr>
            <w:tcW w:w="1417" w:type="dxa"/>
            <w:shd w:val="clear" w:color="auto" w:fill="auto"/>
          </w:tcPr>
          <w:p>
            <w:pPr>
              <w:spacing w:before="60" w:after="60"/>
              <w:jc w:val="center"/>
              <w:rPr>
                <w:rFonts w:ascii="Calibri" w:eastAsia="Calibri" w:hAnsi="Calibri" w:cs="Calibri"/>
                <w:noProof/>
                <w:sz w:val="18"/>
                <w:szCs w:val="18"/>
              </w:rPr>
            </w:pPr>
            <w:r>
              <w:rPr>
                <w:rFonts w:ascii="Calibri" w:hAnsi="Calibri"/>
                <w:noProof/>
                <w:sz w:val="18"/>
              </w:rPr>
              <w:t>2,7</w:t>
            </w:r>
          </w:p>
        </w:tc>
      </w:tr>
      <w:tr>
        <w:tc>
          <w:tcPr>
            <w:tcW w:w="2127" w:type="dxa"/>
            <w:shd w:val="clear" w:color="auto" w:fill="auto"/>
          </w:tcPr>
          <w:p>
            <w:pPr>
              <w:spacing w:before="60" w:after="60"/>
              <w:jc w:val="right"/>
              <w:rPr>
                <w:rFonts w:ascii="Calibri" w:eastAsia="Calibri" w:hAnsi="Calibri" w:cs="Calibri"/>
                <w:i/>
                <w:noProof/>
                <w:sz w:val="18"/>
                <w:szCs w:val="18"/>
              </w:rPr>
            </w:pPr>
            <w:r>
              <w:rPr>
                <w:rFonts w:ascii="Calibri" w:hAnsi="Calibri"/>
                <w:b/>
                <w:i/>
                <w:noProof/>
                <w:color w:val="000000"/>
                <w:sz w:val="18"/>
              </w:rPr>
              <w:t>Бюджет за изграждането</w:t>
            </w:r>
          </w:p>
        </w:tc>
        <w:tc>
          <w:tcPr>
            <w:tcW w:w="1134" w:type="dxa"/>
            <w:vMerge/>
            <w:shd w:val="clear" w:color="auto" w:fill="auto"/>
            <w:vAlign w:val="center"/>
          </w:tcPr>
          <w:p>
            <w:pPr>
              <w:spacing w:before="60" w:after="60"/>
              <w:jc w:val="center"/>
              <w:rPr>
                <w:rFonts w:ascii="Calibri" w:eastAsia="Calibri" w:hAnsi="Calibri" w:cs="Calibri"/>
                <w:i/>
                <w:noProof/>
                <w:sz w:val="18"/>
                <w:szCs w:val="18"/>
              </w:rPr>
            </w:pPr>
          </w:p>
        </w:tc>
        <w:tc>
          <w:tcPr>
            <w:tcW w:w="1134" w:type="dxa"/>
            <w:shd w:val="clear" w:color="auto" w:fill="auto"/>
          </w:tcPr>
          <w:p>
            <w:pPr>
              <w:spacing w:before="60" w:after="60"/>
              <w:jc w:val="right"/>
              <w:rPr>
                <w:rFonts w:ascii="Calibri" w:eastAsia="Calibri" w:hAnsi="Calibri" w:cs="Calibri"/>
                <w:i/>
                <w:noProof/>
                <w:color w:val="000000"/>
                <w:sz w:val="18"/>
                <w:szCs w:val="18"/>
              </w:rPr>
            </w:pPr>
            <w:r>
              <w:rPr>
                <w:rFonts w:ascii="Calibri" w:hAnsi="Calibri"/>
                <w:i/>
                <w:noProof/>
                <w:color w:val="000000"/>
                <w:sz w:val="18"/>
              </w:rPr>
              <w:t>0,9</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1,1</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0,3</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0,3</w:t>
            </w:r>
          </w:p>
        </w:tc>
        <w:tc>
          <w:tcPr>
            <w:tcW w:w="1417"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1,7</w:t>
            </w:r>
          </w:p>
        </w:tc>
      </w:tr>
      <w:tr>
        <w:tc>
          <w:tcPr>
            <w:tcW w:w="2127" w:type="dxa"/>
            <w:shd w:val="clear" w:color="auto" w:fill="auto"/>
          </w:tcPr>
          <w:p>
            <w:pPr>
              <w:spacing w:before="60" w:after="60"/>
              <w:jc w:val="right"/>
              <w:rPr>
                <w:rFonts w:ascii="Calibri" w:eastAsia="Calibri" w:hAnsi="Calibri" w:cs="Calibri"/>
                <w:b/>
                <w:bCs/>
                <w:i/>
                <w:noProof/>
                <w:color w:val="000000"/>
                <w:sz w:val="18"/>
                <w:szCs w:val="18"/>
              </w:rPr>
            </w:pPr>
            <w:r>
              <w:rPr>
                <w:rFonts w:ascii="Calibri" w:hAnsi="Calibri"/>
                <w:b/>
                <w:i/>
                <w:noProof/>
                <w:color w:val="000000"/>
                <w:sz w:val="18"/>
              </w:rPr>
              <w:t>Бюджет за експлоатацията</w:t>
            </w:r>
          </w:p>
        </w:tc>
        <w:tc>
          <w:tcPr>
            <w:tcW w:w="1134" w:type="dxa"/>
            <w:vMerge/>
            <w:shd w:val="clear" w:color="auto" w:fill="auto"/>
            <w:vAlign w:val="center"/>
          </w:tcPr>
          <w:p>
            <w:pPr>
              <w:spacing w:before="60" w:after="60"/>
              <w:jc w:val="center"/>
              <w:rPr>
                <w:rFonts w:ascii="Calibri" w:eastAsia="Calibri" w:hAnsi="Calibri" w:cs="Calibri"/>
                <w:i/>
                <w:noProof/>
                <w:sz w:val="18"/>
                <w:szCs w:val="18"/>
              </w:rPr>
            </w:pPr>
          </w:p>
        </w:tc>
        <w:tc>
          <w:tcPr>
            <w:tcW w:w="1134" w:type="dxa"/>
            <w:shd w:val="clear" w:color="auto" w:fill="auto"/>
          </w:tcPr>
          <w:p>
            <w:pPr>
              <w:spacing w:before="60" w:after="60"/>
              <w:jc w:val="right"/>
              <w:rPr>
                <w:rFonts w:ascii="Calibri" w:eastAsia="Calibri" w:hAnsi="Calibri" w:cs="Calibri"/>
                <w:i/>
                <w:noProof/>
                <w:color w:val="000000"/>
                <w:sz w:val="18"/>
                <w:szCs w:val="18"/>
              </w:rPr>
            </w:pPr>
            <w:r>
              <w:rPr>
                <w:rFonts w:ascii="Calibri" w:hAnsi="Calibri"/>
                <w:i/>
                <w:noProof/>
                <w:color w:val="000000"/>
                <w:sz w:val="18"/>
              </w:rPr>
              <w:t>0,0</w:t>
            </w:r>
          </w:p>
        </w:tc>
        <w:tc>
          <w:tcPr>
            <w:tcW w:w="1134" w:type="dxa"/>
            <w:shd w:val="clear" w:color="auto" w:fill="auto"/>
            <w:vAlign w:val="center"/>
          </w:tcPr>
          <w:p>
            <w:pPr>
              <w:spacing w:before="60" w:after="60"/>
              <w:jc w:val="right"/>
              <w:rPr>
                <w:rFonts w:ascii="Calibri" w:eastAsia="Calibri" w:hAnsi="Calibri" w:cs="Calibri"/>
                <w:i/>
                <w:noProof/>
                <w:color w:val="000000"/>
                <w:sz w:val="18"/>
                <w:szCs w:val="18"/>
              </w:rPr>
            </w:pPr>
            <w:r>
              <w:rPr>
                <w:rFonts w:ascii="Calibri" w:hAnsi="Calibri"/>
                <w:i/>
                <w:noProof/>
                <w:color w:val="000000"/>
                <w:sz w:val="18"/>
              </w:rPr>
              <w:t>0,0</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0,2</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0,8</w:t>
            </w:r>
          </w:p>
        </w:tc>
        <w:tc>
          <w:tcPr>
            <w:tcW w:w="1417"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1,0</w:t>
            </w:r>
          </w:p>
        </w:tc>
      </w:tr>
      <w:tr>
        <w:tc>
          <w:tcPr>
            <w:tcW w:w="2127" w:type="dxa"/>
            <w:tcBorders>
              <w:bottom w:val="single" w:sz="4" w:space="0" w:color="auto"/>
            </w:tcBorders>
            <w:shd w:val="clear" w:color="auto" w:fill="auto"/>
          </w:tcPr>
          <w:p>
            <w:pPr>
              <w:spacing w:before="60" w:after="60"/>
              <w:jc w:val="both"/>
              <w:rPr>
                <w:rFonts w:ascii="Calibri" w:eastAsia="Calibri" w:hAnsi="Calibri" w:cs="Calibri"/>
                <w:noProof/>
                <w:sz w:val="18"/>
                <w:szCs w:val="18"/>
              </w:rPr>
            </w:pPr>
            <w:r>
              <w:rPr>
                <w:rFonts w:ascii="Calibri" w:hAnsi="Calibri"/>
                <w:b/>
                <w:noProof/>
                <w:color w:val="000000"/>
                <w:sz w:val="18"/>
              </w:rPr>
              <w:t>Апортна вноска на F4E</w:t>
            </w:r>
          </w:p>
        </w:tc>
        <w:tc>
          <w:tcPr>
            <w:tcW w:w="1134" w:type="dxa"/>
            <w:vMerge/>
            <w:shd w:val="clear" w:color="auto" w:fill="auto"/>
          </w:tcPr>
          <w:p>
            <w:pPr>
              <w:spacing w:before="60" w:after="60"/>
              <w:jc w:val="center"/>
              <w:rPr>
                <w:rFonts w:ascii="Calibri" w:eastAsia="Calibri" w:hAnsi="Calibri" w:cs="Calibri"/>
                <w:noProof/>
                <w:sz w:val="18"/>
                <w:szCs w:val="18"/>
              </w:rPr>
            </w:pPr>
          </w:p>
        </w:tc>
        <w:tc>
          <w:tcPr>
            <w:tcW w:w="1134" w:type="dxa"/>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1,9</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2,1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0,5</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0,4</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3,0</w:t>
            </w:r>
          </w:p>
        </w:tc>
      </w:tr>
      <w:tr>
        <w:tc>
          <w:tcPr>
            <w:tcW w:w="2127" w:type="dxa"/>
            <w:tcBorders>
              <w:bottom w:val="single" w:sz="4" w:space="0" w:color="auto"/>
            </w:tcBorders>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Управление на F4E</w:t>
            </w:r>
          </w:p>
        </w:tc>
        <w:tc>
          <w:tcPr>
            <w:tcW w:w="1134" w:type="dxa"/>
            <w:vMerge/>
            <w:shd w:val="clear" w:color="auto" w:fill="auto"/>
          </w:tcPr>
          <w:p>
            <w:pPr>
              <w:spacing w:before="60" w:after="60"/>
              <w:jc w:val="center"/>
              <w:rPr>
                <w:rFonts w:ascii="Calibri" w:eastAsia="Calibri" w:hAnsi="Calibri" w:cs="Calibri"/>
                <w:noProof/>
                <w:sz w:val="18"/>
                <w:szCs w:val="18"/>
              </w:rPr>
            </w:pPr>
          </w:p>
        </w:tc>
        <w:tc>
          <w:tcPr>
            <w:tcW w:w="1134" w:type="dxa"/>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0,3</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0,3</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0,4</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0,8</w:t>
            </w:r>
          </w:p>
        </w:tc>
      </w:tr>
      <w:tr>
        <w:tc>
          <w:tcPr>
            <w:tcW w:w="2127" w:type="dxa"/>
            <w:tcBorders>
              <w:bottom w:val="single" w:sz="4" w:space="0" w:color="auto"/>
            </w:tcBorders>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Други дейности на F4E</w:t>
            </w:r>
          </w:p>
        </w:tc>
        <w:tc>
          <w:tcPr>
            <w:tcW w:w="1134" w:type="dxa"/>
            <w:vMerge/>
            <w:shd w:val="clear" w:color="auto" w:fill="auto"/>
          </w:tcPr>
          <w:p>
            <w:pPr>
              <w:spacing w:before="60" w:after="60"/>
              <w:jc w:val="center"/>
              <w:rPr>
                <w:rFonts w:ascii="Calibri" w:eastAsia="Calibri" w:hAnsi="Calibri" w:cs="Calibri"/>
                <w:noProof/>
                <w:sz w:val="18"/>
                <w:szCs w:val="18"/>
              </w:rPr>
            </w:pP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0,4</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0,04</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0,5</w:t>
            </w:r>
          </w:p>
        </w:tc>
      </w:tr>
      <w:tr>
        <w:tc>
          <w:tcPr>
            <w:tcW w:w="2127" w:type="dxa"/>
            <w:tcBorders>
              <w:bottom w:val="single" w:sz="4" w:space="0" w:color="auto"/>
            </w:tcBorders>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Управление на проекта от страна на ЕК</w:t>
            </w:r>
          </w:p>
        </w:tc>
        <w:tc>
          <w:tcPr>
            <w:tcW w:w="1134" w:type="dxa"/>
            <w:vMerge/>
            <w:tcBorders>
              <w:bottom w:val="single" w:sz="4" w:space="0" w:color="auto"/>
            </w:tcBorders>
            <w:shd w:val="clear" w:color="auto" w:fill="auto"/>
          </w:tcPr>
          <w:p>
            <w:pPr>
              <w:spacing w:before="60" w:after="60"/>
              <w:jc w:val="center"/>
              <w:rPr>
                <w:rFonts w:ascii="Calibri" w:eastAsia="Calibri" w:hAnsi="Calibri" w:cs="Calibri"/>
                <w:noProof/>
                <w:sz w:val="18"/>
                <w:szCs w:val="18"/>
              </w:rPr>
            </w:pP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0,06</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0,04</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0,02</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0,07</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0,13</w:t>
            </w:r>
          </w:p>
        </w:tc>
      </w:tr>
      <w:tr>
        <w:tc>
          <w:tcPr>
            <w:tcW w:w="2127" w:type="dxa"/>
            <w:tcBorders>
              <w:bottom w:val="single" w:sz="4" w:space="0" w:color="auto"/>
            </w:tcBorders>
            <w:shd w:val="clear" w:color="auto" w:fill="DAEEF3"/>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Общо</w:t>
            </w:r>
            <w:bookmarkStart w:id="2" w:name="_Ref484171258"/>
            <w:r>
              <w:rPr>
                <w:rStyle w:val="FootnoteReference"/>
                <w:rFonts w:ascii="Calibri" w:hAnsi="Calibri"/>
                <w:b/>
                <w:noProof/>
                <w:color w:val="000000"/>
                <w:sz w:val="18"/>
              </w:rPr>
              <w:footnoteReference w:id="23"/>
            </w:r>
            <w:bookmarkEnd w:id="2"/>
          </w:p>
        </w:tc>
        <w:tc>
          <w:tcPr>
            <w:tcW w:w="1134" w:type="dxa"/>
            <w:tcBorders>
              <w:bottom w:val="single" w:sz="4" w:space="0" w:color="auto"/>
            </w:tcBorders>
            <w:shd w:val="clear" w:color="auto" w:fill="DAEEF3"/>
            <w:vAlign w:val="center"/>
          </w:tcPr>
          <w:p>
            <w:pPr>
              <w:spacing w:before="60" w:after="60"/>
              <w:jc w:val="center"/>
              <w:rPr>
                <w:rFonts w:ascii="Calibri" w:eastAsia="Calibri" w:hAnsi="Calibri" w:cs="Calibri"/>
                <w:noProof/>
                <w:sz w:val="18"/>
                <w:szCs w:val="18"/>
              </w:rPr>
            </w:pPr>
            <w:r>
              <w:rPr>
                <w:rFonts w:ascii="Calibri" w:hAnsi="Calibri"/>
                <w:noProof/>
                <w:sz w:val="18"/>
              </w:rPr>
              <w:t>3,2</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3,3</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3,9</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1,2</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2,0</w:t>
            </w:r>
          </w:p>
        </w:tc>
        <w:tc>
          <w:tcPr>
            <w:tcW w:w="1417" w:type="dxa"/>
            <w:tcBorders>
              <w:bottom w:val="double" w:sz="4" w:space="0" w:color="auto"/>
            </w:tcBorders>
            <w:shd w:val="clear" w:color="auto" w:fill="DAEEF3"/>
          </w:tcPr>
          <w:p>
            <w:pPr>
              <w:spacing w:before="60" w:after="60"/>
              <w:jc w:val="center"/>
              <w:rPr>
                <w:rFonts w:ascii="Calibri" w:eastAsia="Calibri" w:hAnsi="Calibri" w:cs="Calibri"/>
                <w:noProof/>
                <w:sz w:val="18"/>
                <w:szCs w:val="18"/>
              </w:rPr>
            </w:pPr>
            <w:r>
              <w:rPr>
                <w:rFonts w:ascii="Calibri" w:hAnsi="Calibri"/>
                <w:noProof/>
                <w:sz w:val="18"/>
              </w:rPr>
              <w:t>7,1</w:t>
            </w:r>
          </w:p>
        </w:tc>
      </w:tr>
    </w:tbl>
    <w:p>
      <w:pPr>
        <w:spacing w:after="0" w:line="240" w:lineRule="auto"/>
        <w:jc w:val="both"/>
        <w:rPr>
          <w:rFonts w:ascii="Times New Roman" w:hAnsi="Times New Roman" w:cs="Times New Roman"/>
          <w:noProof/>
          <w:sz w:val="20"/>
          <w:szCs w:val="20"/>
        </w:rPr>
      </w:pPr>
      <w:r>
        <w:rPr>
          <w:rFonts w:ascii="Times New Roman" w:hAnsi="Times New Roman"/>
          <w:b/>
          <w:noProof/>
          <w:sz w:val="20"/>
        </w:rPr>
        <w:t>Таблица 1.</w:t>
      </w:r>
      <w:r>
        <w:rPr>
          <w:rFonts w:ascii="Times New Roman" w:hAnsi="Times New Roman"/>
          <w:noProof/>
          <w:sz w:val="20"/>
        </w:rPr>
        <w:t xml:space="preserve"> Обобщение за вноската на Евратом по стойност от 2008 г. Всички числови стойности са в млрд. евро, срокът за „Първа плазма“ (ПП) е 2025 г., а за началото на цялостната експлоатация (ДТ) — 2035 г.</w:t>
      </w:r>
    </w:p>
    <w:p>
      <w:pPr>
        <w:spacing w:after="0" w:line="240" w:lineRule="auto"/>
        <w:jc w:val="both"/>
        <w:rPr>
          <w:rFonts w:ascii="Times New Roman" w:hAnsi="Times New Roman" w:cs="Times New Roman"/>
          <w:noProof/>
          <w:sz w:val="20"/>
          <w:szCs w:val="20"/>
        </w:rPr>
      </w:pPr>
      <w:r>
        <w:rPr>
          <w:rFonts w:ascii="Times New Roman" w:hAnsi="Times New Roman"/>
          <w:b/>
          <w:noProof/>
          <w:sz w:val="20"/>
        </w:rPr>
        <w:t>Общата парична вноска за IO (организацията ITER)</w:t>
      </w:r>
      <w:r>
        <w:rPr>
          <w:rFonts w:ascii="Times New Roman" w:hAnsi="Times New Roman"/>
          <w:noProof/>
          <w:sz w:val="20"/>
        </w:rPr>
        <w:t xml:space="preserve"> е разбита, както следва:</w:t>
      </w:r>
    </w:p>
    <w:p>
      <w:pPr>
        <w:spacing w:after="0" w:line="240" w:lineRule="auto"/>
        <w:ind w:left="284"/>
        <w:jc w:val="both"/>
        <w:rPr>
          <w:rFonts w:ascii="Times New Roman" w:hAnsi="Times New Roman" w:cs="Times New Roman"/>
          <w:noProof/>
          <w:sz w:val="20"/>
          <w:szCs w:val="20"/>
        </w:rPr>
      </w:pPr>
      <w:r>
        <w:rPr>
          <w:rFonts w:ascii="Times New Roman" w:hAnsi="Times New Roman"/>
          <w:b/>
          <w:noProof/>
          <w:sz w:val="20"/>
        </w:rPr>
        <w:t>Бюджет за изграждането</w:t>
      </w:r>
      <w:r>
        <w:rPr>
          <w:rFonts w:ascii="Times New Roman" w:hAnsi="Times New Roman"/>
          <w:noProof/>
          <w:sz w:val="20"/>
        </w:rPr>
        <w:t xml:space="preserve"> (дял 45,46 %), който включва разходите за дейности по окончателния монтаж след „Първа плазма“</w:t>
      </w:r>
      <w:r>
        <w:rPr>
          <w:noProof/>
        </w:rPr>
        <w:t>.</w:t>
      </w:r>
    </w:p>
    <w:p>
      <w:pPr>
        <w:spacing w:after="0" w:line="240" w:lineRule="auto"/>
        <w:ind w:left="284"/>
        <w:jc w:val="both"/>
        <w:rPr>
          <w:rFonts w:ascii="Times New Roman" w:hAnsi="Times New Roman" w:cs="Times New Roman"/>
          <w:noProof/>
          <w:sz w:val="20"/>
          <w:szCs w:val="20"/>
        </w:rPr>
      </w:pPr>
      <w:r>
        <w:rPr>
          <w:rFonts w:ascii="Times New Roman" w:hAnsi="Times New Roman"/>
          <w:b/>
          <w:noProof/>
          <w:sz w:val="20"/>
        </w:rPr>
        <w:t>Бюджет за експлоатацията</w:t>
      </w:r>
      <w:r>
        <w:rPr>
          <w:rFonts w:ascii="Times New Roman" w:hAnsi="Times New Roman"/>
          <w:noProof/>
          <w:sz w:val="20"/>
        </w:rPr>
        <w:t xml:space="preserve"> (дял 34 %), който включва: текущите разходи по реактора, резерв за осъвременяване на експлоатацията и за резервни части, разходи за извеждане от експлоатация и дезактивиране.</w:t>
      </w:r>
    </w:p>
    <w:p>
      <w:pPr>
        <w:spacing w:after="0" w:line="240" w:lineRule="auto"/>
        <w:jc w:val="both"/>
        <w:rPr>
          <w:rFonts w:ascii="Times New Roman" w:hAnsi="Times New Roman" w:cs="Times New Roman"/>
          <w:noProof/>
          <w:sz w:val="20"/>
          <w:szCs w:val="20"/>
        </w:rPr>
      </w:pPr>
      <w:r>
        <w:rPr>
          <w:rFonts w:ascii="Times New Roman" w:hAnsi="Times New Roman"/>
          <w:b/>
          <w:noProof/>
          <w:sz w:val="20"/>
        </w:rPr>
        <w:t>Апортната вноска на F4E</w:t>
      </w:r>
      <w:r>
        <w:rPr>
          <w:rFonts w:ascii="Times New Roman" w:hAnsi="Times New Roman"/>
          <w:noProof/>
          <w:sz w:val="20"/>
        </w:rPr>
        <w:t xml:space="preserve"> включва разходите за всички договори за предоставяне на апортната вноска на Евратом, като се вземат предвид прогнозните приходи от възвръщаемостта на средствата в резервния фонд.</w:t>
      </w:r>
    </w:p>
    <w:p>
      <w:pPr>
        <w:spacing w:after="0" w:line="240" w:lineRule="auto"/>
        <w:jc w:val="both"/>
        <w:rPr>
          <w:rFonts w:ascii="Times New Roman" w:hAnsi="Times New Roman" w:cs="Times New Roman"/>
          <w:noProof/>
          <w:sz w:val="20"/>
          <w:szCs w:val="20"/>
        </w:rPr>
      </w:pPr>
      <w:r>
        <w:rPr>
          <w:rFonts w:ascii="Times New Roman" w:hAnsi="Times New Roman"/>
          <w:b/>
          <w:noProof/>
          <w:sz w:val="20"/>
        </w:rPr>
        <w:t>По „Управление на F4E“</w:t>
      </w:r>
      <w:r>
        <w:rPr>
          <w:rFonts w:ascii="Times New Roman" w:hAnsi="Times New Roman"/>
          <w:noProof/>
          <w:sz w:val="20"/>
        </w:rPr>
        <w:t xml:space="preserve"> се дава горна граница за административните разходи на F4E.</w:t>
      </w:r>
    </w:p>
    <w:p>
      <w:pPr>
        <w:spacing w:after="0" w:line="240" w:lineRule="auto"/>
        <w:jc w:val="both"/>
        <w:rPr>
          <w:rFonts w:ascii="Times New Roman" w:hAnsi="Times New Roman" w:cs="Times New Roman"/>
          <w:noProof/>
          <w:sz w:val="20"/>
          <w:szCs w:val="20"/>
        </w:rPr>
      </w:pPr>
      <w:r>
        <w:rPr>
          <w:rFonts w:ascii="Times New Roman" w:hAnsi="Times New Roman"/>
          <w:b/>
          <w:noProof/>
          <w:sz w:val="20"/>
        </w:rPr>
        <w:t>„Други дейности“</w:t>
      </w:r>
      <w:r>
        <w:rPr>
          <w:rFonts w:ascii="Times New Roman" w:hAnsi="Times New Roman"/>
          <w:noProof/>
          <w:sz w:val="20"/>
        </w:rPr>
        <w:t xml:space="preserve"> включва: TBM, DEMO, DONES, експлоатация на JT60-SA, парични средства за Япония и други второстепенни хоризонтални дейности.</w:t>
      </w:r>
    </w:p>
    <w:p>
      <w:pPr>
        <w:spacing w:after="0" w:line="240" w:lineRule="auto"/>
        <w:jc w:val="both"/>
        <w:rPr>
          <w:rFonts w:ascii="Calibri" w:eastAsia="Calibri" w:hAnsi="Calibri" w:cs="Times New Roman"/>
          <w:noProof/>
        </w:rPr>
      </w:pPr>
      <w:r>
        <w:rPr>
          <w:rFonts w:ascii="Times New Roman" w:hAnsi="Times New Roman"/>
          <w:b/>
          <w:noProof/>
          <w:sz w:val="20"/>
        </w:rPr>
        <w:t xml:space="preserve">Управление на проекта от страна на ЕК </w:t>
      </w:r>
      <w:r>
        <w:rPr>
          <w:rFonts w:ascii="Times New Roman" w:hAnsi="Times New Roman"/>
          <w:noProof/>
          <w:sz w:val="20"/>
        </w:rPr>
        <w:t>представлява средните административни разходи на Европейската комисия по проекта. Стойностите след 2020 г. са въз основа на средния бюджет за периода 2014—2020 г. (0,67 млн. евро текуща стойност).</w:t>
      </w:r>
    </w:p>
    <w:p>
      <w:pPr>
        <w:spacing w:after="0" w:line="240" w:lineRule="auto"/>
        <w:jc w:val="both"/>
        <w:rPr>
          <w:rFonts w:ascii="Calibri" w:eastAsia="Calibri" w:hAnsi="Calibri" w:cs="Times New Roman"/>
          <w:noProof/>
        </w:rPr>
      </w:pPr>
    </w:p>
    <w:p>
      <w:pPr>
        <w:spacing w:after="120"/>
        <w:jc w:val="both"/>
        <w:rPr>
          <w:rFonts w:ascii="Times New Roman" w:hAnsi="Times New Roman" w:cs="Times New Roman"/>
          <w:noProof/>
          <w:sz w:val="24"/>
          <w:szCs w:val="24"/>
        </w:rPr>
      </w:pPr>
      <w:r>
        <w:rPr>
          <w:rFonts w:ascii="Times New Roman" w:hAnsi="Times New Roman"/>
          <w:noProof/>
          <w:sz w:val="24"/>
        </w:rPr>
        <w:t>Като се сумират общите прогнозни оценки за паричните и апортните вноски в организацията ITER, сега общата допълнителна вноска на Евратом (чрез бюджета на „Термоядрен синтез за енергия“) от 2021 г. до края на 2035 г. се оценява на около 5,7 млрд. евро (8,4 млрд. евро в текущи стойности). Като се добавят оперативните разходи на администрацията на предприятието „Термоядрен синтез за енергия“ (в размер до 0,8 млрд. евро), разходите на „Термоядрен синтез за енергия“ за други дейности, като например за тестовия общ модул и и по-широкообхватния подход (0,5 млрд. евро), и средните административни разходи на Европейската комисия по проекта (0,13 млрд. евро), общият размер на средствата за Евратом за същия период се оценява на 7,1 млрд. евро (10,4 млрд. евро в текущи стойности). Трябва да се отбележи, че Съветът на ITER от ноември 2016 г. поиска от организацията ITER да направи допълнителни икономии на разходи.</w:t>
      </w:r>
    </w:p>
    <w:p>
      <w:pPr>
        <w:spacing w:after="120"/>
        <w:jc w:val="both"/>
        <w:rPr>
          <w:rFonts w:ascii="Times New Roman" w:hAnsi="Times New Roman" w:cs="Times New Roman"/>
          <w:noProof/>
          <w:sz w:val="24"/>
          <w:szCs w:val="24"/>
        </w:rPr>
      </w:pPr>
      <w:r>
        <w:rPr>
          <w:rFonts w:ascii="Times New Roman" w:hAnsi="Times New Roman"/>
          <w:noProof/>
          <w:sz w:val="24"/>
        </w:rPr>
        <w:t>Горепосочените числови стойности представляват общата вноска на Евратом за изграждането на ITER</w:t>
      </w:r>
      <w:r>
        <w:rPr>
          <w:rStyle w:val="FootnoteReference"/>
          <w:rFonts w:ascii="Times New Roman" w:hAnsi="Times New Roman"/>
          <w:noProof/>
          <w:sz w:val="24"/>
        </w:rPr>
        <w:footnoteReference w:id="24"/>
      </w:r>
      <w:r>
        <w:rPr>
          <w:rFonts w:ascii="Times New Roman" w:hAnsi="Times New Roman"/>
          <w:noProof/>
          <w:sz w:val="24"/>
        </w:rPr>
        <w:t>. Пълен преглед на предвижданото разпределение на европейските средства, необходими за проекта ITER, се дава в таблица 4 от работния документ на службите на Комисията. В тази таблица се дава и прогнозната оценка за средните административни разходи на Европейската комисия по проекта, административните разходи на „Термоядрен синтез за енергия“ и разходите на „Термоядрен синтез за енергия“ за дейности, свързани с ITER.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134"/>
        <w:gridCol w:w="1134"/>
        <w:gridCol w:w="1134"/>
        <w:gridCol w:w="1134"/>
        <w:gridCol w:w="1417"/>
      </w:tblGrid>
      <w:tr>
        <w:tc>
          <w:tcPr>
            <w:tcW w:w="2127" w:type="dxa"/>
            <w:shd w:val="clear" w:color="auto" w:fill="auto"/>
            <w:vAlign w:val="center"/>
          </w:tcPr>
          <w:p>
            <w:pPr>
              <w:spacing w:before="60" w:after="60" w:line="240" w:lineRule="auto"/>
              <w:jc w:val="center"/>
              <w:rPr>
                <w:rFonts w:ascii="Calibri" w:eastAsia="Calibri" w:hAnsi="Calibri" w:cs="Calibri"/>
                <w:b/>
                <w:noProof/>
                <w:color w:val="FF0000"/>
                <w:sz w:val="18"/>
                <w:szCs w:val="18"/>
              </w:rPr>
            </w:pPr>
            <w:r>
              <w:rPr>
                <w:rFonts w:ascii="Calibri" w:hAnsi="Calibri"/>
                <w:b/>
                <w:noProof/>
                <w:color w:val="FF0000"/>
                <w:sz w:val="18"/>
              </w:rPr>
              <w:t>Вноски на Евратом</w:t>
            </w:r>
          </w:p>
          <w:p>
            <w:pPr>
              <w:spacing w:before="60" w:after="60" w:line="240" w:lineRule="auto"/>
              <w:jc w:val="center"/>
              <w:rPr>
                <w:rFonts w:ascii="Calibri" w:eastAsia="Calibri" w:hAnsi="Calibri" w:cs="Calibri"/>
                <w:b/>
                <w:noProof/>
                <w:sz w:val="18"/>
                <w:szCs w:val="18"/>
              </w:rPr>
            </w:pPr>
            <w:r>
              <w:rPr>
                <w:rFonts w:ascii="Calibri" w:hAnsi="Calibri"/>
                <w:b/>
                <w:noProof/>
                <w:color w:val="FF0000"/>
                <w:sz w:val="18"/>
              </w:rPr>
              <w:t>текуща стойност</w:t>
            </w:r>
          </w:p>
        </w:tc>
        <w:tc>
          <w:tcPr>
            <w:tcW w:w="2268" w:type="dxa"/>
            <w:gridSpan w:val="2"/>
            <w:shd w:val="clear" w:color="auto" w:fill="auto"/>
          </w:tcPr>
          <w:p>
            <w:pPr>
              <w:spacing w:before="60" w:after="60"/>
              <w:jc w:val="center"/>
              <w:rPr>
                <w:rFonts w:ascii="Calibri" w:eastAsia="Calibri" w:hAnsi="Calibri" w:cs="Calibri"/>
                <w:b/>
                <w:noProof/>
                <w:sz w:val="18"/>
                <w:szCs w:val="18"/>
              </w:rPr>
            </w:pPr>
            <w:r>
              <w:rPr>
                <w:rFonts w:ascii="Calibri" w:hAnsi="Calibri"/>
                <w:b/>
                <w:noProof/>
                <w:sz w:val="18"/>
              </w:rPr>
              <w:t>До края на текущия период на МФР</w:t>
            </w:r>
          </w:p>
          <w:p>
            <w:pPr>
              <w:spacing w:before="60" w:after="60"/>
              <w:jc w:val="center"/>
              <w:rPr>
                <w:rFonts w:ascii="Calibri" w:eastAsia="Calibri" w:hAnsi="Calibri" w:cs="Calibri"/>
                <w:b/>
                <w:noProof/>
                <w:sz w:val="18"/>
                <w:szCs w:val="18"/>
              </w:rPr>
            </w:pPr>
          </w:p>
        </w:tc>
        <w:tc>
          <w:tcPr>
            <w:tcW w:w="1134" w:type="dxa"/>
            <w:shd w:val="clear" w:color="auto" w:fill="auto"/>
            <w:vAlign w:val="center"/>
          </w:tcPr>
          <w:p>
            <w:pPr>
              <w:spacing w:before="60" w:after="60"/>
              <w:jc w:val="center"/>
              <w:rPr>
                <w:rFonts w:ascii="Calibri" w:eastAsia="Calibri" w:hAnsi="Calibri" w:cs="Calibri"/>
                <w:b/>
                <w:noProof/>
                <w:sz w:val="18"/>
                <w:szCs w:val="18"/>
              </w:rPr>
            </w:pPr>
            <w:r>
              <w:rPr>
                <w:rFonts w:ascii="Calibri" w:hAnsi="Calibri"/>
                <w:b/>
                <w:noProof/>
                <w:sz w:val="18"/>
              </w:rPr>
              <w:t>До ПП</w:t>
            </w:r>
          </w:p>
        </w:tc>
        <w:tc>
          <w:tcPr>
            <w:tcW w:w="2268" w:type="dxa"/>
            <w:gridSpan w:val="2"/>
            <w:shd w:val="clear" w:color="auto" w:fill="auto"/>
            <w:vAlign w:val="center"/>
          </w:tcPr>
          <w:p>
            <w:pPr>
              <w:spacing w:before="60" w:after="60"/>
              <w:jc w:val="center"/>
              <w:rPr>
                <w:rFonts w:ascii="Calibri" w:eastAsia="Calibri" w:hAnsi="Calibri" w:cs="Calibri"/>
                <w:b/>
                <w:noProof/>
                <w:sz w:val="18"/>
                <w:szCs w:val="18"/>
              </w:rPr>
            </w:pPr>
            <w:r>
              <w:rPr>
                <w:rFonts w:ascii="Calibri" w:hAnsi="Calibri"/>
                <w:b/>
                <w:noProof/>
                <w:sz w:val="18"/>
              </w:rPr>
              <w:t>От ПП до ДТ</w:t>
            </w:r>
          </w:p>
        </w:tc>
        <w:tc>
          <w:tcPr>
            <w:tcW w:w="1417" w:type="dxa"/>
            <w:shd w:val="clear" w:color="auto" w:fill="auto"/>
          </w:tcPr>
          <w:p>
            <w:pPr>
              <w:spacing w:before="60" w:after="60"/>
              <w:jc w:val="both"/>
              <w:rPr>
                <w:rFonts w:ascii="Calibri" w:eastAsia="Calibri" w:hAnsi="Calibri" w:cs="Calibri"/>
                <w:b/>
                <w:noProof/>
                <w:sz w:val="18"/>
                <w:szCs w:val="18"/>
              </w:rPr>
            </w:pPr>
          </w:p>
        </w:tc>
      </w:tr>
      <w:tr>
        <w:tc>
          <w:tcPr>
            <w:tcW w:w="2127" w:type="dxa"/>
            <w:shd w:val="clear" w:color="auto" w:fill="auto"/>
          </w:tcPr>
          <w:p>
            <w:pPr>
              <w:spacing w:before="60" w:after="60"/>
              <w:jc w:val="both"/>
              <w:rPr>
                <w:rFonts w:ascii="Calibri" w:eastAsia="Calibri" w:hAnsi="Calibri" w:cs="Calibri"/>
                <w:noProof/>
                <w:sz w:val="18"/>
                <w:szCs w:val="18"/>
              </w:rPr>
            </w:pPr>
          </w:p>
        </w:tc>
        <w:tc>
          <w:tcPr>
            <w:tcW w:w="1134" w:type="dxa"/>
            <w:shd w:val="clear" w:color="auto" w:fill="auto"/>
          </w:tcPr>
          <w:p>
            <w:pPr>
              <w:spacing w:before="60" w:after="60"/>
              <w:jc w:val="center"/>
              <w:rPr>
                <w:rFonts w:ascii="Calibri" w:eastAsia="Calibri" w:hAnsi="Calibri" w:cs="Calibri"/>
                <w:b/>
                <w:noProof/>
                <w:sz w:val="18"/>
                <w:szCs w:val="18"/>
              </w:rPr>
            </w:pPr>
            <w:r>
              <w:rPr>
                <w:rFonts w:ascii="Calibri" w:hAnsi="Calibri"/>
                <w:b/>
                <w:noProof/>
                <w:sz w:val="18"/>
              </w:rPr>
              <w:t>2007—2013 г.</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2014—2020 г.</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2021—2025 г.</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2026—2027 г.</w:t>
            </w:r>
          </w:p>
        </w:tc>
        <w:tc>
          <w:tcPr>
            <w:tcW w:w="1134"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2028—2035 г.</w:t>
            </w:r>
          </w:p>
        </w:tc>
        <w:tc>
          <w:tcPr>
            <w:tcW w:w="1417" w:type="dxa"/>
            <w:shd w:val="clear" w:color="auto" w:fill="auto"/>
          </w:tcPr>
          <w:p>
            <w:pPr>
              <w:spacing w:before="60" w:after="60"/>
              <w:jc w:val="center"/>
              <w:rPr>
                <w:rFonts w:ascii="Calibri" w:eastAsia="Calibri" w:hAnsi="Calibri" w:cs="Calibri"/>
                <w:b/>
                <w:bCs/>
                <w:noProof/>
                <w:color w:val="000000"/>
                <w:sz w:val="18"/>
                <w:szCs w:val="18"/>
              </w:rPr>
            </w:pPr>
            <w:r>
              <w:rPr>
                <w:rFonts w:ascii="Calibri" w:hAnsi="Calibri"/>
                <w:b/>
                <w:noProof/>
                <w:color w:val="000000"/>
                <w:sz w:val="18"/>
              </w:rPr>
              <w:t>Общо</w:t>
            </w:r>
            <w:r>
              <w:rPr>
                <w:rStyle w:val="FootnoteReference"/>
                <w:noProof/>
              </w:rPr>
              <w:fldChar w:fldCharType="begin"/>
            </w:r>
            <w:r>
              <w:rPr>
                <w:rStyle w:val="FootnoteReference"/>
                <w:noProof/>
              </w:rPr>
              <w:instrText xml:space="preserve"> NOTEREF _Ref484171258 \h  \* MERGEFORMAT </w:instrText>
            </w:r>
            <w:r>
              <w:rPr>
                <w:rStyle w:val="FootnoteReference"/>
                <w:noProof/>
              </w:rPr>
            </w:r>
            <w:r>
              <w:rPr>
                <w:rStyle w:val="FootnoteReference"/>
                <w:noProof/>
              </w:rPr>
              <w:fldChar w:fldCharType="separate"/>
            </w:r>
            <w:r>
              <w:rPr>
                <w:rStyle w:val="FootnoteReference"/>
                <w:noProof/>
              </w:rPr>
              <w:t>22</w:t>
            </w:r>
            <w:r>
              <w:rPr>
                <w:rStyle w:val="FootnoteReference"/>
                <w:noProof/>
              </w:rPr>
              <w:fldChar w:fldCharType="end"/>
            </w:r>
            <w:r>
              <w:rPr>
                <w:rFonts w:ascii="Calibri" w:hAnsi="Calibri"/>
                <w:b/>
                <w:noProof/>
                <w:color w:val="000000"/>
                <w:sz w:val="18"/>
              </w:rPr>
              <w:t xml:space="preserve"> след 2020 г.</w:t>
            </w:r>
          </w:p>
        </w:tc>
      </w:tr>
      <w:tr>
        <w:tc>
          <w:tcPr>
            <w:tcW w:w="2127" w:type="dxa"/>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Обща парична вноска на F4E за IO</w:t>
            </w:r>
          </w:p>
        </w:tc>
        <w:tc>
          <w:tcPr>
            <w:tcW w:w="1134" w:type="dxa"/>
            <w:vMerge w:val="restart"/>
            <w:shd w:val="clear" w:color="auto" w:fill="auto"/>
            <w:vAlign w:val="center"/>
          </w:tcPr>
          <w:p>
            <w:pPr>
              <w:spacing w:before="60" w:after="60"/>
              <w:jc w:val="center"/>
              <w:rPr>
                <w:rFonts w:ascii="Calibri" w:eastAsia="Calibri" w:hAnsi="Calibri" w:cs="Calibri"/>
                <w:noProof/>
                <w:sz w:val="18"/>
                <w:szCs w:val="18"/>
              </w:rPr>
            </w:pPr>
            <w:r>
              <w:rPr>
                <w:rFonts w:ascii="Calibri" w:hAnsi="Calibri"/>
                <w:noProof/>
                <w:sz w:val="18"/>
              </w:rPr>
              <w:t>3,5</w:t>
            </w:r>
          </w:p>
        </w:tc>
        <w:tc>
          <w:tcPr>
            <w:tcW w:w="1134" w:type="dxa"/>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1,1</w:t>
            </w:r>
          </w:p>
        </w:tc>
        <w:tc>
          <w:tcPr>
            <w:tcW w:w="1134" w:type="dxa"/>
            <w:shd w:val="clear" w:color="auto" w:fill="auto"/>
            <w:vAlign w:val="center"/>
          </w:tcPr>
          <w:p>
            <w:pPr>
              <w:spacing w:before="60" w:after="60"/>
              <w:jc w:val="center"/>
              <w:rPr>
                <w:rFonts w:ascii="Calibri" w:eastAsia="Calibri" w:hAnsi="Calibri" w:cs="Calibri"/>
                <w:noProof/>
                <w:color w:val="000000"/>
                <w:sz w:val="18"/>
                <w:szCs w:val="18"/>
              </w:rPr>
            </w:pPr>
            <w:r>
              <w:rPr>
                <w:rFonts w:ascii="Calibri" w:hAnsi="Calibri"/>
                <w:noProof/>
                <w:color w:val="000000"/>
                <w:sz w:val="18"/>
              </w:rPr>
              <w:t>1,5</w:t>
            </w:r>
          </w:p>
        </w:tc>
        <w:tc>
          <w:tcPr>
            <w:tcW w:w="1134" w:type="dxa"/>
            <w:shd w:val="clear" w:color="auto" w:fill="auto"/>
            <w:vAlign w:val="center"/>
          </w:tcPr>
          <w:p>
            <w:pPr>
              <w:spacing w:before="60" w:after="60"/>
              <w:jc w:val="center"/>
              <w:rPr>
                <w:rFonts w:ascii="Calibri" w:eastAsia="Calibri" w:hAnsi="Calibri" w:cs="Calibri"/>
                <w:noProof/>
                <w:sz w:val="18"/>
                <w:szCs w:val="18"/>
              </w:rPr>
            </w:pPr>
            <w:r>
              <w:rPr>
                <w:rFonts w:ascii="Calibri" w:hAnsi="Calibri"/>
                <w:noProof/>
                <w:sz w:val="18"/>
              </w:rPr>
              <w:t>0,7</w:t>
            </w:r>
          </w:p>
        </w:tc>
        <w:tc>
          <w:tcPr>
            <w:tcW w:w="1134" w:type="dxa"/>
            <w:shd w:val="clear" w:color="auto" w:fill="auto"/>
            <w:vAlign w:val="center"/>
          </w:tcPr>
          <w:p>
            <w:pPr>
              <w:spacing w:before="60" w:after="60"/>
              <w:jc w:val="center"/>
              <w:rPr>
                <w:rFonts w:ascii="Calibri" w:eastAsia="Calibri" w:hAnsi="Calibri" w:cs="Calibri"/>
                <w:noProof/>
                <w:sz w:val="18"/>
                <w:szCs w:val="18"/>
              </w:rPr>
            </w:pPr>
            <w:r>
              <w:rPr>
                <w:rFonts w:ascii="Calibri" w:hAnsi="Calibri"/>
                <w:noProof/>
                <w:sz w:val="18"/>
              </w:rPr>
              <w:t>1,6</w:t>
            </w:r>
          </w:p>
        </w:tc>
        <w:tc>
          <w:tcPr>
            <w:tcW w:w="1417" w:type="dxa"/>
            <w:shd w:val="clear" w:color="auto" w:fill="auto"/>
            <w:vAlign w:val="center"/>
          </w:tcPr>
          <w:p>
            <w:pPr>
              <w:spacing w:before="60" w:after="60"/>
              <w:jc w:val="center"/>
              <w:rPr>
                <w:rFonts w:ascii="Calibri" w:eastAsia="Calibri" w:hAnsi="Calibri" w:cs="Calibri"/>
                <w:noProof/>
                <w:sz w:val="18"/>
                <w:szCs w:val="18"/>
              </w:rPr>
            </w:pPr>
            <w:r>
              <w:rPr>
                <w:rFonts w:ascii="Calibri" w:hAnsi="Calibri"/>
                <w:noProof/>
                <w:sz w:val="18"/>
              </w:rPr>
              <w:t>3,8</w:t>
            </w:r>
          </w:p>
        </w:tc>
      </w:tr>
      <w:tr>
        <w:tc>
          <w:tcPr>
            <w:tcW w:w="2127" w:type="dxa"/>
            <w:shd w:val="clear" w:color="auto" w:fill="auto"/>
          </w:tcPr>
          <w:p>
            <w:pPr>
              <w:spacing w:before="60" w:after="60"/>
              <w:jc w:val="right"/>
              <w:rPr>
                <w:rFonts w:ascii="Calibri" w:eastAsia="Calibri" w:hAnsi="Calibri" w:cs="Calibri"/>
                <w:i/>
                <w:noProof/>
                <w:sz w:val="18"/>
                <w:szCs w:val="18"/>
              </w:rPr>
            </w:pPr>
            <w:r>
              <w:rPr>
                <w:rFonts w:ascii="Calibri" w:hAnsi="Calibri"/>
                <w:b/>
                <w:i/>
                <w:noProof/>
                <w:color w:val="000000"/>
                <w:sz w:val="18"/>
              </w:rPr>
              <w:t>изграждане</w:t>
            </w:r>
          </w:p>
        </w:tc>
        <w:tc>
          <w:tcPr>
            <w:tcW w:w="1134" w:type="dxa"/>
            <w:vMerge/>
            <w:shd w:val="clear" w:color="auto" w:fill="auto"/>
            <w:vAlign w:val="center"/>
          </w:tcPr>
          <w:p>
            <w:pPr>
              <w:spacing w:before="60" w:after="60"/>
              <w:jc w:val="center"/>
              <w:rPr>
                <w:rFonts w:ascii="Calibri" w:eastAsia="Calibri" w:hAnsi="Calibri" w:cs="Calibri"/>
                <w:i/>
                <w:noProof/>
                <w:sz w:val="18"/>
                <w:szCs w:val="18"/>
              </w:rPr>
            </w:pPr>
          </w:p>
        </w:tc>
        <w:tc>
          <w:tcPr>
            <w:tcW w:w="1134" w:type="dxa"/>
            <w:shd w:val="clear" w:color="auto" w:fill="auto"/>
          </w:tcPr>
          <w:p>
            <w:pPr>
              <w:spacing w:before="60" w:after="60"/>
              <w:jc w:val="right"/>
              <w:rPr>
                <w:rFonts w:ascii="Calibri" w:eastAsia="Calibri" w:hAnsi="Calibri" w:cs="Calibri"/>
                <w:i/>
                <w:noProof/>
                <w:color w:val="000000"/>
                <w:sz w:val="18"/>
                <w:szCs w:val="18"/>
              </w:rPr>
            </w:pPr>
            <w:r>
              <w:rPr>
                <w:rFonts w:ascii="Calibri" w:hAnsi="Calibri"/>
                <w:i/>
                <w:noProof/>
                <w:color w:val="000000"/>
                <w:sz w:val="18"/>
              </w:rPr>
              <w:t>1,1</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1,4</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0,4</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0,4</w:t>
            </w:r>
          </w:p>
        </w:tc>
        <w:tc>
          <w:tcPr>
            <w:tcW w:w="1417"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2,2</w:t>
            </w:r>
          </w:p>
        </w:tc>
      </w:tr>
      <w:tr>
        <w:tc>
          <w:tcPr>
            <w:tcW w:w="2127" w:type="dxa"/>
            <w:shd w:val="clear" w:color="auto" w:fill="auto"/>
          </w:tcPr>
          <w:p>
            <w:pPr>
              <w:spacing w:before="60" w:after="60"/>
              <w:jc w:val="right"/>
              <w:rPr>
                <w:rFonts w:ascii="Calibri" w:eastAsia="Calibri" w:hAnsi="Calibri" w:cs="Calibri"/>
                <w:b/>
                <w:bCs/>
                <w:i/>
                <w:noProof/>
                <w:color w:val="000000"/>
                <w:sz w:val="18"/>
                <w:szCs w:val="18"/>
              </w:rPr>
            </w:pPr>
            <w:r>
              <w:rPr>
                <w:rFonts w:ascii="Calibri" w:hAnsi="Calibri"/>
                <w:b/>
                <w:i/>
                <w:noProof/>
                <w:color w:val="000000"/>
                <w:sz w:val="18"/>
              </w:rPr>
              <w:t>експлоатация</w:t>
            </w:r>
          </w:p>
        </w:tc>
        <w:tc>
          <w:tcPr>
            <w:tcW w:w="1134" w:type="dxa"/>
            <w:vMerge/>
            <w:shd w:val="clear" w:color="auto" w:fill="auto"/>
            <w:vAlign w:val="center"/>
          </w:tcPr>
          <w:p>
            <w:pPr>
              <w:spacing w:before="60" w:after="60"/>
              <w:jc w:val="center"/>
              <w:rPr>
                <w:rFonts w:ascii="Calibri" w:eastAsia="Calibri" w:hAnsi="Calibri" w:cs="Calibri"/>
                <w:i/>
                <w:noProof/>
                <w:sz w:val="18"/>
                <w:szCs w:val="18"/>
              </w:rPr>
            </w:pPr>
          </w:p>
        </w:tc>
        <w:tc>
          <w:tcPr>
            <w:tcW w:w="1134" w:type="dxa"/>
            <w:shd w:val="clear" w:color="auto" w:fill="auto"/>
          </w:tcPr>
          <w:p>
            <w:pPr>
              <w:spacing w:before="60" w:after="60"/>
              <w:jc w:val="right"/>
              <w:rPr>
                <w:rFonts w:ascii="Calibri" w:eastAsia="Calibri" w:hAnsi="Calibri" w:cs="Calibri"/>
                <w:i/>
                <w:noProof/>
                <w:color w:val="000000"/>
                <w:sz w:val="18"/>
                <w:szCs w:val="18"/>
              </w:rPr>
            </w:pPr>
            <w:r>
              <w:rPr>
                <w:rFonts w:ascii="Calibri" w:hAnsi="Calibri"/>
                <w:i/>
                <w:noProof/>
                <w:color w:val="000000"/>
                <w:sz w:val="18"/>
              </w:rPr>
              <w:t>0,0</w:t>
            </w:r>
          </w:p>
        </w:tc>
        <w:tc>
          <w:tcPr>
            <w:tcW w:w="1134" w:type="dxa"/>
            <w:shd w:val="clear" w:color="auto" w:fill="auto"/>
            <w:vAlign w:val="center"/>
          </w:tcPr>
          <w:p>
            <w:pPr>
              <w:spacing w:before="60" w:after="60"/>
              <w:jc w:val="right"/>
              <w:rPr>
                <w:rFonts w:ascii="Calibri" w:eastAsia="Calibri" w:hAnsi="Calibri" w:cs="Calibri"/>
                <w:i/>
                <w:noProof/>
                <w:color w:val="000000"/>
                <w:sz w:val="18"/>
                <w:szCs w:val="18"/>
              </w:rPr>
            </w:pPr>
            <w:r>
              <w:rPr>
                <w:rFonts w:ascii="Calibri" w:hAnsi="Calibri"/>
                <w:i/>
                <w:noProof/>
                <w:color w:val="000000"/>
                <w:sz w:val="18"/>
              </w:rPr>
              <w:t>0,1</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0,3</w:t>
            </w:r>
          </w:p>
        </w:tc>
        <w:tc>
          <w:tcPr>
            <w:tcW w:w="1134"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1,2</w:t>
            </w:r>
          </w:p>
        </w:tc>
        <w:tc>
          <w:tcPr>
            <w:tcW w:w="1417" w:type="dxa"/>
            <w:shd w:val="clear" w:color="auto" w:fill="auto"/>
            <w:vAlign w:val="center"/>
          </w:tcPr>
          <w:p>
            <w:pPr>
              <w:spacing w:before="60" w:after="60"/>
              <w:jc w:val="right"/>
              <w:rPr>
                <w:rFonts w:ascii="Calibri" w:eastAsia="Calibri" w:hAnsi="Calibri" w:cs="Calibri"/>
                <w:i/>
                <w:noProof/>
                <w:sz w:val="18"/>
                <w:szCs w:val="18"/>
              </w:rPr>
            </w:pPr>
            <w:r>
              <w:rPr>
                <w:rFonts w:ascii="Calibri" w:hAnsi="Calibri"/>
                <w:i/>
                <w:noProof/>
                <w:sz w:val="18"/>
              </w:rPr>
              <w:t>1,6</w:t>
            </w:r>
          </w:p>
        </w:tc>
      </w:tr>
      <w:tr>
        <w:tc>
          <w:tcPr>
            <w:tcW w:w="2127" w:type="dxa"/>
            <w:tcBorders>
              <w:bottom w:val="single" w:sz="4" w:space="0" w:color="auto"/>
            </w:tcBorders>
            <w:shd w:val="clear" w:color="auto" w:fill="auto"/>
          </w:tcPr>
          <w:p>
            <w:pPr>
              <w:spacing w:before="60" w:after="60"/>
              <w:jc w:val="both"/>
              <w:rPr>
                <w:rFonts w:ascii="Calibri" w:eastAsia="Calibri" w:hAnsi="Calibri" w:cs="Calibri"/>
                <w:noProof/>
                <w:sz w:val="18"/>
                <w:szCs w:val="18"/>
              </w:rPr>
            </w:pPr>
            <w:r>
              <w:rPr>
                <w:rFonts w:ascii="Calibri" w:hAnsi="Calibri"/>
                <w:b/>
                <w:noProof/>
                <w:color w:val="000000"/>
                <w:sz w:val="18"/>
              </w:rPr>
              <w:t>Апортна вноска на F4E</w:t>
            </w:r>
          </w:p>
        </w:tc>
        <w:tc>
          <w:tcPr>
            <w:tcW w:w="1134" w:type="dxa"/>
            <w:vMerge/>
            <w:shd w:val="clear" w:color="auto" w:fill="auto"/>
          </w:tcPr>
          <w:p>
            <w:pPr>
              <w:spacing w:before="60" w:after="60"/>
              <w:jc w:val="center"/>
              <w:rPr>
                <w:rFonts w:ascii="Calibri" w:eastAsia="Calibri" w:hAnsi="Calibri" w:cs="Calibri"/>
                <w:noProof/>
                <w:sz w:val="18"/>
                <w:szCs w:val="18"/>
              </w:rPr>
            </w:pPr>
          </w:p>
        </w:tc>
        <w:tc>
          <w:tcPr>
            <w:tcW w:w="1134" w:type="dxa"/>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2,5</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3,1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0,8</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0,7</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4,6</w:t>
            </w:r>
          </w:p>
        </w:tc>
      </w:tr>
      <w:tr>
        <w:tc>
          <w:tcPr>
            <w:tcW w:w="2127" w:type="dxa"/>
            <w:tcBorders>
              <w:bottom w:val="single" w:sz="4" w:space="0" w:color="auto"/>
            </w:tcBorders>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Управление на F4E</w:t>
            </w:r>
          </w:p>
        </w:tc>
        <w:tc>
          <w:tcPr>
            <w:tcW w:w="1134" w:type="dxa"/>
            <w:vMerge/>
            <w:shd w:val="clear" w:color="auto" w:fill="auto"/>
          </w:tcPr>
          <w:p>
            <w:pPr>
              <w:spacing w:before="60" w:after="60"/>
              <w:jc w:val="center"/>
              <w:rPr>
                <w:rFonts w:ascii="Calibri" w:eastAsia="Calibri" w:hAnsi="Calibri" w:cs="Calibri"/>
                <w:noProof/>
                <w:sz w:val="18"/>
                <w:szCs w:val="18"/>
              </w:rPr>
            </w:pPr>
          </w:p>
        </w:tc>
        <w:tc>
          <w:tcPr>
            <w:tcW w:w="1134" w:type="dxa"/>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0,4</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0,3</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0,6</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1,0</w:t>
            </w:r>
          </w:p>
        </w:tc>
      </w:tr>
      <w:tr>
        <w:tc>
          <w:tcPr>
            <w:tcW w:w="2127" w:type="dxa"/>
            <w:tcBorders>
              <w:bottom w:val="single" w:sz="4" w:space="0" w:color="auto"/>
            </w:tcBorders>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Други дейности на F4E</w:t>
            </w:r>
          </w:p>
        </w:tc>
        <w:tc>
          <w:tcPr>
            <w:tcW w:w="1134" w:type="dxa"/>
            <w:vMerge/>
            <w:shd w:val="clear" w:color="auto" w:fill="auto"/>
          </w:tcPr>
          <w:p>
            <w:pPr>
              <w:spacing w:before="60" w:after="60"/>
              <w:jc w:val="center"/>
              <w:rPr>
                <w:rFonts w:ascii="Calibri" w:eastAsia="Calibri" w:hAnsi="Calibri" w:cs="Calibri"/>
                <w:noProof/>
                <w:sz w:val="18"/>
                <w:szCs w:val="18"/>
              </w:rPr>
            </w:pP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0,1</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0,5</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0,2</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0,1</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0,8</w:t>
            </w:r>
          </w:p>
        </w:tc>
      </w:tr>
      <w:tr>
        <w:tc>
          <w:tcPr>
            <w:tcW w:w="2127" w:type="dxa"/>
            <w:tcBorders>
              <w:bottom w:val="single" w:sz="4" w:space="0" w:color="auto"/>
            </w:tcBorders>
            <w:shd w:val="clear" w:color="auto" w:fill="auto"/>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Управление на проекта от страна на ЕК</w:t>
            </w:r>
          </w:p>
        </w:tc>
        <w:tc>
          <w:tcPr>
            <w:tcW w:w="1134" w:type="dxa"/>
            <w:vMerge/>
            <w:tcBorders>
              <w:bottom w:val="single" w:sz="4" w:space="0" w:color="auto"/>
            </w:tcBorders>
            <w:shd w:val="clear" w:color="auto" w:fill="auto"/>
          </w:tcPr>
          <w:p>
            <w:pPr>
              <w:spacing w:before="60" w:after="60"/>
              <w:jc w:val="center"/>
              <w:rPr>
                <w:rFonts w:ascii="Calibri" w:eastAsia="Calibri" w:hAnsi="Calibri" w:cs="Calibri"/>
                <w:noProof/>
                <w:sz w:val="18"/>
                <w:szCs w:val="18"/>
              </w:rPr>
            </w:pPr>
          </w:p>
        </w:tc>
        <w:tc>
          <w:tcPr>
            <w:tcW w:w="1134" w:type="dxa"/>
            <w:tcBorders>
              <w:bottom w:val="single" w:sz="4" w:space="0" w:color="auto"/>
            </w:tcBorders>
            <w:shd w:val="clear" w:color="auto" w:fill="auto"/>
          </w:tcPr>
          <w:p>
            <w:pPr>
              <w:spacing w:before="60" w:after="60"/>
              <w:jc w:val="center"/>
              <w:rPr>
                <w:rFonts w:ascii="Calibri" w:eastAsia="Calibri" w:hAnsi="Calibri" w:cs="Calibri"/>
                <w:noProof/>
                <w:color w:val="000000"/>
                <w:sz w:val="18"/>
                <w:szCs w:val="18"/>
              </w:rPr>
            </w:pPr>
            <w:r>
              <w:rPr>
                <w:rFonts w:ascii="Calibri" w:hAnsi="Calibri"/>
                <w:noProof/>
                <w:color w:val="000000"/>
                <w:sz w:val="18"/>
              </w:rPr>
              <w:t>0,07</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0,05</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0,02</w:t>
            </w:r>
          </w:p>
        </w:tc>
        <w:tc>
          <w:tcPr>
            <w:tcW w:w="1134"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0,08</w:t>
            </w:r>
          </w:p>
        </w:tc>
        <w:tc>
          <w:tcPr>
            <w:tcW w:w="1417" w:type="dxa"/>
            <w:tcBorders>
              <w:bottom w:val="single" w:sz="4" w:space="0" w:color="auto"/>
            </w:tcBorders>
            <w:shd w:val="clear" w:color="auto" w:fill="auto"/>
          </w:tcPr>
          <w:p>
            <w:pPr>
              <w:spacing w:before="60" w:after="60"/>
              <w:jc w:val="center"/>
              <w:rPr>
                <w:rFonts w:ascii="Calibri" w:eastAsia="Calibri" w:hAnsi="Calibri" w:cs="Calibri"/>
                <w:noProof/>
                <w:sz w:val="18"/>
                <w:szCs w:val="18"/>
              </w:rPr>
            </w:pPr>
            <w:r>
              <w:rPr>
                <w:rFonts w:ascii="Calibri" w:hAnsi="Calibri"/>
                <w:noProof/>
                <w:sz w:val="18"/>
              </w:rPr>
              <w:t>0,15</w:t>
            </w:r>
          </w:p>
        </w:tc>
      </w:tr>
      <w:tr>
        <w:tc>
          <w:tcPr>
            <w:tcW w:w="2127" w:type="dxa"/>
            <w:tcBorders>
              <w:bottom w:val="single" w:sz="4" w:space="0" w:color="auto"/>
            </w:tcBorders>
            <w:shd w:val="clear" w:color="auto" w:fill="DAEEF3"/>
          </w:tcPr>
          <w:p>
            <w:pPr>
              <w:spacing w:before="60" w:after="60"/>
              <w:jc w:val="both"/>
              <w:rPr>
                <w:rFonts w:ascii="Calibri" w:eastAsia="Calibri" w:hAnsi="Calibri" w:cs="Calibri"/>
                <w:b/>
                <w:bCs/>
                <w:noProof/>
                <w:color w:val="000000"/>
                <w:sz w:val="18"/>
                <w:szCs w:val="18"/>
              </w:rPr>
            </w:pPr>
            <w:r>
              <w:rPr>
                <w:rFonts w:ascii="Calibri" w:hAnsi="Calibri"/>
                <w:b/>
                <w:noProof/>
                <w:color w:val="000000"/>
                <w:sz w:val="18"/>
              </w:rPr>
              <w:t>Общо</w:t>
            </w:r>
            <w:r>
              <w:rPr>
                <w:rStyle w:val="FootnoteReference"/>
                <w:noProof/>
              </w:rPr>
              <w:fldChar w:fldCharType="begin"/>
            </w:r>
            <w:r>
              <w:rPr>
                <w:rStyle w:val="FootnoteReference"/>
                <w:noProof/>
              </w:rPr>
              <w:instrText xml:space="preserve"> NOTEREF _Ref484171258 \h  \* MERGEFORMAT </w:instrText>
            </w:r>
            <w:r>
              <w:rPr>
                <w:rStyle w:val="FootnoteReference"/>
                <w:noProof/>
              </w:rPr>
            </w:r>
            <w:r>
              <w:rPr>
                <w:rStyle w:val="FootnoteReference"/>
                <w:noProof/>
              </w:rPr>
              <w:fldChar w:fldCharType="separate"/>
            </w:r>
            <w:r>
              <w:rPr>
                <w:rStyle w:val="FootnoteReference"/>
                <w:noProof/>
              </w:rPr>
              <w:t>22</w:t>
            </w:r>
            <w:r>
              <w:rPr>
                <w:rStyle w:val="FootnoteReference"/>
                <w:noProof/>
              </w:rPr>
              <w:fldChar w:fldCharType="end"/>
            </w:r>
          </w:p>
        </w:tc>
        <w:tc>
          <w:tcPr>
            <w:tcW w:w="1134" w:type="dxa"/>
            <w:tcBorders>
              <w:bottom w:val="single" w:sz="4" w:space="0" w:color="auto"/>
            </w:tcBorders>
            <w:shd w:val="clear" w:color="auto" w:fill="DAEEF3"/>
            <w:vAlign w:val="center"/>
          </w:tcPr>
          <w:p>
            <w:pPr>
              <w:spacing w:before="60" w:after="60"/>
              <w:jc w:val="center"/>
              <w:rPr>
                <w:rFonts w:ascii="Calibri" w:eastAsia="Calibri" w:hAnsi="Calibri" w:cs="Calibri"/>
                <w:noProof/>
                <w:sz w:val="18"/>
                <w:szCs w:val="18"/>
              </w:rPr>
            </w:pPr>
            <w:r>
              <w:rPr>
                <w:rFonts w:ascii="Calibri" w:hAnsi="Calibri"/>
                <w:noProof/>
                <w:sz w:val="18"/>
              </w:rPr>
              <w:t>3,5</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4,2</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5,5</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1,8</w:t>
            </w:r>
          </w:p>
        </w:tc>
        <w:tc>
          <w:tcPr>
            <w:tcW w:w="1134" w:type="dxa"/>
            <w:tcBorders>
              <w:bottom w:val="double" w:sz="4" w:space="0" w:color="auto"/>
            </w:tcBorders>
            <w:shd w:val="clear" w:color="auto" w:fill="DAEEF3"/>
          </w:tcPr>
          <w:p>
            <w:pPr>
              <w:spacing w:before="60" w:after="60"/>
              <w:jc w:val="center"/>
              <w:rPr>
                <w:rFonts w:ascii="Calibri" w:eastAsia="Calibri" w:hAnsi="Calibri" w:cs="Calibri"/>
                <w:noProof/>
                <w:color w:val="000000"/>
                <w:sz w:val="18"/>
                <w:szCs w:val="18"/>
              </w:rPr>
            </w:pPr>
            <w:r>
              <w:rPr>
                <w:rFonts w:ascii="Calibri" w:hAnsi="Calibri"/>
                <w:noProof/>
                <w:color w:val="000000"/>
                <w:sz w:val="18"/>
              </w:rPr>
              <w:t>3,1</w:t>
            </w:r>
          </w:p>
        </w:tc>
        <w:tc>
          <w:tcPr>
            <w:tcW w:w="1417" w:type="dxa"/>
            <w:tcBorders>
              <w:bottom w:val="double" w:sz="4" w:space="0" w:color="auto"/>
            </w:tcBorders>
            <w:shd w:val="clear" w:color="auto" w:fill="DAEEF3"/>
          </w:tcPr>
          <w:p>
            <w:pPr>
              <w:spacing w:before="60" w:after="60"/>
              <w:jc w:val="center"/>
              <w:rPr>
                <w:rFonts w:ascii="Calibri" w:eastAsia="Calibri" w:hAnsi="Calibri" w:cs="Calibri"/>
                <w:noProof/>
                <w:sz w:val="18"/>
                <w:szCs w:val="18"/>
              </w:rPr>
            </w:pPr>
            <w:r>
              <w:rPr>
                <w:rFonts w:ascii="Calibri" w:hAnsi="Calibri"/>
                <w:noProof/>
                <w:sz w:val="18"/>
              </w:rPr>
              <w:t>10,4</w:t>
            </w:r>
          </w:p>
        </w:tc>
      </w:tr>
    </w:tbl>
    <w:p>
      <w:pPr>
        <w:spacing w:before="120" w:after="240"/>
        <w:jc w:val="both"/>
        <w:rPr>
          <w:rFonts w:ascii="Times New Roman" w:hAnsi="Times New Roman" w:cs="Times New Roman"/>
          <w:noProof/>
          <w:sz w:val="20"/>
          <w:szCs w:val="20"/>
        </w:rPr>
      </w:pPr>
      <w:r>
        <w:rPr>
          <w:rFonts w:ascii="Times New Roman" w:hAnsi="Times New Roman"/>
          <w:b/>
          <w:noProof/>
          <w:sz w:val="20"/>
        </w:rPr>
        <w:t>Таблица 2.</w:t>
      </w:r>
      <w:r>
        <w:rPr>
          <w:rFonts w:ascii="Times New Roman" w:hAnsi="Times New Roman"/>
          <w:noProof/>
          <w:sz w:val="20"/>
        </w:rPr>
        <w:t xml:space="preserve"> Както таблица 1, но в текущи стойности.</w:t>
      </w:r>
    </w:p>
    <w:p>
      <w:pPr>
        <w:spacing w:before="120" w:after="240"/>
        <w:jc w:val="both"/>
        <w:rPr>
          <w:rFonts w:ascii="Times New Roman" w:hAnsi="Times New Roman" w:cs="Times New Roman"/>
          <w:noProof/>
          <w:sz w:val="24"/>
          <w:szCs w:val="24"/>
        </w:rPr>
      </w:pPr>
      <w:r>
        <w:rPr>
          <w:rFonts w:ascii="Times New Roman" w:hAnsi="Times New Roman"/>
          <w:noProof/>
          <w:sz w:val="24"/>
        </w:rPr>
        <w:t>Следователно нуждите на „Термоядрен синтез за енергия“ от средства за етапа „Изграждане“ на проекта от 2021 г. до „Първа плазма“ през 2025 г. се оценяват на около 3,9 млрд. евро (стойност от 2008 г.).</w:t>
      </w:r>
    </w:p>
    <w:p>
      <w:pPr>
        <w:spacing w:after="240"/>
        <w:ind w:left="1440" w:hanging="720"/>
        <w:jc w:val="both"/>
        <w:rPr>
          <w:rFonts w:ascii="Times New Roman" w:hAnsi="Times New Roman" w:cs="Times New Roman"/>
          <w:b/>
          <w:noProof/>
          <w:sz w:val="24"/>
          <w:szCs w:val="24"/>
        </w:rPr>
      </w:pPr>
      <w:r>
        <w:rPr>
          <w:rFonts w:ascii="Times New Roman" w:hAnsi="Times New Roman"/>
          <w:b/>
          <w:noProof/>
          <w:sz w:val="24"/>
        </w:rPr>
        <w:t>III.3</w:t>
      </w:r>
      <w:r>
        <w:rPr>
          <w:noProof/>
        </w:rPr>
        <w:tab/>
      </w:r>
      <w:r>
        <w:rPr>
          <w:rFonts w:ascii="Times New Roman" w:hAnsi="Times New Roman"/>
          <w:b/>
          <w:noProof/>
          <w:sz w:val="24"/>
        </w:rPr>
        <w:t>Солидна основа за успешно изграждане на ITER, подкрепена от независими прегледи и трайния ангажимент на членовете на ITER</w:t>
      </w:r>
    </w:p>
    <w:p>
      <w:pPr>
        <w:spacing w:before="120" w:after="0"/>
        <w:jc w:val="both"/>
        <w:rPr>
          <w:rFonts w:ascii="Times New Roman" w:hAnsi="Times New Roman" w:cs="Times New Roman"/>
          <w:noProof/>
          <w:sz w:val="24"/>
          <w:szCs w:val="24"/>
        </w:rPr>
      </w:pPr>
      <w:r>
        <w:rPr>
          <w:rFonts w:ascii="Times New Roman" w:hAnsi="Times New Roman"/>
          <w:noProof/>
          <w:sz w:val="24"/>
        </w:rPr>
        <w:t>Значителното развитие напоследък осигурява добра основа за напредък към успешно завършване на проекта ITER, макар че все още съществуват рискове. Съгласно информация, предоставена от организацията ITER, окончателно е завършено проектирането на 89 % от компонентите, необходими за „Първа плазма“, и на 71 % от другите компоненти. Зрялостта на конструктивното решение повишава надеждността на новия график и на съответните прогнозни оценки за ресурсите, изготвени в тясно сътрудничество между националните агенции и организацията ITER и следователно съобразени с техническите възможности и финансовите ограничения на членовете на ITER и на националните агенции. Новото равнище на сътрудничество между организацията ITER и националните агенции се поддържа от въведени напоследък инструменти</w:t>
      </w:r>
      <w:r>
        <w:rPr>
          <w:rStyle w:val="FootnoteReference"/>
          <w:rFonts w:ascii="Times New Roman" w:hAnsi="Times New Roman"/>
          <w:noProof/>
          <w:sz w:val="24"/>
        </w:rPr>
        <w:footnoteReference w:id="25"/>
      </w:r>
      <w:r>
        <w:rPr>
          <w:rFonts w:ascii="Times New Roman" w:hAnsi="Times New Roman"/>
          <w:noProof/>
          <w:sz w:val="24"/>
        </w:rPr>
        <w:t>, предназначени за по-добро справяне с промените в конструктивното решение, които в противен случай биха могли да доведат до закъснения или допълнителни разходи.</w:t>
      </w:r>
    </w:p>
    <w:p>
      <w:pPr>
        <w:spacing w:before="120" w:after="0"/>
        <w:jc w:val="both"/>
        <w:rPr>
          <w:rFonts w:ascii="Times New Roman" w:hAnsi="Times New Roman" w:cs="Times New Roman"/>
          <w:noProof/>
          <w:sz w:val="24"/>
          <w:szCs w:val="24"/>
        </w:rPr>
      </w:pPr>
      <w:r>
        <w:rPr>
          <w:rFonts w:ascii="Times New Roman" w:hAnsi="Times New Roman"/>
          <w:noProof/>
          <w:sz w:val="24"/>
        </w:rPr>
        <w:t>Положителната оценка на постигнатия напредък както от страна на новото ръководство на ITER, така и по самия проект беше потвърдено от Групата за преглед към Съвета на ITER, която в доклада си прави заключението, че преразглеждането на графика е било от полза за проекта и е било извършено по професионален и надежден начин. Освен това в оценката от 2015 г. на управлението на организацията ITER също се потвърждават ефективните усилия за напредъка на проекта, като се отчитат подобрения в управлението, включително в процесите на вземане на решения, както и подобрено сътрудничество и интегриране на дейности между организацията ITER и националните агенции. Като цяло оценката потвърди, че тези промени са довели до ускоряване на напредъка по проекта.</w:t>
      </w:r>
    </w:p>
    <w:p>
      <w:pPr>
        <w:spacing w:before="120" w:after="0"/>
        <w:jc w:val="both"/>
        <w:rPr>
          <w:rFonts w:ascii="Times New Roman" w:hAnsi="Times New Roman" w:cs="Times New Roman"/>
          <w:noProof/>
          <w:sz w:val="24"/>
          <w:szCs w:val="24"/>
        </w:rPr>
      </w:pPr>
      <w:r>
        <w:rPr>
          <w:rFonts w:ascii="Times New Roman" w:hAnsi="Times New Roman"/>
          <w:noProof/>
          <w:sz w:val="24"/>
        </w:rPr>
        <w:t>Успоредно с това в началото на 2016 г. бяха ускорени промените на европейско равнище с назначаването на нов директор в „Термоядрен синтез за енергия“ с опит от промишлеността, което приведе целите на съвместното предприятие в съответствие с тези на организацията ITER, като се обърна сериозно внимание на мерките за управление на риска и ограничаване на разходите. В ход са още промени за подобряване на приноса на Евратом за ITER съобразно графика и в рамките на определения бюджет, както и за идентифициране на потенциални рискове и на мерки за намаляването им. Промените, въведени в работата и практиките на „Термоядрен синтез за енергия“, бяха в съответствие с препоръките на Европейската сметна палата (ЕСП), както и на Службата за вътрешен одит (IAS) на Комисията До момента предприятието „Термоядрен синтез за енергия“ е разгледало 83 % от препоръките на ЕСП и IAS, която понастоящем е вътрешен одитор на „Термоядрен синтез за енергия“ в съответствие с препоръката на ЕСП. Укрепването и подобряването на финансовите резултати на „Термоядрен синтез за енергия“ бяха потвърдени от Европейския парламент в рамките на годишните процедури по освобождаване от отговорност въз основа на годишен преглед от ЕСП на отчетите, който категорично потвърди редовността и съответствието на отчетите.</w:t>
      </w:r>
    </w:p>
    <w:p>
      <w:pPr>
        <w:spacing w:before="120" w:after="0"/>
        <w:jc w:val="both"/>
        <w:rPr>
          <w:rFonts w:ascii="Times New Roman" w:hAnsi="Times New Roman" w:cs="Times New Roman"/>
          <w:noProof/>
          <w:sz w:val="24"/>
          <w:szCs w:val="24"/>
        </w:rPr>
      </w:pPr>
      <w:r>
        <w:rPr>
          <w:rFonts w:ascii="Times New Roman" w:hAnsi="Times New Roman"/>
          <w:noProof/>
          <w:sz w:val="24"/>
        </w:rPr>
        <w:t xml:space="preserve">През юни 2016 г. управителният съвет на „Термоядрен синтез за енергия“ започна оценяване на високо равнище на планирането за предаването на компонентите под отговорността на Евратом и съответните средства. Резултатите от този преглед, представени през декември 2016 г., потвърдиха способността на „Термоядрен синтез за енергия“ да осъществи приноса на Евратом в ITER съобразно новия график и съгласно </w:t>
      </w:r>
      <w:r>
        <w:rPr>
          <w:rFonts w:ascii="Times New Roman" w:hAnsi="Times New Roman"/>
          <w:i/>
          <w:noProof/>
          <w:sz w:val="24"/>
        </w:rPr>
        <w:t>поетапния подход</w:t>
      </w:r>
      <w:r>
        <w:rPr>
          <w:rFonts w:ascii="Times New Roman" w:hAnsi="Times New Roman"/>
          <w:noProof/>
          <w:sz w:val="24"/>
        </w:rPr>
        <w:t>. Този преглед също така подчерта способността на съвместното предприятие да предаде изискваните компоненти в рамките на текущия наличен бюджет до 2020 г. и на направените прогнози за разходите за периода след това. Независимо от това продължават да съществуват предизвикателства за проектирането и производството, засягащи най-вече критичната част на проекта, като те могат да оказват по-нататъшно въздействие върху преразгледания график.</w:t>
      </w:r>
    </w:p>
    <w:p>
      <w:pPr>
        <w:spacing w:before="120" w:after="0"/>
        <w:jc w:val="both"/>
        <w:rPr>
          <w:rFonts w:ascii="Times New Roman" w:hAnsi="Times New Roman" w:cs="Times New Roman"/>
          <w:noProof/>
          <w:sz w:val="24"/>
          <w:szCs w:val="24"/>
        </w:rPr>
      </w:pPr>
      <w:r>
        <w:rPr>
          <w:rFonts w:ascii="Times New Roman" w:hAnsi="Times New Roman"/>
          <w:noProof/>
          <w:sz w:val="24"/>
        </w:rPr>
        <w:t>Що се отнася до членовете на ITER, вследствие завършването на новия график и на съответните прогнозни оценки за разходите те понастоящем се занимават с осигуряването на необходимите средства за проекта. Вътрешни процедури са започнали в Китай, Корея, Япония и Русия. В основата на процеса на вземане на политически решения от всички членове на ITER е предположението, че Европа ще продължи да има водеща роля и да подкрепя проекта ITER.</w:t>
      </w:r>
    </w:p>
    <w:p>
      <w:pPr>
        <w:spacing w:before="120" w:after="0"/>
        <w:jc w:val="both"/>
        <w:rPr>
          <w:noProof/>
        </w:rPr>
      </w:pPr>
      <w:r>
        <w:rPr>
          <w:rFonts w:ascii="Times New Roman" w:hAnsi="Times New Roman"/>
          <w:noProof/>
          <w:sz w:val="24"/>
        </w:rPr>
        <w:t>През май 2016 г. Министерството на енергетиката на САЩ публикува доклад относно ITER за Конгреса, в който подчертава положителните резултати от проекта, като същевременно пледира за продължаване на започнатите реформи. В доклада се потвърждава, че декември 2025 г. е най-ранният срок, в който реализирането на „Първа плазма“ е технически възможно („ранен срок на завършване“), като същевременно се отбелязва, че все още би могъл да възникне допълнителен риск за изоставане от графика. Последващ подробен преглед на проекта до „Първа плазма“, извършен от Министерството на енергетиката на САЩ през януари 2017 г., допълнително потвърди, че в графика на проекта до „Първа плазма“ следва да има резерв от 24 месеца. Независимо от това САЩ се съгласиха да продължат участието си в проекта, като следващият преглед ще е през 2019 г.</w:t>
      </w:r>
    </w:p>
    <w:p>
      <w:pPr>
        <w:spacing w:before="120" w:after="240"/>
        <w:jc w:val="both"/>
        <w:rPr>
          <w:rFonts w:ascii="Times New Roman" w:hAnsi="Times New Roman" w:cs="Times New Roman"/>
          <w:noProof/>
          <w:sz w:val="24"/>
          <w:szCs w:val="24"/>
        </w:rPr>
      </w:pPr>
      <w:r>
        <w:rPr>
          <w:rFonts w:ascii="Times New Roman" w:hAnsi="Times New Roman"/>
          <w:noProof/>
          <w:sz w:val="24"/>
        </w:rPr>
        <w:t>Пренасочването на проекта беше от решаващо значение за запазване на подкрепата и ангажимента за него от страна на всички членове на ITER.</w:t>
      </w:r>
    </w:p>
    <w:p>
      <w:pPr>
        <w:keepNext/>
        <w:spacing w:after="240"/>
        <w:ind w:left="720"/>
        <w:jc w:val="both"/>
        <w:rPr>
          <w:rFonts w:ascii="Times New Roman" w:hAnsi="Times New Roman" w:cs="Times New Roman"/>
          <w:b/>
          <w:noProof/>
          <w:sz w:val="24"/>
          <w:szCs w:val="24"/>
        </w:rPr>
      </w:pPr>
      <w:r>
        <w:rPr>
          <w:rFonts w:ascii="Times New Roman" w:hAnsi="Times New Roman"/>
          <w:b/>
          <w:noProof/>
          <w:sz w:val="24"/>
        </w:rPr>
        <w:t>IV.</w:t>
      </w:r>
      <w:r>
        <w:rPr>
          <w:noProof/>
        </w:rPr>
        <w:tab/>
      </w:r>
      <w:r>
        <w:rPr>
          <w:rFonts w:ascii="Times New Roman Bold" w:hAnsi="Times New Roman Bold"/>
          <w:b/>
          <w:smallCaps/>
          <w:noProof/>
          <w:sz w:val="24"/>
        </w:rPr>
        <w:t>Наблюдение и справяне със специфичните за ITER рискове</w:t>
      </w:r>
    </w:p>
    <w:p>
      <w:pPr>
        <w:spacing w:after="120"/>
        <w:jc w:val="both"/>
        <w:rPr>
          <w:rFonts w:ascii="Times New Roman" w:hAnsi="Times New Roman" w:cs="Times New Roman"/>
          <w:noProof/>
          <w:sz w:val="24"/>
          <w:szCs w:val="24"/>
        </w:rPr>
      </w:pPr>
      <w:r>
        <w:rPr>
          <w:rFonts w:ascii="Times New Roman" w:hAnsi="Times New Roman"/>
          <w:noProof/>
          <w:sz w:val="24"/>
        </w:rPr>
        <w:t>ITER като пръв по рода си широкомащабен международен проект на технологичната граница на знанието е изложен на специфични рискове по отношение на дългосрочния график и предвидимостта на разходите, а също така и от гледна точка на стабилността на ръководството и управлението.</w:t>
      </w:r>
    </w:p>
    <w:p>
      <w:pPr>
        <w:spacing w:after="240"/>
        <w:jc w:val="both"/>
        <w:rPr>
          <w:rFonts w:ascii="Times New Roman" w:hAnsi="Times New Roman" w:cs="Times New Roman"/>
          <w:noProof/>
          <w:sz w:val="24"/>
          <w:szCs w:val="24"/>
        </w:rPr>
      </w:pPr>
      <w:r>
        <w:rPr>
          <w:rFonts w:ascii="Times New Roman" w:hAnsi="Times New Roman"/>
          <w:noProof/>
          <w:sz w:val="24"/>
        </w:rPr>
        <w:t>Новият график и съответните прогнозни оценки за разходите заедно с промените, внесени в управлението и ръководството, сега вдъхват повече увереност в успешното завършване на изграждането на ITER. Остават важни предизвикателства, по-специално завършването на сградите и вакуумната камера — и двете са задача на Евратом и се намират в критичната част на проекта. Следователно решителното управление на риска е от ключово значение за проекта и особено за успеха по новите референтни параметри, по-специално за преодоляване на оставащите рискове по отношение както на графика, така и на средствата. По-конкретно независими оценители както от организацията ITER, така и от „Термоядрен синтез за енергия“ посочват, че завършването на „Първа плазма“ до декември 2025 г. е най-ранният срок, в който това е технически постижимо, и не включва никакъв резерв. Следва да бъде включен разумен резерв, за да се осигури надеждността на графика. По-специално прогнозната оценка за бюджета на „Термоядрен синтез за енергия“ до „Първа плазма“ се считаше за приемлив с възможна несигурност от 10 % поради общото закъснение в изпълнението на проекта.</w:t>
      </w:r>
    </w:p>
    <w:p>
      <w:pPr>
        <w:spacing w:after="120"/>
        <w:ind w:left="720"/>
        <w:jc w:val="both"/>
        <w:rPr>
          <w:rFonts w:ascii="Times New Roman" w:hAnsi="Times New Roman" w:cs="Times New Roman"/>
          <w:b/>
          <w:noProof/>
          <w:sz w:val="24"/>
          <w:szCs w:val="24"/>
        </w:rPr>
      </w:pPr>
      <w:r>
        <w:rPr>
          <w:rFonts w:ascii="Times New Roman" w:hAnsi="Times New Roman"/>
          <w:b/>
          <w:noProof/>
          <w:sz w:val="24"/>
        </w:rPr>
        <w:t>IV.1</w:t>
      </w:r>
      <w:r>
        <w:rPr>
          <w:noProof/>
        </w:rPr>
        <w:tab/>
      </w:r>
      <w:r>
        <w:rPr>
          <w:rFonts w:ascii="Times New Roman" w:hAnsi="Times New Roman"/>
          <w:b/>
          <w:noProof/>
          <w:sz w:val="24"/>
        </w:rPr>
        <w:t>Мерки за справяне с рисковете на равнището на цялостния проект</w:t>
      </w:r>
    </w:p>
    <w:p>
      <w:pPr>
        <w:spacing w:after="120"/>
        <w:jc w:val="both"/>
        <w:rPr>
          <w:rFonts w:ascii="Times New Roman" w:hAnsi="Times New Roman" w:cs="Times New Roman"/>
          <w:noProof/>
          <w:sz w:val="24"/>
          <w:szCs w:val="24"/>
        </w:rPr>
      </w:pPr>
      <w:r>
        <w:rPr>
          <w:rFonts w:ascii="Times New Roman" w:hAnsi="Times New Roman"/>
          <w:noProof/>
          <w:sz w:val="24"/>
        </w:rPr>
        <w:t>Новото ръководство на организацията ITER възприе принципи за управление на риска, които се прилагат за други големи технически проекти, по-специално за спазване на срока 2025 г. за „Първа плазма“. Сега е възприет количествен подход за управление на риска по отношение на вероятността за възникване на риск, неговото въздействие (в месеци и евро) и определянето на действия за намаляването му. Обхванати са всички основни категории риск, както и възможни нови рискове. Създаден е комитет за управление на рисковете и възможностите по проекта и продължава усъвършенстването на регистъра за рискове по проекта, който вече е достъпен за целия персонал на организацията ITER и на националните агенции. Нужен е обаче по-нататъшен напредък за „замразяване“ на интерфейсите на компоненти, тъй като това е от решаващо значение за намаляване на риска за изоставане от графика и увеличение на разходите.</w:t>
      </w:r>
    </w:p>
    <w:p>
      <w:pPr>
        <w:spacing w:after="120"/>
        <w:jc w:val="both"/>
        <w:rPr>
          <w:rFonts w:ascii="Times New Roman" w:hAnsi="Times New Roman" w:cs="Times New Roman"/>
          <w:noProof/>
          <w:sz w:val="24"/>
          <w:szCs w:val="24"/>
        </w:rPr>
      </w:pPr>
      <w:r>
        <w:rPr>
          <w:rFonts w:ascii="Times New Roman" w:hAnsi="Times New Roman"/>
          <w:noProof/>
          <w:sz w:val="24"/>
        </w:rPr>
        <w:t>Важен елемент от тази система е серията от срокове за основните етапи, въведена за първи път от Съвета на ITER през ноември 2015 г. и доразвита през юни 2016 г., спрямо която може по-добре да се наблюдава напредъкът на проекта и придържането към графика. Това ще даде възможност за по-ранно идентифициране на отклонения в изпълнението на проекта и вземане на съответни мерки. Съветът на ITER реши също да извършва редовни шестмесечни задълбочени прегледи на рисковете, съсредоточавайки се върху критични части на проекта, като управлението на рисковете започне през 2017 г. Тези прегледи представляват друг начин за идентифициране на възможни рискове и за справяне с тях преди да окажат отрицателно въздействие.</w:t>
      </w:r>
    </w:p>
    <w:p>
      <w:pPr>
        <w:spacing w:after="240"/>
        <w:jc w:val="both"/>
        <w:rPr>
          <w:rFonts w:ascii="Times New Roman" w:hAnsi="Times New Roman" w:cs="Times New Roman"/>
          <w:noProof/>
          <w:sz w:val="24"/>
          <w:szCs w:val="24"/>
        </w:rPr>
      </w:pPr>
      <w:r>
        <w:rPr>
          <w:rFonts w:ascii="Times New Roman" w:hAnsi="Times New Roman"/>
          <w:noProof/>
          <w:sz w:val="24"/>
        </w:rPr>
        <w:t>Същевременно е необходимо да бъдат направени допълнителни подобрения в управлението на организацията ITER с оглед на ефективен надзор върху проекта. В това отношение през ноември 2016 г. Съветът на ITER се съгласи за намаляване на броя на подкомитетите, рационализиране на тяхното функциониране и премахване на препокриването. През 2017 г. той ще анализира други възможности за опростяване с оглед на това управлението да се съсредоточи върху предаването и стратегически въпроси.</w:t>
      </w:r>
    </w:p>
    <w:p>
      <w:pPr>
        <w:keepNext/>
        <w:spacing w:after="240"/>
        <w:ind w:left="720"/>
        <w:jc w:val="both"/>
        <w:rPr>
          <w:rFonts w:ascii="Times New Roman" w:hAnsi="Times New Roman" w:cs="Times New Roman"/>
          <w:b/>
          <w:noProof/>
          <w:sz w:val="24"/>
          <w:szCs w:val="24"/>
        </w:rPr>
      </w:pPr>
      <w:r>
        <w:rPr>
          <w:rFonts w:ascii="Times New Roman" w:hAnsi="Times New Roman"/>
          <w:b/>
          <w:noProof/>
          <w:sz w:val="24"/>
        </w:rPr>
        <w:t>IV.2</w:t>
      </w:r>
      <w:r>
        <w:rPr>
          <w:noProof/>
        </w:rPr>
        <w:tab/>
      </w:r>
      <w:r>
        <w:rPr>
          <w:rFonts w:ascii="Times New Roman" w:hAnsi="Times New Roman"/>
          <w:b/>
          <w:noProof/>
          <w:sz w:val="24"/>
        </w:rPr>
        <w:t>Мерки за справяне с рисковете в европейското участие</w:t>
      </w:r>
    </w:p>
    <w:p>
      <w:pPr>
        <w:spacing w:after="120"/>
        <w:jc w:val="both"/>
        <w:rPr>
          <w:rFonts w:ascii="Times New Roman" w:hAnsi="Times New Roman" w:cs="Times New Roman"/>
          <w:noProof/>
          <w:sz w:val="24"/>
          <w:szCs w:val="24"/>
        </w:rPr>
      </w:pPr>
      <w:r>
        <w:rPr>
          <w:rFonts w:ascii="Times New Roman" w:hAnsi="Times New Roman"/>
          <w:noProof/>
          <w:sz w:val="24"/>
        </w:rPr>
        <w:t>Успоредно с всеобхватна стратегия за успеха на проекта ITER Евратом, държавите — членки на Евратом, и Швейцария в качеството си на членове на съвместното предприятие „Термоядрен синтез за енергия“ трябва да продължат значителните си усилия за подобряване на резултатите от дейността на това предприятие.</w:t>
      </w:r>
    </w:p>
    <w:p>
      <w:pPr>
        <w:spacing w:after="120"/>
        <w:jc w:val="both"/>
        <w:rPr>
          <w:rFonts w:ascii="Times New Roman" w:hAnsi="Times New Roman" w:cs="Times New Roman"/>
          <w:noProof/>
          <w:sz w:val="24"/>
          <w:szCs w:val="24"/>
        </w:rPr>
      </w:pPr>
      <w:r>
        <w:rPr>
          <w:rFonts w:ascii="Times New Roman" w:hAnsi="Times New Roman"/>
          <w:noProof/>
          <w:sz w:val="24"/>
        </w:rPr>
        <w:t>В „Термоядрен синтез за енергия“ е в ход принципна промяна. Тя е съсредоточена върху отчетността за разходите, въвеждането на системи за докладване с цел по-добро справяне с потенциални рискове, както и въвеждането на срокове за етапите, спрямо които се наблюдава по-добре изпълнението на приноса на Евратом. По отношение на рисковете за разходите, през пролетта на 2015 г. „Термоядрен синтез за енергия“ започна голямо преразглеждане на своя собствена прогнозна оценка на разходите при завършването въз основа на информация от отделните договори и работни пакети. След това преразглеждане е приет регистър на рисковете за разходите. Новото ръководство на „Термоядрен синтез за енергия“ се съсредоточава върху противодействието на увеличения на разходите и закъснения спрямо графика за двете най-критични части на приноса на Евратом (сградите и вакуумната камера), засилването на контрола върху проекта и ежемесечното актуализиране на предвижданите разходи за завършване на основните системи. Комисията ще изисква от „Термоядрен синтез за енергия“ да търси допълнителни мерки за ограничаване на разходите, включително цялостна стратегия за разглеждане на исканията на изпълнителите за възстановяване на разходи.</w:t>
      </w:r>
    </w:p>
    <w:p>
      <w:pPr>
        <w:spacing w:after="240"/>
        <w:jc w:val="both"/>
        <w:rPr>
          <w:rFonts w:ascii="Times New Roman" w:hAnsi="Times New Roman" w:cs="Times New Roman"/>
          <w:noProof/>
          <w:sz w:val="24"/>
          <w:szCs w:val="24"/>
        </w:rPr>
      </w:pPr>
      <w:r>
        <w:rPr>
          <w:rFonts w:ascii="Times New Roman" w:hAnsi="Times New Roman"/>
          <w:noProof/>
          <w:sz w:val="24"/>
        </w:rPr>
        <w:t>Въз основа на вече извлечените поуки и резултатите от междинния преглед през 2017 г. на съвместното предприятие „Термоядрен синтез за енергия“ Комисията ще продължи да укрепва своя надзор върху него, което ще бъде отразено чрез ново административно споразумение не само за промените, произтичащи от новия Финансов регламент, влязъл в сила през 2016 г., но и за ефективното докладване и наблюдение.</w:t>
      </w:r>
    </w:p>
    <w:p>
      <w:pPr>
        <w:spacing w:after="240"/>
        <w:ind w:left="720"/>
        <w:jc w:val="both"/>
        <w:rPr>
          <w:rFonts w:ascii="Times New Roman" w:hAnsi="Times New Roman" w:cs="Times New Roman"/>
          <w:b/>
          <w:noProof/>
          <w:sz w:val="24"/>
          <w:szCs w:val="24"/>
        </w:rPr>
      </w:pPr>
      <w:r>
        <w:rPr>
          <w:rFonts w:ascii="Times New Roman" w:hAnsi="Times New Roman"/>
          <w:b/>
          <w:noProof/>
          <w:sz w:val="24"/>
        </w:rPr>
        <w:t>V.</w:t>
      </w:r>
      <w:r>
        <w:rPr>
          <w:noProof/>
        </w:rPr>
        <w:tab/>
      </w:r>
      <w:r>
        <w:rPr>
          <w:rFonts w:ascii="Times New Roman Bold" w:hAnsi="Times New Roman Bold"/>
          <w:b/>
          <w:smallCaps/>
          <w:noProof/>
          <w:sz w:val="24"/>
        </w:rPr>
        <w:t>ITER: бъдещо развитие</w:t>
      </w:r>
    </w:p>
    <w:p>
      <w:pPr>
        <w:spacing w:after="120"/>
        <w:jc w:val="both"/>
        <w:rPr>
          <w:rFonts w:ascii="Times New Roman" w:hAnsi="Times New Roman" w:cs="Times New Roman"/>
          <w:noProof/>
          <w:sz w:val="24"/>
          <w:szCs w:val="24"/>
        </w:rPr>
      </w:pPr>
      <w:r>
        <w:rPr>
          <w:rFonts w:ascii="Times New Roman" w:hAnsi="Times New Roman"/>
          <w:noProof/>
          <w:sz w:val="24"/>
        </w:rPr>
        <w:t xml:space="preserve">Евратом демонстрира силно лидерство за справяне с предизвикателствата по проекта ITER и възстановяване на работата по него. Радикалните мерки, предприемани най-вече от 2015 г. насам, сега дават насърчителни резултати. Напредъкът е видим на обекта на ITER, където строителството на много сгради напредва добре главно на европейска отговорност. </w:t>
      </w:r>
    </w:p>
    <w:p>
      <w:pPr>
        <w:spacing w:after="120"/>
        <w:jc w:val="both"/>
        <w:rPr>
          <w:rFonts w:ascii="Times New Roman" w:hAnsi="Times New Roman" w:cs="Times New Roman"/>
          <w:noProof/>
          <w:sz w:val="24"/>
          <w:szCs w:val="24"/>
        </w:rPr>
      </w:pPr>
      <w:r>
        <w:rPr>
          <w:rFonts w:ascii="Times New Roman" w:hAnsi="Times New Roman"/>
          <w:noProof/>
          <w:sz w:val="24"/>
        </w:rPr>
        <w:t>Този напредък, потвърден от независими експерти и признат от самите членове на ITER, потвърждава, че предприетите действия са били необходими за пренасочване на проекта.</w:t>
      </w:r>
    </w:p>
    <w:p>
      <w:pPr>
        <w:spacing w:after="120"/>
        <w:jc w:val="both"/>
        <w:rPr>
          <w:rFonts w:ascii="Times New Roman" w:hAnsi="Times New Roman" w:cs="Times New Roman"/>
          <w:noProof/>
          <w:sz w:val="24"/>
          <w:szCs w:val="24"/>
        </w:rPr>
      </w:pPr>
      <w:r>
        <w:rPr>
          <w:rFonts w:ascii="Times New Roman" w:hAnsi="Times New Roman"/>
          <w:noProof/>
          <w:sz w:val="24"/>
        </w:rPr>
        <w:t xml:space="preserve">Вследствие на заседания на Съвета на ITER през 2016 г. се очаква организацията ITER да следва </w:t>
      </w:r>
      <w:r>
        <w:rPr>
          <w:rFonts w:ascii="Times New Roman" w:hAnsi="Times New Roman"/>
          <w:i/>
          <w:noProof/>
          <w:sz w:val="24"/>
        </w:rPr>
        <w:t>поетапния подход</w:t>
      </w:r>
      <w:r>
        <w:rPr>
          <w:rFonts w:ascii="Times New Roman" w:hAnsi="Times New Roman"/>
          <w:noProof/>
          <w:sz w:val="24"/>
        </w:rPr>
        <w:t xml:space="preserve"> с цел свеждане до минимум на нужните парични вноски от членовете на ITER. Тя разполага с актуализирани референтни параметри за проекта, обхващащи новия график, прогнозни оценки за разходите и броя на служителите за периода до декември 2025 г. (най-ранния изпълним срок за „Първа плазма“) и ориентировъчен график, както и референтни параметри за разходите за периода от 2026 г. до деутериево-тритиевата експлоатация през 2035 г. Макар както Евратом, така и предприятието „Термоядрен синтез за енергия“ да остават твърдо решени да се придържат към преразгледания график, така че да спазят срока декември 2025 г. за реализирането на „Първа плазма“, опитът от изграждането на подобни широкомащабни единствени по рода си съоръжения показва, че следва да се предвиди резерв за реализирането на „Първа плазма“. Въз основа на информацията от направените през 2016 г. независими прегледи и в съответствие с наличния опит с големи международни проекти с подобна сложност и зрялост Комисията преценява, че би бил подходящ резерв в размер до 24 месеца по отношение на графика и 10—20 % по отношение на бюджета.</w:t>
      </w:r>
    </w:p>
    <w:p>
      <w:pPr>
        <w:spacing w:after="120"/>
        <w:jc w:val="both"/>
        <w:rPr>
          <w:rFonts w:ascii="Times New Roman" w:hAnsi="Times New Roman" w:cs="Times New Roman"/>
          <w:noProof/>
          <w:sz w:val="24"/>
          <w:szCs w:val="24"/>
        </w:rPr>
      </w:pPr>
      <w:r>
        <w:rPr>
          <w:rFonts w:ascii="Times New Roman" w:hAnsi="Times New Roman"/>
          <w:noProof/>
          <w:sz w:val="24"/>
        </w:rPr>
        <w:t xml:space="preserve">Сега е време членовете на ITER да стартират вътрешните си процедури за одобрение на бюджетните изисквания. Няколко членове на ITER вече са посочили наличието на финансиране за своето участие, но те едва ли ще поемат официални ангажименти преди да се изясни позицията на Евратом. Що се отнася за Европа, новият график и свързаните с него разходи съобразно подобренията в проекта предоставят необходимите основания на Комисията да поиска подкрепата на Европейския парламент и мандат от Съвета на ЕС за одобрение на новите референтни параметри на ITER </w:t>
      </w:r>
      <w:r>
        <w:rPr>
          <w:rFonts w:ascii="Times New Roman" w:hAnsi="Times New Roman"/>
          <w:i/>
          <w:noProof/>
          <w:sz w:val="24"/>
        </w:rPr>
        <w:t>ad referendum</w:t>
      </w:r>
      <w:r>
        <w:rPr>
          <w:rFonts w:ascii="Times New Roman" w:hAnsi="Times New Roman"/>
          <w:noProof/>
          <w:sz w:val="24"/>
        </w:rPr>
        <w:t xml:space="preserve"> от името на Евратом, което най-вероятно ще стане на заседанието на министерско равнище на Съвета за ITER през 2017 г. Одобрението на Евратом трябва бъде </w:t>
      </w:r>
      <w:r>
        <w:rPr>
          <w:rFonts w:ascii="Times New Roman" w:hAnsi="Times New Roman"/>
          <w:i/>
          <w:noProof/>
          <w:sz w:val="24"/>
        </w:rPr>
        <w:t>ad referendum</w:t>
      </w:r>
      <w:r>
        <w:rPr>
          <w:rFonts w:ascii="Times New Roman" w:hAnsi="Times New Roman"/>
          <w:noProof/>
          <w:sz w:val="24"/>
        </w:rPr>
        <w:t>, тъй като окончателният размер на вноската на Евратом от бюджета на ЕС за проекта ITER и другите разходи, свързани с дейностите на „Термоядрен синтез за енергия“ и управлението на проекта ITER, ще зависят от предложенията на Комисията и резултатите от преговорите по излизането на Обединеното кралство от ЕС и по многогодишната финансова рамка за периода след 2020 г.</w:t>
      </w:r>
    </w:p>
    <w:p>
      <w:pPr>
        <w:spacing w:after="120"/>
        <w:jc w:val="both"/>
        <w:rPr>
          <w:rFonts w:ascii="Times New Roman" w:hAnsi="Times New Roman" w:cs="Times New Roman"/>
          <w:noProof/>
          <w:sz w:val="24"/>
          <w:szCs w:val="24"/>
        </w:rPr>
      </w:pPr>
      <w:r>
        <w:rPr>
          <w:rFonts w:ascii="Times New Roman" w:hAnsi="Times New Roman"/>
          <w:noProof/>
          <w:sz w:val="24"/>
        </w:rPr>
        <w:t>Този мандат не само ще гарантира подкрепата на Евратом за новия график, но и в допълнение ще демонстрира трайния ангажимент на Европа към ITER и ще укрепи водещите позиции на Европа в проекта. Нашите международни партньори в ITER очакват, че Европа в качеството си на домакин продължава да бъде движещата сила за осъществяването на проекта.</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003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rPr>
        <w:t>Европейската общност за атомна енергия.</w:t>
      </w:r>
    </w:p>
  </w:footnote>
  <w:footnote w:id="3">
    <w:p>
      <w:pPr>
        <w:pStyle w:val="FootnoteText"/>
        <w:ind w:left="120" w:hanging="120"/>
        <w:jc w:val="both"/>
        <w:rPr>
          <w:rFonts w:ascii="Times New Roman" w:hAnsi="Times New Roman" w:cs="Times New Roman"/>
          <w:sz w:val="18"/>
          <w:szCs w:val="18"/>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sz w:val="18"/>
        </w:rPr>
        <w:t>Организацията ITER беше създадена по силата на Споразумението за ITER от 2006 г. и е със седалище в Saint-Paul-lès-Durance (Франция).</w:t>
      </w:r>
      <w:r>
        <w:t xml:space="preserve"> </w:t>
      </w:r>
      <w:r>
        <w:rPr>
          <w:rFonts w:ascii="Times New Roman" w:hAnsi="Times New Roman"/>
          <w:sz w:val="18"/>
        </w:rPr>
        <w:t>Евратом в качеството си на „страна домакин“ не може да се оттегли от проекта: съгласно член 26 от Споразумението се допуска член на ITER (освен Евратом) да се оттегли от проекта след изтичането на 10 години от влизането в сила на Споразумението (т.е. от октомври 2017 г.). Този член обаче ще продължи да допринася за етапа на изграждане, но няма да участва в експерименталния етап.</w:t>
      </w:r>
    </w:p>
  </w:footnote>
  <w:footnote w:id="4">
    <w:p>
      <w:pPr>
        <w:pStyle w:val="FootnoteText"/>
        <w:ind w:left="120" w:hanging="12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Под „референтни параметри“ се разбират следните взаимосвързани елементи: обхват (характеристики на реактора, който трябва да се изгради), график (срокове за изграждане) и прогнозни разходи.</w:t>
      </w:r>
    </w:p>
  </w:footnote>
  <w:footnote w:id="5">
    <w:p>
      <w:pPr>
        <w:pStyle w:val="FootnoteText"/>
        <w:ind w:left="120" w:hanging="120"/>
        <w:jc w:val="both"/>
      </w:pPr>
      <w:r>
        <w:rPr>
          <w:rStyle w:val="FootnoteReference"/>
        </w:rPr>
        <w:footnoteRef/>
      </w:r>
      <w:r>
        <w:rPr>
          <w:rStyle w:val="FootnoteReference"/>
        </w:rPr>
        <w:t xml:space="preserve"> </w:t>
      </w:r>
      <w:r>
        <w:rPr>
          <w:rFonts w:ascii="Times New Roman" w:hAnsi="Times New Roman"/>
          <w:sz w:val="18"/>
        </w:rPr>
        <w:t>„Първа плазма“ представлява етапът в изграждането на реактора за термоядрен синтез, на който ще стане възможно изпитването на основните компоненти на реактора; съгласно условията на Споразумението за ITER това е моментът, в който официално завършва етапът на изграждане и започва етапът на експлоатация.</w:t>
      </w:r>
    </w:p>
  </w:footnote>
  <w:footnote w:id="6">
    <w:p>
      <w:pPr>
        <w:pStyle w:val="FootnoteText"/>
        <w:ind w:left="120" w:hanging="12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„Термоядрен синтез за енергия“ е „вътрешната агенция“ на Европейския съюз, която отговаря за предаването на вноската на Евратом за ITER. Тя беше създадена като съвместно предприятие с Решение 2007/198/Евратом на Съвета от 27 март 2007 г. и е със седалище в Барселона (Испания). В него членуват държавите — членки на Евратом, Евратом и Швейцария. То беше създадено за осигуряване на компонентите, с които Евратом участва в ITER, и за осъществяване на други дейности, свързани с ITER (главно дейностите с Япония по споразумението за по-широкообхватен подход и програмата за тестовия общ модул) и DEMO (проектът след ITER, по който ще се демонстрира първото производство с търговска цел на електроенергия чрез термоядрен синтез въз основа на резултатите от експлоатацията на ITER).</w:t>
      </w:r>
    </w:p>
  </w:footnote>
  <w:footnote w:id="7">
    <w:p>
      <w:pPr>
        <w:pStyle w:val="FootnoteText"/>
      </w:pPr>
      <w:r>
        <w:rPr>
          <w:rStyle w:val="FootnoteReference"/>
        </w:rPr>
        <w:footnoteRef/>
      </w:r>
      <w:r>
        <w:t xml:space="preserve"> </w:t>
      </w:r>
      <w:r>
        <w:rPr>
          <w:rFonts w:ascii="Times New Roman" w:hAnsi="Times New Roman"/>
          <w:sz w:val="18"/>
        </w:rPr>
        <w:t>COM(2015) 80 final, 25.2.2015 г.</w:t>
      </w:r>
    </w:p>
  </w:footnote>
  <w:footnote w:id="8">
    <w:p>
      <w:pPr>
        <w:pStyle w:val="FootnoteText"/>
        <w:ind w:left="120" w:hanging="120"/>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vertAlign w:val="superscript"/>
        </w:rPr>
        <w:t xml:space="preserve"> </w:t>
      </w:r>
      <w:r>
        <w:rPr>
          <w:rFonts w:ascii="Times New Roman" w:hAnsi="Times New Roman"/>
          <w:sz w:val="18"/>
        </w:rPr>
        <w:t xml:space="preserve">Одобрението беше </w:t>
      </w:r>
      <w:r>
        <w:rPr>
          <w:rFonts w:ascii="Times New Roman" w:hAnsi="Times New Roman"/>
          <w:i/>
          <w:sz w:val="18"/>
        </w:rPr>
        <w:t>ad referendum</w:t>
      </w:r>
      <w:r>
        <w:rPr>
          <w:rFonts w:ascii="Times New Roman" w:hAnsi="Times New Roman"/>
          <w:sz w:val="18"/>
        </w:rPr>
        <w:t>, защото все още е предмет на окончателно решение от страна на бюджетните органи на членовете на ITER. За Европа това означава, че вноската на Евратом от бюджета на ЕС не засяга предложенията на Комисията и резултатите от преговорите по многогодишната финансова рамка за периода след 2020 г.</w:t>
      </w:r>
    </w:p>
  </w:footnote>
  <w:footnote w:id="9">
    <w:p>
      <w:pPr>
        <w:pStyle w:val="FootnoteText"/>
        <w:ind w:left="120" w:hanging="120"/>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Това се отнася за срок, преди който се счита за технически невъзможно да се реализира „Първа плазма“ .</w:t>
      </w:r>
    </w:p>
  </w:footnote>
  <w:footnote w:id="10">
    <w:p>
      <w:pPr>
        <w:pStyle w:val="FootnoteText"/>
        <w:ind w:left="120" w:hanging="120"/>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vertAlign w:val="superscript"/>
        </w:rPr>
        <w:t xml:space="preserve"> </w:t>
      </w:r>
      <w:r>
        <w:rPr>
          <w:rFonts w:ascii="Times New Roman" w:hAnsi="Times New Roman"/>
          <w:sz w:val="18"/>
        </w:rPr>
        <w:t>Срокът за „Първа плазма“ не включва резерв за непланирано развитие на обстоятелствата и за рискови събития, които обаче не е разумно да бъдат изключени особено за проекти с подобна сложност.</w:t>
      </w:r>
    </w:p>
  </w:footnote>
  <w:footnote w:id="11">
    <w:p>
      <w:pPr>
        <w:pStyle w:val="FootnoteText"/>
        <w:ind w:left="240" w:hanging="240"/>
        <w:jc w:val="both"/>
      </w:pPr>
      <w:r>
        <w:rPr>
          <w:rFonts w:ascii="Times New Roman" w:hAnsi="Times New Roman"/>
          <w:sz w:val="18"/>
          <w:vertAlign w:val="superscript"/>
        </w:rPr>
        <w:footnoteRef/>
      </w:r>
      <w:r>
        <w:rPr>
          <w:rFonts w:ascii="Times New Roman" w:hAnsi="Times New Roman"/>
          <w:sz w:val="18"/>
          <w:vertAlign w:val="superscript"/>
        </w:rPr>
        <w:t xml:space="preserve"> </w:t>
      </w:r>
      <w:r>
        <w:rPr>
          <w:rFonts w:ascii="Times New Roman" w:hAnsi="Times New Roman"/>
          <w:sz w:val="18"/>
        </w:rPr>
        <w:t>Вноската на Евратом се определя като съвместна вноска от бюджета на ЕС, Франция като държава домакин и членовете на „Термоядрен синтез за енергия“. Тази вноска се плаща в бюджета на „Термоядрен синтез за енергия“. Вноската на Евратом за ITER (чрез бюджета на „Термоядрен синтез за енергия“) се финансира в размер на 80 % от бюджета на ЕС и около 20 % от Франция. Общият бюджет на предприятието „Термоядрен синтез за енергия“ получава в допълнение още около 2 %, плащани от неговите членове.</w:t>
      </w:r>
    </w:p>
  </w:footnote>
  <w:footnote w:id="12">
    <w:p>
      <w:pPr>
        <w:pStyle w:val="FootnoteText"/>
        <w:ind w:left="240" w:hanging="240"/>
        <w:jc w:val="both"/>
      </w:pPr>
      <w:r>
        <w:rPr>
          <w:rStyle w:val="FootnoteReference"/>
          <w:rFonts w:ascii="Times New Roman" w:hAnsi="Times New Roman"/>
          <w:sz w:val="18"/>
        </w:rPr>
        <w:footnoteRef/>
      </w:r>
      <w:r>
        <w:rPr>
          <w:rStyle w:val="FootnoteReference"/>
        </w:rPr>
        <w:t xml:space="preserve">. </w:t>
      </w:r>
      <w:r>
        <w:rPr>
          <w:rFonts w:ascii="Times New Roman" w:hAnsi="Times New Roman"/>
          <w:sz w:val="18"/>
        </w:rPr>
        <w:t>Обединеното кралство е активен участник в научните изследвания по термоядрения синтез и след оттеглянето си от Евратом то може да поиска като държава извън Евратом да бъде асоциирано към дейностите на Евратом по проекта ITER чрез „Термоядрен синтез за енергия“ подобно на Швейцария. Дали това ще бъде приемливо и при какви условия е въпрос на разглеждане от 27-те държави — членки на Евратом, и на преговори между Евратом и Обединеното кралство. Като алтернатива Обединеното кралство може да участва пряко в проекта ITER, при условие че получи единодушното одобрение за това от страна на членовете на ITER, включително Евратом. За осъществяването на втория сценарий ще се изисква промяна в Споразумението за ITER.</w:t>
      </w:r>
    </w:p>
  </w:footnote>
  <w:footnote w:id="13">
    <w:p>
      <w:pPr>
        <w:pStyle w:val="FootnoteText"/>
        <w:ind w:left="240" w:hanging="240"/>
        <w:jc w:val="both"/>
      </w:pPr>
      <w:r>
        <w:rPr>
          <w:rStyle w:val="FootnoteReference"/>
          <w:rFonts w:ascii="Times New Roman" w:hAnsi="Times New Roman"/>
          <w:sz w:val="18"/>
        </w:rPr>
        <w:footnoteRef/>
      </w:r>
      <w:r>
        <w:rPr>
          <w:rFonts w:ascii="Times New Roman" w:hAnsi="Times New Roman"/>
          <w:sz w:val="18"/>
        </w:rPr>
        <w:t xml:space="preserve"> Всеки член е създал своя национална агенция, за да изпълнява своите отговорности за доставки за ITER. Тези агенции разполагат със свой собствен персонал и бюджет и сключват договори директно с промишлени предприятия. „Термоядрен синтез за енергия“ е вътрешната агенция на ЕС.</w:t>
      </w:r>
    </w:p>
  </w:footnote>
  <w:footnote w:id="14">
    <w:p>
      <w:pPr>
        <w:pStyle w:val="FootnoteText"/>
        <w:ind w:left="120" w:hanging="12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„Апортна вноска“ означава предаването от членовете на ITER (чрез техните национални агенции) на всички компоненти, необходими за изграждането на ITER, включително сгради.</w:t>
      </w:r>
    </w:p>
  </w:footnote>
  <w:footnote w:id="15">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„Fusion electricity, a roadmap to the realisation of fusion energy“ („Производство на електроенергия чрез термоядрен синтез — пътна карта за реализация на термоядрената енергия“), 2012 г.</w:t>
      </w:r>
    </w:p>
  </w:footnote>
  <w:footnote w:id="16">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От руската дума „токамак“; това е устройство, в което се използва силно магнитно поле за ограничаване на плазмата в пространство с формата на тороид.</w:t>
      </w:r>
    </w:p>
  </w:footnote>
  <w:footnote w:id="17">
    <w:p>
      <w:pPr>
        <w:pStyle w:val="FootnoteText"/>
        <w:ind w:left="120" w:hanging="120"/>
        <w:jc w:val="both"/>
        <w:rPr>
          <w:rFonts w:ascii="Times New Roman" w:hAnsi="Times New Roman" w:cs="Times New Roman"/>
          <w:sz w:val="18"/>
          <w:szCs w:val="18"/>
        </w:rPr>
      </w:pPr>
      <w:r>
        <w:rPr>
          <w:rStyle w:val="FootnoteReference"/>
          <w:rFonts w:ascii="Times New Roman" w:hAnsi="Times New Roman"/>
          <w:sz w:val="18"/>
        </w:rPr>
        <w:footnoteRef/>
      </w:r>
      <w:r>
        <w:rPr>
          <w:rStyle w:val="FootnoteReference"/>
          <w:rFonts w:ascii="Times New Roman" w:hAnsi="Times New Roman"/>
          <w:sz w:val="18"/>
        </w:rPr>
        <w:t xml:space="preserve"> </w:t>
      </w:r>
      <w:r>
        <w:rPr>
          <w:rFonts w:ascii="Times New Roman" w:hAnsi="Times New Roman"/>
          <w:sz w:val="18"/>
        </w:rPr>
        <w:t>Понастоящем пет члена на „Термоядрен синтез за енергия“ доброволно участват в дейностите по по-широкообхватния подход: Испания, Франция, Германия, Италия и Белгия.</w:t>
      </w:r>
    </w:p>
  </w:footnote>
  <w:footnote w:id="18">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По-специално в ключови области на проекта организацията ITER и националните агенции създадоха съвместни проектни екипи под надзора на съвместен орган за управление на проекта (Изпълнителен съвет на проекта), което дава възможност за ранно идентифициране на проблемите и тяхното решаване.</w:t>
      </w:r>
    </w:p>
  </w:footnote>
  <w:footnote w:id="19">
    <w:p>
      <w:pPr>
        <w:pStyle w:val="FootnoteText"/>
        <w:ind w:left="240" w:hanging="240"/>
        <w:jc w:val="both"/>
      </w:pPr>
      <w:r>
        <w:rPr>
          <w:rStyle w:val="FootnoteReference"/>
          <w:rFonts w:ascii="Times New Roman" w:hAnsi="Times New Roman"/>
          <w:sz w:val="18"/>
        </w:rPr>
        <w:footnoteRef/>
      </w:r>
      <w:r>
        <w:rPr>
          <w:rFonts w:ascii="Times New Roman" w:hAnsi="Times New Roman"/>
          <w:sz w:val="18"/>
        </w:rPr>
        <w:t xml:space="preserve"> Работна група към Съвета на ITER за независим преглед на актуализирания дългосрочен график и човешките ресурси (или накратко Групата за преглед към Съвета за ITER).</w:t>
      </w:r>
    </w:p>
  </w:footnote>
  <w:footnote w:id="20">
    <w:p>
      <w:pPr>
        <w:pStyle w:val="FootnoteText"/>
        <w:jc w:val="both"/>
      </w:pPr>
      <w:r>
        <w:rPr>
          <w:rStyle w:val="FootnoteReference"/>
        </w:rPr>
        <w:footnoteRef/>
      </w:r>
      <w:r>
        <w:t xml:space="preserve"> </w:t>
      </w:r>
      <w:r>
        <w:rPr>
          <w:rFonts w:ascii="Times New Roman" w:hAnsi="Times New Roman"/>
          <w:sz w:val="18"/>
        </w:rPr>
        <w:t>Предложение за актуализиран проектоплан и прогнозни оценки за ресурсите (PPRE), ITER_D_U29DBA v1.1.</w:t>
      </w:r>
    </w:p>
  </w:footnote>
  <w:footnote w:id="21">
    <w:p>
      <w:pPr>
        <w:pStyle w:val="FootnoteText"/>
        <w:jc w:val="both"/>
      </w:pPr>
      <w:r>
        <w:rPr>
          <w:rStyle w:val="FootnoteReference"/>
          <w:sz w:val="18"/>
        </w:rPr>
        <w:footnoteRef/>
      </w:r>
      <w:r>
        <w:rPr>
          <w:rFonts w:ascii="Times New Roman" w:hAnsi="Times New Roman"/>
          <w:sz w:val="18"/>
        </w:rPr>
        <w:t xml:space="preserve"> Последици за „Термоядрен синтез за енергия“ от актуализацията на графика и на прогнозните оценки на средствата за ITER, F4E(16)-GB36-12.1.</w:t>
      </w:r>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допълнение към разходите, предвидени за изграждане по предишните референтни параметри.</w:t>
      </w:r>
    </w:p>
  </w:footnote>
  <w:footnote w:id="23">
    <w:p>
      <w:pPr>
        <w:pStyle w:val="FootnoteText"/>
      </w:pPr>
      <w:r>
        <w:rPr>
          <w:rStyle w:val="FootnoteReference"/>
        </w:rPr>
        <w:footnoteRef/>
      </w:r>
      <w:r>
        <w:t xml:space="preserve"> </w:t>
      </w:r>
      <w:r>
        <w:rPr>
          <w:rFonts w:ascii="Times New Roman" w:hAnsi="Times New Roman"/>
          <w:sz w:val="18"/>
        </w:rPr>
        <w:t>Стойностите са закръглени до един знак след десетичната запетая</w:t>
      </w:r>
    </w:p>
  </w:footnote>
  <w:footnote w:id="24">
    <w:p>
      <w:pPr>
        <w:spacing w:after="240"/>
        <w:ind w:left="240" w:hanging="240"/>
        <w:jc w:val="both"/>
        <w:rPr>
          <w:rFonts w:ascii="Times New Roman" w:hAnsi="Times New Roman" w:cs="Times New Roman"/>
          <w:sz w:val="24"/>
          <w:szCs w:val="24"/>
        </w:rPr>
      </w:pPr>
      <w:r>
        <w:rPr>
          <w:rStyle w:val="FootnoteReference"/>
        </w:rPr>
        <w:footnoteRef/>
      </w:r>
      <w:r>
        <w:t xml:space="preserve"> </w:t>
      </w:r>
      <w:r>
        <w:rPr>
          <w:rFonts w:ascii="Times New Roman" w:hAnsi="Times New Roman"/>
          <w:sz w:val="18"/>
        </w:rPr>
        <w:t>Ако Обединеното кралство иска асоцииране към дейностите на Евратом по проекта ITER чрез „Термоядрен синтез за енергия“, както е посочено в точка II.2, обсъжданията между Евратом и Обединеното кралство ще трябва да обхванат равнището на участието на Обединеното кралство и условията за него, както и реда и условията, при които ще бъде предоставено финансиране за предприятия, установени в Обединеното кралство.</w:t>
      </w:r>
    </w:p>
    <w:p>
      <w:pPr>
        <w:pStyle w:val="FootnoteText"/>
      </w:pPr>
    </w:p>
  </w:footnote>
  <w:footnote w:id="25">
    <w:p>
      <w:pPr>
        <w:pStyle w:val="FootnoteText"/>
        <w:ind w:left="240" w:hanging="240"/>
        <w:jc w:val="both"/>
        <w:rPr>
          <w:rFonts w:ascii="Times New Roman" w:hAnsi="Times New Roman" w:cs="Times New Roman"/>
        </w:rPr>
      </w:pPr>
      <w:r>
        <w:rPr>
          <w:rStyle w:val="FootnoteReference"/>
          <w:rFonts w:ascii="Times New Roman" w:hAnsi="Times New Roman"/>
          <w:sz w:val="18"/>
        </w:rPr>
        <w:footnoteRef/>
      </w:r>
      <w:r>
        <w:rPr>
          <w:rFonts w:ascii="Times New Roman" w:hAnsi="Times New Roman"/>
          <w:sz w:val="18"/>
        </w:rPr>
        <w:t xml:space="preserve"> По-специално резервният фонд за справяне с разходите за промени по инициатива на организацията ITER в конструктивното решение на даден компонент; както и създаването от организацията ITER и националните агенции на съвместни екипи по ключови области на проекта под надзора на съвместен орган за управление на проекта (Изпълнителен съвет на проекта) с оглед идентифициране на проблемите и предлагане на ефективни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017"/>
    <w:multiLevelType w:val="hybridMultilevel"/>
    <w:tmpl w:val="63DC6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30849"/>
    <w:multiLevelType w:val="hybridMultilevel"/>
    <w:tmpl w:val="259631A0"/>
    <w:lvl w:ilvl="0" w:tplc="92D8088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DEA7BAC"/>
    <w:multiLevelType w:val="hybridMultilevel"/>
    <w:tmpl w:val="51DC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744395"/>
    <w:multiLevelType w:val="hybridMultilevel"/>
    <w:tmpl w:val="32D0C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D66083"/>
    <w:multiLevelType w:val="hybridMultilevel"/>
    <w:tmpl w:val="35C2C8D0"/>
    <w:lvl w:ilvl="0" w:tplc="7398260A">
      <w:start w:val="4"/>
      <w:numFmt w:val="upperRoman"/>
      <w:lvlText w:val="%1."/>
      <w:lvlJc w:val="left"/>
      <w:pPr>
        <w:ind w:left="1080" w:hanging="72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352D3A"/>
    <w:multiLevelType w:val="hybridMultilevel"/>
    <w:tmpl w:val="0B504108"/>
    <w:lvl w:ilvl="0" w:tplc="7FF436E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531B48"/>
    <w:multiLevelType w:val="hybridMultilevel"/>
    <w:tmpl w:val="E1982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F7415B"/>
    <w:multiLevelType w:val="hybridMultilevel"/>
    <w:tmpl w:val="F5C08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6C2970"/>
    <w:multiLevelType w:val="hybridMultilevel"/>
    <w:tmpl w:val="BC5A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82727D"/>
    <w:multiLevelType w:val="hybridMultilevel"/>
    <w:tmpl w:val="0D5AB1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B7664D"/>
    <w:multiLevelType w:val="hybridMultilevel"/>
    <w:tmpl w:val="8CC84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EB1110"/>
    <w:multiLevelType w:val="hybridMultilevel"/>
    <w:tmpl w:val="81446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73340D"/>
    <w:multiLevelType w:val="hybridMultilevel"/>
    <w:tmpl w:val="D3144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C56CCF"/>
    <w:multiLevelType w:val="hybridMultilevel"/>
    <w:tmpl w:val="D3144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5E6863"/>
    <w:multiLevelType w:val="hybridMultilevel"/>
    <w:tmpl w:val="A6BCF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5356E0"/>
    <w:multiLevelType w:val="hybridMultilevel"/>
    <w:tmpl w:val="0EC4B8F2"/>
    <w:lvl w:ilvl="0" w:tplc="7FF436E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3D02B4"/>
    <w:multiLevelType w:val="hybridMultilevel"/>
    <w:tmpl w:val="C04C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7911B0"/>
    <w:multiLevelType w:val="hybridMultilevel"/>
    <w:tmpl w:val="6C125B96"/>
    <w:lvl w:ilvl="0" w:tplc="450C6814">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D1417E"/>
    <w:multiLevelType w:val="hybridMultilevel"/>
    <w:tmpl w:val="0EC4B8F2"/>
    <w:lvl w:ilvl="0" w:tplc="7FF436E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993E03"/>
    <w:multiLevelType w:val="hybridMultilevel"/>
    <w:tmpl w:val="35265EE4"/>
    <w:lvl w:ilvl="0" w:tplc="08090019">
      <w:start w:val="1"/>
      <w:numFmt w:val="lowerLetter"/>
      <w:lvlText w:val="%1."/>
      <w:lvlJc w:val="left"/>
      <w:pPr>
        <w:ind w:left="720" w:hanging="360"/>
      </w:pPr>
    </w:lvl>
    <w:lvl w:ilvl="1" w:tplc="BB1EF568">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DE7BCC"/>
    <w:multiLevelType w:val="hybridMultilevel"/>
    <w:tmpl w:val="FFA05AAA"/>
    <w:lvl w:ilvl="0" w:tplc="7FF436E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DE5550"/>
    <w:multiLevelType w:val="hybridMultilevel"/>
    <w:tmpl w:val="6CB01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37D3AED"/>
    <w:multiLevelType w:val="hybridMultilevel"/>
    <w:tmpl w:val="4FC0F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BD5FBF"/>
    <w:multiLevelType w:val="hybridMultilevel"/>
    <w:tmpl w:val="B63A63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F354788"/>
    <w:multiLevelType w:val="hybridMultilevel"/>
    <w:tmpl w:val="C70A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8D2B17"/>
    <w:multiLevelType w:val="hybridMultilevel"/>
    <w:tmpl w:val="B26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435679"/>
    <w:multiLevelType w:val="hybridMultilevel"/>
    <w:tmpl w:val="C542FE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D709F7"/>
    <w:multiLevelType w:val="hybridMultilevel"/>
    <w:tmpl w:val="F05E0712"/>
    <w:lvl w:ilvl="0" w:tplc="7FF436E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E764A7"/>
    <w:multiLevelType w:val="hybridMultilevel"/>
    <w:tmpl w:val="0F220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87D5756"/>
    <w:multiLevelType w:val="hybridMultilevel"/>
    <w:tmpl w:val="6D34F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306B8D"/>
    <w:multiLevelType w:val="hybridMultilevel"/>
    <w:tmpl w:val="E708DC2C"/>
    <w:lvl w:ilvl="0" w:tplc="AF4683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C540FB"/>
    <w:multiLevelType w:val="hybridMultilevel"/>
    <w:tmpl w:val="D06A1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26"/>
  </w:num>
  <w:num w:numId="5">
    <w:abstractNumId w:val="25"/>
  </w:num>
  <w:num w:numId="6">
    <w:abstractNumId w:val="29"/>
  </w:num>
  <w:num w:numId="7">
    <w:abstractNumId w:val="14"/>
  </w:num>
  <w:num w:numId="8">
    <w:abstractNumId w:val="10"/>
  </w:num>
  <w:num w:numId="9">
    <w:abstractNumId w:val="1"/>
  </w:num>
  <w:num w:numId="10">
    <w:abstractNumId w:val="28"/>
  </w:num>
  <w:num w:numId="11">
    <w:abstractNumId w:val="9"/>
  </w:num>
  <w:num w:numId="12">
    <w:abstractNumId w:val="8"/>
  </w:num>
  <w:num w:numId="13">
    <w:abstractNumId w:val="24"/>
  </w:num>
  <w:num w:numId="14">
    <w:abstractNumId w:val="19"/>
  </w:num>
  <w:num w:numId="15">
    <w:abstractNumId w:val="21"/>
  </w:num>
  <w:num w:numId="16">
    <w:abstractNumId w:val="22"/>
  </w:num>
  <w:num w:numId="17">
    <w:abstractNumId w:val="7"/>
  </w:num>
  <w:num w:numId="18">
    <w:abstractNumId w:val="23"/>
  </w:num>
  <w:num w:numId="19">
    <w:abstractNumId w:val="30"/>
  </w:num>
  <w:num w:numId="20">
    <w:abstractNumId w:val="5"/>
  </w:num>
  <w:num w:numId="21">
    <w:abstractNumId w:val="17"/>
  </w:num>
  <w:num w:numId="22">
    <w:abstractNumId w:val="18"/>
  </w:num>
  <w:num w:numId="23">
    <w:abstractNumId w:val="15"/>
  </w:num>
  <w:num w:numId="24">
    <w:abstractNumId w:val="20"/>
  </w:num>
  <w:num w:numId="25">
    <w:abstractNumId w:val="6"/>
  </w:num>
  <w:num w:numId="26">
    <w:abstractNumId w:val="11"/>
  </w:num>
  <w:num w:numId="27">
    <w:abstractNumId w:val="0"/>
  </w:num>
  <w:num w:numId="28">
    <w:abstractNumId w:val="31"/>
  </w:num>
  <w:num w:numId="29">
    <w:abstractNumId w:val="12"/>
  </w:num>
  <w:num w:numId="30">
    <w:abstractNumId w:val="13"/>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83F0A851B9C419BB92DBD392F1CF4DE"/>
    <w:docVar w:name="LW_CROSSREFERENCE" w:val="{SWD(2017) 232 final}"/>
    <w:docVar w:name="LW_DocType" w:val="NORMAL"/>
    <w:docVar w:name="LW_EMISSION" w:val="14.6.2017"/>
    <w:docVar w:name="LW_EMISSION_ISODATE" w:val="2017-06-14"/>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19"/>
    <w:docVar w:name="LW_REF.INTERNE" w:val="&lt;UNUSED&gt;"/>
    <w:docVar w:name="LW_SOUS.TITRE.OBJ.CP" w:val="&lt;UNUSED&gt;"/>
    <w:docVar w:name="LW_SUPERTITRE" w:val="&lt;UNUSED&gt;"/>
    <w:docVar w:name="LW_TITRE.OBJ.CP" w:val="\u1055?\u1056?\u1048?\u1053?\u1054?\u1057? \u1053?\u1040? \u1045?\u1057? \u1047?\u1040? \u1055?\u1056?\u1045?\u1056?\u1040?\u1047?\u1043?\u1051?\u1045?\u1044?\u1040?\u1053? \u1055?\u1056?\u1054?\u1045?\u1050?\u1058? \u1047?\u1040? \u1052?\u1045?\u1046?\u1044?\u1059?\u1053?\u1040?\u1056?\u1054?\u1044?\u1045?\u1053? \u1045?\u1050?\u1057?\u1055?\u1045?\u1056?\u1048?\u1052?\u1045?\u1053?\u1058?\u1040?\u1051?\u1045?\u1053? \u1058?\u1045?\u1056?\u1052?\u1054?\u1071?\u1044?\u1056?\u1045?\u1053? \u1056?\u1045?\u1040?\u1050?\u1058?\u1054?\u1056? (ITER)"/>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010">
      <w:bodyDiv w:val="1"/>
      <w:marLeft w:val="0"/>
      <w:marRight w:val="0"/>
      <w:marTop w:val="0"/>
      <w:marBottom w:val="0"/>
      <w:divBdr>
        <w:top w:val="none" w:sz="0" w:space="0" w:color="auto"/>
        <w:left w:val="none" w:sz="0" w:space="0" w:color="auto"/>
        <w:bottom w:val="none" w:sz="0" w:space="0" w:color="auto"/>
        <w:right w:val="none" w:sz="0" w:space="0" w:color="auto"/>
      </w:divBdr>
      <w:divsChild>
        <w:div w:id="1765490439">
          <w:marLeft w:val="547"/>
          <w:marRight w:val="0"/>
          <w:marTop w:val="0"/>
          <w:marBottom w:val="0"/>
          <w:divBdr>
            <w:top w:val="none" w:sz="0" w:space="0" w:color="auto"/>
            <w:left w:val="none" w:sz="0" w:space="0" w:color="auto"/>
            <w:bottom w:val="none" w:sz="0" w:space="0" w:color="auto"/>
            <w:right w:val="none" w:sz="0" w:space="0" w:color="auto"/>
          </w:divBdr>
        </w:div>
        <w:div w:id="1087731622">
          <w:marLeft w:val="547"/>
          <w:marRight w:val="0"/>
          <w:marTop w:val="0"/>
          <w:marBottom w:val="0"/>
          <w:divBdr>
            <w:top w:val="none" w:sz="0" w:space="0" w:color="auto"/>
            <w:left w:val="none" w:sz="0" w:space="0" w:color="auto"/>
            <w:bottom w:val="none" w:sz="0" w:space="0" w:color="auto"/>
            <w:right w:val="none" w:sz="0" w:space="0" w:color="auto"/>
          </w:divBdr>
        </w:div>
        <w:div w:id="229465993">
          <w:marLeft w:val="547"/>
          <w:marRight w:val="0"/>
          <w:marTop w:val="0"/>
          <w:marBottom w:val="0"/>
          <w:divBdr>
            <w:top w:val="none" w:sz="0" w:space="0" w:color="auto"/>
            <w:left w:val="none" w:sz="0" w:space="0" w:color="auto"/>
            <w:bottom w:val="none" w:sz="0" w:space="0" w:color="auto"/>
            <w:right w:val="none" w:sz="0" w:space="0" w:color="auto"/>
          </w:divBdr>
        </w:div>
      </w:divsChild>
    </w:div>
    <w:div w:id="795804181">
      <w:bodyDiv w:val="1"/>
      <w:marLeft w:val="0"/>
      <w:marRight w:val="0"/>
      <w:marTop w:val="0"/>
      <w:marBottom w:val="0"/>
      <w:divBdr>
        <w:top w:val="none" w:sz="0" w:space="0" w:color="auto"/>
        <w:left w:val="none" w:sz="0" w:space="0" w:color="auto"/>
        <w:bottom w:val="none" w:sz="0" w:space="0" w:color="auto"/>
        <w:right w:val="none" w:sz="0" w:space="0" w:color="auto"/>
      </w:divBdr>
      <w:divsChild>
        <w:div w:id="549850427">
          <w:marLeft w:val="547"/>
          <w:marRight w:val="0"/>
          <w:marTop w:val="0"/>
          <w:marBottom w:val="0"/>
          <w:divBdr>
            <w:top w:val="none" w:sz="0" w:space="0" w:color="auto"/>
            <w:left w:val="none" w:sz="0" w:space="0" w:color="auto"/>
            <w:bottom w:val="none" w:sz="0" w:space="0" w:color="auto"/>
            <w:right w:val="none" w:sz="0" w:space="0" w:color="auto"/>
          </w:divBdr>
        </w:div>
        <w:div w:id="274597514">
          <w:marLeft w:val="547"/>
          <w:marRight w:val="0"/>
          <w:marTop w:val="0"/>
          <w:marBottom w:val="0"/>
          <w:divBdr>
            <w:top w:val="none" w:sz="0" w:space="0" w:color="auto"/>
            <w:left w:val="none" w:sz="0" w:space="0" w:color="auto"/>
            <w:bottom w:val="none" w:sz="0" w:space="0" w:color="auto"/>
            <w:right w:val="none" w:sz="0" w:space="0" w:color="auto"/>
          </w:divBdr>
        </w:div>
        <w:div w:id="11304394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5F4F7-EC27-46C5-A5BB-08BCBBD4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6103</Words>
  <Characters>34240</Characters>
  <Application>Microsoft Office Word</Application>
  <DocSecurity>0</DocSecurity>
  <Lines>698</Lines>
  <Paragraphs>235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2017-06-06T10:03:00Z</dcterms:created>
  <dcterms:modified xsi:type="dcterms:W3CDTF">2017-06-09T07:56:00Z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