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1135F2121BA4035B2A004C59D18C1BA" style="width:450.75pt;height:366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свързано с проект на решение на Съвета относно 2-та част от финансовите вноски за Европейския фонд за развитие (ЕФР), които трябва да бъдат платени от държавите членки през 2017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11-ят ЕФР и другите ЕФР фондове, които са все още открити (т.е. 8-ият, 9-ият и 10-ият ЕФР), се управляват съгласно следните правила: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Действащото споразумение за партньорство между членовете на групата държави от Африка, Карибите и Тихоокеанския басейн, от една страна, и Европейската общност и нейните държави членки, от друга страна, с последните му изменения („Споразумението за партньорство АКТБ—ЕС“)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Вътрешното споразумение между представителите на правителствата на държавите — 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(„Вътрешното споразумение за 11-ия ЕФР“),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Регламент (ЕС) 2015/323 на Съвета относно финансовия регламент, приложим за 11-ия Европейски фонд за развитие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(„Финансовият регламент за 11-ия ЕФР“).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Посочените по-горе документи съдържат многогодишните поети задължения от страна на държавите членки за финансова подкрепа на ЕФР. Във Финансовия регламент за 11-ия ЕФР се предвиждат редовни вноски на държавите членки за ЕФР по предварително определени финансови задължения. Редовните вноски се задействат с технически решения на Съвета, които отразяват изпълнението на поетите финансови задължения, за които е взето решение предварително.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Поради това някои от позициите в обяснителния меморандум не се прилагат за поканите за редовни вноски като настоящата.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Съгласно член 21, параграф 7 от Финансовия регламент за 11-ия ЕФР сумата, управлявана от Европейската комисия, и сумата, управлявана от Европейската инвестиционна банка (ЕИБ), се определят поотделно.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 52 от Финансовия регламент за 11-ия ЕФР ЕИБ изпрати на Европейската комисия актуализираните си прогнози за поетите задължения и за плащанията по инструментите, които управлява.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Съгласно член 22, параграф 1 от Финансовия регламент за 11-ия ЕФР поканите за вноски първо оползотворяват една след друга сумите, предвидени за предходни ЕФР. Поради това поканите за вноски в настоящото предложение се отнасят за суми по 10-ия ЕФР за ЕИБ, а за Европейската комисия — за суми по 10-ия и по 11-ия ЕФР.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 21, параграф 3 от Финансовия регламент за 11-ия ЕФР Съветът трябва да вземе решение по това предложение най-късно 21 календарни дни, след като Европейската комисия, която действа от името на Европейския съюз, представи предложението си.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В член 23, параграф 1 от Финансовия регламент за 11-ия ЕФР се предвижда, че когато държава членка не плати дължимата част от вноската до определения краен срок, от нея се изисква да плати лихва върху неизплатената сума; условията на плащане на лихвата са посочени в същия член.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Регулаторна пригодност и опростяване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Вж. точка 1. Основания и цели на предложението.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мерки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специалните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настоящата конкретна покана за вноски е включено предложение: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за възстановяване на сумата от 200 млн. EUR отменени средства по проекти по 8-ия и 9-ия ЕФР, 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за извършване от страна на държавите членки на съответните корекции в плащанията, така че на всяка държава членка да бъде възстановена сума, съответстваща на дела ѝ в тези средства.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на Европейската комисия е следствие от съответното политическо споразумение постигнато между държавите членки в рамките на Корепер през май 2016 г. във връзка с решението за предоставяне на допълнителни средства за Механизма за подкрепа на мира в Африка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2017/0126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финансовите вноски, които трябва да бъдат платени от държавите членки за финансиране на Европейския фонд за развитие, включително втората част от вноската за 2017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 и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 предвид Вътрешното споразумение 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(„Вътрешното споразумение“), и по-специално член 7 от него,</w:t>
      </w:r>
    </w:p>
    <w:p>
      <w:pPr>
        <w:rPr>
          <w:noProof/>
        </w:rPr>
      </w:pPr>
      <w:r>
        <w:rPr>
          <w:noProof/>
        </w:rPr>
        <w:t>като взе предвид Регламент (ЕС) 2015/323 на Съвета от 2 март 2015 г. относно Финансовия регламент, приложим за 11-ия Европейски фонд за развитие („Финансовият регламент за 11-ия ЕФР“)</w:t>
      </w:r>
      <w:r>
        <w:rPr>
          <w:rStyle w:val="FootnoteReference"/>
          <w:noProof/>
        </w:rPr>
        <w:footnoteReference w:id="6"/>
      </w:r>
      <w:r>
        <w:rPr>
          <w:noProof/>
        </w:rPr>
        <w:t>, и по-специално член 21, параграфи 3 и 4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процедурата, установена в членове 21—24 от Финансовия регламент за 11-ия ЕФР, в срок до 15 юни 2017 г. Европейската комисия представя предложение, в което се определят: а) размерът на втората част от вноската за 2017 г. и б) преразгледан годишен размер на вноската за 2017 г. в случаите, когато сумата се отклонява от действителните потребности.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 52 от Финансовия регламент за 11-ия ЕФР на 6 април 2017 г. Европейската инвестиционна банка (ЕИБ) изпрати на Европейската комисия актуализираните си прогнози за поетите задължения и за плащанията по инструментите, които управлява.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член 22, параграф 1 от Финансовия регламент за 11-ия ЕФР се предвижда, че поканите за вноски първо оползотворяват сумите, предвидени за предходни ЕФР. Затова следва да се отправи покана за внасяне на средства по 10-ия и 11-ия ЕФР.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По предложение на Европейската комисия Съветът прие на 11 ноември 2016 г. Решение (ЕС) 2016/2026</w:t>
      </w:r>
      <w:r>
        <w:rPr>
          <w:rStyle w:val="FootnoteReference"/>
          <w:noProof/>
        </w:rPr>
        <w:footnoteReference w:id="7"/>
      </w:r>
      <w:r>
        <w:rPr>
          <w:noProof/>
        </w:rPr>
        <w:t>, с което определи горната граница на годишния размер на вноските на държавите членки за ЕФР за 2017 г. на 3 850 000 000 евро за Европейската комисия и на 150 000 000 евро за Европейската инвестиционна банка.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 2 август 2016 г. с Решение (ЕС) 2016/1337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Съветът прие разпределянето на отменените средства по проекти по 10-ия европейски фонд за развитие (ЕФР) с цел предоставяне на допълнителни средства за Механизма за подкрепа на мира в Африка за периода 2016—2018 г. Държавите членки постигнаха съответно политическо споразумение в рамките на Корепер за възстановяване на обща сума от 200 млн. EUR отменени средства по проекти по 8-ия и 9-ия ЕФР и за извършване от страна на държавите членки на съответните корекции в плащанията, така че на всяка държава членка да бъде възстановена сума, съответстваща на дела ѝ в тези средства. Корекциите в плащанията трябва да бъдат извършени преди третата покана за вноски за 2017 г. и/или първата покана за вноски за 2018 г.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Отделните вноски за Европейския фонд за развитие, които държавите членки трябва да платят на Европейската комисия и на Европейската инвестиционна банка като втора част от вноската за 2017 г., са посочени в таблицата в приложението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Дяловете на вноските на държавите членки, определени в член 1, параграф 2, буква а) от вътрешните споразумения за 8-ия и 9-ия ЕФР, ще бъдат съответно намалени със сумата от 200 000 000 EUR отменени средства по проекти по 8-ия и 9-ия ЕФР. В зависимост от предпочитанията на всяка държава членка финансовата корекция се извършва спрямо третата част от вноската за 2017 г. и/или първата част от вноската за 2018 г.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3</w:t>
      </w:r>
    </w:p>
    <w:p>
      <w:pPr>
        <w:keepLines/>
        <w:rPr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keepNext/>
        <w:keepLines/>
        <w:rPr>
          <w:noProof/>
        </w:rPr>
      </w:pPr>
      <w:r>
        <w:rPr>
          <w:noProof/>
        </w:rPr>
        <w:t>Адресати на настоящото решение са държавите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317, 15.12.2000 г., стр. 3.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210, 6.8.2013 г., стр. 1.</w:t>
      </w:r>
    </w:p>
  </w:footnote>
  <w:footnote w:id="3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58, 3.3.2015 г., стр. 17—38.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2016/1337 на Съвета от 2 август 2016 г. относно разпределянето на отменените средства по проекти по 10-ия европейски фонд за развитие с цел предоставяне на допълнителни средства за Механизма за подкрепа на мира в Африка</w:t>
      </w:r>
    </w:p>
  </w:footnote>
  <w:footnote w:id="5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210, 6.8.2013 г., стр. 1.</w:t>
      </w:r>
    </w:p>
  </w:footnote>
  <w:footnote w:id="6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58, 3.3.2015 г., стр. 17—38.</w:t>
      </w:r>
    </w:p>
  </w:footnote>
  <w:footnote w:id="7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OВ L 313, 19.11.2016 г., стр. 25—27.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OВ L 212, 5.8.2016 г., стр. 107–108.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A40ED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0D214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71ABC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42CDD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A01A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5B660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4826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78688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2 12:15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11135F2121BA4035B2A004C59D18C1BA"/>
    <w:docVar w:name="LW_CROSSREFERENCE" w:val="&lt;UNUSED&gt;"/>
    <w:docVar w:name="LW_DocType" w:val="COM"/>
    <w:docVar w:name="LW_EMISSION" w:val="14.6.2017"/>
    <w:docVar w:name="LW_EMISSION_ISODATE" w:val="2017-06-14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26"/>
    <w:docVar w:name="LW_REF.II.NEW.CP_YEAR" w:val="2017"/>
    <w:docVar w:name="LW_REF.INST.NEW" w:val="COM"/>
    <w:docVar w:name="LW_REF.INST.NEW_ADOPTED" w:val="final"/>
    <w:docVar w:name="LW_REF.INST.NEW_TEXT" w:val="(2017) 296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17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FD86-834E-41E9-A6A8-DBA70E86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7</Pages>
  <Words>1379</Words>
  <Characters>7728</Characters>
  <Application>Microsoft Office Word</Application>
  <DocSecurity>0</DocSecurity>
  <Lines>171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2017-05-30T14:51:00Z</dcterms:created>
  <dcterms:modified xsi:type="dcterms:W3CDTF">2017-06-02T10:15:00Z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