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4CDDD846164E2DBA9350ABA809307A"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concerns a draft Council Decision on the 2</w:t>
      </w:r>
      <w:r>
        <w:rPr>
          <w:rFonts w:eastAsia="Arial Unicode MS"/>
          <w:noProof/>
          <w:vertAlign w:val="superscript"/>
        </w:rPr>
        <w:t>nd</w:t>
      </w:r>
      <w:r>
        <w:rPr>
          <w:rFonts w:eastAsia="Arial Unicode MS"/>
          <w:noProof/>
        </w:rPr>
        <w:t xml:space="preserve"> instalment of the financial contributions to the European Development Fund (EDF) to be paid by Member States in 2017.</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which are still open (i.e. Eighth, Ninth and 10</w:t>
      </w:r>
      <w:r>
        <w:rPr>
          <w:rFonts w:eastAsia="Arial Unicode MS"/>
          <w:noProof/>
          <w:vertAlign w:val="superscript"/>
        </w:rPr>
        <w:t>th</w:t>
      </w:r>
      <w:r>
        <w:rPr>
          <w:rFonts w:eastAsia="Arial Unicode MS"/>
          <w:noProof/>
        </w:rPr>
        <w:t xml:space="preserve"> EDF) are managed under the following set of rules: </w:t>
      </w:r>
    </w:p>
    <w:p>
      <w:pPr>
        <w:pBdr>
          <w:top w:val="nil"/>
          <w:left w:val="nil"/>
          <w:bottom w:val="nil"/>
          <w:right w:val="nil"/>
          <w:between w:val="nil"/>
          <w:bar w:val="nil"/>
        </w:pBdr>
        <w:spacing w:before="0" w:after="240"/>
        <w:rPr>
          <w:rFonts w:eastAsia="Arial Unicode MS"/>
          <w:noProof/>
        </w:rPr>
      </w:pPr>
      <w:r>
        <w:rPr>
          <w:rFonts w:eastAsia="Arial Unicode MS"/>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2015/323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 </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In accordance with Article 52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10</w:t>
      </w:r>
      <w:r>
        <w:rPr>
          <w:rFonts w:eastAsia="Arial Unicode MS"/>
          <w:noProof/>
          <w:vertAlign w:val="superscript"/>
        </w:rPr>
        <w:t>th</w:t>
      </w:r>
      <w:r>
        <w:rPr>
          <w:rFonts w:eastAsia="Arial Unicode MS"/>
          <w:noProof/>
        </w:rPr>
        <w:t xml:space="preserve"> EDF and under the 11</w:t>
      </w:r>
      <w:r>
        <w:rPr>
          <w:rFonts w:eastAsia="Arial Unicode MS"/>
          <w:noProof/>
          <w:vertAlign w:val="superscript"/>
        </w:rPr>
        <w:t>th</w:t>
      </w:r>
      <w:r>
        <w:rPr>
          <w:rFonts w:eastAsia="Arial Unicode MS"/>
          <w:noProof/>
        </w:rPr>
        <w:t xml:space="preserve"> EDF for the European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21(3) of the 11</w:t>
      </w:r>
      <w:r>
        <w:rPr>
          <w:rFonts w:eastAsia="Arial Unicode MS"/>
          <w:noProof/>
          <w:vertAlign w:val="superscript"/>
        </w:rPr>
        <w:t>th</w:t>
      </w:r>
      <w:r>
        <w:rPr>
          <w:rFonts w:eastAsia="Arial Unicode MS"/>
          <w:noProof/>
        </w:rPr>
        <w:t xml:space="preserve"> EDF Financial Regulation, the Council must decide on this proposal at the latest 21 calendar days following the presentation, by the European Commission acting on behalf of the European Union, of this proposal.</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In this particular call for contributions, a proposal is included:</w:t>
      </w:r>
    </w:p>
    <w:p>
      <w:pPr>
        <w:pBdr>
          <w:top w:val="nil"/>
          <w:left w:val="nil"/>
          <w:bottom w:val="nil"/>
          <w:right w:val="nil"/>
          <w:between w:val="nil"/>
          <w:bar w:val="nil"/>
        </w:pBdr>
        <w:spacing w:before="0" w:after="240"/>
        <w:rPr>
          <w:noProof/>
        </w:rPr>
      </w:pPr>
      <w:r>
        <w:rPr>
          <w:noProof/>
        </w:rPr>
        <w:t>- to refund an amount of EUR 200 million of decommitted amounts from the Eighth and the Ninth EDF, and</w:t>
      </w:r>
    </w:p>
    <w:p>
      <w:pPr>
        <w:pBdr>
          <w:top w:val="nil"/>
          <w:left w:val="nil"/>
          <w:bottom w:val="nil"/>
          <w:right w:val="nil"/>
          <w:between w:val="nil"/>
          <w:bar w:val="nil"/>
        </w:pBdr>
        <w:spacing w:before="0" w:after="240"/>
        <w:rPr>
          <w:noProof/>
        </w:rPr>
      </w:pPr>
      <w:r>
        <w:rPr>
          <w:noProof/>
        </w:rPr>
        <w:t>- to have Member States make corresponding payment adjustments so that each Member State is refunded according to the share it contributed to those amounts.</w:t>
      </w:r>
    </w:p>
    <w:p>
      <w:pPr>
        <w:pBdr>
          <w:top w:val="nil"/>
          <w:left w:val="nil"/>
          <w:bottom w:val="nil"/>
          <w:right w:val="nil"/>
          <w:between w:val="nil"/>
          <w:bar w:val="nil"/>
        </w:pBdr>
        <w:spacing w:before="0" w:after="240"/>
        <w:rPr>
          <w:noProof/>
        </w:rPr>
      </w:pPr>
      <w:r>
        <w:rPr>
          <w:noProof/>
        </w:rPr>
        <w:t>The proposal by the European Commission follows up on a corresponding political agreement reached among Member States in COREPER in May 2016 in the context of the decision to replenish funding for the African Peace Facility</w:t>
      </w:r>
      <w:r>
        <w:rPr>
          <w:rStyle w:val="FootnoteReference"/>
          <w:rFonts w:eastAsia="Arial Unicode MS"/>
          <w:noProof/>
        </w:rPr>
        <w:footnoteReference w:id="4"/>
      </w:r>
      <w:r>
        <w:rPr>
          <w:noProof/>
        </w:rPr>
        <w:t>.</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second instalment for 2017</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5"/>
      </w:r>
      <w:r>
        <w:rPr>
          <w:noProof/>
        </w:rPr>
        <w:t xml:space="preserve"> ("the Internal Agreement") and in particular Article 7 thereof,</w:t>
      </w:r>
    </w:p>
    <w:p>
      <w:pPr>
        <w:rPr>
          <w:noProof/>
        </w:rPr>
      </w:pPr>
      <w:r>
        <w:rPr>
          <w:noProof/>
        </w:rPr>
        <w:t>Having regard to the Council Regulation (EU) 2015/323 of 2 March 2015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6"/>
      </w:r>
      <w:r>
        <w:rPr>
          <w:noProof/>
        </w:rPr>
        <w:t>, and in particular Article 21(3) and 21(4)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Articles 21 to 24 of the 11</w:t>
      </w:r>
      <w:r>
        <w:rPr>
          <w:noProof/>
          <w:vertAlign w:val="superscript"/>
        </w:rPr>
        <w:t>th</w:t>
      </w:r>
      <w:r>
        <w:rPr>
          <w:noProof/>
        </w:rPr>
        <w:t xml:space="preserve"> EDF Financial Regulation, the European Commission shall present a proposal by 15 June 2017 specifying (a) the amount of the second instalment of the contribution for 2017, (b) a revised annual amount of the contribution for 2017, in cases where the amount deviates from actual needs.</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on 6 April 2017 to the European Commission its updated estimates of commitments and payments under the instruments it manages.</w:t>
      </w:r>
    </w:p>
    <w:p>
      <w:pPr>
        <w:pStyle w:val="ManualConsidrant"/>
        <w:rPr>
          <w:noProof/>
        </w:rPr>
      </w:pPr>
      <w:r>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and 11</w:t>
      </w:r>
      <w:r>
        <w:rPr>
          <w:noProof/>
          <w:vertAlign w:val="superscript"/>
        </w:rPr>
        <w:t>th</w:t>
      </w:r>
      <w:r>
        <w:rPr>
          <w:noProof/>
        </w:rPr>
        <w:t xml:space="preserve"> EDF should be made.</w:t>
      </w:r>
    </w:p>
    <w:p>
      <w:pPr>
        <w:pStyle w:val="ManualConsidrant"/>
        <w:rPr>
          <w:noProof/>
        </w:rPr>
      </w:pPr>
      <w:r>
        <w:t>(4)</w:t>
      </w:r>
      <w:r>
        <w:tab/>
      </w:r>
      <w:r>
        <w:rPr>
          <w:noProof/>
        </w:rPr>
        <w:t>By means of Decision (EU) 2016/2026</w:t>
      </w:r>
      <w:r>
        <w:rPr>
          <w:rStyle w:val="FootnoteReference"/>
          <w:noProof/>
        </w:rPr>
        <w:footnoteReference w:id="7"/>
      </w:r>
      <w:r>
        <w:rPr>
          <w:noProof/>
        </w:rPr>
        <w:t>, the Council has adopted on the 11 November 2016, on a proposal by the European Commission, the Decision to set the ceiling for the annual amount of the Member States' EDF contributions for 2017 at EUR 3 850 000 000 for the European Commission, and at EUR 150 000 000 for the European Investment Bank.</w:t>
      </w:r>
    </w:p>
    <w:p>
      <w:pPr>
        <w:pStyle w:val="ManualConsidrant"/>
        <w:rPr>
          <w:noProof/>
        </w:rPr>
      </w:pPr>
      <w:r>
        <w:t>(5)</w:t>
      </w:r>
      <w:r>
        <w:tab/>
      </w:r>
      <w:r>
        <w:rPr>
          <w:noProof/>
        </w:rPr>
        <w:t>By means of Decision (EU) 2016/1337</w:t>
      </w:r>
      <w:r>
        <w:rPr>
          <w:rStyle w:val="FootnoteReference"/>
          <w:noProof/>
        </w:rPr>
        <w:footnoteReference w:id="8"/>
      </w:r>
      <w:r>
        <w:rPr>
          <w:noProof/>
        </w:rPr>
        <w:t>, the Council has adopted on the 2 August 2016 the allocation of funds decommitted from projects under the 10</w:t>
      </w:r>
      <w:r>
        <w:rPr>
          <w:noProof/>
          <w:vertAlign w:val="superscript"/>
        </w:rPr>
        <w:t>th</w:t>
      </w:r>
      <w:r>
        <w:rPr>
          <w:noProof/>
        </w:rPr>
        <w:t xml:space="preserve"> European Development Fund (EDF) for the purpose of replenishing the African Peace Facility for the period 2016-2018. A corollary political agreement was reached by Member States in COREPER to refund a combined amount of EUR 200 million of decommitted amounts from Eighth and Ninth EDF and to have Member States make corresponding payment adjustments so as to refund each Member State according to the share it contributed to those amounts. Payments adjustments are due to take place by the third call for contributions 2017 and/or the first call for contributions 2018.</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second instalment for 2017 are set out in the table in the Annex to this Decision.</w:t>
      </w:r>
    </w:p>
    <w:p>
      <w:pPr>
        <w:pStyle w:val="Titrearticle"/>
        <w:rPr>
          <w:noProof/>
        </w:rPr>
      </w:pPr>
      <w:r>
        <w:rPr>
          <w:noProof/>
        </w:rPr>
        <w:t>Article 2</w:t>
      </w:r>
    </w:p>
    <w:p>
      <w:pPr>
        <w:rPr>
          <w:noProof/>
        </w:rPr>
      </w:pPr>
      <w:r>
        <w:rPr>
          <w:noProof/>
        </w:rPr>
        <w:t>The shares of Member States’ contributions set out in Article 1(2)(a) of the Internal Agreements of the Eighth and Ninth EDF shall be reduced accordingly for an amount of EUR 200 000 000 from funds decommitted under the Eighth and the Ninth European Development Fund (EDF). According to each individual Member States preferences, the financial adjustment shall be implemented against the third instalment 2017 and/or the first instalment 2018.</w:t>
      </w:r>
    </w:p>
    <w:p>
      <w:pPr>
        <w:pStyle w:val="Titrearticle"/>
        <w:keepNext w:val="0"/>
        <w:rPr>
          <w:noProof/>
        </w:rPr>
      </w:pPr>
      <w:r>
        <w:rPr>
          <w:noProof/>
        </w:rPr>
        <w:t>Article 3</w:t>
      </w:r>
    </w:p>
    <w:p>
      <w:pPr>
        <w:keepLines/>
        <w:rPr>
          <w:noProof/>
        </w:rPr>
      </w:pPr>
      <w:r>
        <w:rPr>
          <w:noProof/>
        </w:rPr>
        <w:t>This Decision shall enter into force on the date of its publication in the Official Journal of the European</w:t>
      </w:r>
      <w:r>
        <w:rPr>
          <w:i/>
          <w:noProof/>
        </w:rPr>
        <w:t xml:space="preserve"> Union</w:t>
      </w:r>
      <w:r>
        <w:rPr>
          <w:noProof/>
        </w:rPr>
        <w:t>.</w:t>
      </w:r>
    </w:p>
    <w:p>
      <w:pPr>
        <w:pStyle w:val="Titrearticle"/>
        <w:rPr>
          <w:noProof/>
        </w:rPr>
      </w:pPr>
      <w:r>
        <w:rPr>
          <w:noProof/>
        </w:rPr>
        <w:t>Article 4</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pPr>
      <w:r>
        <w:rPr>
          <w:rStyle w:val="FootnoteReference"/>
        </w:rPr>
        <w:footnoteRef/>
      </w:r>
      <w:r>
        <w:tab/>
        <w:t>Council Decision (EU) 2016/1337 of 2 August 2016 concerning the allocation of funds decommitted from projects under the 10th European Development Fund for the purpose of replenishing the African Peace Facility</w:t>
      </w:r>
    </w:p>
  </w:footnote>
  <w:footnote w:id="5">
    <w:p>
      <w:pPr>
        <w:pStyle w:val="FootnoteText"/>
        <w:rPr>
          <w:lang w:val="pl-PL"/>
        </w:rPr>
      </w:pPr>
      <w:r>
        <w:rPr>
          <w:rStyle w:val="FootnoteReference"/>
        </w:rPr>
        <w:footnoteRef/>
      </w:r>
      <w:r>
        <w:rPr>
          <w:lang w:val="pl-PL"/>
        </w:rPr>
        <w:tab/>
        <w:t>OJ L 210, 6.8.2013, p. 1</w:t>
      </w:r>
    </w:p>
  </w:footnote>
  <w:footnote w:id="6">
    <w:p>
      <w:pPr>
        <w:pStyle w:val="FootnoteText"/>
        <w:rPr>
          <w:lang w:val="pl-PL"/>
        </w:rPr>
      </w:pPr>
      <w:r>
        <w:rPr>
          <w:rStyle w:val="FootnoteReference"/>
        </w:rPr>
        <w:footnoteRef/>
      </w:r>
      <w:r>
        <w:rPr>
          <w:lang w:val="pl-PL"/>
        </w:rPr>
        <w:tab/>
        <w:t>OJ L 58, 3.3.2015, p. 17-38</w:t>
      </w:r>
    </w:p>
  </w:footnote>
  <w:footnote w:id="7">
    <w:p>
      <w:pPr>
        <w:pStyle w:val="FootnoteText"/>
        <w:rPr>
          <w:lang w:val="pl-PL"/>
        </w:rPr>
      </w:pPr>
      <w:r>
        <w:rPr>
          <w:rStyle w:val="FootnoteReference"/>
        </w:rPr>
        <w:footnoteRef/>
      </w:r>
      <w:r>
        <w:rPr>
          <w:lang w:val="pl-PL"/>
        </w:rPr>
        <w:tab/>
        <w:t>OJ L 313, 19.11.2016, p. 25-27</w:t>
      </w:r>
    </w:p>
  </w:footnote>
  <w:footnote w:id="8">
    <w:p>
      <w:pPr>
        <w:pStyle w:val="FootnoteText"/>
        <w:rPr>
          <w:lang w:val="fr-BE"/>
        </w:rPr>
      </w:pPr>
      <w:r>
        <w:rPr>
          <w:rStyle w:val="FootnoteReference"/>
        </w:rPr>
        <w:footnoteRef/>
      </w:r>
      <w:r>
        <w:rPr>
          <w:lang w:val="fr-BE"/>
        </w:rPr>
        <w:tab/>
      </w:r>
      <w:r>
        <w:t>OJ L 212, 5.8.2016, p. 107–108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0ED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D214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71AB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2CDD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01A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B660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826730"/>
    <w:lvl w:ilvl="0">
      <w:start w:val="1"/>
      <w:numFmt w:val="decimal"/>
      <w:pStyle w:val="ListNumber"/>
      <w:lvlText w:val="%1."/>
      <w:lvlJc w:val="left"/>
      <w:pPr>
        <w:tabs>
          <w:tab w:val="num" w:pos="360"/>
        </w:tabs>
        <w:ind w:left="360" w:hanging="360"/>
      </w:pPr>
    </w:lvl>
  </w:abstractNum>
  <w:abstractNum w:abstractNumId="7">
    <w:nsid w:val="FFFFFF89"/>
    <w:multiLevelType w:val="singleLevel"/>
    <w:tmpl w:val="37868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2 12:15: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B4CDDD846164E2DBA9350ABA809307A"/>
    <w:docVar w:name="LW_CROSSREFERENCE" w:val="&lt;UNUSED&gt;"/>
    <w:docVar w:name="LW_DocType" w:val="COM"/>
    <w:docVar w:name="LW_EMISSION" w:val="14.6.2017"/>
    <w:docVar w:name="LW_EMISSION_ISODATE" w:val="2017-06-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26"/>
    <w:docVar w:name="LW_REF.II.NEW.CP_YEAR" w:val="2017"/>
    <w:docVar w:name="LW_REF.INST.NEW" w:val="COM"/>
    <w:docVar w:name="LW_REF.INST.NEW_ADOPTED" w:val="final"/>
    <w:docVar w:name="LW_REF.INST.NEW_TEXT" w:val="(2017) 296"/>
    <w:docVar w:name="LW_REF.INTERNE" w:val="&lt;UNUSED&gt;"/>
    <w:docVar w:name="LW_SOUS.TITRE.OBJ.CP" w:val="&lt;UNUSED&gt;"/>
    <w:docVar w:name="LW_STATUT.CP" w:val="Proposal for a"/>
    <w:docVar w:name="LW_SUPERTITRE" w:val="&lt;UNUSED&gt;"/>
    <w:docVar w:name="LW_TITRE.OBJ.CP" w:val="on the financial contributions to be paid by Member States to finance the European Development Fund, including the second instalment for 20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0C95-4633-48E4-A3E4-C4C1BAC3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1422</Words>
  <Characters>7598</Characters>
  <Application>Microsoft Office Word</Application>
  <DocSecurity>0</DocSecurity>
  <Lines>155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2017-05-12T09:46:00Z</dcterms:created>
  <dcterms:modified xsi:type="dcterms:W3CDTF">2017-06-02T10:15:00Z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