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DF5F8D3CC224119A8414716BF347A14"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numPr>
          <w:ilvl w:val="0"/>
          <w:numId w:val="1"/>
        </w:numPr>
        <w:rPr>
          <w:noProof/>
        </w:rPr>
      </w:pPr>
      <w:bookmarkStart w:id="1" w:name="_GoBack"/>
      <w:bookmarkEnd w:id="1"/>
      <w:r>
        <w:rPr>
          <w:noProof/>
        </w:rPr>
        <w:lastRenderedPageBreak/>
        <w:t>Avant-propos</w:t>
      </w:r>
    </w:p>
    <w:p>
      <w:pPr>
        <w:pStyle w:val="Text1"/>
        <w:rPr>
          <w:noProof/>
        </w:rPr>
      </w:pPr>
      <w:r>
        <w:rPr>
          <w:noProof/>
        </w:rPr>
        <w:t>Conformément à l'article 7, paragraphe 3, de l'accord interne relatif au 11</w:t>
      </w:r>
      <w:r>
        <w:rPr>
          <w:noProof/>
          <w:vertAlign w:val="superscript"/>
        </w:rPr>
        <w:t>e</w:t>
      </w:r>
      <w:r>
        <w:rPr>
          <w:noProof/>
        </w:rPr>
        <w:t xml:space="preserve"> FED</w:t>
      </w:r>
      <w:r>
        <w:rPr>
          <w:rStyle w:val="FootnoteReference"/>
          <w:noProof/>
        </w:rPr>
        <w:footnoteReference w:id="1"/>
      </w:r>
      <w:r>
        <w:rPr>
          <w:noProof/>
        </w:rPr>
        <w:t xml:space="preserve"> et à l'article 21, paragraphe 4, du règlement (UE) 2015/323 du Conseil portant règlement financier applicable au 11</w:t>
      </w:r>
      <w:r>
        <w:rPr>
          <w:noProof/>
          <w:vertAlign w:val="superscript"/>
        </w:rPr>
        <w:t>e</w:t>
      </w:r>
      <w:r>
        <w:rPr>
          <w:noProof/>
        </w:rPr>
        <w:t xml:space="preserve"> Fonds européen de développement</w:t>
      </w:r>
      <w:r>
        <w:rPr>
          <w:rStyle w:val="FootnoteReference"/>
          <w:noProof/>
        </w:rPr>
        <w:footnoteReference w:id="2"/>
      </w:r>
      <w:r>
        <w:rPr>
          <w:noProof/>
        </w:rPr>
        <w:t xml:space="preserve"> (ci-après le «règlement financier du 11</w:t>
      </w:r>
      <w:r>
        <w:rPr>
          <w:noProof/>
          <w:vertAlign w:val="superscript"/>
        </w:rPr>
        <w:t>e</w:t>
      </w:r>
      <w:r>
        <w:rPr>
          <w:noProof/>
        </w:rPr>
        <w:t xml:space="preserve"> FED»), la Commission expose dans le présent document les engagements, paiements et contributions effectués en 2016 et à effectuer lors des exercices 2017 et 2018, en tenant compte des prévisions de la Banque européenne d’investissement (BEI). </w:t>
      </w:r>
    </w:p>
    <w:p>
      <w:pPr>
        <w:pStyle w:val="Text1"/>
        <w:rPr>
          <w:noProof/>
        </w:rPr>
      </w:pPr>
      <w:r>
        <w:rPr>
          <w:noProof/>
        </w:rPr>
        <w:t>Le présent document expose l’exécution financière des FED (du 8</w:t>
      </w:r>
      <w:r>
        <w:rPr>
          <w:noProof/>
          <w:vertAlign w:val="superscript"/>
        </w:rPr>
        <w:t>e</w:t>
      </w:r>
      <w:r>
        <w:rPr>
          <w:noProof/>
        </w:rPr>
        <w:t xml:space="preserve"> au 11</w:t>
      </w:r>
      <w:r>
        <w:rPr>
          <w:noProof/>
          <w:vertAlign w:val="superscript"/>
        </w:rPr>
        <w:t>e</w:t>
      </w:r>
      <w:r>
        <w:rPr>
          <w:noProof/>
        </w:rPr>
        <w:t>) pour 2016 et les prévisions d’exécution pour 2017 et 2018.</w:t>
      </w:r>
    </w:p>
    <w:p>
      <w:pPr>
        <w:pStyle w:val="Text1"/>
        <w:rPr>
          <w:noProof/>
        </w:rPr>
      </w:pPr>
      <w:r>
        <w:rPr>
          <w:noProof/>
        </w:rPr>
        <w:t>Les contributions sont directement versées par les États membres à la Banque européenne d'investissement (BEI) pour les instruments des 9</w:t>
      </w:r>
      <w:r>
        <w:rPr>
          <w:noProof/>
          <w:vertAlign w:val="superscript"/>
        </w:rPr>
        <w:t>e</w:t>
      </w:r>
      <w:r>
        <w:rPr>
          <w:noProof/>
        </w:rPr>
        <w:t>, 10</w:t>
      </w:r>
      <w:r>
        <w:rPr>
          <w:noProof/>
          <w:vertAlign w:val="superscript"/>
        </w:rPr>
        <w:t>e</w:t>
      </w:r>
      <w:r>
        <w:rPr>
          <w:noProof/>
        </w:rPr>
        <w:t xml:space="preserve"> et 11</w:t>
      </w:r>
      <w:r>
        <w:rPr>
          <w:noProof/>
          <w:vertAlign w:val="superscript"/>
        </w:rPr>
        <w:t>e</w:t>
      </w:r>
      <w:r>
        <w:rPr>
          <w:noProof/>
        </w:rPr>
        <w:t xml:space="preserve"> FED dont elle assure la gestion (la facilité d’investissement et les bonifications d’intérêts). </w:t>
      </w:r>
    </w:p>
    <w:p>
      <w:pPr>
        <w:pStyle w:val="Heading1"/>
        <w:numPr>
          <w:ilvl w:val="0"/>
          <w:numId w:val="2"/>
        </w:numPr>
        <w:rPr>
          <w:noProof/>
        </w:rPr>
      </w:pPr>
      <w:r>
        <w:rPr>
          <w:noProof/>
        </w:rPr>
        <w:t>Introduction</w:t>
      </w:r>
    </w:p>
    <w:p>
      <w:pPr>
        <w:pStyle w:val="Text1"/>
        <w:rPr>
          <w:noProof/>
        </w:rPr>
      </w:pPr>
      <w:r>
        <w:rPr>
          <w:noProof/>
        </w:rPr>
        <w:t>La Commission et la BEI ont actualisé, pour chacun des pays ACP</w:t>
      </w:r>
      <w:r>
        <w:rPr>
          <w:rStyle w:val="FootnoteReference"/>
          <w:noProof/>
        </w:rPr>
        <w:footnoteReference w:id="3"/>
      </w:r>
      <w:r>
        <w:rPr>
          <w:noProof/>
        </w:rPr>
        <w:t xml:space="preserve"> et des PTOM</w:t>
      </w:r>
      <w:r>
        <w:rPr>
          <w:rStyle w:val="FootnoteReference"/>
          <w:noProof/>
        </w:rPr>
        <w:footnoteReference w:id="4"/>
      </w:r>
      <w:r>
        <w:rPr>
          <w:noProof/>
        </w:rPr>
        <w:t>, leurs prévisions d’engagements et de paiements pour les exercices 2017 et 2018. Les prévisions de paiements, en particulier, ont été élaborées dans l’objectif d’aider les États membres à réserver des montants les plus exacts possible sur leurs budgets nationaux, tout en s’assurant qu’un volume suffisant de ressources financières soit disponible pour le FED, afin d’éviter des problèmes de trésorerie.</w:t>
      </w:r>
    </w:p>
    <w:p>
      <w:pPr>
        <w:pStyle w:val="Text1"/>
        <w:rPr>
          <w:noProof/>
        </w:rPr>
      </w:pPr>
      <w:r>
        <w:rPr>
          <w:noProof/>
        </w:rPr>
        <w:t>Conformément à l’article 7, paragraphe 3, de l’accord interne relatif au 11</w:t>
      </w:r>
      <w:r>
        <w:rPr>
          <w:noProof/>
          <w:vertAlign w:val="superscript"/>
        </w:rPr>
        <w:t>e</w:t>
      </w:r>
      <w:r>
        <w:rPr>
          <w:noProof/>
        </w:rPr>
        <w:t xml:space="preserve"> FED</w:t>
      </w:r>
      <w:r>
        <w:rPr>
          <w:rStyle w:val="FootnoteReference"/>
          <w:noProof/>
        </w:rPr>
        <w:footnoteReference w:id="5"/>
      </w:r>
      <w:r>
        <w:rPr>
          <w:noProof/>
        </w:rPr>
        <w:t xml:space="preserve"> et à l’article 21, paragraphe 4, du règlement financier du 11</w:t>
      </w:r>
      <w:r>
        <w:rPr>
          <w:noProof/>
          <w:vertAlign w:val="superscript"/>
        </w:rPr>
        <w:t>e</w:t>
      </w:r>
      <w:r>
        <w:rPr>
          <w:noProof/>
        </w:rPr>
        <w:t xml:space="preserve"> FED</w:t>
      </w:r>
      <w:r>
        <w:rPr>
          <w:rStyle w:val="FootnoteReference"/>
          <w:noProof/>
        </w:rPr>
        <w:footnoteReference w:id="6"/>
      </w:r>
      <w:r>
        <w:rPr>
          <w:noProof/>
        </w:rPr>
        <w:t>, les estimations fournies dans le présent document ont été actualisées.</w:t>
      </w:r>
    </w:p>
    <w:p>
      <w:pPr>
        <w:pStyle w:val="Text1"/>
        <w:rPr>
          <w:noProof/>
        </w:rPr>
      </w:pPr>
      <w:r>
        <w:rPr>
          <w:noProof/>
        </w:rPr>
        <w:t>Le graphique qui suit décrit l’évolution générale des engagements et paiements bruts de 1999 à 2016 et fournit des projections pour la période 2017</w:t>
      </w:r>
      <w:r>
        <w:rPr>
          <w:noProof/>
        </w:rPr>
        <w:noBreakHyphen/>
        <w:t>2018 (montants cumulés Commission et BEI).</w:t>
      </w:r>
    </w:p>
    <w:p>
      <w:pPr>
        <w:rPr>
          <w:noProof/>
        </w:rPr>
      </w:pPr>
      <w:r>
        <w:rPr>
          <w:noProof/>
        </w:rPr>
        <w:br w:type="page"/>
      </w:r>
    </w:p>
    <w:p>
      <w:pPr>
        <w:pStyle w:val="Text1"/>
        <w:rPr>
          <w:b/>
          <w:noProof/>
        </w:rPr>
      </w:pPr>
      <w:r>
        <w:rPr>
          <w:b/>
          <w:noProof/>
        </w:rPr>
        <w:t>Engagements et paiements bruts: évolution 1999-2018 (en Mio EUR)</w:t>
      </w:r>
    </w:p>
    <w:p>
      <w:pPr>
        <w:jc w:val="both"/>
        <w:rPr>
          <w:noProof/>
        </w:rPr>
      </w:pPr>
      <w:r>
        <w:rPr>
          <w:noProof/>
          <w:lang w:val="en-US" w:eastAsia="en-US" w:bidi="ar-SA"/>
        </w:rPr>
        <w:drawing>
          <wp:inline distT="0" distB="0" distL="0" distR="0">
            <wp:extent cx="5762625" cy="3457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61355" cy="3456813"/>
                    </a:xfrm>
                    <a:prstGeom prst="rect">
                      <a:avLst/>
                    </a:prstGeom>
                  </pic:spPr>
                </pic:pic>
              </a:graphicData>
            </a:graphic>
          </wp:inline>
        </w:drawing>
      </w:r>
      <w:r>
        <w:rPr>
          <w:rFonts w:ascii="Times New Roman" w:hAnsi="Times New Roman"/>
          <w:noProof/>
          <w:sz w:val="20"/>
        </w:rPr>
        <w:t>Remarque: chiffres de l’exécution des Fonds européens de développement au 31 décembre 2016 (engagements, paiements et situation financière) et prévisions pour 2017 et 2018.</w:t>
      </w:r>
    </w:p>
    <w:p>
      <w:pPr>
        <w:pStyle w:val="Heading1"/>
        <w:numPr>
          <w:ilvl w:val="0"/>
          <w:numId w:val="2"/>
        </w:numPr>
        <w:rPr>
          <w:noProof/>
        </w:rPr>
      </w:pPr>
      <w:r>
        <w:rPr>
          <w:noProof/>
        </w:rPr>
        <w:t>Prévisions financières pour 2017-2018 (en Mio EUR)</w:t>
      </w:r>
    </w:p>
    <w:p>
      <w:pPr>
        <w:pStyle w:val="Text1"/>
        <w:rPr>
          <w:noProof/>
        </w:rPr>
      </w:pPr>
      <w:r>
        <w:rPr>
          <w:noProof/>
        </w:rPr>
        <w:t>Le tableau qui suit fait le point sur les engagements, les paiements et les contributions, sur la base des prévisions le plus récentes de la Commission.</w:t>
      </w:r>
    </w:p>
    <w:tbl>
      <w:tblPr>
        <w:tblW w:w="8379" w:type="dxa"/>
        <w:tblInd w:w="93" w:type="dxa"/>
        <w:tblLook w:val="04A0" w:firstRow="1" w:lastRow="0" w:firstColumn="1" w:lastColumn="0" w:noHBand="0" w:noVBand="1"/>
      </w:tblPr>
      <w:tblGrid>
        <w:gridCol w:w="1900"/>
        <w:gridCol w:w="2500"/>
        <w:gridCol w:w="1285"/>
        <w:gridCol w:w="1276"/>
        <w:gridCol w:w="1418"/>
      </w:tblGrid>
      <w:tr>
        <w:trPr>
          <w:trHeight w:val="240"/>
        </w:trPr>
        <w:tc>
          <w:tcPr>
            <w:tcW w:w="4400" w:type="dxa"/>
            <w:gridSpan w:val="2"/>
            <w:tcBorders>
              <w:top w:val="single" w:sz="8" w:space="0" w:color="auto"/>
              <w:left w:val="single" w:sz="8" w:space="0" w:color="auto"/>
              <w:bottom w:val="nil"/>
              <w:right w:val="nil"/>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Chiffres réels 2016 (*)</w:t>
            </w:r>
          </w:p>
        </w:tc>
        <w:tc>
          <w:tcPr>
            <w:tcW w:w="1285" w:type="dxa"/>
            <w:tcBorders>
              <w:top w:val="single" w:sz="8" w:space="0" w:color="auto"/>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 </w:t>
            </w:r>
          </w:p>
        </w:tc>
        <w:tc>
          <w:tcPr>
            <w:tcW w:w="1276" w:type="dxa"/>
            <w:tcBorders>
              <w:top w:val="single" w:sz="8" w:space="0" w:color="auto"/>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 </w:t>
            </w:r>
          </w:p>
        </w:tc>
        <w:tc>
          <w:tcPr>
            <w:tcW w:w="1418" w:type="dxa"/>
            <w:tcBorders>
              <w:top w:val="single" w:sz="8" w:space="0" w:color="auto"/>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 </w:t>
            </w:r>
          </w:p>
        </w:tc>
      </w:tr>
      <w:tr>
        <w:trPr>
          <w:trHeight w:val="240"/>
        </w:trPr>
        <w:tc>
          <w:tcPr>
            <w:tcW w:w="4400" w:type="dxa"/>
            <w:gridSpan w:val="2"/>
            <w:tcBorders>
              <w:top w:val="nil"/>
              <w:left w:val="single" w:sz="8" w:space="0" w:color="auto"/>
              <w:bottom w:val="nil"/>
              <w:right w:val="nil"/>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Prévisions 2017-2018</w:t>
            </w:r>
          </w:p>
        </w:tc>
        <w:tc>
          <w:tcPr>
            <w:tcW w:w="1285" w:type="dxa"/>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2016</w:t>
            </w:r>
          </w:p>
        </w:tc>
        <w:tc>
          <w:tcPr>
            <w:tcW w:w="1276" w:type="dxa"/>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2017</w:t>
            </w:r>
          </w:p>
        </w:tc>
        <w:tc>
          <w:tcPr>
            <w:tcW w:w="1418" w:type="dxa"/>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2018</w:t>
            </w:r>
          </w:p>
        </w:tc>
      </w:tr>
      <w:tr>
        <w:trPr>
          <w:trHeight w:val="240"/>
        </w:trPr>
        <w:tc>
          <w:tcPr>
            <w:tcW w:w="1900" w:type="dxa"/>
            <w:tcBorders>
              <w:top w:val="nil"/>
              <w:left w:val="single" w:sz="8" w:space="0" w:color="auto"/>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4"/>
                <w:szCs w:val="24"/>
              </w:rPr>
            </w:pPr>
            <w:r>
              <w:rPr>
                <w:rFonts w:ascii="Times New Roman" w:hAnsi="Times New Roman"/>
                <w:b/>
                <w:noProof/>
                <w:sz w:val="24"/>
              </w:rPr>
              <w:t> </w:t>
            </w:r>
          </w:p>
        </w:tc>
        <w:tc>
          <w:tcPr>
            <w:tcW w:w="2500" w:type="dxa"/>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4"/>
                <w:szCs w:val="24"/>
              </w:rPr>
            </w:pPr>
            <w:r>
              <w:rPr>
                <w:rFonts w:ascii="Times New Roman" w:hAnsi="Times New Roman"/>
                <w:b/>
                <w:noProof/>
                <w:sz w:val="24"/>
              </w:rPr>
              <w:t> </w:t>
            </w:r>
          </w:p>
        </w:tc>
        <w:tc>
          <w:tcPr>
            <w:tcW w:w="1285" w:type="dxa"/>
            <w:tcBorders>
              <w:top w:val="nil"/>
              <w:left w:val="single" w:sz="8" w:space="0" w:color="auto"/>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 </w:t>
            </w:r>
          </w:p>
        </w:tc>
        <w:tc>
          <w:tcPr>
            <w:tcW w:w="1276" w:type="dxa"/>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 </w:t>
            </w:r>
          </w:p>
        </w:tc>
        <w:tc>
          <w:tcPr>
            <w:tcW w:w="1418" w:type="dxa"/>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 </w:t>
            </w:r>
          </w:p>
        </w:tc>
      </w:tr>
      <w:tr>
        <w:trPr>
          <w:trHeight w:val="240"/>
        </w:trPr>
        <w:tc>
          <w:tcPr>
            <w:tcW w:w="1900" w:type="dxa"/>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 </w:t>
            </w:r>
          </w:p>
        </w:tc>
        <w:tc>
          <w:tcPr>
            <w:tcW w:w="250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 </w:t>
            </w:r>
          </w:p>
        </w:tc>
        <w:tc>
          <w:tcPr>
            <w:tcW w:w="1285" w:type="dxa"/>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 </w:t>
            </w:r>
          </w:p>
        </w:tc>
        <w:tc>
          <w:tcPr>
            <w:tcW w:w="1276" w:type="dxa"/>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 </w:t>
            </w:r>
          </w:p>
        </w:tc>
        <w:tc>
          <w:tcPr>
            <w:tcW w:w="1418" w:type="dxa"/>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 </w:t>
            </w:r>
          </w:p>
        </w:tc>
      </w:tr>
      <w:tr>
        <w:trPr>
          <w:trHeight w:val="240"/>
        </w:trPr>
        <w:tc>
          <w:tcPr>
            <w:tcW w:w="1900" w:type="dxa"/>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Engagements</w:t>
            </w:r>
          </w:p>
        </w:tc>
        <w:tc>
          <w:tcPr>
            <w:tcW w:w="250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Commission</w:t>
            </w:r>
          </w:p>
        </w:tc>
        <w:tc>
          <w:tcPr>
            <w:tcW w:w="1285" w:type="dxa"/>
            <w:tcBorders>
              <w:top w:val="nil"/>
              <w:left w:val="single" w:sz="8" w:space="0" w:color="auto"/>
              <w:bottom w:val="nil"/>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6 919</w:t>
            </w:r>
          </w:p>
        </w:tc>
        <w:tc>
          <w:tcPr>
            <w:tcW w:w="1276" w:type="dxa"/>
            <w:tcBorders>
              <w:top w:val="nil"/>
              <w:left w:val="nil"/>
              <w:bottom w:val="nil"/>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5 629</w:t>
            </w:r>
          </w:p>
        </w:tc>
        <w:tc>
          <w:tcPr>
            <w:tcW w:w="1418" w:type="dxa"/>
            <w:tcBorders>
              <w:top w:val="nil"/>
              <w:left w:val="nil"/>
              <w:bottom w:val="nil"/>
              <w:right w:val="single" w:sz="8" w:space="0" w:color="auto"/>
            </w:tcBorders>
            <w:shd w:val="clear" w:color="auto" w:fill="auto"/>
            <w:noWrap/>
            <w:vAlign w:val="bottom"/>
            <w:hideMark/>
          </w:tcPr>
          <w:p>
            <w:pPr>
              <w:spacing w:after="0" w:line="240" w:lineRule="auto"/>
              <w:ind w:right="176"/>
              <w:jc w:val="right"/>
              <w:rPr>
                <w:rFonts w:ascii="Times New Roman" w:eastAsia="Times New Roman" w:hAnsi="Times New Roman" w:cs="Times New Roman"/>
                <w:noProof/>
                <w:sz w:val="24"/>
                <w:szCs w:val="24"/>
              </w:rPr>
            </w:pPr>
            <w:r>
              <w:rPr>
                <w:rFonts w:ascii="Times New Roman" w:hAnsi="Times New Roman"/>
                <w:noProof/>
                <w:sz w:val="24"/>
              </w:rPr>
              <w:t>4 550</w:t>
            </w:r>
          </w:p>
        </w:tc>
      </w:tr>
      <w:tr>
        <w:trPr>
          <w:trHeight w:val="240"/>
        </w:trPr>
        <w:tc>
          <w:tcPr>
            <w:tcW w:w="1900" w:type="dxa"/>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 </w:t>
            </w:r>
          </w:p>
        </w:tc>
        <w:tc>
          <w:tcPr>
            <w:tcW w:w="250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BEI</w:t>
            </w:r>
          </w:p>
        </w:tc>
        <w:tc>
          <w:tcPr>
            <w:tcW w:w="1285" w:type="dxa"/>
            <w:tcBorders>
              <w:top w:val="nil"/>
              <w:left w:val="single" w:sz="8" w:space="0" w:color="auto"/>
              <w:bottom w:val="nil"/>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878</w:t>
            </w:r>
          </w:p>
        </w:tc>
        <w:tc>
          <w:tcPr>
            <w:tcW w:w="1276" w:type="dxa"/>
            <w:tcBorders>
              <w:top w:val="nil"/>
              <w:left w:val="nil"/>
              <w:bottom w:val="nil"/>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855</w:t>
            </w:r>
          </w:p>
        </w:tc>
        <w:tc>
          <w:tcPr>
            <w:tcW w:w="1418" w:type="dxa"/>
            <w:tcBorders>
              <w:top w:val="nil"/>
              <w:left w:val="nil"/>
              <w:bottom w:val="nil"/>
              <w:right w:val="single" w:sz="8" w:space="0" w:color="auto"/>
            </w:tcBorders>
            <w:shd w:val="clear" w:color="auto" w:fill="auto"/>
            <w:noWrap/>
            <w:vAlign w:val="bottom"/>
            <w:hideMark/>
          </w:tcPr>
          <w:p>
            <w:pPr>
              <w:spacing w:after="0" w:line="240" w:lineRule="auto"/>
              <w:ind w:right="176"/>
              <w:jc w:val="right"/>
              <w:rPr>
                <w:rFonts w:ascii="Times New Roman" w:eastAsia="Times New Roman" w:hAnsi="Times New Roman" w:cs="Times New Roman"/>
                <w:noProof/>
                <w:sz w:val="24"/>
                <w:szCs w:val="24"/>
              </w:rPr>
            </w:pPr>
            <w:r>
              <w:rPr>
                <w:rFonts w:ascii="Times New Roman" w:hAnsi="Times New Roman"/>
                <w:noProof/>
                <w:sz w:val="24"/>
              </w:rPr>
              <w:t>880</w:t>
            </w:r>
          </w:p>
        </w:tc>
      </w:tr>
      <w:tr>
        <w:trPr>
          <w:trHeight w:val="330"/>
        </w:trPr>
        <w:tc>
          <w:tcPr>
            <w:tcW w:w="1900" w:type="dxa"/>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 </w:t>
            </w:r>
          </w:p>
        </w:tc>
        <w:tc>
          <w:tcPr>
            <w:tcW w:w="2500" w:type="dxa"/>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Total</w:t>
            </w:r>
          </w:p>
        </w:tc>
        <w:tc>
          <w:tcPr>
            <w:tcW w:w="1285" w:type="dxa"/>
            <w:tcBorders>
              <w:top w:val="nil"/>
              <w:left w:val="single" w:sz="8" w:space="0" w:color="auto"/>
              <w:bottom w:val="single" w:sz="8"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7 797</w:t>
            </w:r>
          </w:p>
        </w:tc>
        <w:tc>
          <w:tcPr>
            <w:tcW w:w="1276" w:type="dxa"/>
            <w:tcBorders>
              <w:top w:val="nil"/>
              <w:left w:val="nil"/>
              <w:bottom w:val="single" w:sz="8"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6 484</w:t>
            </w:r>
          </w:p>
        </w:tc>
        <w:tc>
          <w:tcPr>
            <w:tcW w:w="1418" w:type="dxa"/>
            <w:tcBorders>
              <w:top w:val="nil"/>
              <w:left w:val="nil"/>
              <w:bottom w:val="single" w:sz="8" w:space="0" w:color="auto"/>
              <w:right w:val="single" w:sz="8" w:space="0" w:color="auto"/>
            </w:tcBorders>
            <w:shd w:val="clear" w:color="auto" w:fill="auto"/>
            <w:noWrap/>
            <w:vAlign w:val="bottom"/>
            <w:hideMark/>
          </w:tcPr>
          <w:p>
            <w:pPr>
              <w:spacing w:after="0" w:line="240" w:lineRule="auto"/>
              <w:ind w:right="176"/>
              <w:jc w:val="right"/>
              <w:rPr>
                <w:rFonts w:ascii="Times New Roman" w:eastAsia="Times New Roman" w:hAnsi="Times New Roman" w:cs="Times New Roman"/>
                <w:noProof/>
                <w:sz w:val="24"/>
                <w:szCs w:val="24"/>
              </w:rPr>
            </w:pPr>
            <w:r>
              <w:rPr>
                <w:rFonts w:ascii="Times New Roman" w:hAnsi="Times New Roman"/>
                <w:noProof/>
                <w:sz w:val="24"/>
              </w:rPr>
              <w:t>5 430</w:t>
            </w:r>
          </w:p>
        </w:tc>
      </w:tr>
      <w:tr>
        <w:trPr>
          <w:trHeight w:val="240"/>
        </w:trPr>
        <w:tc>
          <w:tcPr>
            <w:tcW w:w="1900" w:type="dxa"/>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 </w:t>
            </w:r>
          </w:p>
        </w:tc>
        <w:tc>
          <w:tcPr>
            <w:tcW w:w="250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 </w:t>
            </w:r>
          </w:p>
        </w:tc>
        <w:tc>
          <w:tcPr>
            <w:tcW w:w="1285" w:type="dxa"/>
            <w:tcBorders>
              <w:top w:val="nil"/>
              <w:left w:val="single" w:sz="8" w:space="0" w:color="auto"/>
              <w:bottom w:val="nil"/>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 </w:t>
            </w:r>
          </w:p>
        </w:tc>
        <w:tc>
          <w:tcPr>
            <w:tcW w:w="1276" w:type="dxa"/>
            <w:tcBorders>
              <w:top w:val="nil"/>
              <w:left w:val="nil"/>
              <w:bottom w:val="nil"/>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 </w:t>
            </w:r>
          </w:p>
        </w:tc>
        <w:tc>
          <w:tcPr>
            <w:tcW w:w="1418" w:type="dxa"/>
            <w:tcBorders>
              <w:top w:val="nil"/>
              <w:left w:val="nil"/>
              <w:bottom w:val="nil"/>
              <w:right w:val="single" w:sz="8" w:space="0" w:color="auto"/>
            </w:tcBorders>
            <w:shd w:val="clear" w:color="auto" w:fill="auto"/>
            <w:noWrap/>
            <w:vAlign w:val="bottom"/>
            <w:hideMark/>
          </w:tcPr>
          <w:p>
            <w:pPr>
              <w:spacing w:after="0" w:line="240" w:lineRule="auto"/>
              <w:ind w:right="176"/>
              <w:jc w:val="right"/>
              <w:rPr>
                <w:rFonts w:ascii="Times New Roman" w:eastAsia="Times New Roman" w:hAnsi="Times New Roman" w:cs="Times New Roman"/>
                <w:noProof/>
                <w:sz w:val="24"/>
                <w:szCs w:val="24"/>
              </w:rPr>
            </w:pPr>
            <w:r>
              <w:rPr>
                <w:rFonts w:ascii="Times New Roman" w:hAnsi="Times New Roman"/>
                <w:noProof/>
                <w:sz w:val="24"/>
              </w:rPr>
              <w:t> </w:t>
            </w:r>
          </w:p>
        </w:tc>
      </w:tr>
      <w:tr>
        <w:trPr>
          <w:trHeight w:val="240"/>
        </w:trPr>
        <w:tc>
          <w:tcPr>
            <w:tcW w:w="1900" w:type="dxa"/>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Paiements</w:t>
            </w:r>
          </w:p>
        </w:tc>
        <w:tc>
          <w:tcPr>
            <w:tcW w:w="250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Commission</w:t>
            </w:r>
          </w:p>
        </w:tc>
        <w:tc>
          <w:tcPr>
            <w:tcW w:w="1285" w:type="dxa"/>
            <w:tcBorders>
              <w:top w:val="nil"/>
              <w:left w:val="single" w:sz="8" w:space="0" w:color="auto"/>
              <w:bottom w:val="nil"/>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3 416</w:t>
            </w:r>
          </w:p>
        </w:tc>
        <w:tc>
          <w:tcPr>
            <w:tcW w:w="1276" w:type="dxa"/>
            <w:tcBorders>
              <w:top w:val="nil"/>
              <w:left w:val="nil"/>
              <w:bottom w:val="nil"/>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4 064</w:t>
            </w:r>
          </w:p>
        </w:tc>
        <w:tc>
          <w:tcPr>
            <w:tcW w:w="1418" w:type="dxa"/>
            <w:tcBorders>
              <w:top w:val="nil"/>
              <w:left w:val="nil"/>
              <w:bottom w:val="nil"/>
              <w:right w:val="single" w:sz="8" w:space="0" w:color="auto"/>
            </w:tcBorders>
            <w:shd w:val="clear" w:color="auto" w:fill="auto"/>
            <w:noWrap/>
            <w:vAlign w:val="bottom"/>
            <w:hideMark/>
          </w:tcPr>
          <w:p>
            <w:pPr>
              <w:spacing w:after="0" w:line="240" w:lineRule="auto"/>
              <w:ind w:right="176"/>
              <w:jc w:val="right"/>
              <w:rPr>
                <w:rFonts w:ascii="Times New Roman" w:eastAsia="Times New Roman" w:hAnsi="Times New Roman" w:cs="Times New Roman"/>
                <w:noProof/>
                <w:sz w:val="24"/>
                <w:szCs w:val="24"/>
              </w:rPr>
            </w:pPr>
            <w:r>
              <w:rPr>
                <w:rFonts w:ascii="Times New Roman" w:hAnsi="Times New Roman"/>
                <w:noProof/>
                <w:sz w:val="24"/>
              </w:rPr>
              <w:t>4 600</w:t>
            </w:r>
          </w:p>
        </w:tc>
      </w:tr>
      <w:tr>
        <w:trPr>
          <w:trHeight w:val="240"/>
        </w:trPr>
        <w:tc>
          <w:tcPr>
            <w:tcW w:w="1900" w:type="dxa"/>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 </w:t>
            </w:r>
          </w:p>
        </w:tc>
        <w:tc>
          <w:tcPr>
            <w:tcW w:w="250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BEI</w:t>
            </w:r>
          </w:p>
        </w:tc>
        <w:tc>
          <w:tcPr>
            <w:tcW w:w="1285" w:type="dxa"/>
            <w:tcBorders>
              <w:top w:val="nil"/>
              <w:left w:val="single" w:sz="8" w:space="0" w:color="auto"/>
              <w:bottom w:val="nil"/>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679</w:t>
            </w:r>
          </w:p>
        </w:tc>
        <w:tc>
          <w:tcPr>
            <w:tcW w:w="1276" w:type="dxa"/>
            <w:tcBorders>
              <w:top w:val="nil"/>
              <w:left w:val="nil"/>
              <w:bottom w:val="nil"/>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540</w:t>
            </w:r>
          </w:p>
        </w:tc>
        <w:tc>
          <w:tcPr>
            <w:tcW w:w="1418" w:type="dxa"/>
            <w:tcBorders>
              <w:top w:val="nil"/>
              <w:left w:val="nil"/>
              <w:bottom w:val="nil"/>
              <w:right w:val="single" w:sz="8" w:space="0" w:color="auto"/>
            </w:tcBorders>
            <w:shd w:val="clear" w:color="auto" w:fill="auto"/>
            <w:noWrap/>
            <w:vAlign w:val="bottom"/>
            <w:hideMark/>
          </w:tcPr>
          <w:p>
            <w:pPr>
              <w:spacing w:after="0" w:line="240" w:lineRule="auto"/>
              <w:ind w:right="176"/>
              <w:jc w:val="right"/>
              <w:rPr>
                <w:rFonts w:ascii="Times New Roman" w:eastAsia="Times New Roman" w:hAnsi="Times New Roman" w:cs="Times New Roman"/>
                <w:noProof/>
                <w:sz w:val="24"/>
                <w:szCs w:val="24"/>
              </w:rPr>
            </w:pPr>
            <w:r>
              <w:rPr>
                <w:rFonts w:ascii="Times New Roman" w:hAnsi="Times New Roman"/>
                <w:noProof/>
                <w:sz w:val="24"/>
              </w:rPr>
              <w:t>565</w:t>
            </w:r>
          </w:p>
        </w:tc>
      </w:tr>
      <w:tr>
        <w:trPr>
          <w:trHeight w:val="330"/>
        </w:trPr>
        <w:tc>
          <w:tcPr>
            <w:tcW w:w="1900" w:type="dxa"/>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 </w:t>
            </w:r>
          </w:p>
        </w:tc>
        <w:tc>
          <w:tcPr>
            <w:tcW w:w="2500" w:type="dxa"/>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Total</w:t>
            </w:r>
          </w:p>
        </w:tc>
        <w:tc>
          <w:tcPr>
            <w:tcW w:w="1285" w:type="dxa"/>
            <w:tcBorders>
              <w:top w:val="nil"/>
              <w:left w:val="single" w:sz="8" w:space="0" w:color="auto"/>
              <w:bottom w:val="single" w:sz="8"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4 095</w:t>
            </w:r>
          </w:p>
        </w:tc>
        <w:tc>
          <w:tcPr>
            <w:tcW w:w="1276" w:type="dxa"/>
            <w:tcBorders>
              <w:top w:val="nil"/>
              <w:left w:val="nil"/>
              <w:bottom w:val="single" w:sz="8"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4 604</w:t>
            </w:r>
          </w:p>
        </w:tc>
        <w:tc>
          <w:tcPr>
            <w:tcW w:w="1418" w:type="dxa"/>
            <w:tcBorders>
              <w:top w:val="nil"/>
              <w:left w:val="nil"/>
              <w:bottom w:val="single" w:sz="8" w:space="0" w:color="auto"/>
              <w:right w:val="single" w:sz="8" w:space="0" w:color="auto"/>
            </w:tcBorders>
            <w:shd w:val="clear" w:color="auto" w:fill="auto"/>
            <w:noWrap/>
            <w:vAlign w:val="bottom"/>
            <w:hideMark/>
          </w:tcPr>
          <w:p>
            <w:pPr>
              <w:spacing w:after="0" w:line="240" w:lineRule="auto"/>
              <w:ind w:right="176"/>
              <w:jc w:val="right"/>
              <w:rPr>
                <w:rFonts w:ascii="Times New Roman" w:eastAsia="Times New Roman" w:hAnsi="Times New Roman" w:cs="Times New Roman"/>
                <w:noProof/>
                <w:sz w:val="24"/>
                <w:szCs w:val="24"/>
              </w:rPr>
            </w:pPr>
            <w:r>
              <w:rPr>
                <w:rFonts w:ascii="Times New Roman" w:hAnsi="Times New Roman"/>
                <w:noProof/>
                <w:sz w:val="24"/>
              </w:rPr>
              <w:t>5 165</w:t>
            </w:r>
          </w:p>
        </w:tc>
      </w:tr>
      <w:tr>
        <w:trPr>
          <w:trHeight w:val="240"/>
        </w:trPr>
        <w:tc>
          <w:tcPr>
            <w:tcW w:w="1900" w:type="dxa"/>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 </w:t>
            </w:r>
          </w:p>
        </w:tc>
        <w:tc>
          <w:tcPr>
            <w:tcW w:w="250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 </w:t>
            </w:r>
          </w:p>
        </w:tc>
        <w:tc>
          <w:tcPr>
            <w:tcW w:w="1285" w:type="dxa"/>
            <w:tcBorders>
              <w:top w:val="nil"/>
              <w:left w:val="single" w:sz="8" w:space="0" w:color="auto"/>
              <w:bottom w:val="nil"/>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 </w:t>
            </w:r>
          </w:p>
        </w:tc>
        <w:tc>
          <w:tcPr>
            <w:tcW w:w="1276" w:type="dxa"/>
            <w:tcBorders>
              <w:top w:val="nil"/>
              <w:left w:val="nil"/>
              <w:bottom w:val="nil"/>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 </w:t>
            </w:r>
          </w:p>
        </w:tc>
        <w:tc>
          <w:tcPr>
            <w:tcW w:w="1418" w:type="dxa"/>
            <w:tcBorders>
              <w:top w:val="nil"/>
              <w:left w:val="nil"/>
              <w:bottom w:val="nil"/>
              <w:right w:val="single" w:sz="8" w:space="0" w:color="auto"/>
            </w:tcBorders>
            <w:shd w:val="clear" w:color="auto" w:fill="auto"/>
            <w:noWrap/>
            <w:vAlign w:val="bottom"/>
            <w:hideMark/>
          </w:tcPr>
          <w:p>
            <w:pPr>
              <w:spacing w:after="0" w:line="240" w:lineRule="auto"/>
              <w:ind w:right="176"/>
              <w:jc w:val="right"/>
              <w:rPr>
                <w:rFonts w:ascii="Times New Roman" w:eastAsia="Times New Roman" w:hAnsi="Times New Roman" w:cs="Times New Roman"/>
                <w:noProof/>
                <w:sz w:val="24"/>
                <w:szCs w:val="24"/>
              </w:rPr>
            </w:pPr>
            <w:r>
              <w:rPr>
                <w:rFonts w:ascii="Times New Roman" w:hAnsi="Times New Roman"/>
                <w:noProof/>
                <w:sz w:val="24"/>
              </w:rPr>
              <w:t> </w:t>
            </w:r>
          </w:p>
        </w:tc>
      </w:tr>
      <w:tr>
        <w:trPr>
          <w:trHeight w:val="240"/>
        </w:trPr>
        <w:tc>
          <w:tcPr>
            <w:tcW w:w="1900" w:type="dxa"/>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color w:val="FF0000"/>
                <w:sz w:val="24"/>
                <w:szCs w:val="24"/>
              </w:rPr>
            </w:pPr>
            <w:r>
              <w:rPr>
                <w:rFonts w:ascii="Times New Roman" w:hAnsi="Times New Roman"/>
                <w:noProof/>
                <w:color w:val="FF0000"/>
                <w:sz w:val="24"/>
              </w:rPr>
              <w:t>Contributions</w:t>
            </w:r>
          </w:p>
        </w:tc>
        <w:tc>
          <w:tcPr>
            <w:tcW w:w="250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Commission</w:t>
            </w:r>
          </w:p>
        </w:tc>
        <w:tc>
          <w:tcPr>
            <w:tcW w:w="1285" w:type="dxa"/>
            <w:tcBorders>
              <w:top w:val="nil"/>
              <w:left w:val="single" w:sz="8" w:space="0" w:color="auto"/>
              <w:bottom w:val="nil"/>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3 450</w:t>
            </w:r>
          </w:p>
        </w:tc>
        <w:tc>
          <w:tcPr>
            <w:tcW w:w="1276" w:type="dxa"/>
            <w:tcBorders>
              <w:top w:val="nil"/>
              <w:left w:val="nil"/>
              <w:bottom w:val="nil"/>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3 850</w:t>
            </w:r>
          </w:p>
        </w:tc>
        <w:tc>
          <w:tcPr>
            <w:tcW w:w="1418" w:type="dxa"/>
            <w:tcBorders>
              <w:top w:val="nil"/>
              <w:left w:val="nil"/>
              <w:bottom w:val="nil"/>
              <w:right w:val="single" w:sz="8" w:space="0" w:color="auto"/>
            </w:tcBorders>
            <w:shd w:val="clear" w:color="auto" w:fill="auto"/>
            <w:noWrap/>
            <w:vAlign w:val="bottom"/>
            <w:hideMark/>
          </w:tcPr>
          <w:p>
            <w:pPr>
              <w:spacing w:after="0" w:line="240" w:lineRule="auto"/>
              <w:ind w:right="176"/>
              <w:jc w:val="right"/>
              <w:rPr>
                <w:rFonts w:ascii="Times New Roman" w:eastAsia="Times New Roman" w:hAnsi="Times New Roman" w:cs="Times New Roman"/>
                <w:noProof/>
                <w:sz w:val="24"/>
                <w:szCs w:val="24"/>
              </w:rPr>
            </w:pPr>
            <w:r>
              <w:rPr>
                <w:rFonts w:ascii="Times New Roman" w:hAnsi="Times New Roman"/>
                <w:noProof/>
                <w:sz w:val="24"/>
              </w:rPr>
              <w:t>4 550</w:t>
            </w:r>
          </w:p>
        </w:tc>
      </w:tr>
      <w:tr>
        <w:trPr>
          <w:trHeight w:val="240"/>
        </w:trPr>
        <w:tc>
          <w:tcPr>
            <w:tcW w:w="1900" w:type="dxa"/>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 </w:t>
            </w:r>
          </w:p>
        </w:tc>
        <w:tc>
          <w:tcPr>
            <w:tcW w:w="250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BEI</w:t>
            </w:r>
          </w:p>
        </w:tc>
        <w:tc>
          <w:tcPr>
            <w:tcW w:w="1285" w:type="dxa"/>
            <w:tcBorders>
              <w:top w:val="nil"/>
              <w:left w:val="single" w:sz="8" w:space="0" w:color="auto"/>
              <w:bottom w:val="nil"/>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150</w:t>
            </w:r>
          </w:p>
        </w:tc>
        <w:tc>
          <w:tcPr>
            <w:tcW w:w="1276" w:type="dxa"/>
            <w:tcBorders>
              <w:top w:val="nil"/>
              <w:left w:val="nil"/>
              <w:bottom w:val="nil"/>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150</w:t>
            </w:r>
          </w:p>
        </w:tc>
        <w:tc>
          <w:tcPr>
            <w:tcW w:w="1418" w:type="dxa"/>
            <w:tcBorders>
              <w:top w:val="nil"/>
              <w:left w:val="nil"/>
              <w:bottom w:val="nil"/>
              <w:right w:val="single" w:sz="8" w:space="0" w:color="auto"/>
            </w:tcBorders>
            <w:shd w:val="clear" w:color="auto" w:fill="auto"/>
            <w:noWrap/>
            <w:vAlign w:val="bottom"/>
            <w:hideMark/>
          </w:tcPr>
          <w:p>
            <w:pPr>
              <w:spacing w:after="0" w:line="240" w:lineRule="auto"/>
              <w:ind w:right="34"/>
              <w:jc w:val="right"/>
              <w:rPr>
                <w:rFonts w:ascii="Times New Roman" w:eastAsia="Times New Roman" w:hAnsi="Times New Roman" w:cs="Times New Roman"/>
                <w:noProof/>
                <w:sz w:val="24"/>
                <w:szCs w:val="24"/>
              </w:rPr>
            </w:pPr>
            <w:r>
              <w:rPr>
                <w:rFonts w:ascii="Times New Roman" w:hAnsi="Times New Roman"/>
                <w:noProof/>
                <w:sz w:val="24"/>
              </w:rPr>
              <w:t>250</w:t>
            </w:r>
            <w:r>
              <w:rPr>
                <w:rFonts w:ascii="Times New Roman" w:hAnsi="Times New Roman"/>
                <w:noProof/>
                <w:sz w:val="24"/>
                <w:vertAlign w:val="superscript"/>
              </w:rPr>
              <w:t>**</w:t>
            </w:r>
          </w:p>
        </w:tc>
      </w:tr>
      <w:tr>
        <w:trPr>
          <w:trHeight w:val="330"/>
        </w:trPr>
        <w:tc>
          <w:tcPr>
            <w:tcW w:w="1900" w:type="dxa"/>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 </w:t>
            </w:r>
          </w:p>
        </w:tc>
        <w:tc>
          <w:tcPr>
            <w:tcW w:w="2500" w:type="dxa"/>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noProof/>
                <w:color w:val="FF0000"/>
                <w:sz w:val="24"/>
                <w:szCs w:val="24"/>
              </w:rPr>
            </w:pPr>
            <w:r>
              <w:rPr>
                <w:rFonts w:ascii="Times New Roman" w:hAnsi="Times New Roman"/>
                <w:noProof/>
                <w:color w:val="FF0000"/>
                <w:sz w:val="24"/>
              </w:rPr>
              <w:t>Total</w:t>
            </w:r>
          </w:p>
        </w:tc>
        <w:tc>
          <w:tcPr>
            <w:tcW w:w="1285" w:type="dxa"/>
            <w:tcBorders>
              <w:top w:val="nil"/>
              <w:left w:val="single" w:sz="8" w:space="0" w:color="auto"/>
              <w:bottom w:val="single" w:sz="8"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FF0000"/>
                <w:sz w:val="24"/>
                <w:szCs w:val="24"/>
              </w:rPr>
            </w:pPr>
            <w:r>
              <w:rPr>
                <w:rFonts w:ascii="Times New Roman" w:hAnsi="Times New Roman"/>
                <w:noProof/>
                <w:color w:val="FF0000"/>
                <w:sz w:val="24"/>
              </w:rPr>
              <w:t>3 600</w:t>
            </w:r>
          </w:p>
        </w:tc>
        <w:tc>
          <w:tcPr>
            <w:tcW w:w="1276" w:type="dxa"/>
            <w:tcBorders>
              <w:top w:val="nil"/>
              <w:left w:val="nil"/>
              <w:bottom w:val="single" w:sz="8"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FF0000"/>
                <w:sz w:val="24"/>
                <w:szCs w:val="24"/>
              </w:rPr>
            </w:pPr>
            <w:r>
              <w:rPr>
                <w:rFonts w:ascii="Times New Roman" w:hAnsi="Times New Roman"/>
                <w:noProof/>
                <w:color w:val="FF0000"/>
                <w:sz w:val="24"/>
              </w:rPr>
              <w:t>4 000</w:t>
            </w:r>
          </w:p>
        </w:tc>
        <w:tc>
          <w:tcPr>
            <w:tcW w:w="1418" w:type="dxa"/>
            <w:tcBorders>
              <w:top w:val="nil"/>
              <w:left w:val="nil"/>
              <w:bottom w:val="single" w:sz="8" w:space="0" w:color="auto"/>
              <w:right w:val="single" w:sz="8" w:space="0" w:color="auto"/>
            </w:tcBorders>
            <w:shd w:val="clear" w:color="auto" w:fill="auto"/>
            <w:noWrap/>
            <w:vAlign w:val="bottom"/>
            <w:hideMark/>
          </w:tcPr>
          <w:p>
            <w:pPr>
              <w:spacing w:after="0" w:line="240" w:lineRule="auto"/>
              <w:ind w:right="176"/>
              <w:jc w:val="right"/>
              <w:rPr>
                <w:rFonts w:ascii="Times New Roman" w:eastAsia="Times New Roman" w:hAnsi="Times New Roman" w:cs="Times New Roman"/>
                <w:noProof/>
                <w:color w:val="FF0000"/>
                <w:sz w:val="24"/>
                <w:szCs w:val="24"/>
              </w:rPr>
            </w:pPr>
            <w:r>
              <w:rPr>
                <w:rFonts w:ascii="Times New Roman" w:hAnsi="Times New Roman"/>
                <w:noProof/>
                <w:color w:val="FF0000"/>
                <w:sz w:val="24"/>
              </w:rPr>
              <w:t>4 800</w:t>
            </w:r>
          </w:p>
        </w:tc>
      </w:tr>
    </w:tbl>
    <w:p>
      <w:pPr>
        <w:pStyle w:val="Text1"/>
        <w:ind w:left="0"/>
        <w:rPr>
          <w:noProof/>
          <w:sz w:val="20"/>
          <w:szCs w:val="20"/>
        </w:rPr>
      </w:pPr>
      <w:r>
        <w:rPr>
          <w:noProof/>
          <w:sz w:val="20"/>
        </w:rPr>
        <w:t>* Il s’agit de montants bruts, c’est-à-dire sans déduction des dégagements ni des recouvrements/remboursements. Cette approche correspond à celle utilisée pour le budget général de l’Union européenne.</w:t>
      </w:r>
    </w:p>
    <w:p>
      <w:pPr>
        <w:pStyle w:val="Text1"/>
        <w:ind w:left="0"/>
        <w:rPr>
          <w:noProof/>
          <w:sz w:val="20"/>
          <w:szCs w:val="20"/>
        </w:rPr>
      </w:pPr>
      <w:r>
        <w:rPr>
          <w:noProof/>
          <w:sz w:val="20"/>
        </w:rPr>
        <w:t>** Réf. BEI note explicative du 17.11.2015, MD n°: 151/15 ADD 1 ACP.</w:t>
      </w:r>
    </w:p>
    <w:p>
      <w:pPr>
        <w:rPr>
          <w:noProof/>
        </w:rPr>
      </w:pPr>
      <w:r>
        <w:rPr>
          <w:noProof/>
        </w:rPr>
        <w:br w:type="page"/>
      </w:r>
    </w:p>
    <w:p>
      <w:pPr>
        <w:pStyle w:val="Heading1"/>
        <w:numPr>
          <w:ilvl w:val="0"/>
          <w:numId w:val="2"/>
        </w:numPr>
        <w:rPr>
          <w:noProof/>
        </w:rPr>
      </w:pPr>
      <w:r>
        <w:rPr>
          <w:noProof/>
        </w:rPr>
        <w:t>Prévisions non contraignantes des contributions pour 2019-2020 (en Mio EUR)</w:t>
      </w:r>
    </w:p>
    <w:tbl>
      <w:tblPr>
        <w:tblW w:w="6960" w:type="dxa"/>
        <w:tblInd w:w="93" w:type="dxa"/>
        <w:tblLook w:val="04A0" w:firstRow="1" w:lastRow="0" w:firstColumn="1" w:lastColumn="0" w:noHBand="0" w:noVBand="1"/>
      </w:tblPr>
      <w:tblGrid>
        <w:gridCol w:w="1900"/>
        <w:gridCol w:w="1900"/>
        <w:gridCol w:w="1580"/>
        <w:gridCol w:w="1580"/>
      </w:tblGrid>
      <w:tr>
        <w:trPr>
          <w:trHeight w:val="315"/>
        </w:trPr>
        <w:tc>
          <w:tcPr>
            <w:tcW w:w="1900" w:type="dxa"/>
            <w:tcBorders>
              <w:top w:val="single" w:sz="8" w:space="0" w:color="auto"/>
              <w:left w:val="single" w:sz="8" w:space="0" w:color="auto"/>
              <w:bottom w:val="nil"/>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4"/>
                <w:szCs w:val="24"/>
              </w:rPr>
            </w:pPr>
            <w:r>
              <w:rPr>
                <w:rFonts w:ascii="Times New Roman" w:hAnsi="Times New Roman"/>
                <w:b/>
                <w:noProof/>
                <w:sz w:val="24"/>
              </w:rPr>
              <w:t> </w:t>
            </w:r>
          </w:p>
        </w:tc>
        <w:tc>
          <w:tcPr>
            <w:tcW w:w="1900" w:type="dxa"/>
            <w:tcBorders>
              <w:top w:val="single" w:sz="8" w:space="0" w:color="auto"/>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4"/>
                <w:szCs w:val="24"/>
              </w:rPr>
            </w:pPr>
            <w:r>
              <w:rPr>
                <w:rFonts w:ascii="Times New Roman" w:hAnsi="Times New Roman"/>
                <w:b/>
                <w:noProof/>
                <w:sz w:val="24"/>
              </w:rPr>
              <w:t> </w:t>
            </w:r>
          </w:p>
        </w:tc>
        <w:tc>
          <w:tcPr>
            <w:tcW w:w="1580" w:type="dxa"/>
            <w:tcBorders>
              <w:top w:val="single" w:sz="8" w:space="0" w:color="auto"/>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 </w:t>
            </w:r>
          </w:p>
        </w:tc>
        <w:tc>
          <w:tcPr>
            <w:tcW w:w="1580" w:type="dxa"/>
            <w:tcBorders>
              <w:top w:val="single" w:sz="8" w:space="0" w:color="auto"/>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 </w:t>
            </w:r>
          </w:p>
        </w:tc>
      </w:tr>
      <w:tr>
        <w:trPr>
          <w:trHeight w:val="315"/>
        </w:trPr>
        <w:tc>
          <w:tcPr>
            <w:tcW w:w="3800" w:type="dxa"/>
            <w:gridSpan w:val="2"/>
            <w:tcBorders>
              <w:top w:val="nil"/>
              <w:left w:val="single" w:sz="8" w:space="0" w:color="auto"/>
              <w:bottom w:val="nil"/>
              <w:right w:val="single" w:sz="4" w:space="0" w:color="000000"/>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Prévisions 2019-2020 (*)</w:t>
            </w:r>
          </w:p>
        </w:tc>
        <w:tc>
          <w:tcPr>
            <w:tcW w:w="1580"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2019</w:t>
            </w:r>
          </w:p>
        </w:tc>
        <w:tc>
          <w:tcPr>
            <w:tcW w:w="1580" w:type="dxa"/>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2020</w:t>
            </w:r>
          </w:p>
        </w:tc>
      </w:tr>
      <w:tr>
        <w:trPr>
          <w:trHeight w:val="330"/>
        </w:trPr>
        <w:tc>
          <w:tcPr>
            <w:tcW w:w="1900" w:type="dxa"/>
            <w:tcBorders>
              <w:top w:val="nil"/>
              <w:left w:val="single" w:sz="8" w:space="0" w:color="auto"/>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4"/>
                <w:szCs w:val="24"/>
              </w:rPr>
            </w:pPr>
            <w:r>
              <w:rPr>
                <w:rFonts w:ascii="Times New Roman" w:hAnsi="Times New Roman"/>
                <w:b/>
                <w:noProof/>
                <w:sz w:val="24"/>
              </w:rPr>
              <w:t> </w:t>
            </w:r>
          </w:p>
        </w:tc>
        <w:tc>
          <w:tcPr>
            <w:tcW w:w="1900" w:type="dxa"/>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4"/>
                <w:szCs w:val="24"/>
              </w:rPr>
            </w:pPr>
            <w:r>
              <w:rPr>
                <w:rFonts w:ascii="Times New Roman" w:hAnsi="Times New Roman"/>
                <w:b/>
                <w:noProof/>
                <w:sz w:val="24"/>
              </w:rPr>
              <w:t> </w:t>
            </w:r>
          </w:p>
        </w:tc>
        <w:tc>
          <w:tcPr>
            <w:tcW w:w="1580" w:type="dxa"/>
            <w:tcBorders>
              <w:top w:val="nil"/>
              <w:left w:val="single" w:sz="4" w:space="0" w:color="auto"/>
              <w:bottom w:val="single" w:sz="8"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 </w:t>
            </w:r>
          </w:p>
        </w:tc>
        <w:tc>
          <w:tcPr>
            <w:tcW w:w="1580" w:type="dxa"/>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 </w:t>
            </w:r>
          </w:p>
        </w:tc>
      </w:tr>
      <w:tr>
        <w:trPr>
          <w:trHeight w:val="315"/>
        </w:trPr>
        <w:tc>
          <w:tcPr>
            <w:tcW w:w="1900" w:type="dxa"/>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 </w:t>
            </w:r>
          </w:p>
        </w:tc>
        <w:tc>
          <w:tcPr>
            <w:tcW w:w="190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 </w:t>
            </w:r>
          </w:p>
        </w:tc>
        <w:tc>
          <w:tcPr>
            <w:tcW w:w="15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 </w:t>
            </w:r>
          </w:p>
        </w:tc>
        <w:tc>
          <w:tcPr>
            <w:tcW w:w="1580" w:type="dxa"/>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 </w:t>
            </w:r>
          </w:p>
        </w:tc>
      </w:tr>
      <w:tr>
        <w:trPr>
          <w:trHeight w:val="315"/>
        </w:trPr>
        <w:tc>
          <w:tcPr>
            <w:tcW w:w="1900" w:type="dxa"/>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color w:val="FF0000"/>
                <w:sz w:val="24"/>
                <w:szCs w:val="24"/>
              </w:rPr>
            </w:pPr>
            <w:r>
              <w:rPr>
                <w:rFonts w:ascii="Times New Roman" w:hAnsi="Times New Roman"/>
                <w:noProof/>
                <w:color w:val="FF0000"/>
                <w:sz w:val="24"/>
              </w:rPr>
              <w:t>Contributions</w:t>
            </w:r>
          </w:p>
        </w:tc>
        <w:tc>
          <w:tcPr>
            <w:tcW w:w="190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Commission</w:t>
            </w:r>
          </w:p>
        </w:tc>
        <w:tc>
          <w:tcPr>
            <w:tcW w:w="15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4 500</w:t>
            </w:r>
          </w:p>
        </w:tc>
        <w:tc>
          <w:tcPr>
            <w:tcW w:w="1580" w:type="dxa"/>
            <w:tcBorders>
              <w:top w:val="nil"/>
              <w:left w:val="nil"/>
              <w:bottom w:val="nil"/>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4 500</w:t>
            </w:r>
          </w:p>
        </w:tc>
      </w:tr>
      <w:tr>
        <w:trPr>
          <w:trHeight w:val="315"/>
        </w:trPr>
        <w:tc>
          <w:tcPr>
            <w:tcW w:w="1900" w:type="dxa"/>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 </w:t>
            </w:r>
          </w:p>
        </w:tc>
        <w:tc>
          <w:tcPr>
            <w:tcW w:w="190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BEI</w:t>
            </w:r>
          </w:p>
        </w:tc>
        <w:tc>
          <w:tcPr>
            <w:tcW w:w="15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400</w:t>
            </w:r>
          </w:p>
        </w:tc>
        <w:tc>
          <w:tcPr>
            <w:tcW w:w="1580" w:type="dxa"/>
            <w:tcBorders>
              <w:top w:val="nil"/>
              <w:left w:val="nil"/>
              <w:bottom w:val="nil"/>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400</w:t>
            </w:r>
          </w:p>
        </w:tc>
      </w:tr>
      <w:tr>
        <w:trPr>
          <w:trHeight w:val="330"/>
        </w:trPr>
        <w:tc>
          <w:tcPr>
            <w:tcW w:w="1900" w:type="dxa"/>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 </w:t>
            </w:r>
          </w:p>
        </w:tc>
        <w:tc>
          <w:tcPr>
            <w:tcW w:w="1900" w:type="dxa"/>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noProof/>
                <w:color w:val="FF0000"/>
                <w:sz w:val="24"/>
                <w:szCs w:val="24"/>
              </w:rPr>
            </w:pPr>
            <w:r>
              <w:rPr>
                <w:rFonts w:ascii="Times New Roman" w:hAnsi="Times New Roman"/>
                <w:noProof/>
                <w:color w:val="FF0000"/>
                <w:sz w:val="24"/>
              </w:rPr>
              <w:t>Total</w:t>
            </w:r>
          </w:p>
        </w:tc>
        <w:tc>
          <w:tcPr>
            <w:tcW w:w="1580" w:type="dxa"/>
            <w:tcBorders>
              <w:top w:val="nil"/>
              <w:left w:val="single" w:sz="4" w:space="0" w:color="auto"/>
              <w:bottom w:val="single" w:sz="8"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FF0000"/>
                <w:sz w:val="24"/>
                <w:szCs w:val="24"/>
              </w:rPr>
            </w:pPr>
            <w:r>
              <w:rPr>
                <w:rFonts w:ascii="Times New Roman" w:hAnsi="Times New Roman"/>
                <w:noProof/>
                <w:color w:val="FF0000"/>
                <w:sz w:val="24"/>
              </w:rPr>
              <w:t>4 900</w:t>
            </w:r>
          </w:p>
        </w:tc>
        <w:tc>
          <w:tcPr>
            <w:tcW w:w="1580" w:type="dxa"/>
            <w:tcBorders>
              <w:top w:val="nil"/>
              <w:left w:val="nil"/>
              <w:bottom w:val="single" w:sz="8"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FF0000"/>
                <w:sz w:val="24"/>
                <w:szCs w:val="24"/>
              </w:rPr>
            </w:pPr>
            <w:r>
              <w:rPr>
                <w:rFonts w:ascii="Times New Roman" w:hAnsi="Times New Roman"/>
                <w:noProof/>
                <w:color w:val="FF0000"/>
                <w:sz w:val="24"/>
              </w:rPr>
              <w:t>4 900</w:t>
            </w:r>
          </w:p>
        </w:tc>
      </w:tr>
    </w:tbl>
    <w:p>
      <w:pPr>
        <w:pStyle w:val="Text1"/>
        <w:ind w:left="0"/>
        <w:rPr>
          <w:noProof/>
          <w:sz w:val="20"/>
          <w:szCs w:val="20"/>
        </w:rPr>
      </w:pPr>
      <w:r>
        <w:rPr>
          <w:noProof/>
          <w:sz w:val="20"/>
        </w:rPr>
        <w:t>(*) Art. 21, par. 2, du règlement financier du 11</w:t>
      </w:r>
      <w:r>
        <w:rPr>
          <w:noProof/>
          <w:sz w:val="20"/>
          <w:vertAlign w:val="superscript"/>
        </w:rPr>
        <w:t>e</w:t>
      </w:r>
      <w:r>
        <w:rPr>
          <w:noProof/>
          <w:sz w:val="20"/>
        </w:rPr>
        <w:t xml:space="preserve"> FED [(UE) 2015/323]: prévisions indicatives et non contraignantes, fondées sur une approche statistique, concernant le montant annuel des contributions escompté pour les exercices n + 3 et n + 4.</w:t>
      </w:r>
    </w:p>
    <w:p>
      <w:pPr>
        <w:pStyle w:val="Heading1"/>
        <w:numPr>
          <w:ilvl w:val="0"/>
          <w:numId w:val="2"/>
        </w:numPr>
        <w:rPr>
          <w:noProof/>
        </w:rPr>
      </w:pPr>
      <w:r>
        <w:rPr>
          <w:noProof/>
        </w:rPr>
        <w:t>Exécution financière pour 2016 et prévisions pour les exercices 2017 et 2018</w:t>
      </w:r>
    </w:p>
    <w:p>
      <w:pPr>
        <w:pStyle w:val="Text1"/>
        <w:ind w:left="851"/>
        <w:rPr>
          <w:noProof/>
          <w:highlight w:val="yellow"/>
        </w:rPr>
      </w:pPr>
      <w:r>
        <w:rPr>
          <w:noProof/>
        </w:rPr>
        <w:t>Les montants totaux à la fin de l'année pour les engagements de 2016 ont dépassé les estimations figurant dans la communication d’octobre 2016. Toutefois, l’objectif en matière de paiements n’a pas été atteint.</w:t>
      </w:r>
    </w:p>
    <w:p>
      <w:pPr>
        <w:pStyle w:val="Text1"/>
        <w:ind w:left="851"/>
        <w:rPr>
          <w:noProof/>
        </w:rPr>
      </w:pPr>
      <w:r>
        <w:rPr>
          <w:noProof/>
        </w:rPr>
        <w:t>L’estimation de 2016 pour les engagements figurant dans la communication d'octobre 2016 (5 325 millions d’EUR) est dépassée de 1 594 millions d’EUR. Ce dépassement de l’objectif est notamment imputable au fait que les prévisions initiales ne tenaient pas compte de la décision d’allouer 500 millions d’EUR de crédits supplémentaires au Fonds fiduciaire d’urgence de l’UE pour l’Afrique (EUTF Africa)</w:t>
      </w:r>
      <w:r>
        <w:rPr>
          <w:rStyle w:val="FootnoteReference"/>
          <w:noProof/>
        </w:rPr>
        <w:footnoteReference w:id="7"/>
      </w:r>
      <w:r>
        <w:rPr>
          <w:noProof/>
        </w:rPr>
        <w:t>. Le niveau actuel d’absorption par la Commission fait que tous les engagements pour le 11</w:t>
      </w:r>
      <w:r>
        <w:rPr>
          <w:noProof/>
          <w:vertAlign w:val="superscript"/>
        </w:rPr>
        <w:t>e</w:t>
      </w:r>
      <w:r>
        <w:rPr>
          <w:noProof/>
        </w:rPr>
        <w:t xml:space="preserve"> FED seront honorés à la fin de la période d'exécution.</w:t>
      </w:r>
    </w:p>
    <w:p>
      <w:pPr>
        <w:pStyle w:val="Text1"/>
        <w:ind w:left="851"/>
        <w:rPr>
          <w:noProof/>
        </w:rPr>
      </w:pPr>
      <w:r>
        <w:rPr>
          <w:noProof/>
        </w:rPr>
        <w:t>Les paiements du FED (3 416 millions d’EUR) n’ont pas atteint le montant estimé pour 2016 annoncé en octobre 2016 (3 752 millions d’EUR), mais sont toujours supérieurs de 216 millions d’EUR au niveau d’exécution de l’exercice 2015 (3 210 millions d’EUR). Les estimations de la Commission dépendaient des paiements de l’EUTF Africa (250 millions d’EUR pour 2016, dont 207,5 millions d’EUR issus du FED). Cependant, l’EUTF Africa n’a appelé que 98,5 millions d’EUR de fonds du FED.</w:t>
      </w:r>
    </w:p>
    <w:p>
      <w:pPr>
        <w:pStyle w:val="Text1"/>
        <w:ind w:left="851"/>
        <w:rPr>
          <w:noProof/>
        </w:rPr>
      </w:pPr>
      <w:r>
        <w:rPr>
          <w:noProof/>
        </w:rPr>
        <w:t>Une situation de trésorerie difficile et tendue est encore prévue pour la période 2017</w:t>
      </w:r>
      <w:r>
        <w:rPr>
          <w:noProof/>
        </w:rPr>
        <w:noBreakHyphen/>
        <w:t>2018. Celle-ci est notamment imputable à la consommation de la «réserve de liquidités» du FED en 2015 (contributions appelées = 3 200 millions d’EUR pour des paiements à hauteur de 3 210 millions d’EUR), à des décaissements pour l’EUTF Africa, à l’augmentation du financement de la facilité de paix pour l’Afrique pour la période 2016-2018 et à la proposition de règlement relatif au Fonds européen pour le développement durable (FEDD) instituant le fonds de garantie FEDD</w:t>
      </w:r>
      <w:r>
        <w:rPr>
          <w:rStyle w:val="FootnoteReference"/>
          <w:noProof/>
        </w:rPr>
        <w:footnoteReference w:id="8"/>
      </w:r>
      <w:r>
        <w:rPr>
          <w:noProof/>
        </w:rPr>
        <w:t>. Cette proposition prévoit une contribution de 400 millions d’EUR au titre du 11</w:t>
      </w:r>
      <w:r>
        <w:rPr>
          <w:noProof/>
          <w:vertAlign w:val="superscript"/>
        </w:rPr>
        <w:t>e</w:t>
      </w:r>
      <w:r>
        <w:rPr>
          <w:noProof/>
        </w:rPr>
        <w:t xml:space="preserve"> FED, dont 150 millions d’EUR à payer en 2017.</w:t>
      </w:r>
    </w:p>
    <w:p>
      <w:pPr>
        <w:pStyle w:val="Text1"/>
        <w:ind w:left="0"/>
        <w:rPr>
          <w:noProof/>
        </w:rPr>
      </w:pPr>
      <w:r>
        <w:rPr>
          <w:noProof/>
        </w:rPr>
        <w:t>Les annexes 1 et 2 montrent respectivement, pour les engagements et pour les paiements, les chiffres réels de 2016 et les prévisions pour 2017-2018, par rapport à celles communiquées précédemment.</w:t>
      </w:r>
    </w:p>
    <w:p>
      <w:pPr>
        <w:pStyle w:val="Text1"/>
        <w:ind w:left="0"/>
        <w:rPr>
          <w:noProof/>
        </w:rPr>
      </w:pPr>
      <w:r>
        <w:rPr>
          <w:noProof/>
        </w:rPr>
        <w:t>L’annexe 3 présente la situation financière effective de 2016 et les prévisions pour 2017-2020, par rapport à celles communiquées précédemment.</w:t>
      </w:r>
    </w:p>
    <w:p>
      <w:pPr>
        <w:pStyle w:val="Text1"/>
        <w:ind w:left="0"/>
        <w:rPr>
          <w:noProof/>
        </w:rPr>
      </w:pPr>
      <w:r>
        <w:rPr>
          <w:noProof/>
        </w:rPr>
        <w:t>Les annexes 4 et 5 indiquent respectivement les contributions des États membres par FED pour 2017, par tranche, et, pour les exercices 2017-2020, selon le total.</w:t>
      </w:r>
    </w:p>
    <w:p>
      <w:pPr>
        <w:pStyle w:val="Text1"/>
        <w:ind w:left="0"/>
        <w:rPr>
          <w:noProof/>
        </w:rPr>
      </w:pPr>
      <w:r>
        <w:rPr>
          <w:noProof/>
        </w:rPr>
        <w:t>Les annexes 6 et 7 montrent respectivement les fonds dégagés de FED antérieurs et l’incidence de la réduction sur les contributions de chaque État membre.</w:t>
      </w:r>
    </w:p>
    <w:p>
      <w:pPr>
        <w:pStyle w:val="Text1"/>
        <w:ind w:left="0"/>
        <w:rPr>
          <w:noProof/>
        </w:rPr>
        <w:sectPr>
          <w:headerReference w:type="even" r:id="rId17"/>
          <w:headerReference w:type="default" r:id="rId18"/>
          <w:footerReference w:type="even" r:id="rId19"/>
          <w:footerReference w:type="default" r:id="rId20"/>
          <w:headerReference w:type="first" r:id="rId21"/>
          <w:footerReference w:type="first" r:id="rId22"/>
          <w:pgSz w:w="11907" w:h="16839"/>
          <w:pgMar w:top="1134" w:right="1417" w:bottom="1134" w:left="1417" w:header="709" w:footer="709" w:gutter="0"/>
          <w:cols w:space="708"/>
          <w:docGrid w:linePitch="360"/>
        </w:sectPr>
      </w:pPr>
    </w:p>
    <w:p>
      <w:pPr>
        <w:pStyle w:val="Heading2"/>
        <w:numPr>
          <w:ilvl w:val="1"/>
          <w:numId w:val="1"/>
        </w:numPr>
        <w:rPr>
          <w:noProof/>
        </w:rPr>
      </w:pPr>
      <w:r>
        <w:rPr>
          <w:noProof/>
        </w:rPr>
        <w:t>Annexe 1: engagements réels</w:t>
      </w:r>
      <w:r>
        <w:rPr>
          <w:noProof/>
          <w:vertAlign w:val="superscript"/>
        </w:rPr>
        <w:footnoteReference w:id="9"/>
      </w:r>
      <w:r>
        <w:rPr>
          <w:noProof/>
        </w:rPr>
        <w:t xml:space="preserve"> pour 2016 et prévisions pour 2017 et 2018 (en Mio EUR)</w:t>
      </w:r>
    </w:p>
    <w:tbl>
      <w:tblPr>
        <w:tblW w:w="12290" w:type="dxa"/>
        <w:tblInd w:w="108" w:type="dxa"/>
        <w:tblLook w:val="04A0" w:firstRow="1" w:lastRow="0" w:firstColumn="1" w:lastColumn="0" w:noHBand="0" w:noVBand="1"/>
      </w:tblPr>
      <w:tblGrid>
        <w:gridCol w:w="2880"/>
        <w:gridCol w:w="1594"/>
        <w:gridCol w:w="1646"/>
        <w:gridCol w:w="1594"/>
        <w:gridCol w:w="1594"/>
        <w:gridCol w:w="1594"/>
        <w:gridCol w:w="1594"/>
      </w:tblGrid>
      <w:tr>
        <w:trPr>
          <w:trHeight w:val="255"/>
        </w:trPr>
        <w:tc>
          <w:tcPr>
            <w:tcW w:w="288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rPr>
            </w:pPr>
          </w:p>
        </w:tc>
        <w:tc>
          <w:tcPr>
            <w:tcW w:w="32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2016</w:t>
            </w:r>
          </w:p>
        </w:tc>
        <w:tc>
          <w:tcPr>
            <w:tcW w:w="2982" w:type="dxa"/>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2017</w:t>
            </w:r>
          </w:p>
        </w:tc>
        <w:tc>
          <w:tcPr>
            <w:tcW w:w="3188" w:type="dxa"/>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2018</w:t>
            </w:r>
          </w:p>
        </w:tc>
      </w:tr>
      <w:tr>
        <w:trPr>
          <w:trHeight w:val="510"/>
        </w:trPr>
        <w:tc>
          <w:tcPr>
            <w:tcW w:w="2880" w:type="dxa"/>
            <w:tcBorders>
              <w:top w:val="nil"/>
              <w:left w:val="nil"/>
              <w:bottom w:val="nil"/>
              <w:right w:val="nil"/>
            </w:tcBorders>
            <w:shd w:val="clear" w:color="auto" w:fill="auto"/>
            <w:noWrap/>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noProof/>
                <w:sz w:val="20"/>
              </w:rPr>
              <w:t xml:space="preserve"> </w:t>
            </w:r>
          </w:p>
        </w:tc>
        <w:tc>
          <w:tcPr>
            <w:tcW w:w="1594"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Communication d’octobre 2016</w:t>
            </w:r>
          </w:p>
        </w:tc>
        <w:tc>
          <w:tcPr>
            <w:tcW w:w="1646" w:type="dxa"/>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Chiffres réels 2016</w:t>
            </w:r>
          </w:p>
        </w:tc>
        <w:tc>
          <w:tcPr>
            <w:tcW w:w="1388"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Communication d’octobre 2016</w:t>
            </w:r>
          </w:p>
        </w:tc>
        <w:tc>
          <w:tcPr>
            <w:tcW w:w="1594" w:type="dxa"/>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Communication de juin 2017</w:t>
            </w:r>
          </w:p>
        </w:tc>
        <w:tc>
          <w:tcPr>
            <w:tcW w:w="1594"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Communication d’octobre 2016</w:t>
            </w:r>
          </w:p>
        </w:tc>
        <w:tc>
          <w:tcPr>
            <w:tcW w:w="1594" w:type="dxa"/>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Communication de juin 2017</w:t>
            </w:r>
          </w:p>
        </w:tc>
      </w:tr>
      <w:tr>
        <w:trPr>
          <w:trHeight w:val="255"/>
        </w:trPr>
        <w:tc>
          <w:tcPr>
            <w:tcW w:w="2880" w:type="dxa"/>
            <w:tcBorders>
              <w:top w:val="single" w:sz="4" w:space="0" w:color="auto"/>
              <w:left w:val="single" w:sz="4" w:space="0" w:color="auto"/>
              <w:bottom w:val="nil"/>
              <w:right w:val="nil"/>
            </w:tcBorders>
            <w:shd w:val="clear" w:color="auto" w:fill="auto"/>
            <w:noWrap/>
            <w:vAlign w:val="center"/>
            <w:hideMark/>
          </w:tcPr>
          <w:p>
            <w:pPr>
              <w:spacing w:after="0" w:line="240" w:lineRule="auto"/>
              <w:ind w:firstLineChars="100" w:firstLine="200"/>
              <w:rPr>
                <w:rFonts w:ascii="Times New Roman" w:eastAsia="Times New Roman" w:hAnsi="Times New Roman" w:cs="Times New Roman"/>
                <w:noProof/>
                <w:sz w:val="20"/>
                <w:szCs w:val="20"/>
              </w:rPr>
            </w:pPr>
            <w:r>
              <w:rPr>
                <w:rFonts w:ascii="Times New Roman" w:hAnsi="Times New Roman"/>
                <w:noProof/>
                <w:sz w:val="20"/>
              </w:rPr>
              <w:t>Régions</w:t>
            </w:r>
          </w:p>
        </w:tc>
        <w:tc>
          <w:tcPr>
            <w:tcW w:w="1594"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646"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388"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594"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trPr>
          <w:trHeight w:val="255"/>
        </w:trPr>
        <w:tc>
          <w:tcPr>
            <w:tcW w:w="288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Afrique de l’Est</w:t>
            </w:r>
          </w:p>
        </w:tc>
        <w:tc>
          <w:tcPr>
            <w:tcW w:w="1594"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810</w:t>
            </w:r>
          </w:p>
        </w:tc>
        <w:tc>
          <w:tcPr>
            <w:tcW w:w="1646"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892 </w:t>
            </w:r>
          </w:p>
        </w:tc>
        <w:tc>
          <w:tcPr>
            <w:tcW w:w="1388"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703 </w:t>
            </w:r>
          </w:p>
        </w:tc>
        <w:tc>
          <w:tcPr>
            <w:tcW w:w="1594"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color w:val="FF0000"/>
                <w:sz w:val="20"/>
                <w:szCs w:val="20"/>
              </w:rPr>
            </w:pPr>
            <w:r>
              <w:rPr>
                <w:rFonts w:ascii="Times New Roman" w:hAnsi="Times New Roman"/>
                <w:noProof/>
                <w:color w:val="FF0000"/>
                <w:sz w:val="20"/>
              </w:rPr>
              <w:t> </w:t>
            </w:r>
          </w:p>
        </w:tc>
      </w:tr>
      <w:tr>
        <w:trPr>
          <w:trHeight w:val="255"/>
        </w:trPr>
        <w:tc>
          <w:tcPr>
            <w:tcW w:w="288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Afrique de l’Ouest</w:t>
            </w:r>
          </w:p>
        </w:tc>
        <w:tc>
          <w:tcPr>
            <w:tcW w:w="1594"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1 776</w:t>
            </w:r>
          </w:p>
        </w:tc>
        <w:tc>
          <w:tcPr>
            <w:tcW w:w="1646"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2 729 </w:t>
            </w:r>
          </w:p>
        </w:tc>
        <w:tc>
          <w:tcPr>
            <w:tcW w:w="1388"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1 943 </w:t>
            </w:r>
          </w:p>
        </w:tc>
        <w:tc>
          <w:tcPr>
            <w:tcW w:w="1594"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color w:val="FF0000"/>
                <w:sz w:val="20"/>
                <w:szCs w:val="20"/>
              </w:rPr>
            </w:pPr>
            <w:r>
              <w:rPr>
                <w:rFonts w:ascii="Times New Roman" w:hAnsi="Times New Roman"/>
                <w:noProof/>
                <w:color w:val="FF0000"/>
                <w:sz w:val="20"/>
              </w:rPr>
              <w:t> </w:t>
            </w:r>
          </w:p>
        </w:tc>
      </w:tr>
      <w:tr>
        <w:trPr>
          <w:trHeight w:val="255"/>
        </w:trPr>
        <w:tc>
          <w:tcPr>
            <w:tcW w:w="288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Afrique centrale</w:t>
            </w:r>
          </w:p>
        </w:tc>
        <w:tc>
          <w:tcPr>
            <w:tcW w:w="1594"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1 139</w:t>
            </w:r>
          </w:p>
        </w:tc>
        <w:tc>
          <w:tcPr>
            <w:tcW w:w="1646"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1 179 </w:t>
            </w:r>
          </w:p>
        </w:tc>
        <w:tc>
          <w:tcPr>
            <w:tcW w:w="1388"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950 </w:t>
            </w:r>
          </w:p>
        </w:tc>
        <w:tc>
          <w:tcPr>
            <w:tcW w:w="1594"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color w:val="FF0000"/>
                <w:sz w:val="20"/>
                <w:szCs w:val="20"/>
              </w:rPr>
            </w:pPr>
            <w:r>
              <w:rPr>
                <w:rFonts w:ascii="Times New Roman" w:hAnsi="Times New Roman"/>
                <w:noProof/>
                <w:color w:val="FF0000"/>
                <w:sz w:val="20"/>
              </w:rPr>
              <w:t> </w:t>
            </w:r>
          </w:p>
        </w:tc>
      </w:tr>
      <w:tr>
        <w:trPr>
          <w:trHeight w:val="255"/>
        </w:trPr>
        <w:tc>
          <w:tcPr>
            <w:tcW w:w="288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Caraïbes</w:t>
            </w:r>
          </w:p>
        </w:tc>
        <w:tc>
          <w:tcPr>
            <w:tcW w:w="1594"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213</w:t>
            </w:r>
          </w:p>
        </w:tc>
        <w:tc>
          <w:tcPr>
            <w:tcW w:w="1646"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272 </w:t>
            </w:r>
          </w:p>
        </w:tc>
        <w:tc>
          <w:tcPr>
            <w:tcW w:w="1388"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352 </w:t>
            </w:r>
          </w:p>
        </w:tc>
        <w:tc>
          <w:tcPr>
            <w:tcW w:w="1594"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color w:val="FF0000"/>
                <w:sz w:val="20"/>
                <w:szCs w:val="20"/>
              </w:rPr>
            </w:pPr>
            <w:r>
              <w:rPr>
                <w:rFonts w:ascii="Times New Roman" w:hAnsi="Times New Roman"/>
                <w:noProof/>
                <w:color w:val="FF0000"/>
                <w:sz w:val="20"/>
              </w:rPr>
              <w:t> </w:t>
            </w:r>
          </w:p>
        </w:tc>
      </w:tr>
      <w:tr>
        <w:trPr>
          <w:trHeight w:val="255"/>
        </w:trPr>
        <w:tc>
          <w:tcPr>
            <w:tcW w:w="288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Pacifique</w:t>
            </w:r>
          </w:p>
        </w:tc>
        <w:tc>
          <w:tcPr>
            <w:tcW w:w="1594"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25</w:t>
            </w:r>
          </w:p>
        </w:tc>
        <w:tc>
          <w:tcPr>
            <w:tcW w:w="1646"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131 </w:t>
            </w:r>
          </w:p>
        </w:tc>
        <w:tc>
          <w:tcPr>
            <w:tcW w:w="1388"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230 </w:t>
            </w:r>
          </w:p>
        </w:tc>
        <w:tc>
          <w:tcPr>
            <w:tcW w:w="1594"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color w:val="FF0000"/>
                <w:sz w:val="20"/>
                <w:szCs w:val="20"/>
              </w:rPr>
            </w:pPr>
            <w:r>
              <w:rPr>
                <w:rFonts w:ascii="Times New Roman" w:hAnsi="Times New Roman"/>
                <w:noProof/>
                <w:color w:val="FF0000"/>
                <w:sz w:val="20"/>
              </w:rPr>
              <w:t> </w:t>
            </w:r>
          </w:p>
        </w:tc>
      </w:tr>
      <w:tr>
        <w:trPr>
          <w:trHeight w:val="255"/>
        </w:trPr>
        <w:tc>
          <w:tcPr>
            <w:tcW w:w="288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Afrique australe</w:t>
            </w:r>
          </w:p>
        </w:tc>
        <w:tc>
          <w:tcPr>
            <w:tcW w:w="1594"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560</w:t>
            </w:r>
          </w:p>
        </w:tc>
        <w:tc>
          <w:tcPr>
            <w:tcW w:w="1646"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682 </w:t>
            </w:r>
          </w:p>
        </w:tc>
        <w:tc>
          <w:tcPr>
            <w:tcW w:w="1388"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469 </w:t>
            </w:r>
          </w:p>
        </w:tc>
        <w:tc>
          <w:tcPr>
            <w:tcW w:w="1594"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color w:val="FF0000"/>
                <w:sz w:val="20"/>
                <w:szCs w:val="20"/>
              </w:rPr>
            </w:pPr>
            <w:r>
              <w:rPr>
                <w:rFonts w:ascii="Times New Roman" w:hAnsi="Times New Roman"/>
                <w:noProof/>
                <w:color w:val="FF0000"/>
                <w:sz w:val="20"/>
              </w:rPr>
              <w:t> </w:t>
            </w:r>
          </w:p>
        </w:tc>
      </w:tr>
      <w:tr>
        <w:trPr>
          <w:trHeight w:val="255"/>
        </w:trPr>
        <w:tc>
          <w:tcPr>
            <w:tcW w:w="288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2"/>
              <w:rPr>
                <w:rFonts w:ascii="Times New Roman" w:eastAsia="Times New Roman" w:hAnsi="Times New Roman" w:cs="Times New Roman"/>
                <w:b/>
                <w:bCs/>
                <w:noProof/>
                <w:sz w:val="20"/>
                <w:szCs w:val="20"/>
              </w:rPr>
            </w:pPr>
            <w:r>
              <w:rPr>
                <w:rFonts w:ascii="Times New Roman" w:hAnsi="Times New Roman"/>
                <w:b/>
                <w:noProof/>
                <w:sz w:val="20"/>
              </w:rPr>
              <w:t>Sous-total</w:t>
            </w:r>
          </w:p>
        </w:tc>
        <w:tc>
          <w:tcPr>
            <w:tcW w:w="1594"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4 525</w:t>
            </w:r>
          </w:p>
        </w:tc>
        <w:tc>
          <w:tcPr>
            <w:tcW w:w="1646"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5 886</w:t>
            </w:r>
          </w:p>
        </w:tc>
        <w:tc>
          <w:tcPr>
            <w:tcW w:w="1388"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4 646</w:t>
            </w:r>
            <w:r>
              <w:rPr>
                <w:rFonts w:ascii="Times New Roman" w:hAnsi="Times New Roman"/>
                <w:noProof/>
                <w:sz w:val="20"/>
              </w:rPr>
              <w:t> </w:t>
            </w:r>
          </w:p>
        </w:tc>
        <w:tc>
          <w:tcPr>
            <w:tcW w:w="1594"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 </w:t>
            </w:r>
          </w:p>
        </w:tc>
      </w:tr>
      <w:tr>
        <w:trPr>
          <w:trHeight w:val="255"/>
        </w:trPr>
        <w:tc>
          <w:tcPr>
            <w:tcW w:w="2880" w:type="dxa"/>
            <w:tcBorders>
              <w:top w:val="nil"/>
              <w:left w:val="single" w:sz="4" w:space="0" w:color="auto"/>
              <w:bottom w:val="nil"/>
              <w:right w:val="nil"/>
            </w:tcBorders>
            <w:shd w:val="clear" w:color="auto" w:fill="auto"/>
            <w:noWrap/>
            <w:vAlign w:val="center"/>
            <w:hideMark/>
          </w:tcPr>
          <w:p>
            <w:pPr>
              <w:spacing w:after="0" w:line="240" w:lineRule="auto"/>
              <w:ind w:firstLineChars="100" w:firstLine="200"/>
              <w:rPr>
                <w:rFonts w:ascii="Times New Roman" w:eastAsia="Times New Roman" w:hAnsi="Times New Roman" w:cs="Times New Roman"/>
                <w:noProof/>
                <w:sz w:val="20"/>
                <w:szCs w:val="20"/>
              </w:rPr>
            </w:pPr>
            <w:r>
              <w:rPr>
                <w:rFonts w:ascii="Times New Roman" w:hAnsi="Times New Roman"/>
                <w:noProof/>
                <w:sz w:val="20"/>
              </w:rPr>
              <w:t>Autres</w:t>
            </w:r>
          </w:p>
        </w:tc>
        <w:tc>
          <w:tcPr>
            <w:tcW w:w="1594"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646"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388"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594"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r>
      <w:tr>
        <w:trPr>
          <w:trHeight w:val="255"/>
        </w:trPr>
        <w:tc>
          <w:tcPr>
            <w:tcW w:w="288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Facilité de soutien à la paix, droits de l’homme</w:t>
            </w:r>
          </w:p>
        </w:tc>
        <w:tc>
          <w:tcPr>
            <w:tcW w:w="1594"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545</w:t>
            </w:r>
          </w:p>
        </w:tc>
        <w:tc>
          <w:tcPr>
            <w:tcW w:w="1646"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627 </w:t>
            </w:r>
          </w:p>
        </w:tc>
        <w:tc>
          <w:tcPr>
            <w:tcW w:w="1388"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467 </w:t>
            </w:r>
          </w:p>
        </w:tc>
        <w:tc>
          <w:tcPr>
            <w:tcW w:w="1594"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color w:val="FF0000"/>
                <w:sz w:val="20"/>
                <w:szCs w:val="20"/>
              </w:rPr>
            </w:pPr>
            <w:r>
              <w:rPr>
                <w:rFonts w:ascii="Times New Roman" w:hAnsi="Times New Roman"/>
                <w:noProof/>
                <w:color w:val="FF0000"/>
                <w:sz w:val="20"/>
              </w:rPr>
              <w:t> </w:t>
            </w:r>
          </w:p>
        </w:tc>
      </w:tr>
      <w:tr>
        <w:trPr>
          <w:trHeight w:val="255"/>
        </w:trPr>
        <w:tc>
          <w:tcPr>
            <w:tcW w:w="2880" w:type="dxa"/>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Facilité pour l'eau et l'énergie</w:t>
            </w:r>
          </w:p>
        </w:tc>
        <w:tc>
          <w:tcPr>
            <w:tcW w:w="1594"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100</w:t>
            </w:r>
          </w:p>
        </w:tc>
        <w:tc>
          <w:tcPr>
            <w:tcW w:w="1646"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118 </w:t>
            </w:r>
          </w:p>
        </w:tc>
        <w:tc>
          <w:tcPr>
            <w:tcW w:w="1388"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367 </w:t>
            </w:r>
          </w:p>
        </w:tc>
        <w:tc>
          <w:tcPr>
            <w:tcW w:w="1594"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color w:val="FF0000"/>
                <w:sz w:val="20"/>
                <w:szCs w:val="20"/>
              </w:rPr>
            </w:pPr>
            <w:r>
              <w:rPr>
                <w:rFonts w:ascii="Times New Roman" w:hAnsi="Times New Roman"/>
                <w:noProof/>
                <w:color w:val="FF0000"/>
                <w:sz w:val="20"/>
              </w:rPr>
              <w:t> </w:t>
            </w:r>
          </w:p>
        </w:tc>
      </w:tr>
      <w:tr>
        <w:trPr>
          <w:trHeight w:val="255"/>
        </w:trPr>
        <w:tc>
          <w:tcPr>
            <w:tcW w:w="2880" w:type="dxa"/>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Fonds fiduciaire (*)</w:t>
            </w:r>
          </w:p>
        </w:tc>
        <w:tc>
          <w:tcPr>
            <w:tcW w:w="1594"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0</w:t>
            </w:r>
          </w:p>
        </w:tc>
        <w:tc>
          <w:tcPr>
            <w:tcW w:w="1646"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0 </w:t>
            </w:r>
          </w:p>
        </w:tc>
        <w:tc>
          <w:tcPr>
            <w:tcW w:w="1388"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0 </w:t>
            </w:r>
          </w:p>
        </w:tc>
        <w:tc>
          <w:tcPr>
            <w:tcW w:w="1594"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color w:val="FF0000"/>
                <w:sz w:val="20"/>
                <w:szCs w:val="20"/>
              </w:rPr>
            </w:pPr>
            <w:r>
              <w:rPr>
                <w:rFonts w:ascii="Times New Roman" w:hAnsi="Times New Roman"/>
                <w:noProof/>
                <w:color w:val="FF0000"/>
                <w:sz w:val="20"/>
              </w:rPr>
              <w:t> </w:t>
            </w:r>
          </w:p>
        </w:tc>
      </w:tr>
      <w:tr>
        <w:trPr>
          <w:trHeight w:val="255"/>
        </w:trPr>
        <w:tc>
          <w:tcPr>
            <w:tcW w:w="2880" w:type="dxa"/>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Autres (**)</w:t>
            </w:r>
          </w:p>
        </w:tc>
        <w:tc>
          <w:tcPr>
            <w:tcW w:w="1594"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155</w:t>
            </w:r>
          </w:p>
        </w:tc>
        <w:tc>
          <w:tcPr>
            <w:tcW w:w="1646"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287 </w:t>
            </w:r>
          </w:p>
        </w:tc>
        <w:tc>
          <w:tcPr>
            <w:tcW w:w="1388"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150 </w:t>
            </w:r>
          </w:p>
        </w:tc>
        <w:tc>
          <w:tcPr>
            <w:tcW w:w="1594"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color w:val="FF0000"/>
                <w:sz w:val="20"/>
                <w:szCs w:val="20"/>
              </w:rPr>
            </w:pPr>
            <w:r>
              <w:rPr>
                <w:rFonts w:ascii="Times New Roman" w:hAnsi="Times New Roman"/>
                <w:noProof/>
                <w:color w:val="FF0000"/>
                <w:sz w:val="20"/>
              </w:rPr>
              <w:t> </w:t>
            </w:r>
          </w:p>
        </w:tc>
      </w:tr>
      <w:tr>
        <w:trPr>
          <w:trHeight w:val="255"/>
        </w:trPr>
        <w:tc>
          <w:tcPr>
            <w:tcW w:w="288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2"/>
              <w:rPr>
                <w:rFonts w:ascii="Times New Roman" w:eastAsia="Times New Roman" w:hAnsi="Times New Roman" w:cs="Times New Roman"/>
                <w:b/>
                <w:bCs/>
                <w:noProof/>
                <w:sz w:val="20"/>
                <w:szCs w:val="20"/>
              </w:rPr>
            </w:pPr>
            <w:r>
              <w:rPr>
                <w:rFonts w:ascii="Times New Roman" w:hAnsi="Times New Roman"/>
                <w:b/>
                <w:noProof/>
                <w:sz w:val="20"/>
              </w:rPr>
              <w:t>Sous-total</w:t>
            </w:r>
          </w:p>
        </w:tc>
        <w:tc>
          <w:tcPr>
            <w:tcW w:w="1594" w:type="dxa"/>
            <w:tcBorders>
              <w:top w:val="nil"/>
              <w:left w:val="single" w:sz="4" w:space="0" w:color="auto"/>
              <w:bottom w:val="dotted"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800</w:t>
            </w:r>
          </w:p>
        </w:tc>
        <w:tc>
          <w:tcPr>
            <w:tcW w:w="1646"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1 032</w:t>
            </w:r>
          </w:p>
        </w:tc>
        <w:tc>
          <w:tcPr>
            <w:tcW w:w="1388" w:type="dxa"/>
            <w:tcBorders>
              <w:top w:val="nil"/>
              <w:left w:val="nil"/>
              <w:bottom w:val="dotted"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 </w:t>
            </w:r>
          </w:p>
        </w:tc>
        <w:tc>
          <w:tcPr>
            <w:tcW w:w="1594"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984</w:t>
            </w:r>
            <w:r>
              <w:rPr>
                <w:rFonts w:ascii="Times New Roman" w:hAnsi="Times New Roman"/>
                <w:noProof/>
                <w:sz w:val="20"/>
              </w:rPr>
              <w:t> </w:t>
            </w:r>
          </w:p>
        </w:tc>
        <w:tc>
          <w:tcPr>
            <w:tcW w:w="1594" w:type="dxa"/>
            <w:tcBorders>
              <w:top w:val="nil"/>
              <w:left w:val="nil"/>
              <w:bottom w:val="dotted"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 </w:t>
            </w:r>
          </w:p>
        </w:tc>
        <w:tc>
          <w:tcPr>
            <w:tcW w:w="1594"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 </w:t>
            </w:r>
          </w:p>
        </w:tc>
      </w:tr>
      <w:tr>
        <w:trPr>
          <w:trHeight w:val="255"/>
        </w:trPr>
        <w:tc>
          <w:tcPr>
            <w:tcW w:w="2880" w:type="dxa"/>
            <w:tcBorders>
              <w:top w:val="nil"/>
              <w:left w:val="single" w:sz="4"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noProof/>
                <w:sz w:val="20"/>
              </w:rPr>
              <w:t>Total Commission européenne</w:t>
            </w:r>
          </w:p>
        </w:tc>
        <w:tc>
          <w:tcPr>
            <w:tcW w:w="1594"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5 325</w:t>
            </w:r>
          </w:p>
        </w:tc>
        <w:tc>
          <w:tcPr>
            <w:tcW w:w="1646"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6 919</w:t>
            </w:r>
          </w:p>
        </w:tc>
        <w:tc>
          <w:tcPr>
            <w:tcW w:w="138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4 663</w:t>
            </w:r>
          </w:p>
        </w:tc>
        <w:tc>
          <w:tcPr>
            <w:tcW w:w="1594"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5 629</w:t>
            </w:r>
          </w:p>
        </w:tc>
        <w:tc>
          <w:tcPr>
            <w:tcW w:w="159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4 550</w:t>
            </w:r>
          </w:p>
        </w:tc>
        <w:tc>
          <w:tcPr>
            <w:tcW w:w="1594"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4 550</w:t>
            </w:r>
          </w:p>
        </w:tc>
      </w:tr>
      <w:tr>
        <w:trPr>
          <w:trHeight w:val="255"/>
        </w:trPr>
        <w:tc>
          <w:tcPr>
            <w:tcW w:w="2880" w:type="dxa"/>
            <w:tcBorders>
              <w:top w:val="nil"/>
              <w:left w:val="single" w:sz="4" w:space="0" w:color="auto"/>
              <w:bottom w:val="nil"/>
              <w:right w:val="nil"/>
            </w:tcBorders>
            <w:shd w:val="clear" w:color="auto" w:fill="auto"/>
            <w:noWrap/>
            <w:vAlign w:val="bottom"/>
            <w:hideMark/>
          </w:tcPr>
          <w:p>
            <w:pPr>
              <w:spacing w:after="0" w:line="240" w:lineRule="auto"/>
              <w:ind w:firstLineChars="100" w:firstLine="200"/>
              <w:rPr>
                <w:rFonts w:ascii="Times New Roman" w:eastAsia="Times New Roman" w:hAnsi="Times New Roman" w:cs="Times New Roman"/>
                <w:noProof/>
                <w:sz w:val="20"/>
                <w:szCs w:val="20"/>
              </w:rPr>
            </w:pPr>
            <w:r>
              <w:rPr>
                <w:rFonts w:ascii="Times New Roman" w:hAnsi="Times New Roman"/>
                <w:noProof/>
                <w:sz w:val="20"/>
              </w:rPr>
              <w:t>Facilité d’investissement</w:t>
            </w:r>
          </w:p>
        </w:tc>
        <w:tc>
          <w:tcPr>
            <w:tcW w:w="1594"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775</w:t>
            </w:r>
          </w:p>
        </w:tc>
        <w:tc>
          <w:tcPr>
            <w:tcW w:w="1646"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793</w:t>
            </w:r>
          </w:p>
        </w:tc>
        <w:tc>
          <w:tcPr>
            <w:tcW w:w="1388"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800</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775</w:t>
            </w:r>
          </w:p>
        </w:tc>
        <w:tc>
          <w:tcPr>
            <w:tcW w:w="1594"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825</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800</w:t>
            </w:r>
          </w:p>
        </w:tc>
      </w:tr>
      <w:tr>
        <w:trPr>
          <w:trHeight w:val="255"/>
        </w:trPr>
        <w:tc>
          <w:tcPr>
            <w:tcW w:w="2880" w:type="dxa"/>
            <w:tcBorders>
              <w:top w:val="nil"/>
              <w:left w:val="single" w:sz="4" w:space="0" w:color="auto"/>
              <w:bottom w:val="nil"/>
              <w:right w:val="nil"/>
            </w:tcBorders>
            <w:shd w:val="clear" w:color="auto" w:fill="auto"/>
            <w:noWrap/>
            <w:vAlign w:val="bottom"/>
            <w:hideMark/>
          </w:tcPr>
          <w:p>
            <w:pPr>
              <w:spacing w:after="0" w:line="240" w:lineRule="auto"/>
              <w:ind w:firstLineChars="100" w:firstLine="200"/>
              <w:rPr>
                <w:rFonts w:ascii="Times New Roman" w:eastAsia="Times New Roman" w:hAnsi="Times New Roman" w:cs="Times New Roman"/>
                <w:noProof/>
                <w:sz w:val="20"/>
                <w:szCs w:val="20"/>
              </w:rPr>
            </w:pPr>
            <w:r>
              <w:rPr>
                <w:rFonts w:ascii="Times New Roman" w:hAnsi="Times New Roman"/>
                <w:noProof/>
                <w:sz w:val="20"/>
              </w:rPr>
              <w:t>Bonifications d’intérêts (***)</w:t>
            </w:r>
          </w:p>
        </w:tc>
        <w:tc>
          <w:tcPr>
            <w:tcW w:w="1594" w:type="dxa"/>
            <w:tcBorders>
              <w:top w:val="nil"/>
              <w:left w:val="single" w:sz="4" w:space="0" w:color="auto"/>
              <w:bottom w:val="dotted"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80</w:t>
            </w:r>
          </w:p>
        </w:tc>
        <w:tc>
          <w:tcPr>
            <w:tcW w:w="1646"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85</w:t>
            </w:r>
          </w:p>
        </w:tc>
        <w:tc>
          <w:tcPr>
            <w:tcW w:w="1388" w:type="dxa"/>
            <w:tcBorders>
              <w:top w:val="nil"/>
              <w:left w:val="nil"/>
              <w:bottom w:val="dotted"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80</w:t>
            </w:r>
          </w:p>
        </w:tc>
        <w:tc>
          <w:tcPr>
            <w:tcW w:w="1594"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80</w:t>
            </w:r>
          </w:p>
        </w:tc>
        <w:tc>
          <w:tcPr>
            <w:tcW w:w="1594" w:type="dxa"/>
            <w:tcBorders>
              <w:top w:val="nil"/>
              <w:left w:val="nil"/>
              <w:bottom w:val="dotted"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80</w:t>
            </w:r>
          </w:p>
        </w:tc>
        <w:tc>
          <w:tcPr>
            <w:tcW w:w="1594"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80</w:t>
            </w:r>
          </w:p>
        </w:tc>
      </w:tr>
      <w:tr>
        <w:trPr>
          <w:trHeight w:val="255"/>
        </w:trPr>
        <w:tc>
          <w:tcPr>
            <w:tcW w:w="2880" w:type="dxa"/>
            <w:tcBorders>
              <w:top w:val="nil"/>
              <w:left w:val="single" w:sz="4"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noProof/>
                <w:sz w:val="20"/>
              </w:rPr>
              <w:t>Total BEI</w:t>
            </w:r>
          </w:p>
        </w:tc>
        <w:tc>
          <w:tcPr>
            <w:tcW w:w="1594"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855</w:t>
            </w:r>
          </w:p>
        </w:tc>
        <w:tc>
          <w:tcPr>
            <w:tcW w:w="1646"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878</w:t>
            </w:r>
          </w:p>
        </w:tc>
        <w:tc>
          <w:tcPr>
            <w:tcW w:w="138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880</w:t>
            </w:r>
          </w:p>
        </w:tc>
        <w:tc>
          <w:tcPr>
            <w:tcW w:w="1594"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855</w:t>
            </w:r>
          </w:p>
        </w:tc>
        <w:tc>
          <w:tcPr>
            <w:tcW w:w="159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905</w:t>
            </w:r>
          </w:p>
        </w:tc>
        <w:tc>
          <w:tcPr>
            <w:tcW w:w="1594"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880</w:t>
            </w:r>
          </w:p>
        </w:tc>
      </w:tr>
      <w:tr>
        <w:trPr>
          <w:trHeight w:val="255"/>
        </w:trPr>
        <w:tc>
          <w:tcPr>
            <w:tcW w:w="2880" w:type="dxa"/>
            <w:tcBorders>
              <w:top w:val="nil"/>
              <w:left w:val="single" w:sz="4" w:space="0" w:color="auto"/>
              <w:bottom w:val="single" w:sz="4" w:space="0" w:color="auto"/>
              <w:right w:val="nil"/>
            </w:tcBorders>
            <w:shd w:val="clear" w:color="auto" w:fill="auto"/>
            <w:noWrap/>
            <w:vAlign w:val="center"/>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noProof/>
                <w:sz w:val="20"/>
              </w:rPr>
              <w:t>Total CE + BEI</w:t>
            </w:r>
          </w:p>
        </w:tc>
        <w:tc>
          <w:tcPr>
            <w:tcW w:w="1594"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6 180</w:t>
            </w:r>
          </w:p>
        </w:tc>
        <w:tc>
          <w:tcPr>
            <w:tcW w:w="1646"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7 797</w:t>
            </w:r>
          </w:p>
        </w:tc>
        <w:tc>
          <w:tcPr>
            <w:tcW w:w="138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5 543</w:t>
            </w:r>
          </w:p>
        </w:tc>
        <w:tc>
          <w:tcPr>
            <w:tcW w:w="1594"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6 484</w:t>
            </w:r>
          </w:p>
        </w:tc>
        <w:tc>
          <w:tcPr>
            <w:tcW w:w="159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5 455</w:t>
            </w:r>
          </w:p>
        </w:tc>
        <w:tc>
          <w:tcPr>
            <w:tcW w:w="1594"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5 430</w:t>
            </w:r>
          </w:p>
        </w:tc>
      </w:tr>
    </w:tbl>
    <w:p>
      <w:pPr>
        <w:pStyle w:val="Text1"/>
        <w:spacing w:after="0"/>
        <w:ind w:left="0"/>
        <w:jc w:val="left"/>
        <w:rPr>
          <w:noProof/>
          <w:sz w:val="20"/>
          <w:szCs w:val="20"/>
        </w:rPr>
      </w:pPr>
      <w:r>
        <w:rPr>
          <w:noProof/>
          <w:sz w:val="20"/>
        </w:rPr>
        <w:t xml:space="preserve">Engagements bruts, c’est-à-dire sans déduction des dégagements. </w:t>
      </w:r>
    </w:p>
    <w:p>
      <w:pPr>
        <w:pStyle w:val="Text1"/>
        <w:spacing w:before="0"/>
        <w:ind w:left="0"/>
        <w:jc w:val="left"/>
        <w:rPr>
          <w:noProof/>
          <w:sz w:val="20"/>
          <w:szCs w:val="20"/>
        </w:rPr>
      </w:pPr>
      <w:r>
        <w:rPr>
          <w:noProof/>
          <w:sz w:val="20"/>
        </w:rPr>
        <w:t>* Fonds fiduciaire d'urgence de l’Union européenne en faveur de la stabilité et de la lutte contre les causes profondes de la migration irrégulière en Afrique et Fonds fiduciaire Bêkou de l'UE.</w:t>
      </w:r>
      <w:r>
        <w:rPr>
          <w:noProof/>
          <w:sz w:val="20"/>
          <w:szCs w:val="20"/>
        </w:rPr>
        <w:br/>
      </w:r>
      <w:r>
        <w:rPr>
          <w:noProof/>
          <w:sz w:val="20"/>
        </w:rPr>
        <w:t>** Couvre les dépenses d’appui (par ex. institutions conjointes, secrétariat ACP), DG ECHO, autres DG et agences.</w:t>
      </w:r>
      <w:r>
        <w:rPr>
          <w:noProof/>
          <w:sz w:val="20"/>
          <w:szCs w:val="20"/>
        </w:rPr>
        <w:br/>
      </w:r>
      <w:r>
        <w:rPr>
          <w:noProof/>
          <w:sz w:val="20"/>
        </w:rPr>
        <w:t>*** Y compris les bonifications d’intérêts au titre des FED antérieurs.</w:t>
      </w:r>
    </w:p>
    <w:p>
      <w:pPr>
        <w:rPr>
          <w:noProof/>
        </w:rPr>
      </w:pPr>
      <w:r>
        <w:rPr>
          <w:noProof/>
        </w:rPr>
        <w:br w:type="page"/>
      </w:r>
    </w:p>
    <w:p>
      <w:pPr>
        <w:pStyle w:val="Heading2"/>
        <w:numPr>
          <w:ilvl w:val="1"/>
          <w:numId w:val="1"/>
        </w:numPr>
        <w:rPr>
          <w:noProof/>
        </w:rPr>
      </w:pPr>
      <w:r>
        <w:rPr>
          <w:noProof/>
        </w:rPr>
        <w:t>Annexe 2: paiements réels</w:t>
      </w:r>
      <w:r>
        <w:rPr>
          <w:noProof/>
          <w:vertAlign w:val="superscript"/>
        </w:rPr>
        <w:footnoteReference w:id="10"/>
      </w:r>
      <w:r>
        <w:rPr>
          <w:noProof/>
        </w:rPr>
        <w:t xml:space="preserve"> pour 2016 et prévisions pour 2017 et 2018 (en Mio EUR)</w:t>
      </w:r>
    </w:p>
    <w:tbl>
      <w:tblPr>
        <w:tblW w:w="12360" w:type="dxa"/>
        <w:tblInd w:w="108" w:type="dxa"/>
        <w:tblLayout w:type="fixed"/>
        <w:tblLook w:val="04A0" w:firstRow="1" w:lastRow="0" w:firstColumn="1" w:lastColumn="0" w:noHBand="0" w:noVBand="1"/>
      </w:tblPr>
      <w:tblGrid>
        <w:gridCol w:w="2880"/>
        <w:gridCol w:w="1680"/>
        <w:gridCol w:w="1320"/>
        <w:gridCol w:w="1680"/>
        <w:gridCol w:w="1600"/>
        <w:gridCol w:w="1600"/>
        <w:gridCol w:w="1600"/>
      </w:tblGrid>
      <w:tr>
        <w:trPr>
          <w:trHeight w:val="255"/>
        </w:trPr>
        <w:tc>
          <w:tcPr>
            <w:tcW w:w="288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rPr>
            </w:pPr>
          </w:p>
        </w:tc>
        <w:tc>
          <w:tcPr>
            <w:tcW w:w="3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2016</w:t>
            </w:r>
          </w:p>
        </w:tc>
        <w:tc>
          <w:tcPr>
            <w:tcW w:w="3280" w:type="dxa"/>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2017</w:t>
            </w:r>
          </w:p>
        </w:tc>
        <w:tc>
          <w:tcPr>
            <w:tcW w:w="3200" w:type="dxa"/>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2018</w:t>
            </w:r>
          </w:p>
        </w:tc>
      </w:tr>
      <w:tr>
        <w:trPr>
          <w:trHeight w:val="510"/>
        </w:trPr>
        <w:tc>
          <w:tcPr>
            <w:tcW w:w="2880" w:type="dxa"/>
            <w:tcBorders>
              <w:top w:val="nil"/>
              <w:left w:val="nil"/>
              <w:bottom w:val="nil"/>
              <w:right w:val="nil"/>
            </w:tcBorders>
            <w:shd w:val="clear" w:color="auto" w:fill="auto"/>
            <w:noWrap/>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noProof/>
                <w:sz w:val="20"/>
              </w:rPr>
              <w:t xml:space="preserve"> </w:t>
            </w:r>
          </w:p>
        </w:tc>
        <w:tc>
          <w:tcPr>
            <w:tcW w:w="168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Communication d’octobre 2016</w:t>
            </w:r>
          </w:p>
        </w:tc>
        <w:tc>
          <w:tcPr>
            <w:tcW w:w="1320" w:type="dxa"/>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Chiffres réels 2016</w:t>
            </w:r>
          </w:p>
        </w:tc>
        <w:tc>
          <w:tcPr>
            <w:tcW w:w="16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Communication d’octobre 2016</w:t>
            </w:r>
          </w:p>
        </w:tc>
        <w:tc>
          <w:tcPr>
            <w:tcW w:w="1600" w:type="dxa"/>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Communication de juin 2017</w:t>
            </w:r>
          </w:p>
        </w:tc>
        <w:tc>
          <w:tcPr>
            <w:tcW w:w="160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Communication d’octobre 2016</w:t>
            </w:r>
          </w:p>
        </w:tc>
        <w:tc>
          <w:tcPr>
            <w:tcW w:w="1600" w:type="dxa"/>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Communication de juin 2017</w:t>
            </w:r>
          </w:p>
        </w:tc>
      </w:tr>
      <w:tr>
        <w:trPr>
          <w:trHeight w:val="255"/>
        </w:trPr>
        <w:tc>
          <w:tcPr>
            <w:tcW w:w="2880" w:type="dxa"/>
            <w:tcBorders>
              <w:top w:val="single" w:sz="4" w:space="0" w:color="auto"/>
              <w:left w:val="single" w:sz="4" w:space="0" w:color="auto"/>
              <w:bottom w:val="nil"/>
              <w:right w:val="nil"/>
            </w:tcBorders>
            <w:shd w:val="clear" w:color="auto" w:fill="auto"/>
            <w:noWrap/>
            <w:vAlign w:val="center"/>
            <w:hideMark/>
          </w:tcPr>
          <w:p>
            <w:pPr>
              <w:spacing w:after="0" w:line="240" w:lineRule="auto"/>
              <w:ind w:firstLineChars="100" w:firstLine="200"/>
              <w:rPr>
                <w:rFonts w:ascii="Times New Roman" w:eastAsia="Times New Roman" w:hAnsi="Times New Roman" w:cs="Times New Roman"/>
                <w:noProof/>
                <w:sz w:val="20"/>
                <w:szCs w:val="20"/>
              </w:rPr>
            </w:pPr>
            <w:r>
              <w:rPr>
                <w:rFonts w:ascii="Times New Roman" w:hAnsi="Times New Roman"/>
                <w:noProof/>
                <w:sz w:val="20"/>
              </w:rPr>
              <w:t>Régions</w:t>
            </w:r>
          </w:p>
        </w:tc>
        <w:tc>
          <w:tcPr>
            <w:tcW w:w="16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32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680"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trPr>
          <w:trHeight w:val="255"/>
        </w:trPr>
        <w:tc>
          <w:tcPr>
            <w:tcW w:w="288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Afrique de l’Est</w:t>
            </w:r>
          </w:p>
        </w:tc>
        <w:tc>
          <w:tcPr>
            <w:tcW w:w="168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618</w:t>
            </w:r>
          </w:p>
        </w:tc>
        <w:tc>
          <w:tcPr>
            <w:tcW w:w="132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605 </w:t>
            </w:r>
          </w:p>
        </w:tc>
        <w:tc>
          <w:tcPr>
            <w:tcW w:w="168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500 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color w:val="FF0000"/>
                <w:sz w:val="20"/>
                <w:szCs w:val="20"/>
              </w:rPr>
            </w:pPr>
            <w:r>
              <w:rPr>
                <w:rFonts w:ascii="Times New Roman" w:hAnsi="Times New Roman"/>
                <w:noProof/>
                <w:color w:val="FF0000"/>
                <w:sz w:val="20"/>
              </w:rPr>
              <w:t> </w:t>
            </w:r>
          </w:p>
        </w:tc>
      </w:tr>
      <w:tr>
        <w:trPr>
          <w:trHeight w:val="255"/>
        </w:trPr>
        <w:tc>
          <w:tcPr>
            <w:tcW w:w="288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Afrique de l’Ouest</w:t>
            </w:r>
          </w:p>
        </w:tc>
        <w:tc>
          <w:tcPr>
            <w:tcW w:w="168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918</w:t>
            </w:r>
          </w:p>
        </w:tc>
        <w:tc>
          <w:tcPr>
            <w:tcW w:w="132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911 </w:t>
            </w:r>
          </w:p>
        </w:tc>
        <w:tc>
          <w:tcPr>
            <w:tcW w:w="168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1 501 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color w:val="FF0000"/>
                <w:sz w:val="20"/>
                <w:szCs w:val="20"/>
              </w:rPr>
            </w:pPr>
            <w:r>
              <w:rPr>
                <w:rFonts w:ascii="Times New Roman" w:hAnsi="Times New Roman"/>
                <w:noProof/>
                <w:color w:val="FF0000"/>
                <w:sz w:val="20"/>
              </w:rPr>
              <w:t> </w:t>
            </w:r>
          </w:p>
        </w:tc>
      </w:tr>
      <w:tr>
        <w:trPr>
          <w:trHeight w:val="255"/>
        </w:trPr>
        <w:tc>
          <w:tcPr>
            <w:tcW w:w="288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Afrique centrale</w:t>
            </w:r>
          </w:p>
        </w:tc>
        <w:tc>
          <w:tcPr>
            <w:tcW w:w="168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513</w:t>
            </w:r>
          </w:p>
        </w:tc>
        <w:tc>
          <w:tcPr>
            <w:tcW w:w="132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477 </w:t>
            </w:r>
          </w:p>
        </w:tc>
        <w:tc>
          <w:tcPr>
            <w:tcW w:w="168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674 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color w:val="FF0000"/>
                <w:sz w:val="20"/>
                <w:szCs w:val="20"/>
              </w:rPr>
            </w:pPr>
            <w:r>
              <w:rPr>
                <w:rFonts w:ascii="Times New Roman" w:hAnsi="Times New Roman"/>
                <w:noProof/>
                <w:color w:val="FF0000"/>
                <w:sz w:val="20"/>
              </w:rPr>
              <w:t> </w:t>
            </w:r>
          </w:p>
        </w:tc>
      </w:tr>
      <w:tr>
        <w:trPr>
          <w:trHeight w:val="255"/>
        </w:trPr>
        <w:tc>
          <w:tcPr>
            <w:tcW w:w="288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Caraïbes</w:t>
            </w:r>
          </w:p>
        </w:tc>
        <w:tc>
          <w:tcPr>
            <w:tcW w:w="168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176</w:t>
            </w:r>
          </w:p>
        </w:tc>
        <w:tc>
          <w:tcPr>
            <w:tcW w:w="132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171 </w:t>
            </w:r>
          </w:p>
        </w:tc>
        <w:tc>
          <w:tcPr>
            <w:tcW w:w="168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199 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color w:val="FF0000"/>
                <w:sz w:val="20"/>
                <w:szCs w:val="20"/>
              </w:rPr>
            </w:pPr>
            <w:r>
              <w:rPr>
                <w:rFonts w:ascii="Times New Roman" w:hAnsi="Times New Roman"/>
                <w:noProof/>
                <w:color w:val="FF0000"/>
                <w:sz w:val="20"/>
              </w:rPr>
              <w:t> </w:t>
            </w:r>
          </w:p>
        </w:tc>
      </w:tr>
      <w:tr>
        <w:trPr>
          <w:trHeight w:val="255"/>
        </w:trPr>
        <w:tc>
          <w:tcPr>
            <w:tcW w:w="288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Pacifique</w:t>
            </w:r>
          </w:p>
        </w:tc>
        <w:tc>
          <w:tcPr>
            <w:tcW w:w="168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63</w:t>
            </w:r>
          </w:p>
        </w:tc>
        <w:tc>
          <w:tcPr>
            <w:tcW w:w="132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66 </w:t>
            </w:r>
          </w:p>
        </w:tc>
        <w:tc>
          <w:tcPr>
            <w:tcW w:w="168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113 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color w:val="FF0000"/>
                <w:sz w:val="20"/>
                <w:szCs w:val="20"/>
              </w:rPr>
            </w:pPr>
            <w:r>
              <w:rPr>
                <w:rFonts w:ascii="Times New Roman" w:hAnsi="Times New Roman"/>
                <w:noProof/>
                <w:color w:val="FF0000"/>
                <w:sz w:val="20"/>
              </w:rPr>
              <w:t> </w:t>
            </w:r>
          </w:p>
        </w:tc>
      </w:tr>
      <w:tr>
        <w:trPr>
          <w:trHeight w:val="255"/>
        </w:trPr>
        <w:tc>
          <w:tcPr>
            <w:tcW w:w="288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Afrique australe</w:t>
            </w:r>
          </w:p>
        </w:tc>
        <w:tc>
          <w:tcPr>
            <w:tcW w:w="168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442</w:t>
            </w:r>
          </w:p>
        </w:tc>
        <w:tc>
          <w:tcPr>
            <w:tcW w:w="132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437 </w:t>
            </w:r>
          </w:p>
        </w:tc>
        <w:tc>
          <w:tcPr>
            <w:tcW w:w="168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334 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color w:val="FF0000"/>
                <w:sz w:val="20"/>
                <w:szCs w:val="20"/>
              </w:rPr>
            </w:pPr>
            <w:r>
              <w:rPr>
                <w:rFonts w:ascii="Times New Roman" w:hAnsi="Times New Roman"/>
                <w:noProof/>
                <w:color w:val="FF0000"/>
                <w:sz w:val="20"/>
              </w:rPr>
              <w:t> </w:t>
            </w:r>
          </w:p>
        </w:tc>
      </w:tr>
      <w:tr>
        <w:trPr>
          <w:trHeight w:val="255"/>
        </w:trPr>
        <w:tc>
          <w:tcPr>
            <w:tcW w:w="288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2"/>
              <w:rPr>
                <w:rFonts w:ascii="Times New Roman" w:eastAsia="Times New Roman" w:hAnsi="Times New Roman" w:cs="Times New Roman"/>
                <w:b/>
                <w:bCs/>
                <w:noProof/>
                <w:sz w:val="20"/>
                <w:szCs w:val="20"/>
              </w:rPr>
            </w:pPr>
            <w:r>
              <w:rPr>
                <w:rFonts w:ascii="Times New Roman" w:hAnsi="Times New Roman"/>
                <w:b/>
                <w:noProof/>
                <w:sz w:val="20"/>
              </w:rPr>
              <w:t>Sous-total</w:t>
            </w:r>
          </w:p>
        </w:tc>
        <w:tc>
          <w:tcPr>
            <w:tcW w:w="168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2 730</w:t>
            </w:r>
          </w:p>
        </w:tc>
        <w:tc>
          <w:tcPr>
            <w:tcW w:w="132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2 666</w:t>
            </w:r>
          </w:p>
        </w:tc>
        <w:tc>
          <w:tcPr>
            <w:tcW w:w="168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3 322</w:t>
            </w:r>
            <w:r>
              <w:rPr>
                <w:rFonts w:ascii="Times New Roman" w:hAnsi="Times New Roman"/>
                <w:noProof/>
                <w:sz w:val="20"/>
              </w:rPr>
              <w:t>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 </w:t>
            </w:r>
          </w:p>
        </w:tc>
      </w:tr>
      <w:tr>
        <w:trPr>
          <w:trHeight w:val="255"/>
        </w:trPr>
        <w:tc>
          <w:tcPr>
            <w:tcW w:w="2880" w:type="dxa"/>
            <w:tcBorders>
              <w:top w:val="nil"/>
              <w:left w:val="single" w:sz="4" w:space="0" w:color="auto"/>
              <w:bottom w:val="nil"/>
              <w:right w:val="nil"/>
            </w:tcBorders>
            <w:shd w:val="clear" w:color="auto" w:fill="auto"/>
            <w:noWrap/>
            <w:vAlign w:val="center"/>
            <w:hideMark/>
          </w:tcPr>
          <w:p>
            <w:pPr>
              <w:spacing w:after="0" w:line="240" w:lineRule="auto"/>
              <w:ind w:firstLineChars="100" w:firstLine="200"/>
              <w:rPr>
                <w:rFonts w:ascii="Times New Roman" w:eastAsia="Times New Roman" w:hAnsi="Times New Roman" w:cs="Times New Roman"/>
                <w:noProof/>
                <w:sz w:val="20"/>
                <w:szCs w:val="20"/>
              </w:rPr>
            </w:pPr>
            <w:r>
              <w:rPr>
                <w:rFonts w:ascii="Times New Roman" w:hAnsi="Times New Roman"/>
                <w:noProof/>
                <w:sz w:val="20"/>
              </w:rPr>
              <w:t xml:space="preserve">Autres </w:t>
            </w:r>
          </w:p>
        </w:tc>
        <w:tc>
          <w:tcPr>
            <w:tcW w:w="168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32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68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r>
      <w:tr>
        <w:trPr>
          <w:trHeight w:val="255"/>
        </w:trPr>
        <w:tc>
          <w:tcPr>
            <w:tcW w:w="288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Facilité de soutien à la paix, droits de l’homme</w:t>
            </w:r>
          </w:p>
        </w:tc>
        <w:tc>
          <w:tcPr>
            <w:tcW w:w="168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436</w:t>
            </w:r>
          </w:p>
        </w:tc>
        <w:tc>
          <w:tcPr>
            <w:tcW w:w="132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211 </w:t>
            </w:r>
          </w:p>
        </w:tc>
        <w:tc>
          <w:tcPr>
            <w:tcW w:w="168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151 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color w:val="FF0000"/>
                <w:sz w:val="20"/>
                <w:szCs w:val="20"/>
              </w:rPr>
            </w:pPr>
            <w:r>
              <w:rPr>
                <w:rFonts w:ascii="Times New Roman" w:hAnsi="Times New Roman"/>
                <w:noProof/>
                <w:color w:val="FF0000"/>
                <w:sz w:val="20"/>
              </w:rPr>
              <w:t> </w:t>
            </w:r>
          </w:p>
        </w:tc>
      </w:tr>
      <w:tr>
        <w:trPr>
          <w:trHeight w:val="255"/>
        </w:trPr>
        <w:tc>
          <w:tcPr>
            <w:tcW w:w="2880" w:type="dxa"/>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Facilité pour l'eau et l'énergie</w:t>
            </w:r>
          </w:p>
        </w:tc>
        <w:tc>
          <w:tcPr>
            <w:tcW w:w="168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95</w:t>
            </w:r>
          </w:p>
        </w:tc>
        <w:tc>
          <w:tcPr>
            <w:tcW w:w="132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92 </w:t>
            </w:r>
          </w:p>
        </w:tc>
        <w:tc>
          <w:tcPr>
            <w:tcW w:w="168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105 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color w:val="FF0000"/>
                <w:sz w:val="20"/>
                <w:szCs w:val="20"/>
              </w:rPr>
            </w:pPr>
            <w:r>
              <w:rPr>
                <w:rFonts w:ascii="Times New Roman" w:hAnsi="Times New Roman"/>
                <w:noProof/>
                <w:color w:val="FF0000"/>
                <w:sz w:val="20"/>
              </w:rPr>
              <w:t> </w:t>
            </w:r>
          </w:p>
        </w:tc>
      </w:tr>
      <w:tr>
        <w:trPr>
          <w:trHeight w:val="255"/>
        </w:trPr>
        <w:tc>
          <w:tcPr>
            <w:tcW w:w="2880" w:type="dxa"/>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Fonds fiduciaire (*)</w:t>
            </w:r>
          </w:p>
        </w:tc>
        <w:tc>
          <w:tcPr>
            <w:tcW w:w="168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290</w:t>
            </w:r>
          </w:p>
        </w:tc>
        <w:tc>
          <w:tcPr>
            <w:tcW w:w="132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98 </w:t>
            </w:r>
          </w:p>
        </w:tc>
        <w:tc>
          <w:tcPr>
            <w:tcW w:w="168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298 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color w:val="FF0000"/>
                <w:sz w:val="20"/>
                <w:szCs w:val="20"/>
              </w:rPr>
            </w:pPr>
            <w:r>
              <w:rPr>
                <w:rFonts w:ascii="Times New Roman" w:hAnsi="Times New Roman"/>
                <w:noProof/>
                <w:color w:val="FF0000"/>
                <w:sz w:val="20"/>
              </w:rPr>
              <w:t> </w:t>
            </w:r>
          </w:p>
        </w:tc>
      </w:tr>
      <w:tr>
        <w:trPr>
          <w:trHeight w:val="255"/>
        </w:trPr>
        <w:tc>
          <w:tcPr>
            <w:tcW w:w="2880" w:type="dxa"/>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Autres (**)</w:t>
            </w:r>
          </w:p>
        </w:tc>
        <w:tc>
          <w:tcPr>
            <w:tcW w:w="168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201</w:t>
            </w:r>
          </w:p>
        </w:tc>
        <w:tc>
          <w:tcPr>
            <w:tcW w:w="132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348 </w:t>
            </w:r>
          </w:p>
        </w:tc>
        <w:tc>
          <w:tcPr>
            <w:tcW w:w="168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188 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color w:val="FF0000"/>
                <w:sz w:val="20"/>
                <w:szCs w:val="20"/>
              </w:rPr>
            </w:pPr>
            <w:r>
              <w:rPr>
                <w:rFonts w:ascii="Times New Roman" w:hAnsi="Times New Roman"/>
                <w:noProof/>
                <w:color w:val="FF0000"/>
                <w:sz w:val="20"/>
              </w:rPr>
              <w:t> </w:t>
            </w:r>
          </w:p>
        </w:tc>
      </w:tr>
      <w:tr>
        <w:trPr>
          <w:trHeight w:val="255"/>
        </w:trPr>
        <w:tc>
          <w:tcPr>
            <w:tcW w:w="288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2"/>
              <w:rPr>
                <w:rFonts w:ascii="Times New Roman" w:eastAsia="Times New Roman" w:hAnsi="Times New Roman" w:cs="Times New Roman"/>
                <w:b/>
                <w:bCs/>
                <w:noProof/>
                <w:sz w:val="20"/>
                <w:szCs w:val="20"/>
              </w:rPr>
            </w:pPr>
            <w:r>
              <w:rPr>
                <w:rFonts w:ascii="Times New Roman" w:hAnsi="Times New Roman"/>
                <w:b/>
                <w:noProof/>
                <w:sz w:val="20"/>
              </w:rPr>
              <w:t>Sous-total</w:t>
            </w:r>
          </w:p>
        </w:tc>
        <w:tc>
          <w:tcPr>
            <w:tcW w:w="1680" w:type="dxa"/>
            <w:tcBorders>
              <w:top w:val="nil"/>
              <w:left w:val="single" w:sz="4" w:space="0" w:color="auto"/>
              <w:bottom w:val="dotted"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1 022</w:t>
            </w:r>
          </w:p>
        </w:tc>
        <w:tc>
          <w:tcPr>
            <w:tcW w:w="132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749</w:t>
            </w:r>
          </w:p>
        </w:tc>
        <w:tc>
          <w:tcPr>
            <w:tcW w:w="1680" w:type="dxa"/>
            <w:tcBorders>
              <w:top w:val="nil"/>
              <w:left w:val="nil"/>
              <w:bottom w:val="dotted"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 </w:t>
            </w:r>
          </w:p>
        </w:tc>
        <w:tc>
          <w:tcPr>
            <w:tcW w:w="160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742</w:t>
            </w:r>
            <w:r>
              <w:rPr>
                <w:rFonts w:ascii="Times New Roman" w:hAnsi="Times New Roman"/>
                <w:noProof/>
                <w:sz w:val="20"/>
              </w:rPr>
              <w:t> </w:t>
            </w:r>
          </w:p>
        </w:tc>
        <w:tc>
          <w:tcPr>
            <w:tcW w:w="1600" w:type="dxa"/>
            <w:tcBorders>
              <w:top w:val="nil"/>
              <w:left w:val="nil"/>
              <w:bottom w:val="dotted"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 </w:t>
            </w:r>
          </w:p>
        </w:tc>
        <w:tc>
          <w:tcPr>
            <w:tcW w:w="160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 </w:t>
            </w:r>
          </w:p>
        </w:tc>
      </w:tr>
      <w:tr>
        <w:trPr>
          <w:trHeight w:val="255"/>
        </w:trPr>
        <w:tc>
          <w:tcPr>
            <w:tcW w:w="2880" w:type="dxa"/>
            <w:tcBorders>
              <w:top w:val="nil"/>
              <w:left w:val="single" w:sz="4"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noProof/>
                <w:sz w:val="20"/>
              </w:rPr>
              <w:t>Total Commission européenne</w:t>
            </w:r>
          </w:p>
        </w:tc>
        <w:tc>
          <w:tcPr>
            <w:tcW w:w="168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3 752</w:t>
            </w:r>
          </w:p>
        </w:tc>
        <w:tc>
          <w:tcPr>
            <w:tcW w:w="132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3 416</w:t>
            </w:r>
          </w:p>
        </w:tc>
        <w:tc>
          <w:tcPr>
            <w:tcW w:w="16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3 900</w:t>
            </w:r>
          </w:p>
        </w:tc>
        <w:tc>
          <w:tcPr>
            <w:tcW w:w="16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4 064</w:t>
            </w:r>
          </w:p>
        </w:tc>
        <w:tc>
          <w:tcPr>
            <w:tcW w:w="16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4 400</w:t>
            </w:r>
          </w:p>
        </w:tc>
        <w:tc>
          <w:tcPr>
            <w:tcW w:w="16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4 600</w:t>
            </w:r>
          </w:p>
        </w:tc>
      </w:tr>
      <w:tr>
        <w:trPr>
          <w:trHeight w:val="255"/>
        </w:trPr>
        <w:tc>
          <w:tcPr>
            <w:tcW w:w="2880" w:type="dxa"/>
            <w:tcBorders>
              <w:top w:val="nil"/>
              <w:left w:val="single" w:sz="4" w:space="0" w:color="auto"/>
              <w:bottom w:val="nil"/>
              <w:right w:val="nil"/>
            </w:tcBorders>
            <w:shd w:val="clear" w:color="auto" w:fill="auto"/>
            <w:noWrap/>
            <w:vAlign w:val="bottom"/>
            <w:hideMark/>
          </w:tcPr>
          <w:p>
            <w:pPr>
              <w:spacing w:after="0" w:line="240" w:lineRule="auto"/>
              <w:ind w:firstLineChars="100" w:firstLine="200"/>
              <w:rPr>
                <w:rFonts w:ascii="Times New Roman" w:eastAsia="Times New Roman" w:hAnsi="Times New Roman" w:cs="Times New Roman"/>
                <w:noProof/>
                <w:sz w:val="20"/>
                <w:szCs w:val="20"/>
              </w:rPr>
            </w:pPr>
            <w:r>
              <w:rPr>
                <w:rFonts w:ascii="Times New Roman" w:hAnsi="Times New Roman"/>
                <w:noProof/>
                <w:sz w:val="20"/>
              </w:rPr>
              <w:t>Facilité d’investissement</w:t>
            </w:r>
          </w:p>
        </w:tc>
        <w:tc>
          <w:tcPr>
            <w:tcW w:w="16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430</w:t>
            </w:r>
          </w:p>
        </w:tc>
        <w:tc>
          <w:tcPr>
            <w:tcW w:w="132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662</w:t>
            </w:r>
          </w:p>
        </w:tc>
        <w:tc>
          <w:tcPr>
            <w:tcW w:w="168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430</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500</w:t>
            </w:r>
          </w:p>
        </w:tc>
        <w:tc>
          <w:tcPr>
            <w:tcW w:w="16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450</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525</w:t>
            </w:r>
          </w:p>
        </w:tc>
      </w:tr>
      <w:tr>
        <w:trPr>
          <w:trHeight w:val="255"/>
        </w:trPr>
        <w:tc>
          <w:tcPr>
            <w:tcW w:w="2880" w:type="dxa"/>
            <w:tcBorders>
              <w:top w:val="nil"/>
              <w:left w:val="single" w:sz="4" w:space="0" w:color="auto"/>
              <w:bottom w:val="nil"/>
              <w:right w:val="nil"/>
            </w:tcBorders>
            <w:shd w:val="clear" w:color="auto" w:fill="auto"/>
            <w:noWrap/>
            <w:vAlign w:val="bottom"/>
            <w:hideMark/>
          </w:tcPr>
          <w:p>
            <w:pPr>
              <w:spacing w:after="0" w:line="240" w:lineRule="auto"/>
              <w:ind w:firstLineChars="100" w:firstLine="200"/>
              <w:rPr>
                <w:rFonts w:ascii="Times New Roman" w:eastAsia="Times New Roman" w:hAnsi="Times New Roman" w:cs="Times New Roman"/>
                <w:noProof/>
                <w:sz w:val="20"/>
                <w:szCs w:val="20"/>
              </w:rPr>
            </w:pPr>
            <w:r>
              <w:rPr>
                <w:rFonts w:ascii="Times New Roman" w:hAnsi="Times New Roman"/>
                <w:noProof/>
                <w:sz w:val="20"/>
              </w:rPr>
              <w:t>Bonifications d’intérêts (***)</w:t>
            </w:r>
          </w:p>
        </w:tc>
        <w:tc>
          <w:tcPr>
            <w:tcW w:w="1680" w:type="dxa"/>
            <w:tcBorders>
              <w:top w:val="nil"/>
              <w:left w:val="single" w:sz="4" w:space="0" w:color="auto"/>
              <w:bottom w:val="dotted"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20</w:t>
            </w:r>
          </w:p>
        </w:tc>
        <w:tc>
          <w:tcPr>
            <w:tcW w:w="132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17</w:t>
            </w:r>
          </w:p>
        </w:tc>
        <w:tc>
          <w:tcPr>
            <w:tcW w:w="1680" w:type="dxa"/>
            <w:tcBorders>
              <w:top w:val="nil"/>
              <w:left w:val="nil"/>
              <w:bottom w:val="dotted"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40</w:t>
            </w:r>
          </w:p>
        </w:tc>
        <w:tc>
          <w:tcPr>
            <w:tcW w:w="160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40</w:t>
            </w:r>
          </w:p>
        </w:tc>
        <w:tc>
          <w:tcPr>
            <w:tcW w:w="1600" w:type="dxa"/>
            <w:tcBorders>
              <w:top w:val="nil"/>
              <w:left w:val="nil"/>
              <w:bottom w:val="dotted"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50</w:t>
            </w:r>
          </w:p>
        </w:tc>
        <w:tc>
          <w:tcPr>
            <w:tcW w:w="160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40</w:t>
            </w:r>
          </w:p>
        </w:tc>
      </w:tr>
      <w:tr>
        <w:trPr>
          <w:trHeight w:val="255"/>
        </w:trPr>
        <w:tc>
          <w:tcPr>
            <w:tcW w:w="2880" w:type="dxa"/>
            <w:tcBorders>
              <w:top w:val="nil"/>
              <w:left w:val="single" w:sz="4"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noProof/>
                <w:sz w:val="20"/>
              </w:rPr>
              <w:t>Total BEI</w:t>
            </w:r>
          </w:p>
        </w:tc>
        <w:tc>
          <w:tcPr>
            <w:tcW w:w="168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450</w:t>
            </w:r>
          </w:p>
        </w:tc>
        <w:tc>
          <w:tcPr>
            <w:tcW w:w="132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679</w:t>
            </w:r>
          </w:p>
        </w:tc>
        <w:tc>
          <w:tcPr>
            <w:tcW w:w="16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470</w:t>
            </w:r>
          </w:p>
        </w:tc>
        <w:tc>
          <w:tcPr>
            <w:tcW w:w="16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540</w:t>
            </w:r>
          </w:p>
        </w:tc>
        <w:tc>
          <w:tcPr>
            <w:tcW w:w="16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500</w:t>
            </w:r>
          </w:p>
        </w:tc>
        <w:tc>
          <w:tcPr>
            <w:tcW w:w="16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565</w:t>
            </w:r>
          </w:p>
        </w:tc>
      </w:tr>
      <w:tr>
        <w:trPr>
          <w:trHeight w:val="510"/>
        </w:trPr>
        <w:tc>
          <w:tcPr>
            <w:tcW w:w="2880" w:type="dxa"/>
            <w:tcBorders>
              <w:top w:val="nil"/>
              <w:left w:val="single" w:sz="4" w:space="0" w:color="auto"/>
              <w:bottom w:val="single"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noProof/>
                <w:sz w:val="20"/>
              </w:rPr>
              <w:t>TOTAL Commission européenne + BEI</w:t>
            </w:r>
          </w:p>
        </w:tc>
        <w:tc>
          <w:tcPr>
            <w:tcW w:w="168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4 202</w:t>
            </w:r>
          </w:p>
        </w:tc>
        <w:tc>
          <w:tcPr>
            <w:tcW w:w="132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4 095</w:t>
            </w:r>
          </w:p>
        </w:tc>
        <w:tc>
          <w:tcPr>
            <w:tcW w:w="16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4 370</w:t>
            </w:r>
          </w:p>
        </w:tc>
        <w:tc>
          <w:tcPr>
            <w:tcW w:w="16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4 604</w:t>
            </w:r>
          </w:p>
        </w:tc>
        <w:tc>
          <w:tcPr>
            <w:tcW w:w="16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4 900</w:t>
            </w:r>
          </w:p>
        </w:tc>
        <w:tc>
          <w:tcPr>
            <w:tcW w:w="16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5 165</w:t>
            </w:r>
          </w:p>
        </w:tc>
      </w:tr>
    </w:tbl>
    <w:p>
      <w:pPr>
        <w:spacing w:before="240" w:after="0"/>
        <w:rPr>
          <w:rFonts w:ascii="Times New Roman" w:hAnsi="Times New Roman" w:cs="Times New Roman"/>
          <w:noProof/>
          <w:sz w:val="20"/>
          <w:szCs w:val="20"/>
        </w:rPr>
      </w:pPr>
      <w:r>
        <w:rPr>
          <w:rFonts w:ascii="Times New Roman" w:hAnsi="Times New Roman"/>
          <w:noProof/>
          <w:sz w:val="20"/>
        </w:rPr>
        <w:t>* Fonds fiduciaire d'urgence de l’Union européenne en faveur de la stabilité et de la lutte contre les causes profondes de la migration irrégulière en Afrique et Fonds fiduciaire Bêkou de l'UE.</w:t>
      </w:r>
      <w:r>
        <w:rPr>
          <w:rFonts w:ascii="Times New Roman" w:hAnsi="Times New Roman" w:cs="Times New Roman"/>
          <w:noProof/>
          <w:sz w:val="20"/>
          <w:szCs w:val="20"/>
        </w:rPr>
        <w:br/>
      </w:r>
      <w:r>
        <w:rPr>
          <w:rFonts w:ascii="Times New Roman" w:hAnsi="Times New Roman"/>
          <w:noProof/>
          <w:sz w:val="20"/>
        </w:rPr>
        <w:t>** Couvre les dépenses d’appui (par ex. institutions conjointes, secrétariat ACP), DG ECHO, autres DG et agences.</w:t>
      </w:r>
      <w:r>
        <w:rPr>
          <w:rFonts w:ascii="Times New Roman" w:hAnsi="Times New Roman" w:cs="Times New Roman"/>
          <w:noProof/>
          <w:sz w:val="20"/>
          <w:szCs w:val="20"/>
        </w:rPr>
        <w:br/>
      </w:r>
      <w:r>
        <w:rPr>
          <w:rFonts w:ascii="Times New Roman" w:hAnsi="Times New Roman"/>
          <w:noProof/>
          <w:sz w:val="20"/>
        </w:rPr>
        <w:t>*** Y compris les bonifications d’intérêts au titre des FED antérieurs.</w:t>
      </w:r>
    </w:p>
    <w:p>
      <w:pPr>
        <w:rPr>
          <w:noProof/>
        </w:rPr>
      </w:pPr>
      <w:r>
        <w:rPr>
          <w:noProof/>
        </w:rPr>
        <w:br w:type="page"/>
      </w:r>
    </w:p>
    <w:p>
      <w:pPr>
        <w:pStyle w:val="Heading2"/>
        <w:numPr>
          <w:ilvl w:val="1"/>
          <w:numId w:val="1"/>
        </w:numPr>
        <w:rPr>
          <w:noProof/>
        </w:rPr>
      </w:pPr>
      <w:r>
        <w:rPr>
          <w:noProof/>
        </w:rPr>
        <w:t>Annexe 3: situation financière 2016, prévisions pour 2017 et 2018 (en Mio EUR) et prévisions non contraignantes pour 2019-2020:</w:t>
      </w:r>
    </w:p>
    <w:tbl>
      <w:tblPr>
        <w:tblW w:w="12360" w:type="dxa"/>
        <w:tblInd w:w="108" w:type="dxa"/>
        <w:tblLayout w:type="fixed"/>
        <w:tblLook w:val="04A0" w:firstRow="1" w:lastRow="0" w:firstColumn="1" w:lastColumn="0" w:noHBand="0" w:noVBand="1"/>
      </w:tblPr>
      <w:tblGrid>
        <w:gridCol w:w="661"/>
        <w:gridCol w:w="4379"/>
        <w:gridCol w:w="1440"/>
        <w:gridCol w:w="1080"/>
        <w:gridCol w:w="1080"/>
        <w:gridCol w:w="1440"/>
        <w:gridCol w:w="1200"/>
        <w:gridCol w:w="1080"/>
      </w:tblGrid>
      <w:tr>
        <w:trPr>
          <w:trHeight w:val="222"/>
        </w:trPr>
        <w:tc>
          <w:tcPr>
            <w:tcW w:w="661"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p>
        </w:tc>
        <w:tc>
          <w:tcPr>
            <w:tcW w:w="4379"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p>
        </w:tc>
        <w:tc>
          <w:tcPr>
            <w:tcW w:w="36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pPr>
              <w:spacing w:after="0" w:line="240" w:lineRule="auto"/>
              <w:jc w:val="center"/>
              <w:rPr>
                <w:rFonts w:ascii="Arial" w:eastAsia="Times New Roman" w:hAnsi="Arial" w:cs="Arial"/>
                <w:b/>
                <w:bCs/>
                <w:noProof/>
                <w:sz w:val="20"/>
                <w:szCs w:val="20"/>
              </w:rPr>
            </w:pPr>
            <w:r>
              <w:rPr>
                <w:rFonts w:ascii="Arial" w:hAnsi="Arial"/>
                <w:b/>
                <w:noProof/>
                <w:sz w:val="20"/>
              </w:rPr>
              <w:t xml:space="preserve">Communication d’octobre 2016 </w:t>
            </w:r>
            <w:r>
              <w:rPr>
                <w:rFonts w:ascii="Arial" w:hAnsi="Arial"/>
                <w:b/>
                <w:noProof/>
                <w:sz w:val="20"/>
                <w:vertAlign w:val="superscript"/>
              </w:rPr>
              <w:t>1</w:t>
            </w:r>
          </w:p>
        </w:tc>
        <w:tc>
          <w:tcPr>
            <w:tcW w:w="3720" w:type="dxa"/>
            <w:gridSpan w:val="3"/>
            <w:tcBorders>
              <w:top w:val="single" w:sz="4" w:space="0" w:color="auto"/>
              <w:left w:val="nil"/>
              <w:bottom w:val="single" w:sz="4" w:space="0" w:color="auto"/>
              <w:right w:val="single" w:sz="4" w:space="0" w:color="000000"/>
            </w:tcBorders>
            <w:shd w:val="clear" w:color="auto" w:fill="auto"/>
            <w:vAlign w:val="center"/>
            <w:hideMark/>
          </w:tcPr>
          <w:p>
            <w:pPr>
              <w:spacing w:after="0" w:line="240" w:lineRule="auto"/>
              <w:jc w:val="center"/>
              <w:rPr>
                <w:rFonts w:ascii="Arial" w:eastAsia="Times New Roman" w:hAnsi="Arial" w:cs="Arial"/>
                <w:b/>
                <w:bCs/>
                <w:noProof/>
                <w:sz w:val="20"/>
                <w:szCs w:val="20"/>
              </w:rPr>
            </w:pPr>
            <w:r>
              <w:rPr>
                <w:rFonts w:ascii="Arial" w:hAnsi="Arial"/>
                <w:b/>
                <w:noProof/>
                <w:sz w:val="20"/>
              </w:rPr>
              <w:t xml:space="preserve">Communication de juin 2017 </w:t>
            </w:r>
            <w:r>
              <w:rPr>
                <w:rFonts w:ascii="Arial" w:hAnsi="Arial"/>
                <w:b/>
                <w:noProof/>
                <w:sz w:val="20"/>
                <w:vertAlign w:val="superscript"/>
              </w:rPr>
              <w:t>1</w:t>
            </w:r>
          </w:p>
        </w:tc>
      </w:tr>
      <w:tr>
        <w:trPr>
          <w:trHeight w:val="222"/>
        </w:trPr>
        <w:tc>
          <w:tcPr>
            <w:tcW w:w="661"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p>
        </w:tc>
        <w:tc>
          <w:tcPr>
            <w:tcW w:w="4379" w:type="dxa"/>
            <w:tcBorders>
              <w:top w:val="nil"/>
              <w:left w:val="nil"/>
              <w:bottom w:val="nil"/>
              <w:right w:val="nil"/>
            </w:tcBorders>
            <w:shd w:val="clear" w:color="auto" w:fill="auto"/>
            <w:noWrap/>
            <w:vAlign w:val="center"/>
            <w:hideMark/>
          </w:tcPr>
          <w:p>
            <w:pPr>
              <w:spacing w:after="0" w:line="240" w:lineRule="auto"/>
              <w:jc w:val="center"/>
              <w:rPr>
                <w:rFonts w:ascii="Arial" w:eastAsia="Times New Roman" w:hAnsi="Arial" w:cs="Arial"/>
                <w:b/>
                <w:bCs/>
                <w:noProof/>
                <w:sz w:val="20"/>
                <w:szCs w:val="20"/>
              </w:rPr>
            </w:pPr>
          </w:p>
        </w:tc>
        <w:tc>
          <w:tcPr>
            <w:tcW w:w="144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
                <w:bCs/>
                <w:noProof/>
                <w:sz w:val="20"/>
                <w:szCs w:val="20"/>
              </w:rPr>
            </w:pPr>
            <w:r>
              <w:rPr>
                <w:rFonts w:ascii="Arial" w:hAnsi="Arial"/>
                <w:b/>
                <w:noProof/>
                <w:sz w:val="20"/>
              </w:rPr>
              <w:t>Commission</w:t>
            </w:r>
          </w:p>
        </w:tc>
        <w:tc>
          <w:tcPr>
            <w:tcW w:w="10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
                <w:bCs/>
                <w:noProof/>
                <w:sz w:val="20"/>
                <w:szCs w:val="20"/>
              </w:rPr>
            </w:pPr>
            <w:r>
              <w:rPr>
                <w:rFonts w:ascii="Arial" w:hAnsi="Arial"/>
                <w:b/>
                <w:noProof/>
                <w:sz w:val="20"/>
              </w:rPr>
              <w:t>BEI</w:t>
            </w:r>
            <w:r>
              <w:rPr>
                <w:rFonts w:ascii="Arial" w:hAnsi="Arial"/>
                <w:b/>
                <w:noProof/>
                <w:sz w:val="20"/>
                <w:vertAlign w:val="superscript"/>
              </w:rPr>
              <w:t xml:space="preserve"> 8</w:t>
            </w:r>
          </w:p>
        </w:tc>
        <w:tc>
          <w:tcPr>
            <w:tcW w:w="1080" w:type="dxa"/>
            <w:tcBorders>
              <w:top w:val="nil"/>
              <w:left w:val="nil"/>
              <w:bottom w:val="nil"/>
              <w:right w:val="single" w:sz="4" w:space="0" w:color="auto"/>
            </w:tcBorders>
            <w:shd w:val="clear" w:color="auto" w:fill="auto"/>
            <w:vAlign w:val="center"/>
            <w:hideMark/>
          </w:tcPr>
          <w:p>
            <w:pPr>
              <w:spacing w:after="0" w:line="240" w:lineRule="auto"/>
              <w:jc w:val="center"/>
              <w:rPr>
                <w:rFonts w:ascii="Arial" w:eastAsia="Times New Roman" w:hAnsi="Arial" w:cs="Arial"/>
                <w:b/>
                <w:bCs/>
                <w:noProof/>
                <w:sz w:val="20"/>
                <w:szCs w:val="20"/>
              </w:rPr>
            </w:pPr>
            <w:r>
              <w:rPr>
                <w:rFonts w:ascii="Arial" w:hAnsi="Arial"/>
                <w:b/>
                <w:noProof/>
                <w:sz w:val="20"/>
              </w:rPr>
              <w:t>TOTAL</w:t>
            </w:r>
          </w:p>
        </w:tc>
        <w:tc>
          <w:tcPr>
            <w:tcW w:w="144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
                <w:bCs/>
                <w:noProof/>
                <w:sz w:val="20"/>
                <w:szCs w:val="20"/>
              </w:rPr>
            </w:pPr>
            <w:r>
              <w:rPr>
                <w:rFonts w:ascii="Arial" w:hAnsi="Arial"/>
                <w:b/>
                <w:noProof/>
                <w:sz w:val="20"/>
              </w:rPr>
              <w:t>Commission</w:t>
            </w:r>
          </w:p>
        </w:tc>
        <w:tc>
          <w:tcPr>
            <w:tcW w:w="120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
                <w:bCs/>
                <w:noProof/>
                <w:sz w:val="20"/>
                <w:szCs w:val="20"/>
              </w:rPr>
            </w:pPr>
            <w:r>
              <w:rPr>
                <w:rFonts w:ascii="Arial" w:hAnsi="Arial"/>
                <w:b/>
                <w:noProof/>
                <w:sz w:val="20"/>
              </w:rPr>
              <w:t>BEI</w:t>
            </w:r>
            <w:r>
              <w:rPr>
                <w:rFonts w:ascii="Arial" w:hAnsi="Arial"/>
                <w:b/>
                <w:noProof/>
                <w:sz w:val="20"/>
                <w:vertAlign w:val="superscript"/>
              </w:rPr>
              <w:t xml:space="preserve"> 8</w:t>
            </w:r>
          </w:p>
        </w:tc>
        <w:tc>
          <w:tcPr>
            <w:tcW w:w="1080" w:type="dxa"/>
            <w:tcBorders>
              <w:top w:val="nil"/>
              <w:left w:val="nil"/>
              <w:bottom w:val="nil"/>
              <w:right w:val="single" w:sz="4" w:space="0" w:color="auto"/>
            </w:tcBorders>
            <w:shd w:val="clear" w:color="auto" w:fill="auto"/>
            <w:vAlign w:val="center"/>
            <w:hideMark/>
          </w:tcPr>
          <w:p>
            <w:pPr>
              <w:spacing w:after="0" w:line="240" w:lineRule="auto"/>
              <w:jc w:val="center"/>
              <w:rPr>
                <w:rFonts w:ascii="Arial" w:eastAsia="Times New Roman" w:hAnsi="Arial" w:cs="Arial"/>
                <w:b/>
                <w:bCs/>
                <w:noProof/>
                <w:sz w:val="20"/>
                <w:szCs w:val="20"/>
              </w:rPr>
            </w:pPr>
            <w:r>
              <w:rPr>
                <w:rFonts w:ascii="Arial" w:hAnsi="Arial"/>
                <w:b/>
                <w:noProof/>
                <w:sz w:val="20"/>
              </w:rPr>
              <w:t>TOTAL</w:t>
            </w:r>
          </w:p>
        </w:tc>
      </w:tr>
      <w:tr>
        <w:trPr>
          <w:trHeight w:val="222"/>
        </w:trPr>
        <w:tc>
          <w:tcPr>
            <w:tcW w:w="661" w:type="dxa"/>
            <w:tcBorders>
              <w:top w:val="nil"/>
              <w:left w:val="nil"/>
              <w:bottom w:val="single" w:sz="4" w:space="0" w:color="auto"/>
              <w:right w:val="single" w:sz="4" w:space="0" w:color="auto"/>
            </w:tcBorders>
            <w:shd w:val="clear" w:color="auto" w:fill="auto"/>
            <w:noWrap/>
            <w:textDirection w:val="btLr"/>
            <w:vAlign w:val="center"/>
            <w:hideMark/>
          </w:tcPr>
          <w:p>
            <w:pPr>
              <w:spacing w:after="0" w:line="240" w:lineRule="auto"/>
              <w:jc w:val="center"/>
              <w:rPr>
                <w:rFonts w:ascii="Arial" w:eastAsia="Times New Roman" w:hAnsi="Arial" w:cs="Arial"/>
                <w:b/>
                <w:bCs/>
                <w:noProof/>
                <w:sz w:val="20"/>
                <w:szCs w:val="20"/>
              </w:rPr>
            </w:pPr>
            <w:r>
              <w:rPr>
                <w:rFonts w:ascii="Arial" w:hAnsi="Arial"/>
                <w:b/>
                <w:noProof/>
                <w:sz w:val="20"/>
              </w:rPr>
              <w:t> </w:t>
            </w:r>
          </w:p>
        </w:tc>
        <w:tc>
          <w:tcPr>
            <w:tcW w:w="4379"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rPr>
                <w:rFonts w:ascii="Arial" w:eastAsia="Times New Roman" w:hAnsi="Arial" w:cs="Arial"/>
                <w:b/>
                <w:bCs/>
                <w:noProof/>
                <w:sz w:val="20"/>
                <w:szCs w:val="20"/>
              </w:rPr>
            </w:pPr>
            <w:r>
              <w:rPr>
                <w:rFonts w:ascii="Arial" w:hAnsi="Arial"/>
                <w:b/>
                <w:noProof/>
                <w:sz w:val="20"/>
              </w:rPr>
              <w:t>Solde au 31.12.2015</w:t>
            </w:r>
            <w:r>
              <w:rPr>
                <w:rFonts w:ascii="Arial" w:hAnsi="Arial"/>
                <w:b/>
                <w:noProof/>
                <w:sz w:val="20"/>
                <w:vertAlign w:val="superscript"/>
              </w:rPr>
              <w:t xml:space="preserve"> 2</w:t>
            </w:r>
          </w:p>
        </w:tc>
        <w:tc>
          <w:tcPr>
            <w:tcW w:w="144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508</w:t>
            </w:r>
          </w:p>
        </w:tc>
        <w:tc>
          <w:tcPr>
            <w:tcW w:w="108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222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730</w:t>
            </w:r>
          </w:p>
        </w:tc>
        <w:tc>
          <w:tcPr>
            <w:tcW w:w="144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508</w:t>
            </w:r>
          </w:p>
        </w:tc>
        <w:tc>
          <w:tcPr>
            <w:tcW w:w="120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222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730</w:t>
            </w:r>
          </w:p>
        </w:tc>
      </w:tr>
      <w:tr>
        <w:trPr>
          <w:trHeight w:val="222"/>
        </w:trPr>
        <w:tc>
          <w:tcPr>
            <w:tcW w:w="661" w:type="dxa"/>
            <w:vMerge w:val="restart"/>
            <w:tcBorders>
              <w:top w:val="nil"/>
              <w:left w:val="single" w:sz="4" w:space="0" w:color="auto"/>
              <w:bottom w:val="single" w:sz="4" w:space="0" w:color="000000"/>
              <w:right w:val="nil"/>
            </w:tcBorders>
            <w:shd w:val="clear" w:color="auto" w:fill="auto"/>
            <w:noWrap/>
            <w:textDirection w:val="btLr"/>
            <w:vAlign w:val="center"/>
            <w:hideMark/>
          </w:tcPr>
          <w:p>
            <w:pPr>
              <w:spacing w:after="0" w:line="240" w:lineRule="auto"/>
              <w:jc w:val="center"/>
              <w:rPr>
                <w:rFonts w:ascii="Arial" w:eastAsia="Times New Roman" w:hAnsi="Arial" w:cs="Arial"/>
                <w:b/>
                <w:bCs/>
                <w:noProof/>
                <w:sz w:val="20"/>
                <w:szCs w:val="20"/>
              </w:rPr>
            </w:pPr>
            <w:r>
              <w:rPr>
                <w:rFonts w:ascii="Arial" w:hAnsi="Arial"/>
                <w:b/>
                <w:noProof/>
                <w:sz w:val="20"/>
              </w:rPr>
              <w:t>2016</w:t>
            </w:r>
          </w:p>
        </w:tc>
        <w:tc>
          <w:tcPr>
            <w:tcW w:w="4379"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color w:val="FF0000"/>
                <w:sz w:val="20"/>
                <w:szCs w:val="20"/>
              </w:rPr>
            </w:pPr>
            <w:r>
              <w:rPr>
                <w:rFonts w:ascii="Arial" w:hAnsi="Arial"/>
                <w:noProof/>
                <w:color w:val="FF0000"/>
                <w:sz w:val="20"/>
              </w:rPr>
              <w:t>Contributions des États membres pour 2016:</w:t>
            </w:r>
          </w:p>
        </w:tc>
        <w:tc>
          <w:tcPr>
            <w:tcW w:w="144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3 450</w:t>
            </w:r>
          </w:p>
        </w:tc>
        <w:tc>
          <w:tcPr>
            <w:tcW w:w="108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150</w:t>
            </w:r>
          </w:p>
        </w:tc>
        <w:tc>
          <w:tcPr>
            <w:tcW w:w="108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3 600</w:t>
            </w:r>
          </w:p>
        </w:tc>
        <w:tc>
          <w:tcPr>
            <w:tcW w:w="144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3 450</w:t>
            </w:r>
          </w:p>
        </w:tc>
        <w:tc>
          <w:tcPr>
            <w:tcW w:w="120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150</w:t>
            </w:r>
          </w:p>
        </w:tc>
        <w:tc>
          <w:tcPr>
            <w:tcW w:w="108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3 600</w:t>
            </w:r>
          </w:p>
        </w:tc>
      </w:tr>
      <w:tr>
        <w:trPr>
          <w:trHeight w:val="222"/>
        </w:trPr>
        <w:tc>
          <w:tcPr>
            <w:tcW w:w="661" w:type="dxa"/>
            <w:vMerge/>
            <w:tcBorders>
              <w:top w:val="nil"/>
              <w:left w:val="single" w:sz="4" w:space="0" w:color="auto"/>
              <w:bottom w:val="single" w:sz="4" w:space="0" w:color="000000"/>
              <w:right w:val="nil"/>
            </w:tcBorders>
            <w:vAlign w:val="center"/>
            <w:hideMark/>
          </w:tcPr>
          <w:p>
            <w:pPr>
              <w:spacing w:after="0" w:line="240" w:lineRule="auto"/>
              <w:rPr>
                <w:rFonts w:ascii="Arial" w:eastAsia="Times New Roman" w:hAnsi="Arial" w:cs="Arial"/>
                <w:b/>
                <w:bCs/>
                <w:noProof/>
                <w:sz w:val="20"/>
                <w:szCs w:val="20"/>
              </w:rPr>
            </w:pPr>
          </w:p>
        </w:tc>
        <w:tc>
          <w:tcPr>
            <w:tcW w:w="4379" w:type="dxa"/>
            <w:tcBorders>
              <w:top w:val="nil"/>
              <w:left w:val="single" w:sz="4" w:space="0" w:color="auto"/>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20"/>
                <w:szCs w:val="20"/>
              </w:rPr>
            </w:pPr>
            <w:r>
              <w:rPr>
                <w:rFonts w:ascii="Arial" w:hAnsi="Arial"/>
                <w:i/>
                <w:noProof/>
                <w:sz w:val="20"/>
              </w:rPr>
              <w:t xml:space="preserve">     1</w:t>
            </w:r>
            <w:r>
              <w:rPr>
                <w:rFonts w:ascii="Arial" w:hAnsi="Arial"/>
                <w:i/>
                <w:noProof/>
                <w:sz w:val="20"/>
                <w:vertAlign w:val="superscript"/>
              </w:rPr>
              <w:t>re</w:t>
            </w:r>
            <w:r>
              <w:rPr>
                <w:rFonts w:ascii="Arial" w:hAnsi="Arial"/>
                <w:i/>
                <w:noProof/>
                <w:sz w:val="20"/>
              </w:rPr>
              <w:t> tranche</w:t>
            </w:r>
          </w:p>
        </w:tc>
        <w:tc>
          <w:tcPr>
            <w:tcW w:w="144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1 750</w:t>
            </w:r>
          </w:p>
        </w:tc>
        <w:tc>
          <w:tcPr>
            <w:tcW w:w="108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0</w:t>
            </w:r>
          </w:p>
        </w:tc>
        <w:tc>
          <w:tcPr>
            <w:tcW w:w="108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1 750</w:t>
            </w:r>
          </w:p>
        </w:tc>
        <w:tc>
          <w:tcPr>
            <w:tcW w:w="144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1 750</w:t>
            </w:r>
          </w:p>
        </w:tc>
        <w:tc>
          <w:tcPr>
            <w:tcW w:w="120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0</w:t>
            </w:r>
          </w:p>
        </w:tc>
        <w:tc>
          <w:tcPr>
            <w:tcW w:w="108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1 750</w:t>
            </w:r>
          </w:p>
        </w:tc>
      </w:tr>
      <w:tr>
        <w:trPr>
          <w:trHeight w:val="222"/>
        </w:trPr>
        <w:tc>
          <w:tcPr>
            <w:tcW w:w="661" w:type="dxa"/>
            <w:vMerge/>
            <w:tcBorders>
              <w:top w:val="nil"/>
              <w:left w:val="single" w:sz="4" w:space="0" w:color="auto"/>
              <w:bottom w:val="single" w:sz="4" w:space="0" w:color="000000"/>
              <w:right w:val="nil"/>
            </w:tcBorders>
            <w:vAlign w:val="center"/>
            <w:hideMark/>
          </w:tcPr>
          <w:p>
            <w:pPr>
              <w:spacing w:after="0" w:line="240" w:lineRule="auto"/>
              <w:rPr>
                <w:rFonts w:ascii="Arial" w:eastAsia="Times New Roman" w:hAnsi="Arial" w:cs="Arial"/>
                <w:b/>
                <w:bCs/>
                <w:noProof/>
                <w:sz w:val="20"/>
                <w:szCs w:val="20"/>
              </w:rPr>
            </w:pPr>
          </w:p>
        </w:tc>
        <w:tc>
          <w:tcPr>
            <w:tcW w:w="4379" w:type="dxa"/>
            <w:tcBorders>
              <w:top w:val="nil"/>
              <w:left w:val="single" w:sz="4" w:space="0" w:color="auto"/>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20"/>
                <w:szCs w:val="20"/>
              </w:rPr>
            </w:pPr>
            <w:r>
              <w:rPr>
                <w:rFonts w:ascii="Arial" w:hAnsi="Arial"/>
                <w:i/>
                <w:noProof/>
                <w:sz w:val="20"/>
              </w:rPr>
              <w:t xml:space="preserve">     2</w:t>
            </w:r>
            <w:r>
              <w:rPr>
                <w:rFonts w:ascii="Arial" w:hAnsi="Arial"/>
                <w:i/>
                <w:noProof/>
                <w:sz w:val="20"/>
                <w:vertAlign w:val="superscript"/>
              </w:rPr>
              <w:t>e</w:t>
            </w:r>
            <w:r>
              <w:rPr>
                <w:rFonts w:ascii="Arial" w:hAnsi="Arial"/>
                <w:i/>
                <w:noProof/>
                <w:sz w:val="20"/>
              </w:rPr>
              <w:t xml:space="preserve"> tranche</w:t>
            </w:r>
          </w:p>
        </w:tc>
        <w:tc>
          <w:tcPr>
            <w:tcW w:w="144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1 000</w:t>
            </w:r>
          </w:p>
        </w:tc>
        <w:tc>
          <w:tcPr>
            <w:tcW w:w="108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100</w:t>
            </w:r>
          </w:p>
        </w:tc>
        <w:tc>
          <w:tcPr>
            <w:tcW w:w="108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1 100</w:t>
            </w:r>
          </w:p>
        </w:tc>
        <w:tc>
          <w:tcPr>
            <w:tcW w:w="144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1 000</w:t>
            </w:r>
          </w:p>
        </w:tc>
        <w:tc>
          <w:tcPr>
            <w:tcW w:w="120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100</w:t>
            </w:r>
          </w:p>
        </w:tc>
        <w:tc>
          <w:tcPr>
            <w:tcW w:w="108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1 100</w:t>
            </w:r>
          </w:p>
        </w:tc>
      </w:tr>
      <w:tr>
        <w:trPr>
          <w:trHeight w:val="222"/>
        </w:trPr>
        <w:tc>
          <w:tcPr>
            <w:tcW w:w="661" w:type="dxa"/>
            <w:vMerge/>
            <w:tcBorders>
              <w:top w:val="nil"/>
              <w:left w:val="single" w:sz="4" w:space="0" w:color="auto"/>
              <w:bottom w:val="single" w:sz="4" w:space="0" w:color="000000"/>
              <w:right w:val="nil"/>
            </w:tcBorders>
            <w:vAlign w:val="center"/>
            <w:hideMark/>
          </w:tcPr>
          <w:p>
            <w:pPr>
              <w:spacing w:after="0" w:line="240" w:lineRule="auto"/>
              <w:rPr>
                <w:rFonts w:ascii="Arial" w:eastAsia="Times New Roman" w:hAnsi="Arial" w:cs="Arial"/>
                <w:b/>
                <w:bCs/>
                <w:noProof/>
                <w:sz w:val="20"/>
                <w:szCs w:val="20"/>
              </w:rPr>
            </w:pPr>
          </w:p>
        </w:tc>
        <w:tc>
          <w:tcPr>
            <w:tcW w:w="4379" w:type="dxa"/>
            <w:tcBorders>
              <w:top w:val="nil"/>
              <w:left w:val="single" w:sz="4" w:space="0" w:color="auto"/>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20"/>
                <w:szCs w:val="20"/>
              </w:rPr>
            </w:pPr>
            <w:r>
              <w:rPr>
                <w:rFonts w:ascii="Arial" w:hAnsi="Arial"/>
                <w:i/>
                <w:noProof/>
                <w:sz w:val="20"/>
              </w:rPr>
              <w:t xml:space="preserve">     3</w:t>
            </w:r>
            <w:r>
              <w:rPr>
                <w:rFonts w:ascii="Arial" w:hAnsi="Arial"/>
                <w:i/>
                <w:noProof/>
                <w:sz w:val="20"/>
                <w:vertAlign w:val="superscript"/>
              </w:rPr>
              <w:t>e</w:t>
            </w:r>
            <w:r>
              <w:rPr>
                <w:rFonts w:ascii="Arial" w:hAnsi="Arial"/>
                <w:i/>
                <w:noProof/>
                <w:sz w:val="20"/>
              </w:rPr>
              <w:t xml:space="preserve"> tranche</w:t>
            </w:r>
          </w:p>
        </w:tc>
        <w:tc>
          <w:tcPr>
            <w:tcW w:w="144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700</w:t>
            </w:r>
          </w:p>
        </w:tc>
        <w:tc>
          <w:tcPr>
            <w:tcW w:w="108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50</w:t>
            </w:r>
          </w:p>
        </w:tc>
        <w:tc>
          <w:tcPr>
            <w:tcW w:w="108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750</w:t>
            </w:r>
          </w:p>
        </w:tc>
        <w:tc>
          <w:tcPr>
            <w:tcW w:w="144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700</w:t>
            </w:r>
          </w:p>
        </w:tc>
        <w:tc>
          <w:tcPr>
            <w:tcW w:w="120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50</w:t>
            </w:r>
          </w:p>
        </w:tc>
        <w:tc>
          <w:tcPr>
            <w:tcW w:w="108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750</w:t>
            </w:r>
          </w:p>
        </w:tc>
      </w:tr>
      <w:tr>
        <w:trPr>
          <w:trHeight w:val="222"/>
        </w:trPr>
        <w:tc>
          <w:tcPr>
            <w:tcW w:w="661" w:type="dxa"/>
            <w:vMerge/>
            <w:tcBorders>
              <w:top w:val="nil"/>
              <w:left w:val="single" w:sz="4" w:space="0" w:color="auto"/>
              <w:bottom w:val="single" w:sz="4" w:space="0" w:color="000000"/>
              <w:right w:val="nil"/>
            </w:tcBorders>
            <w:vAlign w:val="center"/>
            <w:hideMark/>
          </w:tcPr>
          <w:p>
            <w:pPr>
              <w:spacing w:after="0" w:line="240" w:lineRule="auto"/>
              <w:rPr>
                <w:rFonts w:ascii="Arial" w:eastAsia="Times New Roman" w:hAnsi="Arial" w:cs="Arial"/>
                <w:b/>
                <w:bCs/>
                <w:noProof/>
                <w:sz w:val="20"/>
                <w:szCs w:val="20"/>
              </w:rPr>
            </w:pPr>
          </w:p>
        </w:tc>
        <w:tc>
          <w:tcPr>
            <w:tcW w:w="4379" w:type="dxa"/>
            <w:tcBorders>
              <w:top w:val="nil"/>
              <w:left w:val="single" w:sz="4" w:space="0" w:color="auto"/>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rPr>
              <w:t>Remboursements</w:t>
            </w:r>
            <w:r>
              <w:rPr>
                <w:rFonts w:ascii="Arial" w:hAnsi="Arial"/>
                <w:noProof/>
                <w:sz w:val="20"/>
                <w:vertAlign w:val="superscript"/>
              </w:rPr>
              <w:t xml:space="preserve"> 3</w:t>
            </w:r>
          </w:p>
        </w:tc>
        <w:tc>
          <w:tcPr>
            <w:tcW w:w="144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 </w:t>
            </w:r>
          </w:p>
        </w:tc>
        <w:tc>
          <w:tcPr>
            <w:tcW w:w="108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209</w:t>
            </w:r>
          </w:p>
        </w:tc>
        <w:tc>
          <w:tcPr>
            <w:tcW w:w="108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209</w:t>
            </w:r>
          </w:p>
        </w:tc>
        <w:tc>
          <w:tcPr>
            <w:tcW w:w="144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 </w:t>
            </w:r>
          </w:p>
        </w:tc>
        <w:tc>
          <w:tcPr>
            <w:tcW w:w="120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347</w:t>
            </w:r>
          </w:p>
        </w:tc>
        <w:tc>
          <w:tcPr>
            <w:tcW w:w="108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347</w:t>
            </w:r>
          </w:p>
        </w:tc>
      </w:tr>
      <w:tr>
        <w:trPr>
          <w:trHeight w:val="222"/>
        </w:trPr>
        <w:tc>
          <w:tcPr>
            <w:tcW w:w="661" w:type="dxa"/>
            <w:vMerge/>
            <w:tcBorders>
              <w:top w:val="nil"/>
              <w:left w:val="single" w:sz="4" w:space="0" w:color="auto"/>
              <w:bottom w:val="single" w:sz="4" w:space="0" w:color="000000"/>
              <w:right w:val="nil"/>
            </w:tcBorders>
            <w:vAlign w:val="center"/>
            <w:hideMark/>
          </w:tcPr>
          <w:p>
            <w:pPr>
              <w:spacing w:after="0" w:line="240" w:lineRule="auto"/>
              <w:rPr>
                <w:rFonts w:ascii="Arial" w:eastAsia="Times New Roman" w:hAnsi="Arial" w:cs="Arial"/>
                <w:b/>
                <w:bCs/>
                <w:noProof/>
                <w:sz w:val="20"/>
                <w:szCs w:val="20"/>
              </w:rPr>
            </w:pPr>
          </w:p>
        </w:tc>
        <w:tc>
          <w:tcPr>
            <w:tcW w:w="4379" w:type="dxa"/>
            <w:tcBorders>
              <w:top w:val="nil"/>
              <w:left w:val="single" w:sz="4" w:space="0" w:color="auto"/>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rPr>
              <w:t>Contributions 2017 reçues en 2016</w:t>
            </w:r>
          </w:p>
        </w:tc>
        <w:tc>
          <w:tcPr>
            <w:tcW w:w="144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 </w:t>
            </w:r>
          </w:p>
        </w:tc>
        <w:tc>
          <w:tcPr>
            <w:tcW w:w="108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 </w:t>
            </w:r>
          </w:p>
        </w:tc>
        <w:tc>
          <w:tcPr>
            <w:tcW w:w="108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0</w:t>
            </w:r>
          </w:p>
        </w:tc>
        <w:tc>
          <w:tcPr>
            <w:tcW w:w="144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261</w:t>
            </w:r>
          </w:p>
        </w:tc>
        <w:tc>
          <w:tcPr>
            <w:tcW w:w="120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 </w:t>
            </w:r>
          </w:p>
        </w:tc>
        <w:tc>
          <w:tcPr>
            <w:tcW w:w="108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261</w:t>
            </w:r>
          </w:p>
        </w:tc>
      </w:tr>
      <w:tr>
        <w:trPr>
          <w:trHeight w:val="222"/>
        </w:trPr>
        <w:tc>
          <w:tcPr>
            <w:tcW w:w="661" w:type="dxa"/>
            <w:vMerge/>
            <w:tcBorders>
              <w:top w:val="nil"/>
              <w:left w:val="single" w:sz="4" w:space="0" w:color="auto"/>
              <w:bottom w:val="single" w:sz="4" w:space="0" w:color="000000"/>
              <w:right w:val="nil"/>
            </w:tcBorders>
            <w:vAlign w:val="center"/>
            <w:hideMark/>
          </w:tcPr>
          <w:p>
            <w:pPr>
              <w:spacing w:after="0" w:line="240" w:lineRule="auto"/>
              <w:rPr>
                <w:rFonts w:ascii="Arial" w:eastAsia="Times New Roman" w:hAnsi="Arial" w:cs="Arial"/>
                <w:b/>
                <w:bCs/>
                <w:noProof/>
                <w:sz w:val="20"/>
                <w:szCs w:val="20"/>
              </w:rPr>
            </w:pPr>
          </w:p>
        </w:tc>
        <w:tc>
          <w:tcPr>
            <w:tcW w:w="4379" w:type="dxa"/>
            <w:tcBorders>
              <w:top w:val="nil"/>
              <w:left w:val="single" w:sz="4" w:space="0" w:color="auto"/>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rPr>
              <w:t>Contributions 2016 reçues en 2015</w:t>
            </w:r>
          </w:p>
        </w:tc>
        <w:tc>
          <w:tcPr>
            <w:tcW w:w="144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-307</w:t>
            </w:r>
          </w:p>
        </w:tc>
        <w:tc>
          <w:tcPr>
            <w:tcW w:w="108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 </w:t>
            </w:r>
          </w:p>
        </w:tc>
        <w:tc>
          <w:tcPr>
            <w:tcW w:w="108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-307</w:t>
            </w:r>
          </w:p>
        </w:tc>
        <w:tc>
          <w:tcPr>
            <w:tcW w:w="144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-307</w:t>
            </w:r>
          </w:p>
        </w:tc>
        <w:tc>
          <w:tcPr>
            <w:tcW w:w="120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 </w:t>
            </w:r>
          </w:p>
        </w:tc>
        <w:tc>
          <w:tcPr>
            <w:tcW w:w="108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-307</w:t>
            </w:r>
          </w:p>
        </w:tc>
      </w:tr>
      <w:tr>
        <w:trPr>
          <w:trHeight w:val="222"/>
        </w:trPr>
        <w:tc>
          <w:tcPr>
            <w:tcW w:w="661" w:type="dxa"/>
            <w:vMerge/>
            <w:tcBorders>
              <w:top w:val="nil"/>
              <w:left w:val="single" w:sz="4" w:space="0" w:color="auto"/>
              <w:bottom w:val="single" w:sz="4" w:space="0" w:color="000000"/>
              <w:right w:val="nil"/>
            </w:tcBorders>
            <w:vAlign w:val="center"/>
            <w:hideMark/>
          </w:tcPr>
          <w:p>
            <w:pPr>
              <w:spacing w:after="0" w:line="240" w:lineRule="auto"/>
              <w:rPr>
                <w:rFonts w:ascii="Arial" w:eastAsia="Times New Roman" w:hAnsi="Arial" w:cs="Arial"/>
                <w:b/>
                <w:bCs/>
                <w:noProof/>
                <w:sz w:val="20"/>
                <w:szCs w:val="20"/>
              </w:rPr>
            </w:pPr>
          </w:p>
        </w:tc>
        <w:tc>
          <w:tcPr>
            <w:tcW w:w="4379"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rPr>
              <w:t>Recouvrements, intérêts et autres revenus</w:t>
            </w:r>
          </w:p>
        </w:tc>
        <w:tc>
          <w:tcPr>
            <w:tcW w:w="144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80</w:t>
            </w:r>
          </w:p>
        </w:tc>
        <w:tc>
          <w:tcPr>
            <w:tcW w:w="108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 </w:t>
            </w:r>
          </w:p>
        </w:tc>
        <w:tc>
          <w:tcPr>
            <w:tcW w:w="108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80</w:t>
            </w:r>
          </w:p>
        </w:tc>
        <w:tc>
          <w:tcPr>
            <w:tcW w:w="144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65</w:t>
            </w:r>
          </w:p>
        </w:tc>
        <w:tc>
          <w:tcPr>
            <w:tcW w:w="1200" w:type="dxa"/>
            <w:tcBorders>
              <w:top w:val="nil"/>
              <w:left w:val="nil"/>
              <w:bottom w:val="nil"/>
              <w:right w:val="single" w:sz="4" w:space="0" w:color="auto"/>
            </w:tcBorders>
            <w:shd w:val="clear" w:color="000000" w:fill="FFFFFF"/>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 </w:t>
            </w:r>
          </w:p>
        </w:tc>
        <w:tc>
          <w:tcPr>
            <w:tcW w:w="108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65</w:t>
            </w:r>
          </w:p>
        </w:tc>
      </w:tr>
      <w:tr>
        <w:trPr>
          <w:trHeight w:val="222"/>
        </w:trPr>
        <w:tc>
          <w:tcPr>
            <w:tcW w:w="661" w:type="dxa"/>
            <w:vMerge/>
            <w:tcBorders>
              <w:top w:val="nil"/>
              <w:left w:val="single" w:sz="4" w:space="0" w:color="auto"/>
              <w:bottom w:val="single" w:sz="4" w:space="0" w:color="000000"/>
              <w:right w:val="nil"/>
            </w:tcBorders>
            <w:vAlign w:val="center"/>
            <w:hideMark/>
          </w:tcPr>
          <w:p>
            <w:pPr>
              <w:spacing w:after="0" w:line="240" w:lineRule="auto"/>
              <w:rPr>
                <w:rFonts w:ascii="Arial" w:eastAsia="Times New Roman" w:hAnsi="Arial" w:cs="Arial"/>
                <w:b/>
                <w:bCs/>
                <w:noProof/>
                <w:sz w:val="20"/>
                <w:szCs w:val="20"/>
              </w:rPr>
            </w:pPr>
          </w:p>
        </w:tc>
        <w:tc>
          <w:tcPr>
            <w:tcW w:w="4379" w:type="dxa"/>
            <w:tcBorders>
              <w:top w:val="nil"/>
              <w:left w:val="single" w:sz="4" w:space="0" w:color="auto"/>
              <w:bottom w:val="nil"/>
              <w:right w:val="single" w:sz="4" w:space="0" w:color="auto"/>
            </w:tcBorders>
            <w:shd w:val="clear" w:color="auto" w:fill="auto"/>
            <w:vAlign w:val="bottom"/>
            <w:hideMark/>
          </w:tcPr>
          <w:p>
            <w:pPr>
              <w:spacing w:after="0" w:line="240" w:lineRule="auto"/>
              <w:rPr>
                <w:rFonts w:ascii="Arial" w:eastAsia="Times New Roman" w:hAnsi="Arial" w:cs="Arial"/>
                <w:noProof/>
                <w:sz w:val="20"/>
                <w:szCs w:val="20"/>
              </w:rPr>
            </w:pPr>
            <w:r>
              <w:rPr>
                <w:rFonts w:ascii="Arial" w:hAnsi="Arial"/>
                <w:noProof/>
                <w:sz w:val="20"/>
              </w:rPr>
              <w:t>Total des paiements</w:t>
            </w:r>
            <w:r>
              <w:rPr>
                <w:rFonts w:ascii="Arial" w:hAnsi="Arial"/>
                <w:noProof/>
                <w:sz w:val="20"/>
                <w:vertAlign w:val="superscript"/>
              </w:rPr>
              <w:t xml:space="preserve"> 4</w:t>
            </w:r>
          </w:p>
        </w:tc>
        <w:tc>
          <w:tcPr>
            <w:tcW w:w="144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-3 752</w:t>
            </w:r>
          </w:p>
        </w:tc>
        <w:tc>
          <w:tcPr>
            <w:tcW w:w="108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-450</w:t>
            </w:r>
          </w:p>
        </w:tc>
        <w:tc>
          <w:tcPr>
            <w:tcW w:w="108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-4 202</w:t>
            </w:r>
          </w:p>
        </w:tc>
        <w:tc>
          <w:tcPr>
            <w:tcW w:w="144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-3 416</w:t>
            </w:r>
          </w:p>
        </w:tc>
        <w:tc>
          <w:tcPr>
            <w:tcW w:w="1200" w:type="dxa"/>
            <w:tcBorders>
              <w:top w:val="nil"/>
              <w:left w:val="nil"/>
              <w:bottom w:val="nil"/>
              <w:right w:val="single" w:sz="4" w:space="0" w:color="auto"/>
            </w:tcBorders>
            <w:shd w:val="clear" w:color="000000" w:fill="FFFFFF"/>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-679</w:t>
            </w:r>
          </w:p>
        </w:tc>
        <w:tc>
          <w:tcPr>
            <w:tcW w:w="108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-4 095</w:t>
            </w:r>
          </w:p>
        </w:tc>
      </w:tr>
      <w:tr>
        <w:trPr>
          <w:trHeight w:val="222"/>
        </w:trPr>
        <w:tc>
          <w:tcPr>
            <w:tcW w:w="661" w:type="dxa"/>
            <w:vMerge/>
            <w:tcBorders>
              <w:top w:val="nil"/>
              <w:left w:val="single" w:sz="4" w:space="0" w:color="auto"/>
              <w:bottom w:val="single" w:sz="4" w:space="0" w:color="000000"/>
              <w:right w:val="nil"/>
            </w:tcBorders>
            <w:vAlign w:val="center"/>
            <w:hideMark/>
          </w:tcPr>
          <w:p>
            <w:pPr>
              <w:spacing w:after="0" w:line="240" w:lineRule="auto"/>
              <w:rPr>
                <w:rFonts w:ascii="Arial" w:eastAsia="Times New Roman" w:hAnsi="Arial" w:cs="Arial"/>
                <w:b/>
                <w:bCs/>
                <w:noProof/>
                <w:sz w:val="20"/>
                <w:szCs w:val="20"/>
              </w:rPr>
            </w:pPr>
          </w:p>
        </w:tc>
        <w:tc>
          <w:tcPr>
            <w:tcW w:w="4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Arial" w:eastAsia="Times New Roman" w:hAnsi="Arial" w:cs="Arial"/>
                <w:b/>
                <w:bCs/>
                <w:noProof/>
                <w:sz w:val="20"/>
                <w:szCs w:val="20"/>
              </w:rPr>
            </w:pPr>
            <w:r>
              <w:rPr>
                <w:rFonts w:ascii="Arial" w:hAnsi="Arial"/>
                <w:b/>
                <w:noProof/>
                <w:sz w:val="20"/>
              </w:rPr>
              <w:t>Solde au 31.12.2016</w:t>
            </w:r>
            <w:r>
              <w:rPr>
                <w:rFonts w:ascii="Arial" w:hAnsi="Arial"/>
                <w:b/>
                <w:noProof/>
                <w:sz w:val="20"/>
                <w:vertAlign w:val="superscript"/>
              </w:rPr>
              <w:t xml:space="preserve"> 2,7</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-21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131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110</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561</w:t>
            </w:r>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40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601</w:t>
            </w:r>
          </w:p>
        </w:tc>
      </w:tr>
      <w:tr>
        <w:trPr>
          <w:trHeight w:val="222"/>
        </w:trPr>
        <w:tc>
          <w:tcPr>
            <w:tcW w:w="66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pPr>
              <w:spacing w:after="0" w:line="240" w:lineRule="auto"/>
              <w:jc w:val="center"/>
              <w:rPr>
                <w:rFonts w:ascii="Arial" w:eastAsia="Times New Roman" w:hAnsi="Arial" w:cs="Arial"/>
                <w:b/>
                <w:bCs/>
                <w:noProof/>
                <w:sz w:val="20"/>
                <w:szCs w:val="20"/>
              </w:rPr>
            </w:pPr>
            <w:r>
              <w:rPr>
                <w:rFonts w:ascii="Arial" w:hAnsi="Arial"/>
                <w:b/>
                <w:noProof/>
                <w:sz w:val="20"/>
              </w:rPr>
              <w:t>2017</w:t>
            </w:r>
          </w:p>
        </w:tc>
        <w:tc>
          <w:tcPr>
            <w:tcW w:w="4379"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color w:val="FF0000"/>
                <w:sz w:val="20"/>
                <w:szCs w:val="20"/>
              </w:rPr>
            </w:pPr>
            <w:r>
              <w:rPr>
                <w:rFonts w:ascii="Arial" w:hAnsi="Arial"/>
                <w:noProof/>
                <w:color w:val="FF0000"/>
                <w:sz w:val="20"/>
              </w:rPr>
              <w:t>Contributions des États membres pour 2017:</w:t>
            </w:r>
          </w:p>
        </w:tc>
        <w:tc>
          <w:tcPr>
            <w:tcW w:w="144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3 850</w:t>
            </w:r>
          </w:p>
        </w:tc>
        <w:tc>
          <w:tcPr>
            <w:tcW w:w="108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150</w:t>
            </w:r>
          </w:p>
        </w:tc>
        <w:tc>
          <w:tcPr>
            <w:tcW w:w="108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4 000</w:t>
            </w:r>
          </w:p>
        </w:tc>
        <w:tc>
          <w:tcPr>
            <w:tcW w:w="144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3 850</w:t>
            </w:r>
          </w:p>
        </w:tc>
        <w:tc>
          <w:tcPr>
            <w:tcW w:w="120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150</w:t>
            </w:r>
          </w:p>
        </w:tc>
        <w:tc>
          <w:tcPr>
            <w:tcW w:w="108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4 000</w:t>
            </w:r>
          </w:p>
        </w:tc>
      </w:tr>
      <w:tr>
        <w:trPr>
          <w:trHeight w:val="222"/>
        </w:trPr>
        <w:tc>
          <w:tcPr>
            <w:tcW w:w="661"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20"/>
                <w:szCs w:val="20"/>
              </w:rPr>
            </w:pPr>
          </w:p>
        </w:tc>
        <w:tc>
          <w:tcPr>
            <w:tcW w:w="4379" w:type="dxa"/>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20"/>
                <w:szCs w:val="20"/>
              </w:rPr>
            </w:pPr>
            <w:r>
              <w:rPr>
                <w:rFonts w:ascii="Arial" w:hAnsi="Arial"/>
                <w:i/>
                <w:noProof/>
                <w:sz w:val="20"/>
              </w:rPr>
              <w:t xml:space="preserve">     1</w:t>
            </w:r>
            <w:r>
              <w:rPr>
                <w:rFonts w:ascii="Arial" w:hAnsi="Arial"/>
                <w:i/>
                <w:noProof/>
                <w:sz w:val="20"/>
                <w:vertAlign w:val="superscript"/>
              </w:rPr>
              <w:t>re</w:t>
            </w:r>
            <w:r>
              <w:rPr>
                <w:rFonts w:ascii="Arial" w:hAnsi="Arial"/>
                <w:i/>
                <w:noProof/>
                <w:sz w:val="20"/>
              </w:rPr>
              <w:t> tranche</w:t>
            </w:r>
          </w:p>
        </w:tc>
        <w:tc>
          <w:tcPr>
            <w:tcW w:w="144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1 700</w:t>
            </w:r>
          </w:p>
        </w:tc>
        <w:tc>
          <w:tcPr>
            <w:tcW w:w="108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100</w:t>
            </w:r>
          </w:p>
        </w:tc>
        <w:tc>
          <w:tcPr>
            <w:tcW w:w="108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1 800</w:t>
            </w:r>
          </w:p>
        </w:tc>
        <w:tc>
          <w:tcPr>
            <w:tcW w:w="144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1 700</w:t>
            </w:r>
          </w:p>
        </w:tc>
        <w:tc>
          <w:tcPr>
            <w:tcW w:w="120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100</w:t>
            </w:r>
          </w:p>
        </w:tc>
        <w:tc>
          <w:tcPr>
            <w:tcW w:w="108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1 800</w:t>
            </w:r>
          </w:p>
        </w:tc>
      </w:tr>
      <w:tr>
        <w:trPr>
          <w:trHeight w:val="222"/>
        </w:trPr>
        <w:tc>
          <w:tcPr>
            <w:tcW w:w="661"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20"/>
                <w:szCs w:val="20"/>
              </w:rPr>
            </w:pPr>
          </w:p>
        </w:tc>
        <w:tc>
          <w:tcPr>
            <w:tcW w:w="4379" w:type="dxa"/>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20"/>
                <w:szCs w:val="20"/>
              </w:rPr>
            </w:pPr>
            <w:r>
              <w:rPr>
                <w:rFonts w:ascii="Arial" w:hAnsi="Arial"/>
                <w:i/>
                <w:noProof/>
                <w:sz w:val="20"/>
              </w:rPr>
              <w:t xml:space="preserve">     2</w:t>
            </w:r>
            <w:r>
              <w:rPr>
                <w:rFonts w:ascii="Arial" w:hAnsi="Arial"/>
                <w:i/>
                <w:noProof/>
                <w:sz w:val="20"/>
                <w:vertAlign w:val="superscript"/>
              </w:rPr>
              <w:t>e</w:t>
            </w:r>
            <w:r>
              <w:rPr>
                <w:rFonts w:ascii="Arial" w:hAnsi="Arial"/>
                <w:i/>
                <w:noProof/>
                <w:sz w:val="20"/>
              </w:rPr>
              <w:t xml:space="preserve"> tranche</w:t>
            </w:r>
          </w:p>
        </w:tc>
        <w:tc>
          <w:tcPr>
            <w:tcW w:w="144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1 300</w:t>
            </w:r>
          </w:p>
        </w:tc>
        <w:tc>
          <w:tcPr>
            <w:tcW w:w="108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50</w:t>
            </w:r>
          </w:p>
        </w:tc>
        <w:tc>
          <w:tcPr>
            <w:tcW w:w="108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1 350</w:t>
            </w:r>
          </w:p>
        </w:tc>
        <w:tc>
          <w:tcPr>
            <w:tcW w:w="144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1 300</w:t>
            </w:r>
          </w:p>
        </w:tc>
        <w:tc>
          <w:tcPr>
            <w:tcW w:w="120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50</w:t>
            </w:r>
          </w:p>
        </w:tc>
        <w:tc>
          <w:tcPr>
            <w:tcW w:w="108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1 350</w:t>
            </w:r>
          </w:p>
        </w:tc>
      </w:tr>
      <w:tr>
        <w:trPr>
          <w:trHeight w:val="222"/>
        </w:trPr>
        <w:tc>
          <w:tcPr>
            <w:tcW w:w="661"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20"/>
                <w:szCs w:val="20"/>
              </w:rPr>
            </w:pPr>
          </w:p>
        </w:tc>
        <w:tc>
          <w:tcPr>
            <w:tcW w:w="4379" w:type="dxa"/>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20"/>
                <w:szCs w:val="20"/>
              </w:rPr>
            </w:pPr>
            <w:r>
              <w:rPr>
                <w:rFonts w:ascii="Arial" w:hAnsi="Arial"/>
                <w:i/>
                <w:noProof/>
                <w:sz w:val="20"/>
              </w:rPr>
              <w:t xml:space="preserve">     3</w:t>
            </w:r>
            <w:r>
              <w:rPr>
                <w:rFonts w:ascii="Arial" w:hAnsi="Arial"/>
                <w:i/>
                <w:noProof/>
                <w:sz w:val="20"/>
                <w:vertAlign w:val="superscript"/>
              </w:rPr>
              <w:t>e</w:t>
            </w:r>
            <w:r>
              <w:rPr>
                <w:rFonts w:ascii="Arial" w:hAnsi="Arial"/>
                <w:i/>
                <w:noProof/>
                <w:sz w:val="20"/>
              </w:rPr>
              <w:t xml:space="preserve"> tranche</w:t>
            </w:r>
          </w:p>
        </w:tc>
        <w:tc>
          <w:tcPr>
            <w:tcW w:w="144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850</w:t>
            </w:r>
          </w:p>
        </w:tc>
        <w:tc>
          <w:tcPr>
            <w:tcW w:w="108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0</w:t>
            </w:r>
          </w:p>
        </w:tc>
        <w:tc>
          <w:tcPr>
            <w:tcW w:w="108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850</w:t>
            </w:r>
          </w:p>
        </w:tc>
        <w:tc>
          <w:tcPr>
            <w:tcW w:w="144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850</w:t>
            </w:r>
          </w:p>
        </w:tc>
        <w:tc>
          <w:tcPr>
            <w:tcW w:w="120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0</w:t>
            </w:r>
          </w:p>
        </w:tc>
        <w:tc>
          <w:tcPr>
            <w:tcW w:w="108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850</w:t>
            </w:r>
          </w:p>
        </w:tc>
      </w:tr>
      <w:tr>
        <w:trPr>
          <w:trHeight w:val="282"/>
        </w:trPr>
        <w:tc>
          <w:tcPr>
            <w:tcW w:w="661"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20"/>
                <w:szCs w:val="20"/>
              </w:rPr>
            </w:pPr>
          </w:p>
        </w:tc>
        <w:tc>
          <w:tcPr>
            <w:tcW w:w="4379" w:type="dxa"/>
            <w:tcBorders>
              <w:top w:val="nil"/>
              <w:left w:val="nil"/>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rPr>
              <w:t>Remboursements</w:t>
            </w:r>
            <w:r>
              <w:rPr>
                <w:rFonts w:ascii="Arial" w:hAnsi="Arial"/>
                <w:noProof/>
                <w:sz w:val="20"/>
                <w:vertAlign w:val="superscript"/>
              </w:rPr>
              <w:t xml:space="preserve"> 3</w:t>
            </w:r>
          </w:p>
        </w:tc>
        <w:tc>
          <w:tcPr>
            <w:tcW w:w="144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 </w:t>
            </w:r>
          </w:p>
        </w:tc>
        <w:tc>
          <w:tcPr>
            <w:tcW w:w="108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300</w:t>
            </w:r>
          </w:p>
        </w:tc>
        <w:tc>
          <w:tcPr>
            <w:tcW w:w="108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300</w:t>
            </w:r>
          </w:p>
        </w:tc>
        <w:tc>
          <w:tcPr>
            <w:tcW w:w="144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 </w:t>
            </w:r>
          </w:p>
        </w:tc>
        <w:tc>
          <w:tcPr>
            <w:tcW w:w="120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350</w:t>
            </w:r>
          </w:p>
        </w:tc>
        <w:tc>
          <w:tcPr>
            <w:tcW w:w="108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350</w:t>
            </w:r>
          </w:p>
        </w:tc>
      </w:tr>
      <w:tr>
        <w:trPr>
          <w:trHeight w:val="222"/>
        </w:trPr>
        <w:tc>
          <w:tcPr>
            <w:tcW w:w="661"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20"/>
                <w:szCs w:val="20"/>
              </w:rPr>
            </w:pPr>
          </w:p>
        </w:tc>
        <w:tc>
          <w:tcPr>
            <w:tcW w:w="4379" w:type="dxa"/>
            <w:tcBorders>
              <w:top w:val="nil"/>
              <w:left w:val="nil"/>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rPr>
              <w:t>Contributions 2017 reçues en 2016</w:t>
            </w:r>
          </w:p>
        </w:tc>
        <w:tc>
          <w:tcPr>
            <w:tcW w:w="144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0</w:t>
            </w:r>
          </w:p>
        </w:tc>
        <w:tc>
          <w:tcPr>
            <w:tcW w:w="108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 </w:t>
            </w:r>
          </w:p>
        </w:tc>
        <w:tc>
          <w:tcPr>
            <w:tcW w:w="108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0</w:t>
            </w:r>
          </w:p>
        </w:tc>
        <w:tc>
          <w:tcPr>
            <w:tcW w:w="144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-261</w:t>
            </w:r>
          </w:p>
        </w:tc>
        <w:tc>
          <w:tcPr>
            <w:tcW w:w="120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 </w:t>
            </w:r>
          </w:p>
        </w:tc>
        <w:tc>
          <w:tcPr>
            <w:tcW w:w="108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-261</w:t>
            </w:r>
          </w:p>
        </w:tc>
      </w:tr>
      <w:tr>
        <w:trPr>
          <w:trHeight w:val="222"/>
        </w:trPr>
        <w:tc>
          <w:tcPr>
            <w:tcW w:w="661"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20"/>
                <w:szCs w:val="20"/>
              </w:rPr>
            </w:pPr>
          </w:p>
        </w:tc>
        <w:tc>
          <w:tcPr>
            <w:tcW w:w="4379"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rPr>
              <w:t>Recouvrements, intérêts et autres revenus</w:t>
            </w:r>
          </w:p>
        </w:tc>
        <w:tc>
          <w:tcPr>
            <w:tcW w:w="144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50</w:t>
            </w:r>
          </w:p>
        </w:tc>
        <w:tc>
          <w:tcPr>
            <w:tcW w:w="108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 </w:t>
            </w:r>
          </w:p>
        </w:tc>
        <w:tc>
          <w:tcPr>
            <w:tcW w:w="108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50</w:t>
            </w:r>
          </w:p>
        </w:tc>
        <w:tc>
          <w:tcPr>
            <w:tcW w:w="144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50</w:t>
            </w:r>
          </w:p>
        </w:tc>
        <w:tc>
          <w:tcPr>
            <w:tcW w:w="120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 </w:t>
            </w:r>
          </w:p>
        </w:tc>
        <w:tc>
          <w:tcPr>
            <w:tcW w:w="108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50</w:t>
            </w:r>
          </w:p>
        </w:tc>
      </w:tr>
      <w:tr>
        <w:trPr>
          <w:trHeight w:val="222"/>
        </w:trPr>
        <w:tc>
          <w:tcPr>
            <w:tcW w:w="661"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20"/>
                <w:szCs w:val="20"/>
              </w:rPr>
            </w:pPr>
          </w:p>
        </w:tc>
        <w:tc>
          <w:tcPr>
            <w:tcW w:w="4379" w:type="dxa"/>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noProof/>
                <w:sz w:val="20"/>
                <w:szCs w:val="20"/>
              </w:rPr>
            </w:pPr>
            <w:r>
              <w:rPr>
                <w:rFonts w:ascii="Arial" w:hAnsi="Arial"/>
                <w:noProof/>
                <w:sz w:val="20"/>
              </w:rPr>
              <w:t>Total des paiements</w:t>
            </w:r>
            <w:r>
              <w:rPr>
                <w:rFonts w:ascii="Arial" w:hAnsi="Arial"/>
                <w:noProof/>
                <w:sz w:val="20"/>
                <w:vertAlign w:val="superscript"/>
              </w:rPr>
              <w:t xml:space="preserve"> 4</w:t>
            </w:r>
          </w:p>
        </w:tc>
        <w:tc>
          <w:tcPr>
            <w:tcW w:w="144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-3 900</w:t>
            </w:r>
          </w:p>
        </w:tc>
        <w:tc>
          <w:tcPr>
            <w:tcW w:w="108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-470</w:t>
            </w:r>
          </w:p>
        </w:tc>
        <w:tc>
          <w:tcPr>
            <w:tcW w:w="108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-4 370</w:t>
            </w:r>
          </w:p>
        </w:tc>
        <w:tc>
          <w:tcPr>
            <w:tcW w:w="144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-4 064</w:t>
            </w:r>
          </w:p>
        </w:tc>
        <w:tc>
          <w:tcPr>
            <w:tcW w:w="120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-540</w:t>
            </w:r>
          </w:p>
        </w:tc>
        <w:tc>
          <w:tcPr>
            <w:tcW w:w="108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-4 604</w:t>
            </w:r>
          </w:p>
        </w:tc>
      </w:tr>
      <w:tr>
        <w:trPr>
          <w:trHeight w:val="222"/>
        </w:trPr>
        <w:tc>
          <w:tcPr>
            <w:tcW w:w="661"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20"/>
                <w:szCs w:val="20"/>
              </w:rPr>
            </w:pPr>
          </w:p>
        </w:tc>
        <w:tc>
          <w:tcPr>
            <w:tcW w:w="4379" w:type="dxa"/>
            <w:tcBorders>
              <w:top w:val="single" w:sz="4" w:space="0" w:color="auto"/>
              <w:left w:val="nil"/>
              <w:bottom w:val="single" w:sz="4" w:space="0" w:color="auto"/>
              <w:right w:val="nil"/>
            </w:tcBorders>
            <w:shd w:val="clear" w:color="auto" w:fill="auto"/>
            <w:noWrap/>
            <w:vAlign w:val="bottom"/>
            <w:hideMark/>
          </w:tcPr>
          <w:p>
            <w:pPr>
              <w:spacing w:after="0" w:line="240" w:lineRule="auto"/>
              <w:rPr>
                <w:rFonts w:ascii="Arial" w:eastAsia="Times New Roman" w:hAnsi="Arial" w:cs="Arial"/>
                <w:b/>
                <w:bCs/>
                <w:noProof/>
                <w:sz w:val="20"/>
                <w:szCs w:val="20"/>
              </w:rPr>
            </w:pPr>
            <w:r>
              <w:rPr>
                <w:rFonts w:ascii="Arial" w:hAnsi="Arial"/>
                <w:b/>
                <w:noProof/>
                <w:sz w:val="20"/>
              </w:rPr>
              <w:t>Solde au 31.12.2017</w:t>
            </w:r>
            <w:r>
              <w:rPr>
                <w:rFonts w:ascii="Arial" w:hAnsi="Arial"/>
                <w:b/>
                <w:noProof/>
                <w:sz w:val="20"/>
                <w:vertAlign w:val="superscript"/>
              </w:rPr>
              <w:t xml:space="preserve"> 2,7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-21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111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90</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136</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136</w:t>
            </w:r>
          </w:p>
        </w:tc>
      </w:tr>
      <w:tr>
        <w:trPr>
          <w:trHeight w:val="222"/>
        </w:trPr>
        <w:tc>
          <w:tcPr>
            <w:tcW w:w="66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pPr>
              <w:spacing w:after="0" w:line="240" w:lineRule="auto"/>
              <w:jc w:val="center"/>
              <w:rPr>
                <w:rFonts w:ascii="Arial" w:eastAsia="Times New Roman" w:hAnsi="Arial" w:cs="Arial"/>
                <w:b/>
                <w:bCs/>
                <w:noProof/>
                <w:sz w:val="20"/>
                <w:szCs w:val="20"/>
              </w:rPr>
            </w:pPr>
            <w:r>
              <w:rPr>
                <w:rFonts w:ascii="Arial" w:hAnsi="Arial"/>
                <w:b/>
                <w:noProof/>
                <w:sz w:val="20"/>
              </w:rPr>
              <w:t>2018</w:t>
            </w:r>
          </w:p>
        </w:tc>
        <w:tc>
          <w:tcPr>
            <w:tcW w:w="4379"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color w:val="FF0000"/>
                <w:sz w:val="20"/>
                <w:szCs w:val="20"/>
              </w:rPr>
            </w:pPr>
            <w:r>
              <w:rPr>
                <w:rFonts w:ascii="Arial" w:hAnsi="Arial"/>
                <w:noProof/>
                <w:color w:val="FF0000"/>
                <w:sz w:val="20"/>
              </w:rPr>
              <w:t>Contributions des États membres pour 2018</w:t>
            </w:r>
            <w:r>
              <w:rPr>
                <w:rFonts w:ascii="Arial" w:hAnsi="Arial"/>
                <w:noProof/>
                <w:color w:val="FF0000"/>
                <w:sz w:val="20"/>
                <w:vertAlign w:val="superscript"/>
              </w:rPr>
              <w:t xml:space="preserve"> 8</w:t>
            </w:r>
          </w:p>
        </w:tc>
        <w:tc>
          <w:tcPr>
            <w:tcW w:w="144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4 550</w:t>
            </w:r>
          </w:p>
        </w:tc>
        <w:tc>
          <w:tcPr>
            <w:tcW w:w="108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250</w:t>
            </w:r>
          </w:p>
        </w:tc>
        <w:tc>
          <w:tcPr>
            <w:tcW w:w="108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4 800</w:t>
            </w:r>
          </w:p>
        </w:tc>
        <w:tc>
          <w:tcPr>
            <w:tcW w:w="144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4 550</w:t>
            </w:r>
          </w:p>
        </w:tc>
        <w:tc>
          <w:tcPr>
            <w:tcW w:w="120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250</w:t>
            </w:r>
          </w:p>
        </w:tc>
        <w:tc>
          <w:tcPr>
            <w:tcW w:w="108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4 800</w:t>
            </w:r>
          </w:p>
        </w:tc>
      </w:tr>
      <w:tr>
        <w:trPr>
          <w:trHeight w:val="289"/>
        </w:trPr>
        <w:tc>
          <w:tcPr>
            <w:tcW w:w="661"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20"/>
                <w:szCs w:val="20"/>
              </w:rPr>
            </w:pPr>
          </w:p>
        </w:tc>
        <w:tc>
          <w:tcPr>
            <w:tcW w:w="4379" w:type="dxa"/>
            <w:tcBorders>
              <w:top w:val="nil"/>
              <w:left w:val="nil"/>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rPr>
              <w:t>Remboursements</w:t>
            </w:r>
            <w:r>
              <w:rPr>
                <w:rFonts w:ascii="Arial" w:hAnsi="Arial"/>
                <w:noProof/>
                <w:sz w:val="20"/>
                <w:vertAlign w:val="superscript"/>
              </w:rPr>
              <w:t xml:space="preserve"> 3</w:t>
            </w:r>
          </w:p>
        </w:tc>
        <w:tc>
          <w:tcPr>
            <w:tcW w:w="144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 </w:t>
            </w:r>
          </w:p>
        </w:tc>
        <w:tc>
          <w:tcPr>
            <w:tcW w:w="108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300</w:t>
            </w:r>
          </w:p>
        </w:tc>
        <w:tc>
          <w:tcPr>
            <w:tcW w:w="108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300</w:t>
            </w:r>
          </w:p>
        </w:tc>
        <w:tc>
          <w:tcPr>
            <w:tcW w:w="144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 </w:t>
            </w:r>
          </w:p>
        </w:tc>
        <w:tc>
          <w:tcPr>
            <w:tcW w:w="120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350</w:t>
            </w:r>
          </w:p>
        </w:tc>
        <w:tc>
          <w:tcPr>
            <w:tcW w:w="108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350</w:t>
            </w:r>
          </w:p>
        </w:tc>
      </w:tr>
      <w:tr>
        <w:trPr>
          <w:trHeight w:val="222"/>
        </w:trPr>
        <w:tc>
          <w:tcPr>
            <w:tcW w:w="661"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20"/>
                <w:szCs w:val="20"/>
              </w:rPr>
            </w:pPr>
          </w:p>
        </w:tc>
        <w:tc>
          <w:tcPr>
            <w:tcW w:w="4379"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rPr>
              <w:t>Recouvrements, intérêts et autres</w:t>
            </w:r>
          </w:p>
        </w:tc>
        <w:tc>
          <w:tcPr>
            <w:tcW w:w="144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80</w:t>
            </w:r>
          </w:p>
        </w:tc>
        <w:tc>
          <w:tcPr>
            <w:tcW w:w="108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 </w:t>
            </w:r>
          </w:p>
        </w:tc>
        <w:tc>
          <w:tcPr>
            <w:tcW w:w="108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80</w:t>
            </w:r>
          </w:p>
        </w:tc>
        <w:tc>
          <w:tcPr>
            <w:tcW w:w="144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80</w:t>
            </w:r>
          </w:p>
        </w:tc>
        <w:tc>
          <w:tcPr>
            <w:tcW w:w="120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 </w:t>
            </w:r>
          </w:p>
        </w:tc>
        <w:tc>
          <w:tcPr>
            <w:tcW w:w="108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80</w:t>
            </w:r>
          </w:p>
        </w:tc>
      </w:tr>
      <w:tr>
        <w:trPr>
          <w:trHeight w:val="222"/>
        </w:trPr>
        <w:tc>
          <w:tcPr>
            <w:tcW w:w="661"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20"/>
                <w:szCs w:val="20"/>
              </w:rPr>
            </w:pPr>
          </w:p>
        </w:tc>
        <w:tc>
          <w:tcPr>
            <w:tcW w:w="4379" w:type="dxa"/>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noProof/>
                <w:sz w:val="20"/>
                <w:szCs w:val="20"/>
              </w:rPr>
            </w:pPr>
            <w:r>
              <w:rPr>
                <w:rFonts w:ascii="Arial" w:hAnsi="Arial"/>
                <w:noProof/>
                <w:sz w:val="20"/>
              </w:rPr>
              <w:t>Total des paiements</w:t>
            </w:r>
            <w:r>
              <w:rPr>
                <w:rFonts w:ascii="Arial" w:hAnsi="Arial"/>
                <w:noProof/>
                <w:sz w:val="20"/>
                <w:vertAlign w:val="superscript"/>
              </w:rPr>
              <w:t xml:space="preserve"> 4</w:t>
            </w:r>
          </w:p>
        </w:tc>
        <w:tc>
          <w:tcPr>
            <w:tcW w:w="144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-4 400</w:t>
            </w:r>
          </w:p>
        </w:tc>
        <w:tc>
          <w:tcPr>
            <w:tcW w:w="108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-500</w:t>
            </w:r>
          </w:p>
        </w:tc>
        <w:tc>
          <w:tcPr>
            <w:tcW w:w="108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-4 900</w:t>
            </w:r>
          </w:p>
        </w:tc>
        <w:tc>
          <w:tcPr>
            <w:tcW w:w="144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-4 600</w:t>
            </w:r>
          </w:p>
        </w:tc>
        <w:tc>
          <w:tcPr>
            <w:tcW w:w="120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-565</w:t>
            </w:r>
          </w:p>
        </w:tc>
        <w:tc>
          <w:tcPr>
            <w:tcW w:w="108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-5 165</w:t>
            </w:r>
          </w:p>
        </w:tc>
      </w:tr>
      <w:tr>
        <w:trPr>
          <w:trHeight w:val="222"/>
        </w:trPr>
        <w:tc>
          <w:tcPr>
            <w:tcW w:w="661"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20"/>
                <w:szCs w:val="20"/>
              </w:rPr>
            </w:pPr>
          </w:p>
        </w:tc>
        <w:tc>
          <w:tcPr>
            <w:tcW w:w="4379" w:type="dxa"/>
            <w:tcBorders>
              <w:top w:val="single" w:sz="4" w:space="0" w:color="auto"/>
              <w:left w:val="nil"/>
              <w:bottom w:val="single" w:sz="4" w:space="0" w:color="auto"/>
              <w:right w:val="nil"/>
            </w:tcBorders>
            <w:shd w:val="clear" w:color="auto" w:fill="auto"/>
            <w:noWrap/>
            <w:vAlign w:val="bottom"/>
            <w:hideMark/>
          </w:tcPr>
          <w:p>
            <w:pPr>
              <w:spacing w:after="0" w:line="240" w:lineRule="auto"/>
              <w:rPr>
                <w:rFonts w:ascii="Arial" w:eastAsia="Times New Roman" w:hAnsi="Arial" w:cs="Arial"/>
                <w:b/>
                <w:bCs/>
                <w:noProof/>
                <w:sz w:val="20"/>
                <w:szCs w:val="20"/>
              </w:rPr>
            </w:pPr>
            <w:r>
              <w:rPr>
                <w:rFonts w:ascii="Arial" w:hAnsi="Arial"/>
                <w:b/>
                <w:noProof/>
                <w:sz w:val="20"/>
              </w:rPr>
              <w:t>Solde au 31.12.2018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209</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161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370</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166</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35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201</w:t>
            </w:r>
          </w:p>
        </w:tc>
      </w:tr>
      <w:tr>
        <w:trPr>
          <w:trHeight w:val="222"/>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20"/>
                <w:szCs w:val="20"/>
              </w:rPr>
            </w:pPr>
            <w:r>
              <w:rPr>
                <w:rFonts w:ascii="Arial" w:hAnsi="Arial"/>
                <w:b/>
                <w:noProof/>
                <w:sz w:val="20"/>
              </w:rPr>
              <w:t>2019</w:t>
            </w:r>
          </w:p>
        </w:tc>
        <w:tc>
          <w:tcPr>
            <w:tcW w:w="4379" w:type="dxa"/>
            <w:tcBorders>
              <w:top w:val="nil"/>
              <w:left w:val="nil"/>
              <w:bottom w:val="single" w:sz="4" w:space="0" w:color="auto"/>
              <w:right w:val="single" w:sz="4" w:space="0" w:color="auto"/>
            </w:tcBorders>
            <w:shd w:val="clear" w:color="auto" w:fill="auto"/>
            <w:vAlign w:val="bottom"/>
            <w:hideMark/>
          </w:tcPr>
          <w:p>
            <w:pPr>
              <w:spacing w:after="0" w:line="240" w:lineRule="auto"/>
              <w:rPr>
                <w:rFonts w:ascii="Arial" w:eastAsia="Times New Roman" w:hAnsi="Arial" w:cs="Arial"/>
                <w:noProof/>
                <w:color w:val="FF0000"/>
                <w:sz w:val="20"/>
                <w:szCs w:val="20"/>
              </w:rPr>
            </w:pPr>
            <w:r>
              <w:rPr>
                <w:rFonts w:ascii="Arial" w:hAnsi="Arial"/>
                <w:noProof/>
                <w:color w:val="FF0000"/>
                <w:sz w:val="20"/>
              </w:rPr>
              <w:t>Contributions des États membres pour 2019</w:t>
            </w:r>
            <w:r>
              <w:rPr>
                <w:rFonts w:ascii="Arial" w:hAnsi="Arial"/>
                <w:noProof/>
                <w:color w:val="FF0000"/>
                <w:sz w:val="20"/>
                <w:vertAlign w:val="superscript"/>
              </w:rPr>
              <w:t xml:space="preserve"> 6</w:t>
            </w:r>
          </w:p>
        </w:tc>
        <w:tc>
          <w:tcPr>
            <w:tcW w:w="144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4 500</w:t>
            </w:r>
          </w:p>
        </w:tc>
        <w:tc>
          <w:tcPr>
            <w:tcW w:w="108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300</w:t>
            </w:r>
          </w:p>
        </w:tc>
        <w:tc>
          <w:tcPr>
            <w:tcW w:w="108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4 800</w:t>
            </w:r>
          </w:p>
        </w:tc>
        <w:tc>
          <w:tcPr>
            <w:tcW w:w="144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4 500</w:t>
            </w:r>
          </w:p>
        </w:tc>
        <w:tc>
          <w:tcPr>
            <w:tcW w:w="120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400</w:t>
            </w:r>
          </w:p>
        </w:tc>
        <w:tc>
          <w:tcPr>
            <w:tcW w:w="108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4 900</w:t>
            </w:r>
          </w:p>
        </w:tc>
      </w:tr>
      <w:tr>
        <w:trPr>
          <w:trHeight w:val="222"/>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20"/>
                <w:szCs w:val="20"/>
              </w:rPr>
            </w:pPr>
            <w:r>
              <w:rPr>
                <w:rFonts w:ascii="Arial" w:hAnsi="Arial"/>
                <w:b/>
                <w:noProof/>
                <w:sz w:val="20"/>
              </w:rPr>
              <w:t>2020</w:t>
            </w:r>
          </w:p>
        </w:tc>
        <w:tc>
          <w:tcPr>
            <w:tcW w:w="4379" w:type="dxa"/>
            <w:tcBorders>
              <w:top w:val="nil"/>
              <w:left w:val="nil"/>
              <w:bottom w:val="single" w:sz="4" w:space="0" w:color="auto"/>
              <w:right w:val="single" w:sz="4" w:space="0" w:color="auto"/>
            </w:tcBorders>
            <w:shd w:val="clear" w:color="auto" w:fill="auto"/>
            <w:vAlign w:val="bottom"/>
            <w:hideMark/>
          </w:tcPr>
          <w:p>
            <w:pPr>
              <w:spacing w:after="0" w:line="240" w:lineRule="auto"/>
              <w:rPr>
                <w:rFonts w:ascii="Arial" w:eastAsia="Times New Roman" w:hAnsi="Arial" w:cs="Arial"/>
                <w:noProof/>
                <w:color w:val="FF0000"/>
                <w:sz w:val="20"/>
                <w:szCs w:val="20"/>
              </w:rPr>
            </w:pPr>
            <w:r>
              <w:rPr>
                <w:rFonts w:ascii="Arial" w:hAnsi="Arial"/>
                <w:noProof/>
                <w:color w:val="FF0000"/>
                <w:sz w:val="20"/>
              </w:rPr>
              <w:t>Contributions des États membres pour 2020</w:t>
            </w:r>
            <w:r>
              <w:rPr>
                <w:rFonts w:ascii="Arial" w:hAnsi="Arial"/>
                <w:noProof/>
                <w:color w:val="FF0000"/>
                <w:sz w:val="20"/>
                <w:vertAlign w:val="superscript"/>
              </w:rPr>
              <w:t xml:space="preserve"> 6</w:t>
            </w:r>
          </w:p>
        </w:tc>
        <w:tc>
          <w:tcPr>
            <w:tcW w:w="144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4 500</w:t>
            </w:r>
          </w:p>
        </w:tc>
        <w:tc>
          <w:tcPr>
            <w:tcW w:w="108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300</w:t>
            </w:r>
          </w:p>
        </w:tc>
        <w:tc>
          <w:tcPr>
            <w:tcW w:w="108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4 800</w:t>
            </w:r>
          </w:p>
        </w:tc>
        <w:tc>
          <w:tcPr>
            <w:tcW w:w="144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4 500</w:t>
            </w:r>
          </w:p>
        </w:tc>
        <w:tc>
          <w:tcPr>
            <w:tcW w:w="120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400</w:t>
            </w:r>
          </w:p>
        </w:tc>
        <w:tc>
          <w:tcPr>
            <w:tcW w:w="108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4 900</w:t>
            </w:r>
          </w:p>
        </w:tc>
      </w:tr>
    </w:tbl>
    <w:p>
      <w:pPr>
        <w:pStyle w:val="Text1"/>
        <w:spacing w:before="0" w:after="0"/>
        <w:ind w:left="851"/>
        <w:jc w:val="left"/>
        <w:rPr>
          <w:noProof/>
          <w:sz w:val="16"/>
          <w:szCs w:val="16"/>
        </w:rPr>
      </w:pPr>
      <w:r>
        <w:rPr>
          <w:noProof/>
          <w:sz w:val="16"/>
        </w:rPr>
        <w:t>1</w:t>
      </w:r>
      <w:r>
        <w:rPr>
          <w:noProof/>
        </w:rPr>
        <w:tab/>
      </w:r>
      <w:r>
        <w:rPr>
          <w:noProof/>
          <w:sz w:val="16"/>
        </w:rPr>
        <w:t>Montants disponibles d’un point de vue opérationnel conformément à la communication de la Commission au Conseil.</w:t>
      </w:r>
      <w:r>
        <w:rPr>
          <w:noProof/>
          <w:sz w:val="16"/>
          <w:szCs w:val="16"/>
        </w:rPr>
        <w:br/>
      </w:r>
      <w:r>
        <w:rPr>
          <w:noProof/>
          <w:sz w:val="16"/>
        </w:rPr>
        <w:t>2</w:t>
      </w:r>
      <w:r>
        <w:rPr>
          <w:noProof/>
        </w:rPr>
        <w:tab/>
      </w:r>
      <w:r>
        <w:rPr>
          <w:noProof/>
          <w:sz w:val="16"/>
        </w:rPr>
        <w:t xml:space="preserve">Ces soldes ne comprennent pas: i) les cofinancements perçus au 31.12, ii) les recettes bancaires non encore affectées à une ligne spécifique du FED, iii) le fonds spécial pour la République </w:t>
      </w:r>
      <w:r>
        <w:rPr>
          <w:noProof/>
          <w:sz w:val="16"/>
        </w:rPr>
        <w:tab/>
        <w:t>démocratique du Congo.</w:t>
      </w:r>
    </w:p>
    <w:p>
      <w:pPr>
        <w:pStyle w:val="Text1"/>
        <w:spacing w:before="0" w:after="0"/>
        <w:ind w:left="851"/>
        <w:jc w:val="left"/>
        <w:rPr>
          <w:noProof/>
          <w:sz w:val="16"/>
          <w:szCs w:val="16"/>
        </w:rPr>
      </w:pPr>
      <w:r>
        <w:rPr>
          <w:noProof/>
          <w:sz w:val="16"/>
        </w:rPr>
        <w:t>3</w:t>
      </w:r>
      <w:r>
        <w:rPr>
          <w:noProof/>
        </w:rPr>
        <w:tab/>
      </w:r>
      <w:r>
        <w:rPr>
          <w:noProof/>
          <w:sz w:val="16"/>
        </w:rPr>
        <w:t>Hors frais de gestion de la BEI.</w:t>
      </w:r>
      <w:r>
        <w:rPr>
          <w:noProof/>
          <w:sz w:val="16"/>
          <w:szCs w:val="16"/>
        </w:rPr>
        <w:br/>
      </w:r>
      <w:r>
        <w:rPr>
          <w:noProof/>
          <w:sz w:val="16"/>
        </w:rPr>
        <w:t>4</w:t>
      </w:r>
      <w:r>
        <w:rPr>
          <w:noProof/>
        </w:rPr>
        <w:tab/>
      </w:r>
      <w:r>
        <w:rPr>
          <w:noProof/>
          <w:sz w:val="16"/>
        </w:rPr>
        <w:t>Y compris les bonifications d'intérêts liées aux FED antérieurs.</w:t>
      </w:r>
      <w:r>
        <w:rPr>
          <w:noProof/>
          <w:sz w:val="16"/>
          <w:szCs w:val="16"/>
        </w:rPr>
        <w:br/>
      </w:r>
      <w:r>
        <w:rPr>
          <w:noProof/>
          <w:sz w:val="16"/>
        </w:rPr>
        <w:t>5</w:t>
      </w:r>
      <w:r>
        <w:rPr>
          <w:noProof/>
        </w:rPr>
        <w:tab/>
      </w:r>
      <w:r>
        <w:rPr>
          <w:noProof/>
          <w:sz w:val="16"/>
        </w:rPr>
        <w:t xml:space="preserve">Ces soldes ne comprennent pas: i) les cofinancements perçus au 31.12.2015, ii) les recettes bancaires non encore affectées à une ligne spécifique du FED, iii) le fonds spécial pour la République </w:t>
      </w:r>
      <w:r>
        <w:rPr>
          <w:noProof/>
          <w:sz w:val="16"/>
        </w:rPr>
        <w:tab/>
        <w:t>démocratique du Congo.</w:t>
      </w:r>
      <w:r>
        <w:rPr>
          <w:noProof/>
          <w:sz w:val="16"/>
          <w:szCs w:val="16"/>
        </w:rPr>
        <w:br/>
      </w:r>
      <w:r>
        <w:rPr>
          <w:noProof/>
          <w:sz w:val="16"/>
        </w:rPr>
        <w:t>6</w:t>
      </w:r>
      <w:r>
        <w:rPr>
          <w:noProof/>
        </w:rPr>
        <w:tab/>
      </w:r>
      <w:r>
        <w:rPr>
          <w:noProof/>
          <w:sz w:val="16"/>
        </w:rPr>
        <w:t xml:space="preserve">Article 21, paragraphe 2, point d), du règlement financier: prévisions non contraignantes, fondées sur une approche statistique, concernant le montant annuel des contributions escompté pour les </w:t>
      </w:r>
      <w:r>
        <w:rPr>
          <w:noProof/>
          <w:sz w:val="16"/>
        </w:rPr>
        <w:tab/>
        <w:t>exercices n + 3 et n + 4.</w:t>
      </w:r>
      <w:r>
        <w:rPr>
          <w:noProof/>
          <w:sz w:val="16"/>
          <w:szCs w:val="16"/>
        </w:rPr>
        <w:br/>
      </w:r>
      <w:r>
        <w:rPr>
          <w:noProof/>
          <w:sz w:val="16"/>
        </w:rPr>
        <w:t>7</w:t>
      </w:r>
      <w:r>
        <w:rPr>
          <w:noProof/>
        </w:rPr>
        <w:tab/>
      </w:r>
      <w:r>
        <w:rPr>
          <w:noProof/>
          <w:sz w:val="16"/>
        </w:rPr>
        <w:t>Le solde de trésorerie du FED ne peut jamais être négatif. Tout montant négatif dans le tableau indique une insuffisance de crédits de paiement.</w:t>
      </w:r>
    </w:p>
    <w:p>
      <w:pPr>
        <w:pStyle w:val="Text1"/>
        <w:spacing w:before="0" w:after="0"/>
        <w:ind w:left="851"/>
        <w:jc w:val="left"/>
        <w:rPr>
          <w:noProof/>
          <w:sz w:val="16"/>
        </w:rPr>
      </w:pPr>
      <w:r>
        <w:rPr>
          <w:noProof/>
          <w:sz w:val="16"/>
        </w:rPr>
        <w:t>8</w:t>
      </w:r>
      <w:r>
        <w:rPr>
          <w:noProof/>
        </w:rPr>
        <w:tab/>
      </w:r>
      <w:r>
        <w:rPr>
          <w:noProof/>
          <w:sz w:val="16"/>
        </w:rPr>
        <w:t>Demande de contributions de la BEI pour 2018: BEI note d’information du 17.11.2015, MD n°: 151/15 ADD 1 ACP.</w:t>
      </w:r>
    </w:p>
    <w:p>
      <w:pPr>
        <w:rPr>
          <w:rFonts w:ascii="Times New Roman" w:eastAsia="Times New Roman" w:hAnsi="Times New Roman" w:cs="Times New Roman"/>
          <w:noProof/>
        </w:rPr>
      </w:pPr>
      <w:r>
        <w:rPr>
          <w:noProof/>
        </w:rPr>
        <w:br w:type="page"/>
      </w:r>
    </w:p>
    <w:p>
      <w:pPr>
        <w:pStyle w:val="Heading2"/>
        <w:numPr>
          <w:ilvl w:val="1"/>
          <w:numId w:val="1"/>
        </w:numPr>
        <w:rPr>
          <w:noProof/>
        </w:rPr>
      </w:pPr>
      <w:r>
        <w:rPr>
          <w:noProof/>
        </w:rPr>
        <w:t>Annexe 4: contributions des États membres pour 2017 (en EUR)</w:t>
      </w:r>
    </w:p>
    <w:tbl>
      <w:tblPr>
        <w:tblW w:w="0" w:type="auto"/>
        <w:tblInd w:w="93" w:type="dxa"/>
        <w:tblLook w:val="04A0" w:firstRow="1" w:lastRow="0" w:firstColumn="1" w:lastColumn="0" w:noHBand="0" w:noVBand="1"/>
      </w:tblPr>
      <w:tblGrid>
        <w:gridCol w:w="2115"/>
        <w:gridCol w:w="1091"/>
        <w:gridCol w:w="1196"/>
        <w:gridCol w:w="1021"/>
        <w:gridCol w:w="1061"/>
        <w:gridCol w:w="1196"/>
        <w:gridCol w:w="781"/>
        <w:gridCol w:w="1091"/>
        <w:gridCol w:w="1091"/>
        <w:gridCol w:w="1196"/>
        <w:gridCol w:w="1196"/>
      </w:tblGrid>
      <w:tr>
        <w:trPr>
          <w:trHeight w:val="282"/>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ÉTATS MEMBRES</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1</w:t>
            </w:r>
            <w:r>
              <w:rPr>
                <w:rFonts w:ascii="Times New Roman" w:hAnsi="Times New Roman"/>
                <w:b/>
                <w:noProof/>
                <w:sz w:val="16"/>
                <w:vertAlign w:val="superscript"/>
              </w:rPr>
              <w:t>re</w:t>
            </w:r>
            <w:r>
              <w:rPr>
                <w:rFonts w:ascii="Times New Roman" w:hAnsi="Times New Roman"/>
                <w:b/>
                <w:noProof/>
                <w:sz w:val="16"/>
              </w:rPr>
              <w:t> tranche</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2</w:t>
            </w:r>
            <w:r>
              <w:rPr>
                <w:rFonts w:ascii="Times New Roman" w:hAnsi="Times New Roman"/>
                <w:b/>
                <w:noProof/>
                <w:sz w:val="16"/>
                <w:vertAlign w:val="superscript"/>
              </w:rPr>
              <w:t>e</w:t>
            </w:r>
            <w:r>
              <w:rPr>
                <w:rFonts w:ascii="Times New Roman" w:hAnsi="Times New Roman"/>
                <w:b/>
                <w:noProof/>
                <w:sz w:val="16"/>
              </w:rPr>
              <w:t xml:space="preserve"> tranche</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 xml:space="preserve"> 3</w:t>
            </w:r>
            <w:r>
              <w:rPr>
                <w:rFonts w:ascii="Times New Roman" w:hAnsi="Times New Roman"/>
                <w:b/>
                <w:noProof/>
                <w:sz w:val="16"/>
                <w:vertAlign w:val="superscript"/>
              </w:rPr>
              <w:t>e</w:t>
            </w:r>
            <w:r>
              <w:rPr>
                <w:rFonts w:ascii="Times New Roman" w:hAnsi="Times New Roman"/>
                <w:b/>
                <w:noProof/>
                <w:sz w:val="16"/>
              </w:rPr>
              <w:t xml:space="preserve"> tranche</w:t>
            </w:r>
          </w:p>
        </w:tc>
        <w:tc>
          <w:tcPr>
            <w:tcW w:w="0" w:type="auto"/>
            <w:vMerge w:val="restart"/>
            <w:tcBorders>
              <w:top w:val="single" w:sz="4" w:space="0" w:color="auto"/>
              <w:left w:val="nil"/>
              <w:bottom w:val="single" w:sz="4"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Total BEI</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Total</w:t>
            </w:r>
            <w:r>
              <w:rPr>
                <w:rFonts w:ascii="Times New Roman" w:eastAsia="Times New Roman" w:hAnsi="Times New Roman" w:cs="Times New Roman"/>
                <w:b/>
                <w:bCs/>
                <w:noProof/>
                <w:sz w:val="16"/>
                <w:szCs w:val="16"/>
              </w:rPr>
              <w:br/>
            </w:r>
            <w:r>
              <w:rPr>
                <w:rFonts w:ascii="Times New Roman" w:hAnsi="Times New Roman"/>
                <w:b/>
                <w:noProof/>
                <w:sz w:val="16"/>
              </w:rPr>
              <w:t>Commission</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Total 2017</w:t>
            </w:r>
          </w:p>
        </w:tc>
      </w:tr>
      <w:tr>
        <w:trPr>
          <w:trHeight w:val="225"/>
        </w:trPr>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rPr>
            </w:pP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BEI</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Commission</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BEI</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Commission</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Commission</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BEI</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Commission</w:t>
            </w:r>
          </w:p>
        </w:tc>
        <w:tc>
          <w:tcPr>
            <w:tcW w:w="0" w:type="auto"/>
            <w:vMerge/>
            <w:tcBorders>
              <w:top w:val="single" w:sz="4" w:space="0" w:color="auto"/>
              <w:left w:val="nil"/>
              <w:bottom w:val="single" w:sz="4" w:space="0" w:color="auto"/>
              <w:right w:val="nil"/>
            </w:tcBorders>
            <w:vAlign w:val="center"/>
            <w:hideMark/>
          </w:tcPr>
          <w:p>
            <w:pPr>
              <w:spacing w:after="0" w:line="240" w:lineRule="auto"/>
              <w:rPr>
                <w:rFonts w:ascii="Times New Roman" w:eastAsia="Times New Roman" w:hAnsi="Times New Roman" w:cs="Times New Roman"/>
                <w:b/>
                <w:bCs/>
                <w:noProof/>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rPr>
            </w:pPr>
          </w:p>
        </w:tc>
      </w:tr>
      <w:tr>
        <w:trPr>
          <w:trHeight w:val="225"/>
        </w:trPr>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10</w:t>
            </w:r>
            <w:r>
              <w:rPr>
                <w:rFonts w:ascii="Times New Roman" w:hAnsi="Times New Roman"/>
                <w:b/>
                <w:noProof/>
                <w:sz w:val="16"/>
                <w:vertAlign w:val="superscript"/>
              </w:rPr>
              <w:t>e</w:t>
            </w:r>
            <w:r>
              <w:rPr>
                <w:rFonts w:ascii="Times New Roman" w:hAnsi="Times New Roman"/>
                <w:b/>
                <w:noProof/>
                <w:sz w:val="16"/>
              </w:rPr>
              <w:t xml:space="preserve"> FED</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10</w:t>
            </w:r>
            <w:r>
              <w:rPr>
                <w:rFonts w:ascii="Times New Roman" w:hAnsi="Times New Roman"/>
                <w:b/>
                <w:noProof/>
                <w:sz w:val="16"/>
                <w:vertAlign w:val="superscript"/>
              </w:rPr>
              <w:t>e</w:t>
            </w:r>
            <w:r>
              <w:rPr>
                <w:rFonts w:ascii="Times New Roman" w:hAnsi="Times New Roman"/>
                <w:b/>
                <w:noProof/>
                <w:sz w:val="16"/>
              </w:rPr>
              <w:t xml:space="preserve"> FED</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10</w:t>
            </w:r>
            <w:r>
              <w:rPr>
                <w:rFonts w:ascii="Times New Roman" w:hAnsi="Times New Roman"/>
                <w:b/>
                <w:noProof/>
                <w:sz w:val="16"/>
                <w:vertAlign w:val="superscript"/>
              </w:rPr>
              <w:t>e</w:t>
            </w:r>
            <w:r>
              <w:rPr>
                <w:rFonts w:ascii="Times New Roman" w:hAnsi="Times New Roman"/>
                <w:b/>
                <w:noProof/>
                <w:sz w:val="16"/>
              </w:rPr>
              <w:t xml:space="preserve"> FED</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10</w:t>
            </w:r>
            <w:r>
              <w:rPr>
                <w:rFonts w:ascii="Times New Roman" w:hAnsi="Times New Roman"/>
                <w:b/>
                <w:noProof/>
                <w:sz w:val="16"/>
                <w:vertAlign w:val="superscript"/>
              </w:rPr>
              <w:t>e</w:t>
            </w:r>
            <w:r>
              <w:rPr>
                <w:rFonts w:ascii="Times New Roman" w:hAnsi="Times New Roman"/>
                <w:b/>
                <w:noProof/>
                <w:sz w:val="16"/>
              </w:rPr>
              <w:t xml:space="preserve"> FED</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11</w:t>
            </w:r>
            <w:r>
              <w:rPr>
                <w:rFonts w:ascii="Times New Roman" w:hAnsi="Times New Roman"/>
                <w:b/>
                <w:noProof/>
                <w:sz w:val="16"/>
                <w:vertAlign w:val="superscript"/>
              </w:rPr>
              <w:t>e</w:t>
            </w:r>
            <w:r>
              <w:rPr>
                <w:rFonts w:ascii="Times New Roman" w:hAnsi="Times New Roman"/>
                <w:b/>
                <w:noProof/>
                <w:sz w:val="16"/>
              </w:rPr>
              <w:t xml:space="preserve"> FED</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10</w:t>
            </w:r>
            <w:r>
              <w:rPr>
                <w:rFonts w:ascii="Times New Roman" w:hAnsi="Times New Roman"/>
                <w:b/>
                <w:noProof/>
                <w:sz w:val="16"/>
                <w:vertAlign w:val="superscript"/>
              </w:rPr>
              <w:t>e</w:t>
            </w:r>
            <w:r>
              <w:rPr>
                <w:rFonts w:ascii="Times New Roman" w:hAnsi="Times New Roman"/>
                <w:b/>
                <w:noProof/>
                <w:sz w:val="16"/>
              </w:rPr>
              <w:t xml:space="preserve"> FED</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11</w:t>
            </w:r>
            <w:r>
              <w:rPr>
                <w:rFonts w:ascii="Times New Roman" w:hAnsi="Times New Roman"/>
                <w:b/>
                <w:noProof/>
                <w:sz w:val="16"/>
                <w:vertAlign w:val="superscript"/>
              </w:rPr>
              <w:t>e</w:t>
            </w:r>
            <w:r>
              <w:rPr>
                <w:rFonts w:ascii="Times New Roman" w:hAnsi="Times New Roman"/>
                <w:b/>
                <w:noProof/>
                <w:sz w:val="16"/>
              </w:rPr>
              <w:t xml:space="preserve"> FED</w:t>
            </w:r>
          </w:p>
        </w:tc>
        <w:tc>
          <w:tcPr>
            <w:tcW w:w="0" w:type="auto"/>
            <w:vMerge/>
            <w:tcBorders>
              <w:top w:val="single" w:sz="4" w:space="0" w:color="auto"/>
              <w:left w:val="nil"/>
              <w:bottom w:val="single" w:sz="4" w:space="0" w:color="auto"/>
              <w:right w:val="nil"/>
            </w:tcBorders>
            <w:vAlign w:val="center"/>
            <w:hideMark/>
          </w:tcPr>
          <w:p>
            <w:pPr>
              <w:spacing w:after="0" w:line="240" w:lineRule="auto"/>
              <w:rPr>
                <w:rFonts w:ascii="Times New Roman" w:eastAsia="Times New Roman" w:hAnsi="Times New Roman" w:cs="Times New Roman"/>
                <w:b/>
                <w:bCs/>
                <w:noProof/>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rPr>
            </w:pP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BELGIQUE</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3 530 000,00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60 010 000,00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1 765 000,00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2 586 394,39</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39 859 803,57</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27 618 795,00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5 295 000,00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130 074 992,96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135 369 992,96</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BULGARIE</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140 000,00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2 380 000,00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102 576,55</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2 680 775,34</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1 857 505,00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210 000,00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7 020 856,88</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7 230 856,88</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RÉPUBLIQUE TCHÈQUE</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510 000,00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8 670 000,00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255 000,00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373 671,71</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9 782 566,65</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6 778 325,00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765 000,00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25 604 563,37</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26 369 563,37</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DANEMARK</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2 000 000,00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34 000 000,00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1 000 000,00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1 465 379,26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24 294 794,82</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16 833 825,00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3 000 000,00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76 593 999,08</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79 593 999,08</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ALLEMAGNE</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20 500 000,00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348 500 000,00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10 250 000,00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15 020 137,42</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252 458 793,95</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174 928 300,00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30 750 000,00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790 907 231,37</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821 657 231,37</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ESTONIE</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850 000,00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36 634,48</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1 059 282,25</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733 975,00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2 679 891,73</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2 754 891,73</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IRLANDE</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910 000,00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15 470 000,00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455 000,00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666 747,56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11 532 007,79</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7 990 510,00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1 365 000,00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35 659 265,35</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37 024 265,35</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GRÈCE</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1 470 000,00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24 990 000,00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735 000,00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1 077 053,76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18 491 130,29</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12 812 475,00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2 205 000,00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57 370 659,04</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59 575 659,04</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ESPAGNE</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7 850 000,00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133 450 000,00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3 925 000,00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5 751 613,60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97 310 194,16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67 426 080,00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11 775 000,00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303 937 887,76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315 712 887,76</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FRANCE</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19 550 000,00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332 350 000,00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9 775 000,00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14 324 082,27</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218 513 796,75</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151 407 865,00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29 325 000,00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716 595 744,02</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745 920 744,02</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CROATIE</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2 762 352,95</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1 914 030,00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4 676 382,95</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4 676 382,95</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ITALIE</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12 860 000,00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218 620 000,00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6 430 000,00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9 422 388,64</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153 710 502,99</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106 505 765,00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19 290 000,00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488 258 656,64</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507 548 656,64</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CHYPRE</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1 530 000,00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65 942,07</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1 369 277,18</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948 770,00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135 000,00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3 913 989,25</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4 048 989,25</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LETTONIE</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1 190 000,00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51 288,27</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1 424 480,08</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987 020,00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3 652 788,35</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3 757 788,35</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LITUANIE</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120 000,00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2 040 000,00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87 922,76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2 217 561,70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1 536 545,00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180 000,00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5 882 029,45</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6 062 029,45</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LUXEMBOURG</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270 000,00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4 590 000,00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135 000,00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197 826,20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3 129 268,20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2 168 265,00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405 000,00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10 085 359,40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10 490 359,40</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HONGRIE</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550 000,00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9 350 000,00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275 000,00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402 979,30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7 538 998,26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5 223 760,00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825 000,00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22 515 737,56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23 340 737,56</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MALTE</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510 000,00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21 980,69</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466 280,47</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323 085,00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1 321 346,16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1 366 346,16</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PAYS-BAS</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4 850 000,00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82 450 000,00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2 425 000,00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3 553 544,71</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58 598 242,83</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40 602 630,00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7 275 000,00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185 204 417,53</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192 479 417,53</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AUTRICHE</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2 410 000,00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40 970 000,00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1 205 000,00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1 765 782,01</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29 411 735,32</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20 379 345,00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3 615 000,00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92 526 862,33</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96 141 862,33</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POLOGNE</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1 300 000,00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22 100 000,00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650 000,00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952 496,52</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24 624 662,80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17 062 390,00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1 950 000,00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64 739 549,32</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66 689 549,32</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PORTUGAL</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1 150 000,00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19 550 000,00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575 000,00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842 593,07</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14 681 394,38</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10 172 715,00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1 725 000,00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45 246 702,45</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46 971 702,45</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ROUMANIE</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370 000,00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6 290 000,00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185 000,00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271 095,16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8 809 768,94</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6 104 275,00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555 000,00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21 475 139,11</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22 030 139,11</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SLOVÉNIE</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180 000,00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3 060 000,00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131 884,13</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2 754 256,52</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1 908 420,00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270 000,00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7 854 560,66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8 124 560,66</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SLOVAQUIE</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210 000,00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3 570 000,00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153 864,82</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4 614 471,47</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3 197 360,00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315 000,00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11 535 696,29</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11 850 696,29</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FINLANDE</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1 470 000,00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24 990 000,00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735 000,00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1 077 053,76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18 512 475,41</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12 827 265,00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2 205 000,00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57 406 794,16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59 611 794,16</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SUÈDE</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2 740 000,00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46 580 000,00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1 370 000,00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2 007 569,59</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36 054 974,58</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24 982 435,00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4 110 000,00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109 624 979,17</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113 734 979,17</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ROYAUME-UNI</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14 820 000,00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251 940 000,00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7 410 000,00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10 858 460,32</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180 067 187,34</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124 768 270,00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22 230 000,00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567 633 917,66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589 863 917,66</w:t>
            </w:r>
          </w:p>
        </w:tc>
      </w:tr>
      <w:tr>
        <w:trPr>
          <w:trHeight w:val="28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TOTAL UE-28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100 000 000,00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1 700 000 000,00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50 000 000,00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73 268 963,00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1 226 731 037,00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850 000 000,00</w:t>
            </w:r>
          </w:p>
        </w:tc>
        <w:tc>
          <w:tcPr>
            <w:tcW w:w="0" w:type="auto"/>
            <w:tcBorders>
              <w:top w:val="single" w:sz="4" w:space="0" w:color="auto"/>
              <w:left w:val="nil"/>
              <w:bottom w:val="single" w:sz="4"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150 000 000,00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3 850 000 000,00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4 000 000 000,00</w:t>
            </w:r>
          </w:p>
        </w:tc>
      </w:tr>
    </w:tbl>
    <w:p>
      <w:pPr>
        <w:rPr>
          <w:noProof/>
        </w:rPr>
      </w:pPr>
    </w:p>
    <w:p>
      <w:pPr>
        <w:pStyle w:val="Heading2"/>
        <w:numPr>
          <w:ilvl w:val="1"/>
          <w:numId w:val="1"/>
        </w:numPr>
        <w:rPr>
          <w:noProof/>
        </w:rPr>
      </w:pPr>
      <w:r>
        <w:rPr>
          <w:noProof/>
        </w:rPr>
        <w:t>Annexe 5: contributions des États membres pour la période 2017</w:t>
      </w:r>
      <w:r>
        <w:rPr>
          <w:noProof/>
        </w:rPr>
        <w:noBreakHyphen/>
        <w:t>2020 (en EUR)</w:t>
      </w:r>
    </w:p>
    <w:tbl>
      <w:tblPr>
        <w:tblW w:w="13902" w:type="dxa"/>
        <w:tblInd w:w="98" w:type="dxa"/>
        <w:tblLook w:val="04A0" w:firstRow="1" w:lastRow="0" w:firstColumn="1" w:lastColumn="0" w:noHBand="0" w:noVBand="1"/>
      </w:tblPr>
      <w:tblGrid>
        <w:gridCol w:w="1851"/>
        <w:gridCol w:w="877"/>
        <w:gridCol w:w="936"/>
        <w:gridCol w:w="1060"/>
        <w:gridCol w:w="1250"/>
        <w:gridCol w:w="1134"/>
        <w:gridCol w:w="1067"/>
        <w:gridCol w:w="1143"/>
        <w:gridCol w:w="1067"/>
        <w:gridCol w:w="1195"/>
        <w:gridCol w:w="1067"/>
        <w:gridCol w:w="1255"/>
      </w:tblGrid>
      <w:tr>
        <w:trPr>
          <w:trHeight w:val="255"/>
        </w:trPr>
        <w:tc>
          <w:tcPr>
            <w:tcW w:w="185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ÉTATS MEMBRES</w:t>
            </w:r>
          </w:p>
        </w:tc>
        <w:tc>
          <w:tcPr>
            <w:tcW w:w="877" w:type="dxa"/>
            <w:tcBorders>
              <w:top w:val="single" w:sz="8" w:space="0" w:color="auto"/>
              <w:left w:val="nil"/>
              <w:bottom w:val="nil"/>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Clé 10</w:t>
            </w:r>
            <w:r>
              <w:rPr>
                <w:rFonts w:ascii="Times New Roman" w:hAnsi="Times New Roman"/>
                <w:b/>
                <w:noProof/>
                <w:sz w:val="16"/>
                <w:vertAlign w:val="superscript"/>
              </w:rPr>
              <w:t>e</w:t>
            </w:r>
          </w:p>
        </w:tc>
        <w:tc>
          <w:tcPr>
            <w:tcW w:w="936" w:type="dxa"/>
            <w:tcBorders>
              <w:top w:val="single" w:sz="8" w:space="0" w:color="auto"/>
              <w:left w:val="nil"/>
              <w:bottom w:val="nil"/>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Clé 11</w:t>
            </w:r>
            <w:r>
              <w:rPr>
                <w:rFonts w:ascii="Times New Roman" w:hAnsi="Times New Roman"/>
                <w:b/>
                <w:noProof/>
                <w:sz w:val="16"/>
                <w:vertAlign w:val="superscript"/>
              </w:rPr>
              <w:t>e</w:t>
            </w:r>
          </w:p>
        </w:tc>
        <w:tc>
          <w:tcPr>
            <w:tcW w:w="3444" w:type="dxa"/>
            <w:gridSpan w:val="3"/>
            <w:tcBorders>
              <w:top w:val="single" w:sz="8" w:space="0" w:color="auto"/>
              <w:left w:val="nil"/>
              <w:bottom w:val="single" w:sz="8" w:space="0" w:color="auto"/>
              <w:right w:val="single" w:sz="8" w:space="0" w:color="000000"/>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2017</w:t>
            </w:r>
          </w:p>
        </w:tc>
        <w:tc>
          <w:tcPr>
            <w:tcW w:w="2210" w:type="dxa"/>
            <w:gridSpan w:val="2"/>
            <w:tcBorders>
              <w:top w:val="single" w:sz="8" w:space="0" w:color="auto"/>
              <w:left w:val="nil"/>
              <w:bottom w:val="single" w:sz="8" w:space="0" w:color="auto"/>
              <w:right w:val="single" w:sz="8" w:space="0" w:color="000000"/>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2018</w:t>
            </w:r>
          </w:p>
        </w:tc>
        <w:tc>
          <w:tcPr>
            <w:tcW w:w="2262" w:type="dxa"/>
            <w:gridSpan w:val="2"/>
            <w:tcBorders>
              <w:top w:val="single" w:sz="8" w:space="0" w:color="auto"/>
              <w:left w:val="nil"/>
              <w:bottom w:val="single" w:sz="8" w:space="0" w:color="auto"/>
              <w:right w:val="single" w:sz="8" w:space="0" w:color="000000"/>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2019</w:t>
            </w:r>
          </w:p>
        </w:tc>
        <w:tc>
          <w:tcPr>
            <w:tcW w:w="2322" w:type="dxa"/>
            <w:gridSpan w:val="2"/>
            <w:tcBorders>
              <w:top w:val="single" w:sz="8" w:space="0" w:color="auto"/>
              <w:left w:val="nil"/>
              <w:bottom w:val="single" w:sz="8" w:space="0" w:color="auto"/>
              <w:right w:val="single" w:sz="8" w:space="0" w:color="000000"/>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2020</w:t>
            </w:r>
          </w:p>
        </w:tc>
      </w:tr>
      <w:tr>
        <w:trPr>
          <w:trHeight w:val="255"/>
        </w:trPr>
        <w:tc>
          <w:tcPr>
            <w:tcW w:w="1851" w:type="dxa"/>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cs="Times New Roman"/>
                <w:b/>
                <w:bCs/>
                <w:noProof/>
                <w:sz w:val="16"/>
                <w:szCs w:val="16"/>
              </w:rPr>
            </w:pPr>
          </w:p>
        </w:tc>
        <w:tc>
          <w:tcPr>
            <w:tcW w:w="877" w:type="dxa"/>
            <w:tcBorders>
              <w:top w:val="dashed" w:sz="4" w:space="0" w:color="auto"/>
              <w:left w:val="nil"/>
              <w:bottom w:val="single" w:sz="8" w:space="0" w:color="auto"/>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FED (%)</w:t>
            </w:r>
          </w:p>
        </w:tc>
        <w:tc>
          <w:tcPr>
            <w:tcW w:w="936" w:type="dxa"/>
            <w:tcBorders>
              <w:top w:val="dashed" w:sz="4" w:space="0" w:color="auto"/>
              <w:left w:val="nil"/>
              <w:bottom w:val="single" w:sz="8" w:space="0" w:color="auto"/>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FED (%)</w:t>
            </w:r>
          </w:p>
        </w:tc>
        <w:tc>
          <w:tcPr>
            <w:tcW w:w="1060" w:type="dxa"/>
            <w:tcBorders>
              <w:top w:val="nil"/>
              <w:left w:val="nil"/>
              <w:bottom w:val="single" w:sz="8" w:space="0" w:color="auto"/>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COM 10</w:t>
            </w:r>
            <w:r>
              <w:rPr>
                <w:rFonts w:ascii="Times New Roman" w:hAnsi="Times New Roman"/>
                <w:b/>
                <w:noProof/>
                <w:sz w:val="16"/>
                <w:vertAlign w:val="superscript"/>
              </w:rPr>
              <w:t>e</w:t>
            </w:r>
          </w:p>
        </w:tc>
        <w:tc>
          <w:tcPr>
            <w:tcW w:w="1250" w:type="dxa"/>
            <w:tcBorders>
              <w:top w:val="nil"/>
              <w:left w:val="single" w:sz="4" w:space="0" w:color="auto"/>
              <w:bottom w:val="single" w:sz="8" w:space="0" w:color="auto"/>
              <w:right w:val="single" w:sz="4"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COM 11</w:t>
            </w:r>
            <w:r>
              <w:rPr>
                <w:rFonts w:ascii="Times New Roman" w:hAnsi="Times New Roman"/>
                <w:b/>
                <w:noProof/>
                <w:sz w:val="16"/>
                <w:vertAlign w:val="superscript"/>
              </w:rPr>
              <w:t>e</w:t>
            </w:r>
          </w:p>
        </w:tc>
        <w:tc>
          <w:tcPr>
            <w:tcW w:w="1134" w:type="dxa"/>
            <w:tcBorders>
              <w:top w:val="nil"/>
              <w:left w:val="nil"/>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BEI 10</w:t>
            </w:r>
            <w:r>
              <w:rPr>
                <w:rFonts w:ascii="Times New Roman" w:hAnsi="Times New Roman"/>
                <w:b/>
                <w:noProof/>
                <w:sz w:val="16"/>
                <w:vertAlign w:val="superscript"/>
              </w:rPr>
              <w:t>e</w:t>
            </w:r>
          </w:p>
        </w:tc>
        <w:tc>
          <w:tcPr>
            <w:tcW w:w="1067" w:type="dxa"/>
            <w:tcBorders>
              <w:top w:val="nil"/>
              <w:left w:val="nil"/>
              <w:bottom w:val="single" w:sz="8"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COM 11</w:t>
            </w:r>
            <w:r>
              <w:rPr>
                <w:rFonts w:ascii="Times New Roman" w:hAnsi="Times New Roman"/>
                <w:b/>
                <w:noProof/>
                <w:sz w:val="16"/>
                <w:vertAlign w:val="superscript"/>
              </w:rPr>
              <w:t>e</w:t>
            </w:r>
          </w:p>
        </w:tc>
        <w:tc>
          <w:tcPr>
            <w:tcW w:w="1143" w:type="dxa"/>
            <w:tcBorders>
              <w:top w:val="nil"/>
              <w:left w:val="nil"/>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BEI 10</w:t>
            </w:r>
            <w:r>
              <w:rPr>
                <w:rFonts w:ascii="Times New Roman" w:hAnsi="Times New Roman"/>
                <w:b/>
                <w:noProof/>
                <w:sz w:val="16"/>
                <w:vertAlign w:val="superscript"/>
              </w:rPr>
              <w:t>e</w:t>
            </w:r>
          </w:p>
        </w:tc>
        <w:tc>
          <w:tcPr>
            <w:tcW w:w="1067" w:type="dxa"/>
            <w:tcBorders>
              <w:top w:val="nil"/>
              <w:left w:val="nil"/>
              <w:bottom w:val="single" w:sz="8"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COM 11</w:t>
            </w:r>
            <w:r>
              <w:rPr>
                <w:rFonts w:ascii="Times New Roman" w:hAnsi="Times New Roman"/>
                <w:b/>
                <w:noProof/>
                <w:sz w:val="16"/>
                <w:vertAlign w:val="superscript"/>
              </w:rPr>
              <w:t>e</w:t>
            </w:r>
          </w:p>
        </w:tc>
        <w:tc>
          <w:tcPr>
            <w:tcW w:w="1195" w:type="dxa"/>
            <w:tcBorders>
              <w:top w:val="nil"/>
              <w:left w:val="nil"/>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BEI 10</w:t>
            </w:r>
            <w:r>
              <w:rPr>
                <w:rFonts w:ascii="Times New Roman" w:hAnsi="Times New Roman"/>
                <w:b/>
                <w:noProof/>
                <w:sz w:val="16"/>
                <w:vertAlign w:val="superscript"/>
              </w:rPr>
              <w:t>e</w:t>
            </w:r>
          </w:p>
        </w:tc>
        <w:tc>
          <w:tcPr>
            <w:tcW w:w="1067" w:type="dxa"/>
            <w:tcBorders>
              <w:top w:val="nil"/>
              <w:left w:val="nil"/>
              <w:bottom w:val="single" w:sz="8"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COM 11</w:t>
            </w:r>
            <w:r>
              <w:rPr>
                <w:rFonts w:ascii="Times New Roman" w:hAnsi="Times New Roman"/>
                <w:b/>
                <w:noProof/>
                <w:sz w:val="16"/>
                <w:vertAlign w:val="superscript"/>
              </w:rPr>
              <w:t>e</w:t>
            </w:r>
          </w:p>
        </w:tc>
        <w:tc>
          <w:tcPr>
            <w:tcW w:w="1255" w:type="dxa"/>
            <w:tcBorders>
              <w:top w:val="nil"/>
              <w:left w:val="nil"/>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BEI 10</w:t>
            </w:r>
            <w:r>
              <w:rPr>
                <w:rFonts w:ascii="Times New Roman" w:hAnsi="Times New Roman"/>
                <w:b/>
                <w:noProof/>
                <w:sz w:val="16"/>
                <w:vertAlign w:val="superscript"/>
              </w:rPr>
              <w:t>e</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BELGIQUE</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3,53</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3,24927</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62 596 394</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67 478 599</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5 295 000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147 841 785</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8 825 000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146 217 150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14 120 000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146 217 150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14 120 000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BULGARIE</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0,14</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0,21853</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2 482 577</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4 538 280</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210 000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9 943 115</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350 000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9 833 850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560 000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9 833 850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560 000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RÉP. TCHÈQUE</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0,51</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0,79745</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9 043 672</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16 560 892</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765 000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36 283 975</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1 275 000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35 885 250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2 040 000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35 885 250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2 040 000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DANEMARK</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2,00</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1,98045</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35 465 379</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41 128 620</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3 000 000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90 110 475</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5 000 000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89 120 250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8 000 000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89 120 250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8 000 000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ALLEMAGNE</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20,50</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20,57980</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363 520 137</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427 387 094</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30 750 000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936 380 900</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51 250 000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926 091 000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82 000 000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926 091 000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82 000 000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ESTONIE</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0,05</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0,08635</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886 634</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1 793 257</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3 928 925</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125 000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3 885 750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200 000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3 885 750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200 000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IRLANDE</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0,91</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0,94006</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16 136 748</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19 522 518</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1 365 000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42 772 730</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2 275 000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42 302 700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3 640 000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42 302 700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3 640 000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GRÈCE</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1,47</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1,50735</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26 067 054</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31 303 605</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2 205 000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68 584 425</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3 675 000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67 830 750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5 880 000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67 830 750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5 880 000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ESPAGNE</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7,85</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7,93248</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139 201 614</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164 736 274</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11 775 000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360 927 840</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19 625 000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356 961 600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31 400 000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356 961 600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31 400 000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FRANCE</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19,55</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17,81269</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346 674 082</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369 921 662</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29 325 000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810 477 395</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48 875 000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801 571 050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78 200 000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801 571 050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78 200 000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CROATIE</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0,00</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0,22518</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4 676 383</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10 245 690</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10 133 100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10 133 100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ITALIE</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12,86</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12,53009</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228 042 389</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260 216 268</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19 290 000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570 119 095</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32 150 000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563 854 050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51 440 000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563 854 050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51 440 000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CHYPRE</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0,09</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0,11162</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1 595 942</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2 318 047</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135 000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5 078 710</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225 000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5 022 900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360 000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5 022 900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360 000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LETTONIE</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0,07</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0,11612</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1 241 288</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2 411 500</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5 283 460</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175 000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5 225 400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280 000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5 225 400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280 000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LITUANIE</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0,12</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0,18077</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2 127 923</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3 754 107</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180 000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8 225 035</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300 000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8 134 650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480 000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8 134 650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480 000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LUXEMBOURG</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0,27</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0,25509</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4 787 826</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5 297 533</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405 000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11 606 595</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675 000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11 479 050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1 080 000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11 479 050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1 080 000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HONGRIE</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0,55</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0,61456</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9 752 979</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12 762 758</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825 000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27 962 480</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1 375 000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27 655 200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2 200 000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27 655 200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2 200 000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MALTE</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0,03</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0,03801</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531 981</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789 365</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1 729 455</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1 710 450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120 000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1 710 450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120 000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PAYS-BAS</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4,85</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4,77678</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86 003 545</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99 200 873</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7 275 000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217 343 490</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12 125 000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214 955 100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19 400 000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214 955 100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19 400 000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AUTRICHE</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2,41</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2,39757</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42 735 782</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49 791 080</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3 615 000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109 089 435</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6 025 000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107 890 650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9 640 000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107 890 650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9 640 000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POLOGNE</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1,30</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2,00734</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23 052 497</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41 687 053</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1 950 000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91 333 970</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3 250 000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90 330 300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5 200 000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90 330 300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5 200 000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PORTUGAL</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1,15</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1,19679</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20 392 593</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24 854 109</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1 725 000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54 453 945</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2 875 000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53 855 550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4 600 000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53 855 550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4 600 000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ROUMANIE</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0,37</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0,71815</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6 561 095</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14 914 044</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555 000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32 675 825</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925 000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32 316 750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1 480 000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32 316 750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1 480 000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SLOVÉNIE</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0,18</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0,22452</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3 191 884</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4 662 677</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270 000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10 215 660</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450 000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10 103 400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720 000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10 103 400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720 000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SLOVAQUIE</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0,21</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0,37616</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3 723 865</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7 811 831</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315 000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17 115 280</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525 000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16 927 200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840 000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16 927 200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840 000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FINLANDE</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1,47</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1,50909</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26 067 054</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31 339 740</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2 205 000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68 663 595</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3 675 000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67 909 050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5 880 000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67 909 050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5 880 000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SUÈDE</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2,74</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2,93911</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48 587 570</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61 037 410</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4 110 000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133 729 505</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6 850 000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132 259 950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10 960 000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132 259 950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10 960 000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ROYAUME-UNI</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14,82</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14,67862</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262 798 460</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304 835 457</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22 230 000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667 877 210</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37 050 000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660 537 900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59 280 000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660 537 900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59 280 000</w:t>
            </w:r>
          </w:p>
        </w:tc>
      </w:tr>
      <w:tr>
        <w:trPr>
          <w:trHeight w:val="255"/>
        </w:trPr>
        <w:tc>
          <w:tcPr>
            <w:tcW w:w="1851"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TOTAL UE-28</w:t>
            </w:r>
          </w:p>
        </w:tc>
        <w:tc>
          <w:tcPr>
            <w:tcW w:w="877" w:type="dxa"/>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noProof/>
                <w:sz w:val="14"/>
              </w:rPr>
              <w:t>100,00</w:t>
            </w:r>
          </w:p>
        </w:tc>
        <w:tc>
          <w:tcPr>
            <w:tcW w:w="936" w:type="dxa"/>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noProof/>
                <w:sz w:val="14"/>
              </w:rPr>
              <w:t>100,00</w:t>
            </w:r>
          </w:p>
        </w:tc>
        <w:tc>
          <w:tcPr>
            <w:tcW w:w="1060" w:type="dxa"/>
            <w:tcBorders>
              <w:top w:val="single" w:sz="8" w:space="0" w:color="auto"/>
              <w:left w:val="nil"/>
              <w:bottom w:val="single" w:sz="8" w:space="0" w:color="auto"/>
              <w:right w:val="nil"/>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1 773 268 963</w:t>
            </w:r>
          </w:p>
        </w:tc>
        <w:tc>
          <w:tcPr>
            <w:tcW w:w="1250" w:type="dxa"/>
            <w:tcBorders>
              <w:top w:val="single" w:sz="8" w:space="0" w:color="auto"/>
              <w:left w:val="single" w:sz="4" w:space="0" w:color="auto"/>
              <w:bottom w:val="single" w:sz="8" w:space="0" w:color="auto"/>
              <w:right w:val="single" w:sz="4"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2 076 731 037</w:t>
            </w:r>
          </w:p>
        </w:tc>
        <w:tc>
          <w:tcPr>
            <w:tcW w:w="1134" w:type="dxa"/>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150 000 000</w:t>
            </w:r>
          </w:p>
        </w:tc>
        <w:tc>
          <w:tcPr>
            <w:tcW w:w="1067" w:type="dxa"/>
            <w:tcBorders>
              <w:top w:val="single" w:sz="8" w:space="0" w:color="auto"/>
              <w:left w:val="nil"/>
              <w:bottom w:val="single" w:sz="8" w:space="0" w:color="auto"/>
              <w:right w:val="single" w:sz="4"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4 550 000 000</w:t>
            </w:r>
          </w:p>
        </w:tc>
        <w:tc>
          <w:tcPr>
            <w:tcW w:w="1143" w:type="dxa"/>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250 000 000</w:t>
            </w:r>
          </w:p>
        </w:tc>
        <w:tc>
          <w:tcPr>
            <w:tcW w:w="1067" w:type="dxa"/>
            <w:tcBorders>
              <w:top w:val="single" w:sz="8" w:space="0" w:color="auto"/>
              <w:left w:val="nil"/>
              <w:bottom w:val="single" w:sz="8" w:space="0" w:color="auto"/>
              <w:right w:val="single" w:sz="4"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4 500 000 000</w:t>
            </w:r>
          </w:p>
        </w:tc>
        <w:tc>
          <w:tcPr>
            <w:tcW w:w="1195" w:type="dxa"/>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400 000 000</w:t>
            </w:r>
          </w:p>
        </w:tc>
        <w:tc>
          <w:tcPr>
            <w:tcW w:w="1067" w:type="dxa"/>
            <w:tcBorders>
              <w:top w:val="single" w:sz="8" w:space="0" w:color="auto"/>
              <w:left w:val="nil"/>
              <w:bottom w:val="single" w:sz="8" w:space="0" w:color="auto"/>
              <w:right w:val="single" w:sz="4"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4 500 000 000</w:t>
            </w:r>
          </w:p>
        </w:tc>
        <w:tc>
          <w:tcPr>
            <w:tcW w:w="1255" w:type="dxa"/>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400 000 000</w:t>
            </w:r>
          </w:p>
        </w:tc>
      </w:tr>
      <w:tr>
        <w:trPr>
          <w:trHeight w:val="255"/>
        </w:trPr>
        <w:tc>
          <w:tcPr>
            <w:tcW w:w="1851" w:type="dxa"/>
            <w:tcBorders>
              <w:top w:val="nil"/>
              <w:left w:val="nil"/>
              <w:bottom w:val="nil"/>
              <w:right w:val="nil"/>
            </w:tcBorders>
            <w:shd w:val="clear" w:color="000000" w:fill="FFFFFF"/>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 </w:t>
            </w:r>
          </w:p>
        </w:tc>
        <w:tc>
          <w:tcPr>
            <w:tcW w:w="877" w:type="dxa"/>
            <w:tcBorders>
              <w:top w:val="nil"/>
              <w:left w:val="nil"/>
              <w:bottom w:val="nil"/>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noProof/>
                <w:sz w:val="14"/>
              </w:rPr>
              <w:t> </w:t>
            </w:r>
          </w:p>
        </w:tc>
        <w:tc>
          <w:tcPr>
            <w:tcW w:w="936" w:type="dxa"/>
            <w:tcBorders>
              <w:top w:val="nil"/>
              <w:left w:val="nil"/>
              <w:bottom w:val="nil"/>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noProof/>
                <w:sz w:val="14"/>
              </w:rPr>
              <w:t> </w:t>
            </w:r>
          </w:p>
        </w:tc>
        <w:tc>
          <w:tcPr>
            <w:tcW w:w="3444" w:type="dxa"/>
            <w:gridSpan w:val="3"/>
            <w:tcBorders>
              <w:top w:val="single" w:sz="8" w:space="0" w:color="auto"/>
              <w:left w:val="single" w:sz="8" w:space="0" w:color="auto"/>
              <w:bottom w:val="single" w:sz="8" w:space="0" w:color="auto"/>
              <w:right w:val="single" w:sz="8" w:space="0" w:color="000000"/>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noProof/>
                <w:sz w:val="14"/>
              </w:rPr>
              <w:t>4 000 000 000</w:t>
            </w:r>
          </w:p>
        </w:tc>
        <w:tc>
          <w:tcPr>
            <w:tcW w:w="2210" w:type="dxa"/>
            <w:gridSpan w:val="2"/>
            <w:tcBorders>
              <w:top w:val="single" w:sz="8" w:space="0" w:color="auto"/>
              <w:left w:val="nil"/>
              <w:bottom w:val="single" w:sz="8" w:space="0" w:color="auto"/>
              <w:right w:val="single" w:sz="8" w:space="0" w:color="000000"/>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noProof/>
                <w:sz w:val="14"/>
              </w:rPr>
              <w:t>4 800 000 000</w:t>
            </w:r>
          </w:p>
        </w:tc>
        <w:tc>
          <w:tcPr>
            <w:tcW w:w="2262" w:type="dxa"/>
            <w:gridSpan w:val="2"/>
            <w:tcBorders>
              <w:top w:val="single" w:sz="8" w:space="0" w:color="auto"/>
              <w:left w:val="nil"/>
              <w:bottom w:val="single" w:sz="8" w:space="0" w:color="auto"/>
              <w:right w:val="single" w:sz="8" w:space="0" w:color="000000"/>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noProof/>
                <w:sz w:val="14"/>
              </w:rPr>
              <w:t>4 900 000 000</w:t>
            </w:r>
          </w:p>
        </w:tc>
        <w:tc>
          <w:tcPr>
            <w:tcW w:w="2322" w:type="dxa"/>
            <w:gridSpan w:val="2"/>
            <w:tcBorders>
              <w:top w:val="single" w:sz="8" w:space="0" w:color="auto"/>
              <w:left w:val="nil"/>
              <w:bottom w:val="single" w:sz="8" w:space="0" w:color="auto"/>
              <w:right w:val="single" w:sz="8" w:space="0" w:color="000000"/>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noProof/>
                <w:sz w:val="14"/>
              </w:rPr>
              <w:t>4 900 000 000</w:t>
            </w:r>
          </w:p>
        </w:tc>
      </w:tr>
    </w:tbl>
    <w:p>
      <w:pPr>
        <w:rPr>
          <w:noProof/>
        </w:rPr>
      </w:pPr>
      <w:r>
        <w:rPr>
          <w:noProof/>
        </w:rPr>
        <w:br w:type="page"/>
      </w:r>
    </w:p>
    <w:p>
      <w:pPr>
        <w:pStyle w:val="Heading2"/>
        <w:numPr>
          <w:ilvl w:val="1"/>
          <w:numId w:val="1"/>
        </w:numPr>
        <w:rPr>
          <w:noProof/>
        </w:rPr>
        <w:sectPr>
          <w:headerReference w:type="even" r:id="rId23"/>
          <w:headerReference w:type="default" r:id="rId24"/>
          <w:footerReference w:type="even" r:id="rId25"/>
          <w:footerReference w:type="default" r:id="rId26"/>
          <w:headerReference w:type="first" r:id="rId27"/>
          <w:footerReference w:type="first" r:id="rId28"/>
          <w:pgSz w:w="16838" w:h="11906" w:orient="landscape"/>
          <w:pgMar w:top="1417" w:right="1417" w:bottom="1417" w:left="1417" w:header="708" w:footer="708" w:gutter="0"/>
          <w:cols w:space="720"/>
          <w:docGrid w:linePitch="360"/>
        </w:sectPr>
      </w:pPr>
    </w:p>
    <w:p>
      <w:pPr>
        <w:pStyle w:val="Heading2"/>
        <w:numPr>
          <w:ilvl w:val="1"/>
          <w:numId w:val="1"/>
        </w:numPr>
        <w:rPr>
          <w:noProof/>
        </w:rPr>
      </w:pPr>
      <w:r>
        <w:rPr>
          <w:noProof/>
        </w:rPr>
        <w:t>Annexe 6: état des réserves de fonds dégagés de FED antérieurs (en EUR)</w:t>
      </w:r>
    </w:p>
    <w:p>
      <w:pPr>
        <w:jc w:val="both"/>
        <w:rPr>
          <w:rFonts w:ascii="Times New Roman" w:hAnsi="Times New Roman" w:cs="Times New Roman"/>
          <w:noProof/>
          <w:sz w:val="24"/>
          <w:szCs w:val="24"/>
        </w:rPr>
      </w:pPr>
      <w:r>
        <w:rPr>
          <w:rFonts w:ascii="Times New Roman" w:hAnsi="Times New Roman"/>
          <w:noProof/>
          <w:sz w:val="24"/>
        </w:rPr>
        <w:t>Conformément à l’article 61 du règlement (UE) 2015/323 du Conseil portant règlement financier applicable au 11</w:t>
      </w:r>
      <w:r>
        <w:rPr>
          <w:rFonts w:ascii="Times New Roman" w:hAnsi="Times New Roman"/>
          <w:noProof/>
          <w:sz w:val="24"/>
          <w:vertAlign w:val="superscript"/>
        </w:rPr>
        <w:t>e</w:t>
      </w:r>
      <w:r>
        <w:rPr>
          <w:rFonts w:ascii="Times New Roman" w:hAnsi="Times New Roman"/>
          <w:noProof/>
          <w:sz w:val="24"/>
        </w:rPr>
        <w:t xml:space="preserve"> FED</w:t>
      </w:r>
      <w:r>
        <w:rPr>
          <w:rStyle w:val="FootnoteReference"/>
          <w:rFonts w:ascii="Times New Roman" w:hAnsi="Times New Roman"/>
          <w:noProof/>
          <w:sz w:val="24"/>
        </w:rPr>
        <w:footnoteReference w:id="11"/>
      </w:r>
      <w:r>
        <w:rPr>
          <w:rFonts w:ascii="Times New Roman" w:hAnsi="Times New Roman"/>
          <w:noProof/>
          <w:sz w:val="24"/>
        </w:rPr>
        <w:t>, le tableau qui suit indique le montant des réserves de fonds dégagés de FED antérieurs à la fin de 2016 et par FED antérieur (8</w:t>
      </w:r>
      <w:r>
        <w:rPr>
          <w:rFonts w:ascii="Times New Roman" w:hAnsi="Times New Roman"/>
          <w:noProof/>
          <w:sz w:val="24"/>
          <w:vertAlign w:val="superscript"/>
        </w:rPr>
        <w:t>e</w:t>
      </w:r>
      <w:r>
        <w:rPr>
          <w:rFonts w:ascii="Times New Roman" w:hAnsi="Times New Roman"/>
          <w:noProof/>
          <w:sz w:val="24"/>
        </w:rPr>
        <w:t>/9</w:t>
      </w:r>
      <w:r>
        <w:rPr>
          <w:rFonts w:ascii="Times New Roman" w:hAnsi="Times New Roman"/>
          <w:noProof/>
          <w:sz w:val="24"/>
          <w:vertAlign w:val="superscript"/>
        </w:rPr>
        <w:t>e</w:t>
      </w:r>
      <w:r>
        <w:rPr>
          <w:rFonts w:ascii="Times New Roman" w:hAnsi="Times New Roman"/>
          <w:noProof/>
          <w:sz w:val="24"/>
        </w:rPr>
        <w:t xml:space="preserve"> ou 10</w:t>
      </w:r>
      <w:r>
        <w:rPr>
          <w:rFonts w:ascii="Times New Roman" w:hAnsi="Times New Roman"/>
          <w:noProof/>
          <w:sz w:val="24"/>
          <w:vertAlign w:val="superscript"/>
        </w:rPr>
        <w:t>e</w:t>
      </w:r>
      <w:r>
        <w:rPr>
          <w:rFonts w:ascii="Times New Roman" w:hAnsi="Times New Roman"/>
          <w:noProof/>
          <w:sz w:val="24"/>
        </w:rPr>
        <w:t xml:space="preserve"> FED, chaque FED disposant d’une liste spécifique d’États membres participants et d’une clé de contribution spécifique par État membre). </w:t>
      </w:r>
    </w:p>
    <w:p>
      <w:pPr>
        <w:jc w:val="both"/>
        <w:rPr>
          <w:rFonts w:ascii="Times New Roman" w:hAnsi="Times New Roman" w:cs="Times New Roman"/>
          <w:noProof/>
          <w:sz w:val="24"/>
          <w:szCs w:val="24"/>
        </w:rPr>
      </w:pPr>
      <w:r>
        <w:rPr>
          <w:rFonts w:ascii="Times New Roman" w:hAnsi="Times New Roman"/>
          <w:noProof/>
          <w:sz w:val="24"/>
        </w:rPr>
        <w:t>Réserves des fonds dégagés de FED antérieurs au 31.12.2016</w:t>
      </w:r>
    </w:p>
    <w:tbl>
      <w:tblPr>
        <w:tblW w:w="5500" w:type="dxa"/>
        <w:tblInd w:w="93" w:type="dxa"/>
        <w:tblLook w:val="04A0" w:firstRow="1" w:lastRow="0" w:firstColumn="1" w:lastColumn="0" w:noHBand="0" w:noVBand="1"/>
      </w:tblPr>
      <w:tblGrid>
        <w:gridCol w:w="1240"/>
        <w:gridCol w:w="1596"/>
        <w:gridCol w:w="1716"/>
        <w:gridCol w:w="1716"/>
      </w:tblGrid>
      <w:tr>
        <w:trPr>
          <w:trHeight w:val="255"/>
        </w:trPr>
        <w:tc>
          <w:tcPr>
            <w:tcW w:w="1240" w:type="dxa"/>
            <w:tcBorders>
              <w:top w:val="nil"/>
              <w:left w:val="nil"/>
              <w:bottom w:val="single" w:sz="4" w:space="0" w:color="95B3D7"/>
              <w:right w:val="nil"/>
            </w:tcBorders>
            <w:shd w:val="clear" w:color="DCE6F1" w:fill="DCE6F1"/>
            <w:noWrap/>
            <w:vAlign w:val="bottom"/>
            <w:hideMark/>
          </w:tcPr>
          <w:p>
            <w:pPr>
              <w:spacing w:after="0" w:line="240" w:lineRule="auto"/>
              <w:jc w:val="both"/>
              <w:rPr>
                <w:rFonts w:ascii="Times New Roman" w:eastAsia="Times New Roman" w:hAnsi="Times New Roman" w:cs="Times New Roman"/>
                <w:b/>
                <w:bCs/>
                <w:noProof/>
                <w:color w:val="000000"/>
                <w:sz w:val="24"/>
                <w:szCs w:val="24"/>
              </w:rPr>
            </w:pPr>
            <w:r>
              <w:rPr>
                <w:rFonts w:ascii="Times New Roman" w:hAnsi="Times New Roman"/>
                <w:b/>
                <w:noProof/>
                <w:color w:val="000000"/>
                <w:sz w:val="24"/>
              </w:rPr>
              <w:t> </w:t>
            </w:r>
          </w:p>
        </w:tc>
        <w:tc>
          <w:tcPr>
            <w:tcW w:w="1340" w:type="dxa"/>
            <w:tcBorders>
              <w:top w:val="nil"/>
              <w:left w:val="nil"/>
              <w:bottom w:val="single" w:sz="4" w:space="0" w:color="95B3D7"/>
              <w:right w:val="nil"/>
            </w:tcBorders>
            <w:shd w:val="clear" w:color="DCE6F1" w:fill="DCE6F1"/>
            <w:noWrap/>
            <w:vAlign w:val="bottom"/>
            <w:hideMark/>
          </w:tcPr>
          <w:p>
            <w:pPr>
              <w:spacing w:after="0" w:line="240" w:lineRule="auto"/>
              <w:jc w:val="both"/>
              <w:rPr>
                <w:rFonts w:ascii="Times New Roman" w:eastAsia="Times New Roman" w:hAnsi="Times New Roman" w:cs="Times New Roman"/>
                <w:b/>
                <w:bCs/>
                <w:noProof/>
                <w:color w:val="000000"/>
                <w:sz w:val="24"/>
                <w:szCs w:val="24"/>
              </w:rPr>
            </w:pPr>
            <w:r>
              <w:rPr>
                <w:rFonts w:ascii="Times New Roman" w:hAnsi="Times New Roman"/>
                <w:b/>
                <w:noProof/>
                <w:color w:val="000000"/>
                <w:sz w:val="24"/>
              </w:rPr>
              <w:t>10</w:t>
            </w:r>
            <w:r>
              <w:rPr>
                <w:rFonts w:ascii="Times New Roman" w:hAnsi="Times New Roman"/>
                <w:b/>
                <w:noProof/>
                <w:color w:val="000000"/>
                <w:sz w:val="24"/>
                <w:vertAlign w:val="superscript"/>
              </w:rPr>
              <w:t>e</w:t>
            </w:r>
            <w:r>
              <w:rPr>
                <w:rFonts w:ascii="Times New Roman" w:hAnsi="Times New Roman"/>
                <w:b/>
                <w:noProof/>
                <w:color w:val="000000"/>
                <w:sz w:val="24"/>
              </w:rPr>
              <w:t xml:space="preserve"> FED</w:t>
            </w:r>
          </w:p>
        </w:tc>
        <w:tc>
          <w:tcPr>
            <w:tcW w:w="1460" w:type="dxa"/>
            <w:tcBorders>
              <w:top w:val="nil"/>
              <w:left w:val="nil"/>
              <w:bottom w:val="single" w:sz="4" w:space="0" w:color="95B3D7"/>
              <w:right w:val="nil"/>
            </w:tcBorders>
            <w:shd w:val="clear" w:color="DCE6F1" w:fill="DCE6F1"/>
            <w:noWrap/>
            <w:vAlign w:val="bottom"/>
            <w:hideMark/>
          </w:tcPr>
          <w:p>
            <w:pPr>
              <w:spacing w:after="0" w:line="240" w:lineRule="auto"/>
              <w:jc w:val="both"/>
              <w:rPr>
                <w:rFonts w:ascii="Times New Roman" w:eastAsia="Times New Roman" w:hAnsi="Times New Roman" w:cs="Times New Roman"/>
                <w:b/>
                <w:bCs/>
                <w:noProof/>
                <w:color w:val="000000"/>
                <w:sz w:val="24"/>
                <w:szCs w:val="24"/>
              </w:rPr>
            </w:pPr>
            <w:r>
              <w:rPr>
                <w:rFonts w:ascii="Times New Roman" w:hAnsi="Times New Roman"/>
                <w:b/>
                <w:noProof/>
                <w:color w:val="000000"/>
                <w:sz w:val="24"/>
              </w:rPr>
              <w:t>8</w:t>
            </w:r>
            <w:r>
              <w:rPr>
                <w:rFonts w:ascii="Times New Roman" w:hAnsi="Times New Roman"/>
                <w:b/>
                <w:noProof/>
                <w:color w:val="000000"/>
                <w:sz w:val="24"/>
                <w:vertAlign w:val="superscript"/>
              </w:rPr>
              <w:t>e</w:t>
            </w:r>
            <w:r>
              <w:rPr>
                <w:rFonts w:ascii="Times New Roman" w:hAnsi="Times New Roman"/>
                <w:b/>
                <w:noProof/>
                <w:color w:val="000000"/>
                <w:sz w:val="24"/>
              </w:rPr>
              <w:t>/9</w:t>
            </w:r>
            <w:r>
              <w:rPr>
                <w:rFonts w:ascii="Times New Roman" w:hAnsi="Times New Roman"/>
                <w:b/>
                <w:noProof/>
                <w:color w:val="000000"/>
                <w:sz w:val="24"/>
                <w:vertAlign w:val="superscript"/>
              </w:rPr>
              <w:t>e</w:t>
            </w:r>
            <w:r>
              <w:rPr>
                <w:rFonts w:ascii="Times New Roman" w:hAnsi="Times New Roman"/>
                <w:b/>
                <w:noProof/>
                <w:color w:val="000000"/>
                <w:sz w:val="24"/>
              </w:rPr>
              <w:t xml:space="preserve"> FED</w:t>
            </w:r>
          </w:p>
        </w:tc>
        <w:tc>
          <w:tcPr>
            <w:tcW w:w="1460" w:type="dxa"/>
            <w:tcBorders>
              <w:top w:val="nil"/>
              <w:left w:val="nil"/>
              <w:bottom w:val="single" w:sz="4" w:space="0" w:color="95B3D7"/>
              <w:right w:val="nil"/>
            </w:tcBorders>
            <w:shd w:val="clear" w:color="DCE6F1" w:fill="DCE6F1"/>
            <w:noWrap/>
            <w:vAlign w:val="bottom"/>
            <w:hideMark/>
          </w:tcPr>
          <w:p>
            <w:pPr>
              <w:spacing w:after="0" w:line="240" w:lineRule="auto"/>
              <w:jc w:val="both"/>
              <w:rPr>
                <w:rFonts w:ascii="Times New Roman" w:eastAsia="Times New Roman" w:hAnsi="Times New Roman" w:cs="Times New Roman"/>
                <w:b/>
                <w:bCs/>
                <w:noProof/>
                <w:color w:val="000000"/>
                <w:sz w:val="24"/>
                <w:szCs w:val="24"/>
              </w:rPr>
            </w:pPr>
            <w:r>
              <w:rPr>
                <w:rFonts w:ascii="Times New Roman" w:hAnsi="Times New Roman"/>
                <w:b/>
                <w:noProof/>
                <w:color w:val="000000"/>
                <w:sz w:val="24"/>
              </w:rPr>
              <w:t>Total général</w:t>
            </w:r>
          </w:p>
        </w:tc>
      </w:tr>
      <w:tr>
        <w:trPr>
          <w:trHeight w:val="255"/>
        </w:trPr>
        <w:tc>
          <w:tcPr>
            <w:tcW w:w="1240" w:type="dxa"/>
            <w:tcBorders>
              <w:top w:val="nil"/>
              <w:left w:val="nil"/>
              <w:bottom w:val="nil"/>
              <w:right w:val="nil"/>
            </w:tcBorders>
            <w:shd w:val="clear" w:color="000000" w:fill="FFFFFF"/>
            <w:noWrap/>
            <w:vAlign w:val="bottom"/>
            <w:hideMark/>
          </w:tcPr>
          <w:p>
            <w:pPr>
              <w:spacing w:after="0" w:line="240" w:lineRule="auto"/>
              <w:jc w:val="both"/>
              <w:rPr>
                <w:rFonts w:ascii="Times New Roman" w:eastAsia="Times New Roman" w:hAnsi="Times New Roman" w:cs="Times New Roman"/>
                <w:b/>
                <w:noProof/>
                <w:color w:val="000000"/>
                <w:sz w:val="24"/>
                <w:szCs w:val="24"/>
              </w:rPr>
            </w:pPr>
            <w:r>
              <w:rPr>
                <w:rFonts w:ascii="Times New Roman" w:hAnsi="Times New Roman"/>
                <w:b/>
                <w:noProof/>
                <w:color w:val="000000"/>
                <w:sz w:val="24"/>
              </w:rPr>
              <w:t>ACP</w:t>
            </w:r>
          </w:p>
        </w:tc>
        <w:tc>
          <w:tcPr>
            <w:tcW w:w="13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rPr>
              <w:t>31 435 360,12</w:t>
            </w:r>
          </w:p>
        </w:tc>
        <w:tc>
          <w:tcPr>
            <w:tcW w:w="14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rPr>
              <w:t>242 695 821,82</w:t>
            </w:r>
          </w:p>
        </w:tc>
        <w:tc>
          <w:tcPr>
            <w:tcW w:w="14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rPr>
              <w:t>274 131 181,94</w:t>
            </w:r>
          </w:p>
        </w:tc>
      </w:tr>
      <w:tr>
        <w:trPr>
          <w:trHeight w:val="255"/>
        </w:trPr>
        <w:tc>
          <w:tcPr>
            <w:tcW w:w="1240" w:type="dxa"/>
            <w:tcBorders>
              <w:top w:val="nil"/>
              <w:left w:val="nil"/>
              <w:bottom w:val="nil"/>
              <w:right w:val="nil"/>
            </w:tcBorders>
            <w:shd w:val="clear" w:color="000000" w:fill="FFFFFF"/>
            <w:noWrap/>
            <w:vAlign w:val="bottom"/>
            <w:hideMark/>
          </w:tcPr>
          <w:p>
            <w:pPr>
              <w:spacing w:after="0" w:line="240" w:lineRule="auto"/>
              <w:jc w:val="both"/>
              <w:rPr>
                <w:rFonts w:ascii="Times New Roman" w:eastAsia="Times New Roman" w:hAnsi="Times New Roman" w:cs="Times New Roman"/>
                <w:b/>
                <w:noProof/>
                <w:color w:val="000000"/>
                <w:sz w:val="24"/>
                <w:szCs w:val="24"/>
              </w:rPr>
            </w:pPr>
            <w:r>
              <w:rPr>
                <w:rFonts w:ascii="Times New Roman" w:hAnsi="Times New Roman"/>
                <w:b/>
                <w:noProof/>
                <w:color w:val="000000"/>
                <w:sz w:val="24"/>
              </w:rPr>
              <w:t>PTOM</w:t>
            </w:r>
          </w:p>
        </w:tc>
        <w:tc>
          <w:tcPr>
            <w:tcW w:w="13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rPr>
              <w:t>3 445 760,70</w:t>
            </w:r>
          </w:p>
        </w:tc>
        <w:tc>
          <w:tcPr>
            <w:tcW w:w="14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rPr>
              <w:t>21 496 601,75</w:t>
            </w:r>
          </w:p>
        </w:tc>
        <w:tc>
          <w:tcPr>
            <w:tcW w:w="14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rPr>
              <w:t>24 942 362,45</w:t>
            </w:r>
          </w:p>
        </w:tc>
      </w:tr>
      <w:tr>
        <w:trPr>
          <w:trHeight w:val="255"/>
        </w:trPr>
        <w:tc>
          <w:tcPr>
            <w:tcW w:w="1240" w:type="dxa"/>
            <w:tcBorders>
              <w:top w:val="single" w:sz="4" w:space="0" w:color="95B3D7"/>
              <w:left w:val="nil"/>
              <w:bottom w:val="nil"/>
              <w:right w:val="nil"/>
            </w:tcBorders>
            <w:shd w:val="clear" w:color="DCE6F1" w:fill="DCE6F1"/>
            <w:noWrap/>
            <w:vAlign w:val="bottom"/>
            <w:hideMark/>
          </w:tcPr>
          <w:p>
            <w:pPr>
              <w:spacing w:after="0" w:line="240" w:lineRule="auto"/>
              <w:jc w:val="both"/>
              <w:rPr>
                <w:rFonts w:ascii="Times New Roman" w:eastAsia="Times New Roman" w:hAnsi="Times New Roman" w:cs="Times New Roman"/>
                <w:b/>
                <w:bCs/>
                <w:noProof/>
                <w:color w:val="000000"/>
                <w:sz w:val="24"/>
                <w:szCs w:val="24"/>
              </w:rPr>
            </w:pPr>
            <w:r>
              <w:rPr>
                <w:rFonts w:ascii="Times New Roman" w:hAnsi="Times New Roman"/>
                <w:b/>
                <w:noProof/>
                <w:color w:val="000000"/>
                <w:sz w:val="24"/>
              </w:rPr>
              <w:t>Total général</w:t>
            </w:r>
          </w:p>
        </w:tc>
        <w:tc>
          <w:tcPr>
            <w:tcW w:w="1340" w:type="dxa"/>
            <w:tcBorders>
              <w:top w:val="single" w:sz="4" w:space="0" w:color="95B3D7"/>
              <w:left w:val="nil"/>
              <w:bottom w:val="nil"/>
              <w:right w:val="nil"/>
            </w:tcBorders>
            <w:shd w:val="clear" w:color="DCE6F1" w:fill="DCE6F1"/>
            <w:noWrap/>
            <w:vAlign w:val="bottom"/>
            <w:hideMark/>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noProof/>
                <w:color w:val="000000"/>
                <w:sz w:val="24"/>
              </w:rPr>
              <w:t>34 881 120,82</w:t>
            </w:r>
          </w:p>
        </w:tc>
        <w:tc>
          <w:tcPr>
            <w:tcW w:w="1460" w:type="dxa"/>
            <w:tcBorders>
              <w:top w:val="single" w:sz="4" w:space="0" w:color="95B3D7"/>
              <w:left w:val="nil"/>
              <w:bottom w:val="nil"/>
              <w:right w:val="nil"/>
            </w:tcBorders>
            <w:shd w:val="clear" w:color="DCE6F1" w:fill="DCE6F1"/>
            <w:noWrap/>
            <w:vAlign w:val="bottom"/>
            <w:hideMark/>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noProof/>
                <w:color w:val="000000"/>
                <w:sz w:val="24"/>
              </w:rPr>
              <w:t>264 192 423,57</w:t>
            </w:r>
          </w:p>
        </w:tc>
        <w:tc>
          <w:tcPr>
            <w:tcW w:w="1460" w:type="dxa"/>
            <w:tcBorders>
              <w:top w:val="single" w:sz="4" w:space="0" w:color="95B3D7"/>
              <w:left w:val="nil"/>
              <w:bottom w:val="nil"/>
              <w:right w:val="nil"/>
            </w:tcBorders>
            <w:shd w:val="clear" w:color="DCE6F1" w:fill="DCE6F1"/>
            <w:noWrap/>
            <w:vAlign w:val="bottom"/>
            <w:hideMark/>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noProof/>
                <w:color w:val="000000"/>
                <w:sz w:val="24"/>
              </w:rPr>
              <w:t>299 073 544,39</w:t>
            </w:r>
          </w:p>
        </w:tc>
      </w:tr>
    </w:tbl>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Le 2 août 2016, le Conseil a adopté la décision (UE) 2016/1337 pour affecter un montant maximal de 491 387 500 EUR de fonds dégagés du 10</w:t>
      </w:r>
      <w:r>
        <w:rPr>
          <w:rFonts w:ascii="Times New Roman" w:hAnsi="Times New Roman"/>
          <w:noProof/>
          <w:sz w:val="24"/>
          <w:vertAlign w:val="superscript"/>
        </w:rPr>
        <w:t>e</w:t>
      </w:r>
      <w:r>
        <w:rPr>
          <w:rFonts w:ascii="Times New Roman" w:hAnsi="Times New Roman"/>
          <w:noProof/>
          <w:sz w:val="24"/>
        </w:rPr>
        <w:t xml:space="preserve"> FED à la reconstitution des ressources de la Facilité de soutien à la paix pour l’Afrique pour la période 2016-2018, conformément à l’article 1</w:t>
      </w:r>
      <w:r>
        <w:rPr>
          <w:rFonts w:ascii="Times New Roman" w:hAnsi="Times New Roman"/>
          <w:noProof/>
          <w:sz w:val="24"/>
          <w:vertAlign w:val="superscript"/>
        </w:rPr>
        <w:t>er</w:t>
      </w:r>
      <w:r>
        <w:rPr>
          <w:rFonts w:ascii="Times New Roman" w:hAnsi="Times New Roman"/>
          <w:noProof/>
          <w:sz w:val="24"/>
        </w:rPr>
        <w:t>, paragraphe 4, de l’accord interne relatif au 11</w:t>
      </w:r>
      <w:r>
        <w:rPr>
          <w:rFonts w:ascii="Times New Roman" w:hAnsi="Times New Roman"/>
          <w:noProof/>
          <w:sz w:val="24"/>
          <w:vertAlign w:val="superscript"/>
        </w:rPr>
        <w:t>e</w:t>
      </w:r>
      <w:r>
        <w:rPr>
          <w:rFonts w:ascii="Times New Roman" w:hAnsi="Times New Roman"/>
          <w:noProof/>
          <w:sz w:val="24"/>
        </w:rPr>
        <w:t> FED</w:t>
      </w:r>
      <w:r>
        <w:rPr>
          <w:rStyle w:val="FootnoteReference"/>
          <w:rFonts w:ascii="Times New Roman" w:hAnsi="Times New Roman"/>
          <w:noProof/>
          <w:sz w:val="24"/>
        </w:rPr>
        <w:footnoteReference w:id="12"/>
      </w:r>
      <w:r>
        <w:rPr>
          <w:rFonts w:ascii="Times New Roman" w:hAnsi="Times New Roman"/>
          <w:noProof/>
          <w:sz w:val="24"/>
        </w:rPr>
        <w:t>. À la fin de l’année, le montant total des fonds du 10</w:t>
      </w:r>
      <w:r>
        <w:rPr>
          <w:rFonts w:ascii="Times New Roman" w:hAnsi="Times New Roman"/>
          <w:noProof/>
          <w:sz w:val="24"/>
          <w:vertAlign w:val="superscript"/>
        </w:rPr>
        <w:t>e</w:t>
      </w:r>
      <w:r>
        <w:rPr>
          <w:rFonts w:ascii="Times New Roman" w:hAnsi="Times New Roman"/>
          <w:noProof/>
          <w:sz w:val="24"/>
        </w:rPr>
        <w:t xml:space="preserve"> FED transféré pour consommation était de 386 387 500 EUR; en conséquence, un montant supplémentaire de 121 387 500 EUR doit être transféré à partir de la réserve de fonds dégagés du 10</w:t>
      </w:r>
      <w:r>
        <w:rPr>
          <w:rFonts w:ascii="Times New Roman" w:hAnsi="Times New Roman"/>
          <w:noProof/>
          <w:sz w:val="24"/>
          <w:vertAlign w:val="superscript"/>
        </w:rPr>
        <w:t>e</w:t>
      </w:r>
      <w:r>
        <w:rPr>
          <w:rFonts w:ascii="Times New Roman" w:hAnsi="Times New Roman"/>
          <w:noProof/>
          <w:sz w:val="24"/>
        </w:rPr>
        <w:t xml:space="preserve"> FED.</w:t>
      </w:r>
    </w:p>
    <w:p>
      <w:pPr>
        <w:jc w:val="both"/>
        <w:rPr>
          <w:rFonts w:ascii="Times New Roman" w:hAnsi="Times New Roman" w:cs="Times New Roman"/>
          <w:noProof/>
          <w:sz w:val="24"/>
          <w:szCs w:val="24"/>
        </w:rPr>
      </w:pPr>
      <w:r>
        <w:rPr>
          <w:rFonts w:ascii="Times New Roman" w:hAnsi="Times New Roman"/>
          <w:noProof/>
          <w:sz w:val="24"/>
        </w:rPr>
        <w:t>Un montant de 200 000 000 EUR doit être déduit de la réserve des 8</w:t>
      </w:r>
      <w:r>
        <w:rPr>
          <w:rFonts w:ascii="Times New Roman" w:hAnsi="Times New Roman"/>
          <w:noProof/>
          <w:sz w:val="24"/>
          <w:vertAlign w:val="superscript"/>
        </w:rPr>
        <w:t>e</w:t>
      </w:r>
      <w:r>
        <w:rPr>
          <w:rFonts w:ascii="Times New Roman" w:hAnsi="Times New Roman"/>
          <w:noProof/>
          <w:sz w:val="24"/>
        </w:rPr>
        <w:t>/9</w:t>
      </w:r>
      <w:r>
        <w:rPr>
          <w:rFonts w:ascii="Times New Roman" w:hAnsi="Times New Roman"/>
          <w:noProof/>
          <w:sz w:val="24"/>
          <w:vertAlign w:val="superscript"/>
        </w:rPr>
        <w:t>e</w:t>
      </w:r>
      <w:r>
        <w:rPr>
          <w:rFonts w:ascii="Times New Roman" w:hAnsi="Times New Roman"/>
          <w:noProof/>
          <w:sz w:val="24"/>
        </w:rPr>
        <w:t xml:space="preserve"> FED afin de rembourser les États membres participants, dans l’attente de l’adoption par le Conseil de la proposition de la Commission jointe à la présente proposition pour la 2</w:t>
      </w:r>
      <w:r>
        <w:rPr>
          <w:rFonts w:ascii="Times New Roman" w:hAnsi="Times New Roman"/>
          <w:noProof/>
          <w:sz w:val="24"/>
          <w:vertAlign w:val="superscript"/>
        </w:rPr>
        <w:t>e</w:t>
      </w:r>
      <w:r>
        <w:rPr>
          <w:rFonts w:ascii="Times New Roman" w:hAnsi="Times New Roman"/>
          <w:noProof/>
          <w:sz w:val="24"/>
        </w:rPr>
        <w:t xml:space="preserve"> tranche de 2017. </w:t>
      </w:r>
    </w:p>
    <w:p>
      <w:pPr>
        <w:rPr>
          <w:noProof/>
        </w:rPr>
      </w:pPr>
      <w:r>
        <w:rPr>
          <w:noProof/>
        </w:rPr>
        <w:br w:type="page"/>
      </w:r>
    </w:p>
    <w:p>
      <w:pPr>
        <w:pStyle w:val="Heading2"/>
        <w:numPr>
          <w:ilvl w:val="1"/>
          <w:numId w:val="1"/>
        </w:numPr>
        <w:rPr>
          <w:noProof/>
        </w:rPr>
        <w:sectPr>
          <w:headerReference w:type="even" r:id="rId29"/>
          <w:headerReference w:type="default" r:id="rId30"/>
          <w:footerReference w:type="even" r:id="rId31"/>
          <w:footerReference w:type="default" r:id="rId32"/>
          <w:headerReference w:type="first" r:id="rId33"/>
          <w:footerReference w:type="first" r:id="rId34"/>
          <w:pgSz w:w="11906" w:h="16838"/>
          <w:pgMar w:top="1417" w:right="1417" w:bottom="1417" w:left="1417" w:header="708" w:footer="708" w:gutter="0"/>
          <w:cols w:space="720"/>
          <w:docGrid w:linePitch="360"/>
        </w:sectPr>
      </w:pPr>
    </w:p>
    <w:p>
      <w:pPr>
        <w:pStyle w:val="Heading2"/>
        <w:numPr>
          <w:ilvl w:val="1"/>
          <w:numId w:val="1"/>
        </w:numPr>
        <w:rPr>
          <w:noProof/>
        </w:rPr>
      </w:pPr>
      <w:r>
        <w:rPr>
          <w:noProof/>
        </w:rPr>
        <w:t>Annexe 7: incidence de la réduction sur les contributions en fonction des reliquats de chaque État membre (en EUR)</w:t>
      </w:r>
    </w:p>
    <w:p>
      <w:pPr>
        <w:jc w:val="both"/>
        <w:rPr>
          <w:rFonts w:ascii="Times New Roman" w:hAnsi="Times New Roman" w:cs="Times New Roman"/>
          <w:noProof/>
          <w:sz w:val="24"/>
          <w:szCs w:val="24"/>
        </w:rPr>
      </w:pPr>
      <w:r>
        <w:rPr>
          <w:rFonts w:ascii="Times New Roman" w:hAnsi="Times New Roman"/>
          <w:noProof/>
          <w:sz w:val="24"/>
        </w:rPr>
        <w:t>Conformément à l’article 61 du règlement (UE) 2015/323 du Conseil portant règlement financier applicable au 11</w:t>
      </w:r>
      <w:r>
        <w:rPr>
          <w:rFonts w:ascii="Times New Roman" w:hAnsi="Times New Roman"/>
          <w:noProof/>
          <w:sz w:val="24"/>
          <w:vertAlign w:val="superscript"/>
        </w:rPr>
        <w:t>e</w:t>
      </w:r>
      <w:r>
        <w:rPr>
          <w:rFonts w:ascii="Times New Roman" w:hAnsi="Times New Roman"/>
          <w:noProof/>
          <w:sz w:val="24"/>
        </w:rPr>
        <w:t xml:space="preserve"> FED</w:t>
      </w:r>
      <w:r>
        <w:rPr>
          <w:rStyle w:val="FootnoteReference"/>
          <w:rFonts w:ascii="Times New Roman" w:hAnsi="Times New Roman"/>
          <w:noProof/>
          <w:sz w:val="24"/>
        </w:rPr>
        <w:footnoteReference w:id="13"/>
      </w:r>
      <w:r>
        <w:rPr>
          <w:rFonts w:ascii="Times New Roman" w:hAnsi="Times New Roman"/>
          <w:noProof/>
          <w:sz w:val="24"/>
        </w:rPr>
        <w:t>, le tableau qui suit montre l’incidence d’une réduction des contributions sur la base du montant dans la réserve de fonds dégagés de FED antérieurs. Cependant, il s’agit de montants théoriques, puisqu’ils ne prennent pas en compte l’exécution proposée du remboursement de 200 millions d’EUR, selon la proposition présentée par la Commission européenne conjointement à la présente communication, ni l’affectation envisagée de 150 millions d’EUR prévue pour 2017 en faveur du Fonds européen pour le développement durable (FEDD), la garantie FEDD et le fonds de garantie FEDD.</w:t>
      </w:r>
    </w:p>
    <w:tbl>
      <w:tblPr>
        <w:tblW w:w="7340" w:type="dxa"/>
        <w:tblInd w:w="93" w:type="dxa"/>
        <w:tblLook w:val="04A0" w:firstRow="1" w:lastRow="0" w:firstColumn="1" w:lastColumn="0" w:noHBand="0" w:noVBand="1"/>
      </w:tblPr>
      <w:tblGrid>
        <w:gridCol w:w="1880"/>
        <w:gridCol w:w="960"/>
        <w:gridCol w:w="960"/>
        <w:gridCol w:w="1140"/>
        <w:gridCol w:w="1200"/>
        <w:gridCol w:w="1200"/>
      </w:tblGrid>
      <w:tr>
        <w:trPr>
          <w:trHeight w:val="255"/>
        </w:trPr>
        <w:tc>
          <w:tcPr>
            <w:tcW w:w="188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ÉTATS MEMBRES</w:t>
            </w:r>
          </w:p>
        </w:tc>
        <w:tc>
          <w:tcPr>
            <w:tcW w:w="960" w:type="dxa"/>
            <w:tcBorders>
              <w:top w:val="single" w:sz="8" w:space="0" w:color="auto"/>
              <w:left w:val="nil"/>
              <w:bottom w:val="nil"/>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Clé 9</w:t>
            </w:r>
            <w:r>
              <w:rPr>
                <w:rFonts w:ascii="Times New Roman" w:hAnsi="Times New Roman"/>
                <w:b/>
                <w:noProof/>
                <w:sz w:val="16"/>
                <w:vertAlign w:val="superscript"/>
              </w:rPr>
              <w:t>e</w:t>
            </w:r>
          </w:p>
        </w:tc>
        <w:tc>
          <w:tcPr>
            <w:tcW w:w="960" w:type="dxa"/>
            <w:tcBorders>
              <w:top w:val="single" w:sz="8" w:space="0" w:color="auto"/>
              <w:left w:val="nil"/>
              <w:bottom w:val="nil"/>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Clé 10</w:t>
            </w:r>
            <w:r>
              <w:rPr>
                <w:rFonts w:ascii="Times New Roman" w:hAnsi="Times New Roman"/>
                <w:b/>
                <w:noProof/>
                <w:sz w:val="16"/>
                <w:vertAlign w:val="superscript"/>
              </w:rPr>
              <w:t>e</w:t>
            </w:r>
          </w:p>
        </w:tc>
        <w:tc>
          <w:tcPr>
            <w:tcW w:w="1140"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9</w:t>
            </w:r>
            <w:r>
              <w:rPr>
                <w:rFonts w:ascii="Times New Roman" w:hAnsi="Times New Roman"/>
                <w:b/>
                <w:noProof/>
                <w:sz w:val="16"/>
                <w:vertAlign w:val="superscript"/>
              </w:rPr>
              <w:t>e</w:t>
            </w:r>
            <w:r>
              <w:rPr>
                <w:rFonts w:ascii="Times New Roman" w:hAnsi="Times New Roman"/>
                <w:b/>
                <w:noProof/>
                <w:sz w:val="16"/>
              </w:rPr>
              <w:t xml:space="preserve"> FED</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10</w:t>
            </w:r>
            <w:r>
              <w:rPr>
                <w:rFonts w:ascii="Times New Roman" w:hAnsi="Times New Roman"/>
                <w:b/>
                <w:noProof/>
                <w:sz w:val="16"/>
                <w:vertAlign w:val="superscript"/>
              </w:rPr>
              <w:t>e</w:t>
            </w:r>
            <w:r>
              <w:rPr>
                <w:rFonts w:ascii="Times New Roman" w:hAnsi="Times New Roman"/>
                <w:b/>
                <w:noProof/>
                <w:sz w:val="16"/>
              </w:rPr>
              <w:t xml:space="preserve"> FED</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TOTAL</w:t>
            </w:r>
          </w:p>
        </w:tc>
      </w:tr>
      <w:tr>
        <w:trPr>
          <w:trHeight w:val="270"/>
        </w:trPr>
        <w:tc>
          <w:tcPr>
            <w:tcW w:w="1880" w:type="dxa"/>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cs="Times New Roman"/>
                <w:b/>
                <w:bCs/>
                <w:noProof/>
                <w:sz w:val="16"/>
                <w:szCs w:val="16"/>
              </w:rPr>
            </w:pPr>
          </w:p>
        </w:tc>
        <w:tc>
          <w:tcPr>
            <w:tcW w:w="960" w:type="dxa"/>
            <w:tcBorders>
              <w:top w:val="dashed" w:sz="4" w:space="0" w:color="auto"/>
              <w:left w:val="nil"/>
              <w:bottom w:val="single" w:sz="8" w:space="0" w:color="auto"/>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FED (%)</w:t>
            </w:r>
          </w:p>
        </w:tc>
        <w:tc>
          <w:tcPr>
            <w:tcW w:w="960" w:type="dxa"/>
            <w:tcBorders>
              <w:top w:val="dashed" w:sz="4" w:space="0" w:color="auto"/>
              <w:left w:val="nil"/>
              <w:bottom w:val="single" w:sz="8" w:space="0" w:color="auto"/>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FED (%)</w:t>
            </w:r>
          </w:p>
        </w:tc>
        <w:tc>
          <w:tcPr>
            <w:tcW w:w="1140" w:type="dxa"/>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cs="Times New Roman"/>
                <w:b/>
                <w:bCs/>
                <w:noProof/>
                <w:sz w:val="16"/>
                <w:szCs w:val="16"/>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cs="Times New Roman"/>
                <w:b/>
                <w:bCs/>
                <w:noProof/>
                <w:sz w:val="16"/>
                <w:szCs w:val="16"/>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cs="Times New Roman"/>
                <w:b/>
                <w:bCs/>
                <w:noProof/>
                <w:sz w:val="16"/>
                <w:szCs w:val="16"/>
              </w:rPr>
            </w:pP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BELGIQUE</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3,92</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3,53</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10 356 343</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1 231 304</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11 587 647</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BULGARIE</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 </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0,14</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48 834</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48 834</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RÉP. TCHÈQUE</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 </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0,51</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177 894</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177 894</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DANEMARK</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2,14</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2,00</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5 653 718</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697 622</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6 351 340</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ALLEMAGNE</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23,36</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20,50</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61 715 350</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7 150 630</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68 865 980</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ESTONIE</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 </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0,05</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17 441</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17 441</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IRLANDE</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0,62</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0,91</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1 637 993</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317 418</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1 955 411</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GRÈCE</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1,25</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1,47</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3 302 405</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512 752</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3 815 158</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ESPAGNE</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5,84</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7,85</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15 428 838</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2 738 168</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18 167 006</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FRANCE</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24,30</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19,55</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64 198 759</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6 819 259</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71 018 018</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CROATIE</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 </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 </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ITALIE</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12,54</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12,86</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33 129 730</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4 485 712</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37 615 442</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CHYPRE</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 </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0,09</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31 393</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31 393</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LETTONIE</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 </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0,07</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24 417</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24 417</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LITUANIE</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 </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0,12</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41 857</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41 857</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LUXEMBOURG</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0,29</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0,27</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766 158</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94 179</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860 337</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HONGRIE</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 </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0,55</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191 846</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191 846</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MALTE</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 </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0,03</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10 464</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10 464</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PAYS-BAS</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5,22</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4,85</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13 790 845</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1 691 734</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15 482 579</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AUTRICHE</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2,65</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2,41</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7 001 099</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840 635</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7 841 734</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POLOGNE</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 </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1,30</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453 455</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453 455</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PORTUGAL</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0,97</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1,15</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2 562 667</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401 133</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2 963 799</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ROUMANIE</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 </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0,37</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129 060</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129 060</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SLOVÉNIE</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 </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0,18</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62 786</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62 786</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SLOVAQUIE</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 </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0,21</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73 250</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73 250</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FINLANDE</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1,48</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1,47</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3 910 048</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512 752</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4 422 800</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SUÈDE</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2,73</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2,74</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7 212 453</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955 743</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8 168 196</w:t>
            </w:r>
          </w:p>
        </w:tc>
      </w:tr>
      <w:tr>
        <w:trPr>
          <w:trHeight w:val="270"/>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ROYAUME-UNI</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12,69</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14,82</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33 526 019</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5 169 382</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38 695 401</w:t>
            </w:r>
          </w:p>
        </w:tc>
      </w:tr>
      <w:tr>
        <w:trPr>
          <w:trHeight w:val="270"/>
        </w:trPr>
        <w:tc>
          <w:tcPr>
            <w:tcW w:w="1880"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TOTAL UE-28</w:t>
            </w:r>
          </w:p>
        </w:tc>
        <w:tc>
          <w:tcPr>
            <w:tcW w:w="960" w:type="dxa"/>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noProof/>
                <w:sz w:val="14"/>
              </w:rPr>
              <w:t>100,00</w:t>
            </w:r>
          </w:p>
        </w:tc>
        <w:tc>
          <w:tcPr>
            <w:tcW w:w="960" w:type="dxa"/>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noProof/>
                <w:sz w:val="14"/>
              </w:rPr>
              <w:t>100,00</w:t>
            </w:r>
          </w:p>
        </w:tc>
        <w:tc>
          <w:tcPr>
            <w:tcW w:w="1140" w:type="dxa"/>
            <w:tcBorders>
              <w:top w:val="single" w:sz="8" w:space="0" w:color="auto"/>
              <w:left w:val="nil"/>
              <w:bottom w:val="single" w:sz="8" w:space="0" w:color="auto"/>
              <w:right w:val="nil"/>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264 192 424</w:t>
            </w:r>
          </w:p>
        </w:tc>
        <w:tc>
          <w:tcPr>
            <w:tcW w:w="1200" w:type="dxa"/>
            <w:tcBorders>
              <w:top w:val="single" w:sz="8" w:space="0" w:color="auto"/>
              <w:left w:val="single" w:sz="4" w:space="0" w:color="auto"/>
              <w:bottom w:val="single" w:sz="8" w:space="0" w:color="auto"/>
              <w:right w:val="single" w:sz="4"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34 881 121</w:t>
            </w:r>
          </w:p>
        </w:tc>
        <w:tc>
          <w:tcPr>
            <w:tcW w:w="1200" w:type="dxa"/>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299 073 544</w:t>
            </w:r>
          </w:p>
        </w:tc>
      </w:tr>
    </w:tbl>
    <w:p>
      <w:pPr>
        <w:tabs>
          <w:tab w:val="left" w:pos="2316"/>
        </w:tabs>
        <w:rPr>
          <w:noProof/>
        </w:rPr>
      </w:pPr>
    </w:p>
    <w:sectPr>
      <w:headerReference w:type="even" r:id="rId35"/>
      <w:headerReference w:type="default" r:id="rId36"/>
      <w:footerReference w:type="even" r:id="rId37"/>
      <w:footerReference w:type="default" r:id="rId38"/>
      <w:headerReference w:type="first" r:id="rId39"/>
      <w:footerReference w:type="first" r:id="rId40"/>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30588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99022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7258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53156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Accord interne entre les représentants des gouvernements des États membres de l’Union européenne, réunis au sein du Conseil, relatif au financement de l’aide de l’Union européenne au titre du cadre financier pluriannuel pour la période 2014</w:t>
      </w:r>
      <w:r>
        <w:noBreakHyphen/>
        <w:t>2020 conformément à l’accord de partenariat ACP-UE et à l’affectation des aides financières destinées aux pays et territoires d’outre-mer auxquels s’appliquent les dispositions de la quatrième partie du traité sur le fonctionnement de l’Union européenne (JO L 210 du 6.8.2013, p. 1).</w:t>
      </w:r>
    </w:p>
  </w:footnote>
  <w:footnote w:id="2">
    <w:p>
      <w:pPr>
        <w:pStyle w:val="FootnoteText"/>
      </w:pPr>
      <w:r>
        <w:rPr>
          <w:rStyle w:val="FootnoteReference"/>
        </w:rPr>
        <w:footnoteRef/>
      </w:r>
      <w:r>
        <w:tab/>
        <w:t>JO L 58 du 3.3.2015, p. 17.</w:t>
      </w:r>
    </w:p>
  </w:footnote>
  <w:footnote w:id="3">
    <w:p>
      <w:pPr>
        <w:pStyle w:val="FootnoteText"/>
      </w:pPr>
      <w:r>
        <w:rPr>
          <w:rStyle w:val="FootnoteReference"/>
        </w:rPr>
        <w:footnoteRef/>
      </w:r>
      <w:r>
        <w:tab/>
        <w:t>États d'Afrique, des Caraïbes et du Pacifique.</w:t>
      </w:r>
    </w:p>
  </w:footnote>
  <w:footnote w:id="4">
    <w:p>
      <w:pPr>
        <w:pStyle w:val="FootnoteText"/>
      </w:pPr>
      <w:r>
        <w:rPr>
          <w:rStyle w:val="FootnoteReference"/>
        </w:rPr>
        <w:footnoteRef/>
      </w:r>
      <w:r>
        <w:tab/>
        <w:t>Pays et territoires d’outre-mer.</w:t>
      </w:r>
    </w:p>
  </w:footnote>
  <w:footnote w:id="5">
    <w:p>
      <w:pPr>
        <w:pStyle w:val="FootnoteText"/>
      </w:pPr>
      <w:r>
        <w:rPr>
          <w:rStyle w:val="FootnoteReference"/>
        </w:rPr>
        <w:footnoteRef/>
      </w:r>
      <w:r>
        <w:tab/>
        <w:t>JO L 210 du 6.8.2013.</w:t>
      </w:r>
    </w:p>
  </w:footnote>
  <w:footnote w:id="6">
    <w:p>
      <w:pPr>
        <w:pStyle w:val="FootnoteText"/>
      </w:pPr>
      <w:r>
        <w:rPr>
          <w:rStyle w:val="FootnoteReference"/>
        </w:rPr>
        <w:footnoteRef/>
      </w:r>
      <w:r>
        <w:tab/>
        <w:t>Règlement (UE) 2015/323 du Conseil du 2 mars 2015 portant règlement financier applicable au 11</w:t>
      </w:r>
      <w:r>
        <w:rPr>
          <w:vertAlign w:val="superscript"/>
        </w:rPr>
        <w:t>e</w:t>
      </w:r>
      <w:r>
        <w:t> Fonds européen de développement (JO L 58 du 3.3.2015, p. 17).</w:t>
      </w:r>
    </w:p>
  </w:footnote>
  <w:footnote w:id="7">
    <w:p>
      <w:pPr>
        <w:pStyle w:val="FootnoteText"/>
      </w:pPr>
      <w:r>
        <w:rPr>
          <w:rStyle w:val="FootnoteReference"/>
        </w:rPr>
        <w:footnoteRef/>
      </w:r>
      <w:r>
        <w:tab/>
        <w:t>Décision C(2015) 7293 de la Commission relative à la mise en place d’un Fonds fiduciaire de l’Union européenne pour l’Afrique (EUTF Africa).</w:t>
      </w:r>
    </w:p>
  </w:footnote>
  <w:footnote w:id="8">
    <w:p>
      <w:pPr>
        <w:pStyle w:val="FootnoteText"/>
      </w:pPr>
      <w:r>
        <w:rPr>
          <w:rStyle w:val="FootnoteReference"/>
        </w:rPr>
        <w:footnoteRef/>
      </w:r>
      <w:r>
        <w:tab/>
        <w:t>Proposition COM(2016) 586 final de la Commission.</w:t>
      </w:r>
    </w:p>
  </w:footnote>
  <w:footnote w:id="9">
    <w:p>
      <w:pPr>
        <w:pStyle w:val="FootnoteText"/>
      </w:pPr>
      <w:r>
        <w:rPr>
          <w:rStyle w:val="FootnoteReference"/>
        </w:rPr>
        <w:footnoteRef/>
      </w:r>
      <w:r>
        <w:tab/>
        <w:t>Engagements bruts, c’est-à-dire sans déduction des dégagements.</w:t>
      </w:r>
    </w:p>
  </w:footnote>
  <w:footnote w:id="10">
    <w:p>
      <w:pPr>
        <w:pStyle w:val="FootnoteText"/>
      </w:pPr>
      <w:r>
        <w:rPr>
          <w:rStyle w:val="FootnoteReference"/>
        </w:rPr>
        <w:footnoteRef/>
      </w:r>
      <w:r>
        <w:tab/>
        <w:t>Paiements bruts, c’est-à-dire sans déduction des recouvrements.</w:t>
      </w:r>
    </w:p>
  </w:footnote>
  <w:footnote w:id="11">
    <w:p>
      <w:pPr>
        <w:pStyle w:val="FootnoteText"/>
      </w:pPr>
      <w:r>
        <w:rPr>
          <w:rStyle w:val="FootnoteReference"/>
        </w:rPr>
        <w:footnoteRef/>
      </w:r>
      <w:r>
        <w:tab/>
        <w:t>Règlement (UE) 2015/323 du Conseil du 2 mars 2015 portant règlement financier applicable au 11</w:t>
      </w:r>
      <w:r>
        <w:rPr>
          <w:vertAlign w:val="superscript"/>
        </w:rPr>
        <w:t>e</w:t>
      </w:r>
      <w:r>
        <w:t> Fonds européen de développement (JO L 58 du 3.3.2015, p. 17).</w:t>
      </w:r>
    </w:p>
  </w:footnote>
  <w:footnote w:id="12">
    <w:p>
      <w:pPr>
        <w:pStyle w:val="FootnoteText"/>
      </w:pPr>
      <w:r>
        <w:rPr>
          <w:rStyle w:val="FootnoteReference"/>
        </w:rPr>
        <w:footnoteRef/>
      </w:r>
      <w:r>
        <w:tab/>
        <w:t>JO L 212 du 5.8.2016, p. 107.</w:t>
      </w:r>
    </w:p>
  </w:footnote>
  <w:footnote w:id="13">
    <w:p>
      <w:pPr>
        <w:pStyle w:val="FootnoteText"/>
      </w:pPr>
      <w:r>
        <w:rPr>
          <w:rStyle w:val="FootnoteReference"/>
        </w:rPr>
        <w:footnoteRef/>
      </w:r>
      <w:r>
        <w:tab/>
        <w:t>Règlement (UE) 2015/323 du Conseil du 2 mars 2015 portant règlement financier applicable au 11</w:t>
      </w:r>
      <w:r>
        <w:rPr>
          <w:vertAlign w:val="superscript"/>
        </w:rPr>
        <w:t>e</w:t>
      </w:r>
      <w:r>
        <w:t> Fonds européen de développement (JO L 58 du 3.3.2015, p. 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6743C3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CONFIDENCE" w:val=" "/>
    <w:docVar w:name="LW_CONST_RESTREINT_UE" w:val="RESTREINT UE"/>
    <w:docVar w:name="LW_CORRIGENDUM" w:val="&lt;UNUSED&gt;"/>
    <w:docVar w:name="LW_COVERPAGE_GUID" w:val="4DF5F8D3CC224119A8414716BF347A14"/>
    <w:docVar w:name="LW_CROSSREFERENCE" w:val="&lt;UNUSED&gt;"/>
    <w:docVar w:name="LW_DocType" w:val="NORMAL"/>
    <w:docVar w:name="LW_EMISSION" w:val="14.6.2017"/>
    <w:docVar w:name="LW_EMISSION_ISODATE" w:val="2017-06-14"/>
    <w:docVar w:name="LW_EMISSION_LOCATION" w:val="BRX"/>
    <w:docVar w:name="LW_EMISSION_PREFIX" w:val="Bruxelles, le "/>
    <w:docVar w:name="LW_EMISSION_SUFFIX" w:val=" "/>
    <w:docVar w:name="LW_ID_DOCTYPE_NONLW" w:val="CP-010"/>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299"/>
    <w:docVar w:name="LW_REF.INTERNE" w:val="&lt;UNUSED&gt;"/>
    <w:docVar w:name="LW_SOUS.TITRE.OBJ.CP" w:val="&lt;UNUSED&gt;"/>
    <w:docVar w:name="LW_SUPERTITRE" w:val="&lt;UNUSED&gt;"/>
    <w:docVar w:name="LW_TITRE.OBJ.CP" w:val="Informations financières sur le Fonds européen de développement_x000b__x000b_Fonds européen de développement (FED): prévisions relatives aux engagements, paiements et contributions "/>
    <w:docVar w:name="LW_TYPE.DOC.CP" w:val="COMMUNICATION DE LA COMMISSION AU CONSE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Text1"/>
    <w:link w:val="Heading2Char"/>
    <w:uiPriority w:val="9"/>
    <w:semiHidden/>
    <w:unhideWhenUsed/>
    <w:qFormat/>
    <w:pPr>
      <w:keepNext/>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Text1"/>
    <w:link w:val="Heading3Char"/>
    <w:uiPriority w:val="9"/>
    <w:semiHidden/>
    <w:unhideWhenUsed/>
    <w:qFormat/>
    <w:pPr>
      <w:keepNext/>
      <w:spacing w:before="120" w:after="120" w:line="240" w:lineRule="auto"/>
      <w:jc w:val="both"/>
      <w:outlineLvl w:val="2"/>
    </w:pPr>
    <w:rPr>
      <w:rFonts w:ascii="Times New Roman" w:eastAsia="Times New Roman" w:hAnsi="Times New Roman" w:cs="Times New Roman"/>
      <w:bCs/>
      <w:i/>
      <w:sz w:val="24"/>
    </w:rPr>
  </w:style>
  <w:style w:type="paragraph" w:styleId="Heading4">
    <w:name w:val="heading 4"/>
    <w:basedOn w:val="Normal"/>
    <w:next w:val="Text1"/>
    <w:link w:val="Heading4Char"/>
    <w:uiPriority w:val="9"/>
    <w:semiHidden/>
    <w:unhideWhenUsed/>
    <w:qFormat/>
    <w:pPr>
      <w:keepNext/>
      <w:spacing w:before="120" w:after="120" w:line="240" w:lineRule="auto"/>
      <w:jc w:val="both"/>
      <w:outlineLvl w:val="3"/>
    </w:pPr>
    <w:rPr>
      <w:rFonts w:ascii="Times New Roman" w:eastAsia="Times New Roman"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fr-FR"/>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fr-FR"/>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fr-FR"/>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fr-FR"/>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fr-FR"/>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Bullet">
    <w:name w:val="List Bullet"/>
    <w:basedOn w:val="Normal"/>
    <w:pPr>
      <w:numPr>
        <w:numId w:val="3"/>
      </w:numPr>
      <w:spacing w:before="120" w:after="120" w:line="240" w:lineRule="auto"/>
      <w:contextualSpacing/>
      <w:jc w:val="both"/>
    </w:pPr>
    <w:rPr>
      <w:rFonts w:ascii="Times New Roman" w:eastAsia="Times New Roman" w:hAnsi="Times New Roman" w:cs="Times New Roman"/>
      <w:sz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Text1"/>
    <w:link w:val="Heading2Char"/>
    <w:uiPriority w:val="9"/>
    <w:semiHidden/>
    <w:unhideWhenUsed/>
    <w:qFormat/>
    <w:pPr>
      <w:keepNext/>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Text1"/>
    <w:link w:val="Heading3Char"/>
    <w:uiPriority w:val="9"/>
    <w:semiHidden/>
    <w:unhideWhenUsed/>
    <w:qFormat/>
    <w:pPr>
      <w:keepNext/>
      <w:spacing w:before="120" w:after="120" w:line="240" w:lineRule="auto"/>
      <w:jc w:val="both"/>
      <w:outlineLvl w:val="2"/>
    </w:pPr>
    <w:rPr>
      <w:rFonts w:ascii="Times New Roman" w:eastAsia="Times New Roman" w:hAnsi="Times New Roman" w:cs="Times New Roman"/>
      <w:bCs/>
      <w:i/>
      <w:sz w:val="24"/>
    </w:rPr>
  </w:style>
  <w:style w:type="paragraph" w:styleId="Heading4">
    <w:name w:val="heading 4"/>
    <w:basedOn w:val="Normal"/>
    <w:next w:val="Text1"/>
    <w:link w:val="Heading4Char"/>
    <w:uiPriority w:val="9"/>
    <w:semiHidden/>
    <w:unhideWhenUsed/>
    <w:qFormat/>
    <w:pPr>
      <w:keepNext/>
      <w:spacing w:before="120" w:after="120" w:line="240" w:lineRule="auto"/>
      <w:jc w:val="both"/>
      <w:outlineLvl w:val="3"/>
    </w:pPr>
    <w:rPr>
      <w:rFonts w:ascii="Times New Roman" w:eastAsia="Times New Roman"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fr-FR"/>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fr-FR"/>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fr-FR"/>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fr-FR"/>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fr-FR"/>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Bullet">
    <w:name w:val="List Bullet"/>
    <w:basedOn w:val="Normal"/>
    <w:pPr>
      <w:numPr>
        <w:numId w:val="3"/>
      </w:numPr>
      <w:spacing w:before="120" w:after="120" w:line="240" w:lineRule="auto"/>
      <w:contextualSpacing/>
      <w:jc w:val="both"/>
    </w:pPr>
    <w:rPr>
      <w:rFonts w:ascii="Times New Roman" w:eastAsia="Times New Roman" w:hAnsi="Times New Roman" w:cs="Times New Roman"/>
      <w:sz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42587">
      <w:bodyDiv w:val="1"/>
      <w:marLeft w:val="0"/>
      <w:marRight w:val="0"/>
      <w:marTop w:val="0"/>
      <w:marBottom w:val="0"/>
      <w:divBdr>
        <w:top w:val="none" w:sz="0" w:space="0" w:color="auto"/>
        <w:left w:val="none" w:sz="0" w:space="0" w:color="auto"/>
        <w:bottom w:val="none" w:sz="0" w:space="0" w:color="auto"/>
        <w:right w:val="none" w:sz="0" w:space="0" w:color="auto"/>
      </w:divBdr>
    </w:div>
    <w:div w:id="190269309">
      <w:bodyDiv w:val="1"/>
      <w:marLeft w:val="0"/>
      <w:marRight w:val="0"/>
      <w:marTop w:val="0"/>
      <w:marBottom w:val="0"/>
      <w:divBdr>
        <w:top w:val="none" w:sz="0" w:space="0" w:color="auto"/>
        <w:left w:val="none" w:sz="0" w:space="0" w:color="auto"/>
        <w:bottom w:val="none" w:sz="0" w:space="0" w:color="auto"/>
        <w:right w:val="none" w:sz="0" w:space="0" w:color="auto"/>
      </w:divBdr>
    </w:div>
    <w:div w:id="221792415">
      <w:bodyDiv w:val="1"/>
      <w:marLeft w:val="0"/>
      <w:marRight w:val="0"/>
      <w:marTop w:val="0"/>
      <w:marBottom w:val="0"/>
      <w:divBdr>
        <w:top w:val="none" w:sz="0" w:space="0" w:color="auto"/>
        <w:left w:val="none" w:sz="0" w:space="0" w:color="auto"/>
        <w:bottom w:val="none" w:sz="0" w:space="0" w:color="auto"/>
        <w:right w:val="none" w:sz="0" w:space="0" w:color="auto"/>
      </w:divBdr>
    </w:div>
    <w:div w:id="352195666">
      <w:bodyDiv w:val="1"/>
      <w:marLeft w:val="0"/>
      <w:marRight w:val="0"/>
      <w:marTop w:val="0"/>
      <w:marBottom w:val="0"/>
      <w:divBdr>
        <w:top w:val="none" w:sz="0" w:space="0" w:color="auto"/>
        <w:left w:val="none" w:sz="0" w:space="0" w:color="auto"/>
        <w:bottom w:val="none" w:sz="0" w:space="0" w:color="auto"/>
        <w:right w:val="none" w:sz="0" w:space="0" w:color="auto"/>
      </w:divBdr>
    </w:div>
    <w:div w:id="648285809">
      <w:bodyDiv w:val="1"/>
      <w:marLeft w:val="0"/>
      <w:marRight w:val="0"/>
      <w:marTop w:val="0"/>
      <w:marBottom w:val="0"/>
      <w:divBdr>
        <w:top w:val="none" w:sz="0" w:space="0" w:color="auto"/>
        <w:left w:val="none" w:sz="0" w:space="0" w:color="auto"/>
        <w:bottom w:val="none" w:sz="0" w:space="0" w:color="auto"/>
        <w:right w:val="none" w:sz="0" w:space="0" w:color="auto"/>
      </w:divBdr>
    </w:div>
    <w:div w:id="726337285">
      <w:bodyDiv w:val="1"/>
      <w:marLeft w:val="0"/>
      <w:marRight w:val="0"/>
      <w:marTop w:val="0"/>
      <w:marBottom w:val="0"/>
      <w:divBdr>
        <w:top w:val="none" w:sz="0" w:space="0" w:color="auto"/>
        <w:left w:val="none" w:sz="0" w:space="0" w:color="auto"/>
        <w:bottom w:val="none" w:sz="0" w:space="0" w:color="auto"/>
        <w:right w:val="none" w:sz="0" w:space="0" w:color="auto"/>
      </w:divBdr>
    </w:div>
    <w:div w:id="745415268">
      <w:bodyDiv w:val="1"/>
      <w:marLeft w:val="0"/>
      <w:marRight w:val="0"/>
      <w:marTop w:val="0"/>
      <w:marBottom w:val="0"/>
      <w:divBdr>
        <w:top w:val="none" w:sz="0" w:space="0" w:color="auto"/>
        <w:left w:val="none" w:sz="0" w:space="0" w:color="auto"/>
        <w:bottom w:val="none" w:sz="0" w:space="0" w:color="auto"/>
        <w:right w:val="none" w:sz="0" w:space="0" w:color="auto"/>
      </w:divBdr>
    </w:div>
    <w:div w:id="886649050">
      <w:bodyDiv w:val="1"/>
      <w:marLeft w:val="0"/>
      <w:marRight w:val="0"/>
      <w:marTop w:val="0"/>
      <w:marBottom w:val="0"/>
      <w:divBdr>
        <w:top w:val="none" w:sz="0" w:space="0" w:color="auto"/>
        <w:left w:val="none" w:sz="0" w:space="0" w:color="auto"/>
        <w:bottom w:val="none" w:sz="0" w:space="0" w:color="auto"/>
        <w:right w:val="none" w:sz="0" w:space="0" w:color="auto"/>
      </w:divBdr>
    </w:div>
    <w:div w:id="1015573858">
      <w:bodyDiv w:val="1"/>
      <w:marLeft w:val="0"/>
      <w:marRight w:val="0"/>
      <w:marTop w:val="0"/>
      <w:marBottom w:val="0"/>
      <w:divBdr>
        <w:top w:val="none" w:sz="0" w:space="0" w:color="auto"/>
        <w:left w:val="none" w:sz="0" w:space="0" w:color="auto"/>
        <w:bottom w:val="none" w:sz="0" w:space="0" w:color="auto"/>
        <w:right w:val="none" w:sz="0" w:space="0" w:color="auto"/>
      </w:divBdr>
    </w:div>
    <w:div w:id="1108895169">
      <w:bodyDiv w:val="1"/>
      <w:marLeft w:val="0"/>
      <w:marRight w:val="0"/>
      <w:marTop w:val="0"/>
      <w:marBottom w:val="0"/>
      <w:divBdr>
        <w:top w:val="none" w:sz="0" w:space="0" w:color="auto"/>
        <w:left w:val="none" w:sz="0" w:space="0" w:color="auto"/>
        <w:bottom w:val="none" w:sz="0" w:space="0" w:color="auto"/>
        <w:right w:val="none" w:sz="0" w:space="0" w:color="auto"/>
      </w:divBdr>
    </w:div>
    <w:div w:id="1182663719">
      <w:bodyDiv w:val="1"/>
      <w:marLeft w:val="0"/>
      <w:marRight w:val="0"/>
      <w:marTop w:val="0"/>
      <w:marBottom w:val="0"/>
      <w:divBdr>
        <w:top w:val="none" w:sz="0" w:space="0" w:color="auto"/>
        <w:left w:val="none" w:sz="0" w:space="0" w:color="auto"/>
        <w:bottom w:val="none" w:sz="0" w:space="0" w:color="auto"/>
        <w:right w:val="none" w:sz="0" w:space="0" w:color="auto"/>
      </w:divBdr>
    </w:div>
    <w:div w:id="1940796710">
      <w:bodyDiv w:val="1"/>
      <w:marLeft w:val="0"/>
      <w:marRight w:val="0"/>
      <w:marTop w:val="0"/>
      <w:marBottom w:val="0"/>
      <w:divBdr>
        <w:top w:val="none" w:sz="0" w:space="0" w:color="auto"/>
        <w:left w:val="none" w:sz="0" w:space="0" w:color="auto"/>
        <w:bottom w:val="none" w:sz="0" w:space="0" w:color="auto"/>
        <w:right w:val="none" w:sz="0" w:space="0" w:color="auto"/>
      </w:divBdr>
    </w:div>
    <w:div w:id="2029482831">
      <w:bodyDiv w:val="1"/>
      <w:marLeft w:val="0"/>
      <w:marRight w:val="0"/>
      <w:marTop w:val="0"/>
      <w:marBottom w:val="0"/>
      <w:divBdr>
        <w:top w:val="none" w:sz="0" w:space="0" w:color="auto"/>
        <w:left w:val="none" w:sz="0" w:space="0" w:color="auto"/>
        <w:bottom w:val="none" w:sz="0" w:space="0" w:color="auto"/>
        <w:right w:val="none" w:sz="0" w:space="0" w:color="auto"/>
      </w:divBdr>
    </w:div>
    <w:div w:id="2039381223">
      <w:bodyDiv w:val="1"/>
      <w:marLeft w:val="0"/>
      <w:marRight w:val="0"/>
      <w:marTop w:val="0"/>
      <w:marBottom w:val="0"/>
      <w:divBdr>
        <w:top w:val="none" w:sz="0" w:space="0" w:color="auto"/>
        <w:left w:val="none" w:sz="0" w:space="0" w:color="auto"/>
        <w:bottom w:val="none" w:sz="0" w:space="0" w:color="auto"/>
        <w:right w:val="none" w:sz="0" w:space="0" w:color="auto"/>
      </w:divBdr>
    </w:div>
    <w:div w:id="210910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5AE43-0B2C-42D9-97FA-CD5D99E7C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13</Pages>
  <Words>4467</Words>
  <Characters>18766</Characters>
  <Application>Microsoft Office Word</Application>
  <DocSecurity>0</DocSecurity>
  <Lines>1876</Lines>
  <Paragraphs>1659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36</cp:revision>
  <dcterms:created xsi:type="dcterms:W3CDTF">2017-05-12T12:03:00Z</dcterms:created>
  <dcterms:modified xsi:type="dcterms:W3CDTF">2017-06-02T10:20:00Z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