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1461DAD11CD4558A3D4EB4F0593AA31" style="width:450.4pt;height:334.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rPr>
          <w:noProof/>
        </w:rPr>
      </w:pPr>
      <w:bookmarkStart w:id="1" w:name="_GoBack"/>
      <w:bookmarkEnd w:id="1"/>
      <w:r>
        <w:rPr>
          <w:noProof/>
        </w:rPr>
        <w:lastRenderedPageBreak/>
        <w:t>Предговор</w:t>
      </w:r>
    </w:p>
    <w:p>
      <w:pPr>
        <w:pStyle w:val="Text1"/>
        <w:rPr>
          <w:noProof/>
        </w:rPr>
      </w:pPr>
      <w:r>
        <w:rPr>
          <w:noProof/>
        </w:rPr>
        <w:t>В съответствие с член 7, параграф 3 от Вътрешното споразумение за 11-ия ЕФР</w:t>
      </w:r>
      <w:r>
        <w:rPr>
          <w:rStyle w:val="FootnoteReference"/>
          <w:noProof/>
        </w:rPr>
        <w:footnoteReference w:id="1"/>
      </w:r>
      <w:r>
        <w:rPr>
          <w:noProof/>
        </w:rPr>
        <w:t xml:space="preserve"> и член 21, параграф 4 от Регламент (ЕС) 2015/323 на Съвета относно финансовия регламент, приложим за 11-ия Европейски фонд за развитие</w:t>
      </w:r>
      <w:r>
        <w:rPr>
          <w:rStyle w:val="FootnoteReference"/>
          <w:noProof/>
        </w:rPr>
        <w:footnoteReference w:id="2"/>
      </w:r>
      <w:r>
        <w:rPr>
          <w:noProof/>
        </w:rPr>
        <w:t xml:space="preserve"> (наричан по-долу „Финансовият регламент за 11-ия ЕФР“), Комисията представя в настоящия документ както поетите задължения, плащанията и вноските за 2016 г., така и тези за периода 2017—2018 г., като взема предвид прогнозите на Европейската инвестиционна банка (ЕИБ). </w:t>
      </w:r>
    </w:p>
    <w:p>
      <w:pPr>
        <w:pStyle w:val="Text1"/>
        <w:rPr>
          <w:noProof/>
        </w:rPr>
      </w:pPr>
      <w:r>
        <w:rPr>
          <w:noProof/>
        </w:rPr>
        <w:t>В настоящия документ са представени финансовото изпълнение на ЕФР (от Осмия до 11-ия ЕФР) за 2016 г. и прогнозите за изпълнението за 2017 г. и 2018 г.</w:t>
      </w:r>
    </w:p>
    <w:p>
      <w:pPr>
        <w:pStyle w:val="Text1"/>
        <w:rPr>
          <w:noProof/>
        </w:rPr>
      </w:pPr>
      <w:r>
        <w:rPr>
          <w:noProof/>
        </w:rPr>
        <w:t>Вноските за инструментите на Деветия, 10</w:t>
      </w:r>
      <w:r>
        <w:rPr>
          <w:noProof/>
          <w:vertAlign w:val="superscript"/>
        </w:rPr>
        <w:t>-ия</w:t>
      </w:r>
      <w:r>
        <w:rPr>
          <w:noProof/>
        </w:rPr>
        <w:t xml:space="preserve"> и 11</w:t>
      </w:r>
      <w:r>
        <w:rPr>
          <w:noProof/>
          <w:vertAlign w:val="superscript"/>
        </w:rPr>
        <w:t>-ия</w:t>
      </w:r>
      <w:r>
        <w:rPr>
          <w:noProof/>
        </w:rPr>
        <w:t xml:space="preserve"> ЕФР, управлявани от Европейската инвестиционна банка (ЕИБ), се внасят директно от държавите членки в ЕИБ (инвестиционния механизъм и лихвените субсидии). </w:t>
      </w:r>
    </w:p>
    <w:p>
      <w:pPr>
        <w:pStyle w:val="Heading1"/>
        <w:numPr>
          <w:ilvl w:val="0"/>
          <w:numId w:val="2"/>
        </w:numPr>
        <w:rPr>
          <w:noProof/>
        </w:rPr>
      </w:pPr>
      <w:r>
        <w:rPr>
          <w:noProof/>
        </w:rPr>
        <w:t>Въведение</w:t>
      </w:r>
    </w:p>
    <w:p>
      <w:pPr>
        <w:pStyle w:val="Text1"/>
        <w:rPr>
          <w:noProof/>
        </w:rPr>
      </w:pPr>
      <w:r>
        <w:rPr>
          <w:noProof/>
        </w:rPr>
        <w:t>Комисията и ЕИБ актуализираха прогнозите си за поетите задължения и за плащанията за 2017 и 2018 г. за всяка една от страните от АКТБ</w:t>
      </w:r>
      <w:r>
        <w:rPr>
          <w:rStyle w:val="FootnoteReference"/>
          <w:noProof/>
        </w:rPr>
        <w:footnoteReference w:id="3"/>
      </w:r>
      <w:r>
        <w:rPr>
          <w:noProof/>
        </w:rPr>
        <w:t xml:space="preserve"> и ОСТ</w:t>
      </w:r>
      <w:r>
        <w:rPr>
          <w:rStyle w:val="FootnoteReference"/>
          <w:noProof/>
        </w:rPr>
        <w:footnoteReference w:id="4"/>
      </w:r>
      <w:r>
        <w:rPr>
          <w:noProof/>
        </w:rPr>
        <w:t>. Прогнозите за плащанията по-специално бяха изготвени с цел да се помогне на държавите членки да предвидят възможно най-точно сумите, които трябва да заделят в националните си бюджети, като същевременно се осигури наличността на достатъчно финансови ресурси за ЕФР, за да се избегнат проблеми с ликвидността.</w:t>
      </w:r>
    </w:p>
    <w:p>
      <w:pPr>
        <w:pStyle w:val="Text1"/>
        <w:rPr>
          <w:noProof/>
        </w:rPr>
      </w:pPr>
      <w:r>
        <w:rPr>
          <w:noProof/>
        </w:rPr>
        <w:t>В съответствие с член 7, параграф 3 от Вътрешното споразумение за 11-ия ЕФР</w:t>
      </w:r>
      <w:r>
        <w:rPr>
          <w:rStyle w:val="FootnoteReference"/>
          <w:noProof/>
        </w:rPr>
        <w:footnoteReference w:id="5"/>
      </w:r>
      <w:r>
        <w:rPr>
          <w:noProof/>
        </w:rPr>
        <w:t xml:space="preserve"> и член 21, параграф 4 от Финансовия регламент за 11-ия ЕФР</w:t>
      </w:r>
      <w:r>
        <w:rPr>
          <w:rStyle w:val="FootnoteReference"/>
          <w:noProof/>
        </w:rPr>
        <w:footnoteReference w:id="6"/>
      </w:r>
      <w:r>
        <w:rPr>
          <w:noProof/>
        </w:rPr>
        <w:t xml:space="preserve"> прогнозите, предоставени в настоящия документ, са актуализирани.</w:t>
      </w:r>
    </w:p>
    <w:p>
      <w:pPr>
        <w:pStyle w:val="Text1"/>
        <w:rPr>
          <w:noProof/>
        </w:rPr>
      </w:pPr>
      <w:r>
        <w:rPr>
          <w:noProof/>
        </w:rPr>
        <w:t>В графиката по-долу е представена общата тенденция на брутните поети задължения и плащания от 1999 г. до 2016 г., като са включени и прогнозите за периода 2017—2018 г. (кумулирани суми за Комисията и ЕИБ).</w:t>
      </w:r>
    </w:p>
    <w:p>
      <w:pPr>
        <w:rPr>
          <w:noProof/>
        </w:rPr>
      </w:pPr>
      <w:r>
        <w:rPr>
          <w:noProof/>
        </w:rPr>
        <w:br w:type="page"/>
      </w:r>
    </w:p>
    <w:p>
      <w:pPr>
        <w:pStyle w:val="Text1"/>
        <w:rPr>
          <w:b/>
          <w:noProof/>
        </w:rPr>
      </w:pPr>
      <w:r>
        <w:rPr>
          <w:b/>
          <w:noProof/>
        </w:rPr>
        <w:lastRenderedPageBreak/>
        <w:t>Брутни поети задължения и плащания: тенденция през периода 1999—2018 г. (млн. EUR)</w:t>
      </w:r>
    </w:p>
    <w:p>
      <w:pPr>
        <w:jc w:val="both"/>
        <w:rPr>
          <w:noProof/>
        </w:rPr>
      </w:pPr>
      <w:r>
        <w:rPr>
          <w:noProof/>
          <w:lang w:val="en-US" w:eastAsia="en-US" w:bidi="ar-SA"/>
        </w:rPr>
        <w:drawing>
          <wp:inline distT="0" distB="0" distL="0" distR="0">
            <wp:extent cx="5762625" cy="3457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3456813"/>
                    </a:xfrm>
                    <a:prstGeom prst="rect">
                      <a:avLst/>
                    </a:prstGeom>
                  </pic:spPr>
                </pic:pic>
              </a:graphicData>
            </a:graphic>
          </wp:inline>
        </w:drawing>
      </w:r>
      <w:r>
        <w:rPr>
          <w:rFonts w:ascii="Times New Roman" w:hAnsi="Times New Roman"/>
          <w:noProof/>
          <w:sz w:val="20"/>
        </w:rPr>
        <w:t>Забележка: Данни за изпълнението на Европейските фондове за развитие към 31 декември 2016 г. (поети задължения, плащания и финансова ситуация) и прогнози за 2017 г. и 2018 г.</w:t>
      </w:r>
    </w:p>
    <w:p>
      <w:pPr>
        <w:pStyle w:val="Heading1"/>
        <w:numPr>
          <w:ilvl w:val="0"/>
          <w:numId w:val="2"/>
        </w:numPr>
        <w:rPr>
          <w:noProof/>
        </w:rPr>
      </w:pPr>
      <w:r>
        <w:rPr>
          <w:noProof/>
        </w:rPr>
        <w:t>Финансови прогнози за 2017—2018 г. (млн. EUR)</w:t>
      </w:r>
    </w:p>
    <w:p>
      <w:pPr>
        <w:pStyle w:val="Text1"/>
        <w:rPr>
          <w:noProof/>
        </w:rPr>
      </w:pPr>
      <w:r>
        <w:rPr>
          <w:noProof/>
        </w:rPr>
        <w:t>Таблицата по-долу съдържа актуализация на поетите задължения, плащанията и вноските въз основа на последните прогнози на Комисията.</w:t>
      </w:r>
    </w:p>
    <w:tbl>
      <w:tblPr>
        <w:tblW w:w="8379" w:type="dxa"/>
        <w:tblInd w:w="93" w:type="dxa"/>
        <w:tblLook w:val="04A0" w:firstRow="1" w:lastRow="0" w:firstColumn="1" w:lastColumn="0" w:noHBand="0" w:noVBand="1"/>
      </w:tblPr>
      <w:tblGrid>
        <w:gridCol w:w="1900"/>
        <w:gridCol w:w="2500"/>
        <w:gridCol w:w="1285"/>
        <w:gridCol w:w="1276"/>
        <w:gridCol w:w="1418"/>
      </w:tblGrid>
      <w:tr>
        <w:trPr>
          <w:trHeight w:val="240"/>
        </w:trPr>
        <w:tc>
          <w:tcPr>
            <w:tcW w:w="4400" w:type="dxa"/>
            <w:gridSpan w:val="2"/>
            <w:tcBorders>
              <w:top w:val="single" w:sz="8" w:space="0" w:color="auto"/>
              <w:left w:val="single" w:sz="8" w:space="0" w:color="auto"/>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Действителни размери 2016 г. (*)</w:t>
            </w:r>
          </w:p>
        </w:tc>
        <w:tc>
          <w:tcPr>
            <w:tcW w:w="1285" w:type="dxa"/>
            <w:tcBorders>
              <w:top w:val="single" w:sz="8" w:space="0" w:color="auto"/>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276"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418"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240"/>
        </w:trPr>
        <w:tc>
          <w:tcPr>
            <w:tcW w:w="4400" w:type="dxa"/>
            <w:gridSpan w:val="2"/>
            <w:tcBorders>
              <w:top w:val="nil"/>
              <w:left w:val="single" w:sz="8" w:space="0" w:color="auto"/>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Прогнози за 2017—2018 г.</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2016 г.</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2017 г.</w:t>
            </w:r>
          </w:p>
        </w:tc>
        <w:tc>
          <w:tcPr>
            <w:tcW w:w="1418"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2018 г.</w:t>
            </w:r>
          </w:p>
        </w:tc>
      </w:tr>
      <w:tr>
        <w:trPr>
          <w:trHeight w:val="240"/>
        </w:trPr>
        <w:tc>
          <w:tcPr>
            <w:tcW w:w="1900"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418"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Поети задължения</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Комисия</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6 919 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5 629</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4 550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ЕИБ</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878</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855</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880</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Общо</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7 797</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6 484</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5 430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Плащания</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Комисия</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3 416</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4 064</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4 600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ЕИБ</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679</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540</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565</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Общо</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4 095</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4 604</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5 165</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Вноски</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Комисия</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3 450</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3 850</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sz w:val="24"/>
                <w:szCs w:val="24"/>
              </w:rPr>
            </w:pPr>
            <w:r>
              <w:rPr>
                <w:rFonts w:ascii="Times New Roman" w:hAnsi="Times New Roman"/>
                <w:noProof/>
                <w:sz w:val="24"/>
              </w:rPr>
              <w:t>4 550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ЕИБ</w:t>
            </w:r>
          </w:p>
        </w:tc>
        <w:tc>
          <w:tcPr>
            <w:tcW w:w="1285" w:type="dxa"/>
            <w:tcBorders>
              <w:top w:val="nil"/>
              <w:left w:val="single" w:sz="8" w:space="0" w:color="auto"/>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150</w:t>
            </w:r>
          </w:p>
        </w:tc>
        <w:tc>
          <w:tcPr>
            <w:tcW w:w="1276"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150</w:t>
            </w:r>
          </w:p>
        </w:tc>
        <w:tc>
          <w:tcPr>
            <w:tcW w:w="1418" w:type="dxa"/>
            <w:tcBorders>
              <w:top w:val="nil"/>
              <w:left w:val="nil"/>
              <w:bottom w:val="nil"/>
              <w:right w:val="single" w:sz="8" w:space="0" w:color="auto"/>
            </w:tcBorders>
            <w:shd w:val="clear" w:color="auto" w:fill="auto"/>
            <w:noWrap/>
            <w:vAlign w:val="bottom"/>
            <w:hideMark/>
          </w:tcPr>
          <w:p>
            <w:pPr>
              <w:spacing w:after="0" w:line="240" w:lineRule="auto"/>
              <w:ind w:right="34"/>
              <w:jc w:val="right"/>
              <w:rPr>
                <w:rFonts w:ascii="Times New Roman" w:eastAsia="Times New Roman" w:hAnsi="Times New Roman" w:cs="Times New Roman"/>
                <w:noProof/>
                <w:sz w:val="24"/>
                <w:szCs w:val="24"/>
              </w:rPr>
            </w:pPr>
            <w:r>
              <w:rPr>
                <w:rFonts w:ascii="Times New Roman" w:hAnsi="Times New Roman"/>
                <w:noProof/>
                <w:sz w:val="24"/>
              </w:rPr>
              <w:t>250</w:t>
            </w:r>
            <w:r>
              <w:rPr>
                <w:rFonts w:ascii="Times New Roman" w:hAnsi="Times New Roman"/>
                <w:noProof/>
                <w:sz w:val="24"/>
                <w:vertAlign w:val="superscript"/>
              </w:rPr>
              <w:t>**</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25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Общо</w:t>
            </w:r>
          </w:p>
        </w:tc>
        <w:tc>
          <w:tcPr>
            <w:tcW w:w="1285"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3 600</w:t>
            </w:r>
          </w:p>
        </w:tc>
        <w:tc>
          <w:tcPr>
            <w:tcW w:w="127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4 000</w:t>
            </w:r>
          </w:p>
        </w:tc>
        <w:tc>
          <w:tcPr>
            <w:tcW w:w="1418" w:type="dxa"/>
            <w:tcBorders>
              <w:top w:val="nil"/>
              <w:left w:val="nil"/>
              <w:bottom w:val="single" w:sz="8" w:space="0" w:color="auto"/>
              <w:right w:val="single" w:sz="8" w:space="0" w:color="auto"/>
            </w:tcBorders>
            <w:shd w:val="clear" w:color="auto" w:fill="auto"/>
            <w:noWrap/>
            <w:vAlign w:val="bottom"/>
            <w:hideMark/>
          </w:tcPr>
          <w:p>
            <w:pPr>
              <w:spacing w:after="0" w:line="240" w:lineRule="auto"/>
              <w:ind w:right="176"/>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4 800</w:t>
            </w:r>
          </w:p>
        </w:tc>
      </w:tr>
    </w:tbl>
    <w:p>
      <w:pPr>
        <w:pStyle w:val="Text1"/>
        <w:ind w:left="0"/>
        <w:rPr>
          <w:noProof/>
          <w:sz w:val="20"/>
          <w:szCs w:val="20"/>
        </w:rPr>
      </w:pPr>
      <w:r>
        <w:rPr>
          <w:noProof/>
          <w:sz w:val="20"/>
        </w:rPr>
        <w:t>* Брутни суми, т.е. без да са приспаднати отменените бюджетни кредити или събиранията/възстановяванията. Този подход съответства на използвания за общия бюджет на Европейския съюз.</w:t>
      </w:r>
    </w:p>
    <w:p>
      <w:pPr>
        <w:pStyle w:val="Text1"/>
        <w:ind w:left="0"/>
        <w:rPr>
          <w:noProof/>
          <w:sz w:val="20"/>
          <w:szCs w:val="20"/>
        </w:rPr>
      </w:pPr>
      <w:r>
        <w:rPr>
          <w:noProof/>
          <w:sz w:val="20"/>
        </w:rPr>
        <w:t>** Вж. обяснителната бележка на ЕИБ за информация от 17.11.2015 г., MD no: 151/15 ADD 1 ACP.</w:t>
      </w:r>
    </w:p>
    <w:p>
      <w:pPr>
        <w:rPr>
          <w:noProof/>
        </w:rPr>
      </w:pPr>
      <w:r>
        <w:rPr>
          <w:noProof/>
        </w:rPr>
        <w:br w:type="page"/>
      </w:r>
    </w:p>
    <w:p>
      <w:pPr>
        <w:pStyle w:val="Heading1"/>
        <w:numPr>
          <w:ilvl w:val="0"/>
          <w:numId w:val="2"/>
        </w:numPr>
        <w:rPr>
          <w:noProof/>
        </w:rPr>
      </w:pPr>
      <w:r>
        <w:rPr>
          <w:noProof/>
        </w:rPr>
        <w:t>Необвързващи прогнози относно вноските за периода за 2019—2020 г. (млн. EUR)</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900" w:type="dxa"/>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315"/>
        </w:trPr>
        <w:tc>
          <w:tcPr>
            <w:tcW w:w="3800" w:type="dxa"/>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Прогнози за 2019—2020 г.(*)</w:t>
            </w:r>
          </w:p>
        </w:tc>
        <w:tc>
          <w:tcPr>
            <w:tcW w:w="158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2019 г.</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2020 г.</w:t>
            </w:r>
          </w:p>
        </w:tc>
      </w:tr>
      <w:tr>
        <w:trPr>
          <w:trHeight w:val="330"/>
        </w:trPr>
        <w:tc>
          <w:tcPr>
            <w:tcW w:w="1900"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Вноски</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Комисия</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4 500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4 500</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ЕИБ</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400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400</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Общо</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4 900</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FF0000"/>
                <w:sz w:val="24"/>
                <w:szCs w:val="24"/>
              </w:rPr>
            </w:pPr>
            <w:r>
              <w:rPr>
                <w:rFonts w:ascii="Times New Roman" w:hAnsi="Times New Roman"/>
                <w:noProof/>
                <w:color w:val="FF0000"/>
                <w:sz w:val="24"/>
              </w:rPr>
              <w:t>4 900</w:t>
            </w:r>
          </w:p>
        </w:tc>
      </w:tr>
    </w:tbl>
    <w:p>
      <w:pPr>
        <w:pStyle w:val="Text1"/>
        <w:ind w:left="0"/>
        <w:rPr>
          <w:noProof/>
          <w:sz w:val="20"/>
          <w:szCs w:val="20"/>
        </w:rPr>
      </w:pPr>
      <w:r>
        <w:rPr>
          <w:noProof/>
          <w:sz w:val="20"/>
        </w:rPr>
        <w:t>* Член 21, параграф 2 от Финансовия регламент за 11-ия ЕФР (Регламент (EС) 2015/323): индикативна необвързваща прогноза, базирана на статистически подход, за очаквания годишен размер на вноските за години n + 3 и n + 4.</w:t>
      </w:r>
    </w:p>
    <w:p>
      <w:pPr>
        <w:pStyle w:val="Heading1"/>
        <w:numPr>
          <w:ilvl w:val="0"/>
          <w:numId w:val="2"/>
        </w:numPr>
        <w:rPr>
          <w:noProof/>
        </w:rPr>
      </w:pPr>
      <w:r>
        <w:rPr>
          <w:noProof/>
        </w:rPr>
        <w:t>Финансово изпълнение за 2016 г. и прогнози за 2017 г. и 2018 г.</w:t>
      </w:r>
    </w:p>
    <w:p>
      <w:pPr>
        <w:pStyle w:val="Text1"/>
        <w:ind w:left="851"/>
        <w:rPr>
          <w:noProof/>
          <w:highlight w:val="yellow"/>
        </w:rPr>
      </w:pPr>
      <w:r>
        <w:rPr>
          <w:noProof/>
        </w:rPr>
        <w:t>Общият размер в края на годината на поетите задължения за 2016 г. е надвишавал оценките, предоставени в съобщението от октомври 2016 г. Целта за плащанията обаче не беше постигната.</w:t>
      </w:r>
    </w:p>
    <w:p>
      <w:pPr>
        <w:pStyle w:val="Text1"/>
        <w:ind w:left="851"/>
        <w:rPr>
          <w:noProof/>
        </w:rPr>
      </w:pPr>
      <w:r>
        <w:rPr>
          <w:noProof/>
        </w:rPr>
        <w:t>Прогнозата за 2016 г. за поетите задължения, предоставена в съобщението от октомври 2016 г. (5 325 млн. евро), е надвишена с 1 594 млн. евро. Една от причините за надхвърлянето на целта е, че първоначалните прогнози не включваха решението за разпределяне на 500 млн. евро допълнителни кредити на Извънреден доверителен фонд за Африка</w:t>
      </w:r>
      <w:r>
        <w:rPr>
          <w:rStyle w:val="FootnoteReference"/>
          <w:noProof/>
        </w:rPr>
        <w:footnoteReference w:id="7"/>
      </w:r>
      <w:r>
        <w:rPr>
          <w:noProof/>
        </w:rPr>
        <w:t xml:space="preserve"> При настоящото равнище на усвояване от страна на Комисията може да се очаква 11-ият ЕФР да бъде изпълнен напълно в края на периода на изпълнение.</w:t>
      </w:r>
    </w:p>
    <w:p>
      <w:pPr>
        <w:pStyle w:val="Text1"/>
        <w:ind w:left="851"/>
        <w:rPr>
          <w:noProof/>
        </w:rPr>
      </w:pPr>
      <w:r>
        <w:rPr>
          <w:noProof/>
        </w:rPr>
        <w:t>Плащанията по ЕФР (3,416 млн. евро) не достигнаха прогнозата за 2016 г. от октомври 2016 г. (3,752 млн. евро), но все още са с над 216 млн. евро над изпълнените средства за 2015 г. (3,210 млн. евро). Прогнозата на Комисията зависеше от плащанията по Извънредния доверителен фонд за Африка (250 млн. евро за 2016 г., от които 207,5 млн. евро по линия на ЕФР). По линия на Извънредния доверителен фонд за Африка обаче от ЕФР фондовете бяха поискани само 98,5 млн. евро.</w:t>
      </w:r>
    </w:p>
    <w:p>
      <w:pPr>
        <w:pStyle w:val="Text1"/>
        <w:ind w:left="851"/>
        <w:rPr>
          <w:noProof/>
        </w:rPr>
      </w:pPr>
      <w:r>
        <w:rPr>
          <w:noProof/>
        </w:rPr>
        <w:t>За периода 2017—2018 г. все още се очаква трудна и напрегната ситуация по отношение на паричните средства. Сред причините за това са изразходването на паричния резерв на ЕФР през 2015 г. (изискани вноски = 3,200 млн. евро спрямо плащания в размер на 3,210 млн. евро), плащанията за Извънредния доверителен фонд за Африка, увеличени финансови средства за Механизма за подкрепа на мира в Африка за периода 2016—2018 г. и предложението за регламент относно Европейския фонд за устойчиво развитие (ЕФУР), с който се създава гаранционният фонд на ЕФУР</w:t>
      </w:r>
      <w:r>
        <w:rPr>
          <w:rStyle w:val="FootnoteReference"/>
          <w:noProof/>
        </w:rPr>
        <w:footnoteReference w:id="8"/>
      </w:r>
      <w:r>
        <w:rPr>
          <w:noProof/>
        </w:rPr>
        <w:t>. След като бъде прието, с предложението се предвижда вноска в размер на 400 млн. евро от 11-ия ЕФР, от които 150 млн. евро ще бъдат платени през 2017 г.</w:t>
      </w:r>
    </w:p>
    <w:p>
      <w:pPr>
        <w:pStyle w:val="Text1"/>
        <w:ind w:left="0"/>
        <w:rPr>
          <w:noProof/>
        </w:rPr>
      </w:pPr>
      <w:r>
        <w:rPr>
          <w:noProof/>
        </w:rPr>
        <w:t>Приложения 1 и 2 показват съответно действителните поети задължения и действителните плащания за 2016 г., както и прогнозите за периода 2017—2018 г., съпоставени със съобщените преди прогнози.</w:t>
      </w:r>
    </w:p>
    <w:p>
      <w:pPr>
        <w:pStyle w:val="Text1"/>
        <w:ind w:left="0"/>
        <w:rPr>
          <w:noProof/>
        </w:rPr>
      </w:pPr>
      <w:r>
        <w:rPr>
          <w:noProof/>
        </w:rPr>
        <w:t>Приложение 3 показва действителната финансова ситуация за 2016 г., както и прогнозите за периода 2017—2020 г., съпоставени със съобщените преди прогнози.</w:t>
      </w:r>
    </w:p>
    <w:p>
      <w:pPr>
        <w:pStyle w:val="Text1"/>
        <w:ind w:left="0"/>
        <w:rPr>
          <w:noProof/>
        </w:rPr>
      </w:pPr>
      <w:r>
        <w:rPr>
          <w:noProof/>
        </w:rPr>
        <w:t>Приложения 4 и 5 показват съответно вноските на държавите членки по ЕФР за 2017 г. по части и общо за годините от периода 2017—2020 г.</w:t>
      </w:r>
    </w:p>
    <w:p>
      <w:pPr>
        <w:pStyle w:val="Text1"/>
        <w:ind w:left="0"/>
        <w:rPr>
          <w:noProof/>
        </w:rPr>
      </w:pPr>
      <w:r>
        <w:rPr>
          <w:noProof/>
        </w:rPr>
        <w:t>Приложения 6 и 7 показват съответно отменените средства от предишни ЕФР и отражението на намаляването на вноските на всяка държава членка.</w:t>
      </w:r>
    </w:p>
    <w:p>
      <w:pPr>
        <w:pStyle w:val="Text1"/>
        <w:ind w:left="0"/>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Heading2"/>
        <w:numPr>
          <w:ilvl w:val="1"/>
          <w:numId w:val="1"/>
        </w:numPr>
        <w:rPr>
          <w:noProof/>
        </w:rPr>
      </w:pPr>
      <w:r>
        <w:rPr>
          <w:noProof/>
        </w:rPr>
        <w:t>Приложение 1: действителни поети задължения</w:t>
      </w:r>
      <w:r>
        <w:rPr>
          <w:noProof/>
          <w:vertAlign w:val="superscript"/>
        </w:rPr>
        <w:footnoteReference w:id="9"/>
      </w:r>
      <w:r>
        <w:rPr>
          <w:noProof/>
        </w:rPr>
        <w:t xml:space="preserve"> за 2016 г. и прогнози за 2017 г. и 2018 г. (млн. EUR)</w:t>
      </w:r>
    </w:p>
    <w:tbl>
      <w:tblPr>
        <w:tblW w:w="12170" w:type="dxa"/>
        <w:tblInd w:w="108" w:type="dxa"/>
        <w:tblLook w:val="04A0" w:firstRow="1" w:lastRow="0" w:firstColumn="1" w:lastColumn="0" w:noHBand="0" w:noVBand="1"/>
      </w:tblPr>
      <w:tblGrid>
        <w:gridCol w:w="2760"/>
        <w:gridCol w:w="1594"/>
        <w:gridCol w:w="1498"/>
        <w:gridCol w:w="1594"/>
        <w:gridCol w:w="1594"/>
        <w:gridCol w:w="1594"/>
        <w:gridCol w:w="1594"/>
      </w:tblGrid>
      <w:tr>
        <w:trPr>
          <w:trHeight w:val="255"/>
        </w:trPr>
        <w:tc>
          <w:tcPr>
            <w:tcW w:w="27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30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2016 г.</w:t>
            </w:r>
          </w:p>
        </w:tc>
        <w:tc>
          <w:tcPr>
            <w:tcW w:w="3188"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2017 г.</w:t>
            </w:r>
          </w:p>
        </w:tc>
        <w:tc>
          <w:tcPr>
            <w:tcW w:w="3188"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2018 г.</w:t>
            </w:r>
          </w:p>
        </w:tc>
      </w:tr>
      <w:tr>
        <w:trPr>
          <w:trHeight w:val="510"/>
        </w:trPr>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 </w:t>
            </w:r>
          </w:p>
        </w:tc>
        <w:tc>
          <w:tcPr>
            <w:tcW w:w="159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октомври 2016 г.</w:t>
            </w:r>
          </w:p>
        </w:tc>
        <w:tc>
          <w:tcPr>
            <w:tcW w:w="144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Действителни размери 2016 г.</w:t>
            </w:r>
          </w:p>
        </w:tc>
        <w:tc>
          <w:tcPr>
            <w:tcW w:w="15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октомври 2016 г.</w:t>
            </w:r>
          </w:p>
        </w:tc>
        <w:tc>
          <w:tcPr>
            <w:tcW w:w="1594"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юни 2017 г.</w:t>
            </w:r>
          </w:p>
        </w:tc>
        <w:tc>
          <w:tcPr>
            <w:tcW w:w="159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октомври 2016 г.</w:t>
            </w:r>
          </w:p>
        </w:tc>
        <w:tc>
          <w:tcPr>
            <w:tcW w:w="1594"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юни 2017 г.</w:t>
            </w:r>
          </w:p>
        </w:tc>
      </w:tr>
      <w:tr>
        <w:trPr>
          <w:trHeight w:val="255"/>
        </w:trPr>
        <w:tc>
          <w:tcPr>
            <w:tcW w:w="276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Региони</w:t>
            </w:r>
          </w:p>
        </w:tc>
        <w:tc>
          <w:tcPr>
            <w:tcW w:w="1594"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Източна Африка</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810</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892 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703 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Западна Африка</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1,776</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2 729 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1 943 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Централна Африка</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1 139</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1 179 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950 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Карибите</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213</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272 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352 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Тихоокеански регион</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131 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230 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Южна Африка</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560</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682 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469 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Междинен сбор</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4 525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5 886</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4 646</w:t>
            </w:r>
            <w:r>
              <w:rPr>
                <w:rFonts w:ascii="Times New Roman" w:hAnsi="Times New Roman"/>
                <w:noProof/>
                <w:sz w:val="20"/>
              </w:rPr>
              <w:t>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Други</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Механизъм за подкрепа на мира, права на човека</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545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627 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467 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Инструмент за вода и енергия</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100</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118 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367 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Доверителен фонд (*)</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0</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Други (**)</w:t>
            </w:r>
          </w:p>
        </w:tc>
        <w:tc>
          <w:tcPr>
            <w:tcW w:w="159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155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287 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150 </w:t>
            </w:r>
          </w:p>
        </w:tc>
        <w:tc>
          <w:tcPr>
            <w:tcW w:w="1594"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Междинен сбор</w:t>
            </w:r>
          </w:p>
        </w:tc>
        <w:tc>
          <w:tcPr>
            <w:tcW w:w="1594"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800</w:t>
            </w:r>
          </w:p>
        </w:tc>
        <w:tc>
          <w:tcPr>
            <w:tcW w:w="14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1 032</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984</w:t>
            </w:r>
            <w:r>
              <w:rPr>
                <w:rFonts w:ascii="Times New Roman" w:hAnsi="Times New Roman"/>
                <w:noProof/>
                <w:sz w:val="20"/>
              </w:rPr>
              <w:t> </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276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Общо Европейска комисия</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5 325</w:t>
            </w:r>
          </w:p>
        </w:tc>
        <w:tc>
          <w:tcPr>
            <w:tcW w:w="14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6 919</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4 663</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5 629</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4 550</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4 550</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Инвестиционен механизъм</w:t>
            </w:r>
          </w:p>
        </w:tc>
        <w:tc>
          <w:tcPr>
            <w:tcW w:w="1594"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775</w:t>
            </w:r>
          </w:p>
        </w:tc>
        <w:tc>
          <w:tcPr>
            <w:tcW w:w="144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793</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800</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775</w:t>
            </w:r>
          </w:p>
        </w:tc>
        <w:tc>
          <w:tcPr>
            <w:tcW w:w="159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825</w:t>
            </w:r>
          </w:p>
        </w:tc>
        <w:tc>
          <w:tcPr>
            <w:tcW w:w="1594"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800</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Лихвени субсидии (***)</w:t>
            </w:r>
          </w:p>
        </w:tc>
        <w:tc>
          <w:tcPr>
            <w:tcW w:w="1594"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c>
          <w:tcPr>
            <w:tcW w:w="14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85</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c>
          <w:tcPr>
            <w:tcW w:w="1594"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c>
          <w:tcPr>
            <w:tcW w:w="1594"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80</w:t>
            </w:r>
          </w:p>
        </w:tc>
      </w:tr>
      <w:tr>
        <w:trPr>
          <w:trHeight w:val="255"/>
        </w:trPr>
        <w:tc>
          <w:tcPr>
            <w:tcW w:w="276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Общо ЕИБ</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855</w:t>
            </w:r>
          </w:p>
        </w:tc>
        <w:tc>
          <w:tcPr>
            <w:tcW w:w="14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878</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880</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855</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905</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880</w:t>
            </w:r>
          </w:p>
        </w:tc>
      </w:tr>
      <w:tr>
        <w:trPr>
          <w:trHeight w:val="255"/>
        </w:trPr>
        <w:tc>
          <w:tcPr>
            <w:tcW w:w="2760" w:type="dxa"/>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ОБЩО ЕК+ЕИБ</w:t>
            </w:r>
          </w:p>
        </w:tc>
        <w:tc>
          <w:tcPr>
            <w:tcW w:w="1594"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6 180</w:t>
            </w:r>
          </w:p>
        </w:tc>
        <w:tc>
          <w:tcPr>
            <w:tcW w:w="14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7 797</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5 543</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6 484</w:t>
            </w:r>
          </w:p>
        </w:tc>
        <w:tc>
          <w:tcPr>
            <w:tcW w:w="159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5 455</w:t>
            </w:r>
          </w:p>
        </w:tc>
        <w:tc>
          <w:tcPr>
            <w:tcW w:w="1594"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5 430</w:t>
            </w:r>
          </w:p>
        </w:tc>
      </w:tr>
    </w:tbl>
    <w:p>
      <w:pPr>
        <w:pStyle w:val="Text1"/>
        <w:spacing w:after="0"/>
        <w:ind w:left="0"/>
        <w:jc w:val="left"/>
        <w:rPr>
          <w:noProof/>
          <w:sz w:val="20"/>
          <w:szCs w:val="20"/>
        </w:rPr>
      </w:pPr>
      <w:r>
        <w:rPr>
          <w:noProof/>
          <w:sz w:val="20"/>
        </w:rPr>
        <w:t xml:space="preserve">Брутни поети задължения, т.е. без да са приспаднати отменените бюджетни кредити. </w:t>
      </w:r>
    </w:p>
    <w:p>
      <w:pPr>
        <w:pStyle w:val="Text1"/>
        <w:spacing w:before="0"/>
        <w:ind w:left="0"/>
        <w:jc w:val="left"/>
        <w:rPr>
          <w:noProof/>
          <w:sz w:val="20"/>
          <w:szCs w:val="20"/>
        </w:rPr>
      </w:pPr>
      <w:r>
        <w:rPr>
          <w:noProof/>
          <w:sz w:val="20"/>
        </w:rPr>
        <w:t>* Извънреден доверителен фонд на ЕС за стабилност и преодоляване на първопричините за незаконната миграция в Африка и Доверителния фонд на ЕС „Беку“.</w:t>
      </w:r>
      <w:r>
        <w:rPr>
          <w:noProof/>
          <w:sz w:val="20"/>
          <w:szCs w:val="20"/>
        </w:rPr>
        <w:br/>
      </w:r>
      <w:r>
        <w:rPr>
          <w:noProof/>
          <w:sz w:val="20"/>
        </w:rPr>
        <w:t>** Включва разходи за подпомагане (напр. за съвместните институции и за Секретариата на АКТБ), Генерална дирекция „Хуманитарна помощ и гражданска защита“, други генерални дирекции и агенции.</w:t>
      </w:r>
      <w:r>
        <w:rPr>
          <w:noProof/>
          <w:sz w:val="20"/>
          <w:szCs w:val="20"/>
        </w:rPr>
        <w:br/>
      </w:r>
      <w:r>
        <w:rPr>
          <w:noProof/>
          <w:sz w:val="20"/>
        </w:rPr>
        <w:t>*** Включително лихвените субсидии, свързани с предишни ЕФР.</w:t>
      </w:r>
    </w:p>
    <w:p>
      <w:pPr>
        <w:rPr>
          <w:noProof/>
        </w:rPr>
      </w:pPr>
      <w:r>
        <w:rPr>
          <w:noProof/>
        </w:rPr>
        <w:br w:type="page"/>
      </w:r>
    </w:p>
    <w:p>
      <w:pPr>
        <w:pStyle w:val="Heading2"/>
        <w:numPr>
          <w:ilvl w:val="1"/>
          <w:numId w:val="1"/>
        </w:numPr>
        <w:rPr>
          <w:noProof/>
        </w:rPr>
      </w:pPr>
      <w:r>
        <w:rPr>
          <w:noProof/>
        </w:rPr>
        <w:t>Приложение 2: действителни плащания</w:t>
      </w:r>
      <w:r>
        <w:rPr>
          <w:noProof/>
          <w:vertAlign w:val="superscript"/>
        </w:rPr>
        <w:footnoteReference w:id="10"/>
      </w:r>
      <w:r>
        <w:rPr>
          <w:noProof/>
          <w:vertAlign w:val="superscript"/>
        </w:rPr>
        <w:t xml:space="preserve"> </w:t>
      </w:r>
      <w:r>
        <w:rPr>
          <w:noProof/>
        </w:rPr>
        <w:t>за 2016 г. и прогнози за 2017 г. и 2018 г. (млн. EUR)</w:t>
      </w:r>
    </w:p>
    <w:tbl>
      <w:tblPr>
        <w:tblW w:w="12360" w:type="dxa"/>
        <w:tblInd w:w="108" w:type="dxa"/>
        <w:tblLook w:val="04A0" w:firstRow="1" w:lastRow="0" w:firstColumn="1" w:lastColumn="0" w:noHBand="0" w:noVBand="1"/>
      </w:tblPr>
      <w:tblGrid>
        <w:gridCol w:w="2760"/>
        <w:gridCol w:w="1600"/>
        <w:gridCol w:w="1600"/>
        <w:gridCol w:w="1600"/>
        <w:gridCol w:w="1600"/>
        <w:gridCol w:w="1600"/>
        <w:gridCol w:w="1600"/>
      </w:tblGrid>
      <w:tr>
        <w:trPr>
          <w:trHeight w:val="255"/>
        </w:trPr>
        <w:tc>
          <w:tcPr>
            <w:tcW w:w="27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3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2016 г.</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2017 г.</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2018 г.</w:t>
            </w:r>
          </w:p>
        </w:tc>
      </w:tr>
      <w:tr>
        <w:trPr>
          <w:trHeight w:val="510"/>
        </w:trPr>
        <w:tc>
          <w:tcPr>
            <w:tcW w:w="276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октомври 2016 г.</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Действителни размери 2016 г.</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октомври 2016 г.</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юни 2017 г.</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октомври 2016 г.</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Съобщение юни 2017 г.</w:t>
            </w:r>
          </w:p>
        </w:tc>
      </w:tr>
      <w:tr>
        <w:trPr>
          <w:trHeight w:val="255"/>
        </w:trPr>
        <w:tc>
          <w:tcPr>
            <w:tcW w:w="276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Региони</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Източна Африка</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618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605 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500 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Западна Африка</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918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911 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1 501 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Централна Африка</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513</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477 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674 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Карибите</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176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171 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199 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Тихоокеански регион</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63</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66 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113 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Южна Африка</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442</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437 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334 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Междинен сбор</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2 730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2 666</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3 322</w:t>
            </w:r>
            <w:r>
              <w:rPr>
                <w:rFonts w:ascii="Times New Roman" w:hAnsi="Times New Roman"/>
                <w:noProof/>
                <w:sz w:val="20"/>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 xml:space="preserve">Други </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Механизъм за подкрепа на мира, права на човека</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436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211 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151 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Инструмент за вода и енергия</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92 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105 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Доверителен фонд (*)</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290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98 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298 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Други (**)</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201</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348 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188 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color w:val="FF0000"/>
                <w:sz w:val="20"/>
                <w:szCs w:val="20"/>
              </w:rPr>
            </w:pPr>
            <w:r>
              <w:rPr>
                <w:rFonts w:ascii="Times New Roman" w:hAnsi="Times New Roman"/>
                <w:noProof/>
                <w:color w:val="FF0000"/>
                <w:sz w:val="20"/>
              </w:rPr>
              <w:t> </w:t>
            </w:r>
          </w:p>
        </w:tc>
      </w:tr>
      <w:tr>
        <w:trPr>
          <w:trHeight w:val="255"/>
        </w:trPr>
        <w:tc>
          <w:tcPr>
            <w:tcW w:w="276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Междинен сбор</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1 022</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749</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742</w:t>
            </w:r>
            <w:r>
              <w:rPr>
                <w:rFonts w:ascii="Times New Roman" w:hAnsi="Times New Roman"/>
                <w:noProof/>
                <w:sz w:val="20"/>
              </w:rPr>
              <w:t> </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 </w:t>
            </w:r>
          </w:p>
        </w:tc>
      </w:tr>
      <w:tr>
        <w:trPr>
          <w:trHeight w:val="255"/>
        </w:trPr>
        <w:tc>
          <w:tcPr>
            <w:tcW w:w="276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Общо Европейска комисия</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3 752</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3 416</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3 900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4 064</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4 400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4 600</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Инвестиционен механизъм</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430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662</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430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500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450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525</w:t>
            </w:r>
          </w:p>
        </w:tc>
      </w:tr>
      <w:tr>
        <w:trPr>
          <w:trHeight w:val="255"/>
        </w:trPr>
        <w:tc>
          <w:tcPr>
            <w:tcW w:w="276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Лихвени субсидии (***)</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20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17</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50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noProof/>
                <w:sz w:val="20"/>
                <w:szCs w:val="20"/>
              </w:rPr>
            </w:pPr>
            <w:r>
              <w:rPr>
                <w:rFonts w:ascii="Times New Roman" w:hAnsi="Times New Roman"/>
                <w:noProof/>
                <w:sz w:val="20"/>
              </w:rPr>
              <w:t>40</w:t>
            </w:r>
          </w:p>
        </w:tc>
      </w:tr>
      <w:tr>
        <w:trPr>
          <w:trHeight w:val="255"/>
        </w:trPr>
        <w:tc>
          <w:tcPr>
            <w:tcW w:w="276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Общо ЕИБ</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450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679</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470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540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565</w:t>
            </w:r>
          </w:p>
        </w:tc>
      </w:tr>
      <w:tr>
        <w:trPr>
          <w:trHeight w:val="510"/>
        </w:trPr>
        <w:tc>
          <w:tcPr>
            <w:tcW w:w="2760" w:type="dxa"/>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ОБЩО Европейска комисия + ЕИБ</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4 202</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4 095</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4 370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4 604</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4 900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right"/>
              <w:rPr>
                <w:rFonts w:ascii="Times New Roman" w:eastAsia="Times New Roman" w:hAnsi="Times New Roman" w:cs="Times New Roman"/>
                <w:b/>
                <w:bCs/>
                <w:noProof/>
                <w:sz w:val="20"/>
                <w:szCs w:val="20"/>
              </w:rPr>
            </w:pPr>
            <w:r>
              <w:rPr>
                <w:rFonts w:ascii="Times New Roman" w:hAnsi="Times New Roman"/>
                <w:b/>
                <w:noProof/>
                <w:sz w:val="20"/>
              </w:rPr>
              <w:t>5 165</w:t>
            </w:r>
          </w:p>
        </w:tc>
      </w:tr>
    </w:tbl>
    <w:p>
      <w:pPr>
        <w:spacing w:before="240" w:after="0"/>
        <w:rPr>
          <w:rFonts w:ascii="Times New Roman" w:hAnsi="Times New Roman" w:cs="Times New Roman"/>
          <w:noProof/>
          <w:sz w:val="20"/>
          <w:szCs w:val="20"/>
        </w:rPr>
      </w:pPr>
      <w:r>
        <w:rPr>
          <w:rFonts w:ascii="Times New Roman" w:hAnsi="Times New Roman"/>
          <w:noProof/>
          <w:sz w:val="20"/>
        </w:rPr>
        <w:t>* Извънреден доверителен фонд на ЕС за стабилност и преодоляване на първопричините за незаконната миграция в Африка и Доверителния фонд на ЕС „Беку“.</w:t>
      </w:r>
      <w:r>
        <w:rPr>
          <w:rFonts w:ascii="Times New Roman" w:hAnsi="Times New Roman" w:cs="Times New Roman"/>
          <w:noProof/>
          <w:sz w:val="20"/>
          <w:szCs w:val="20"/>
        </w:rPr>
        <w:br/>
      </w:r>
      <w:r>
        <w:rPr>
          <w:rFonts w:ascii="Times New Roman" w:hAnsi="Times New Roman"/>
          <w:noProof/>
          <w:sz w:val="20"/>
        </w:rPr>
        <w:t>** Включва разходи за подпомагане (напр. за съвместните институции и за Секретариата на АКТБ), Генерална дирекция „Хуманитарна помощ и гражданска защита“, други генерални дирекции и агенции.</w:t>
      </w:r>
      <w:r>
        <w:rPr>
          <w:rFonts w:ascii="Times New Roman" w:hAnsi="Times New Roman" w:cs="Times New Roman"/>
          <w:noProof/>
          <w:sz w:val="20"/>
          <w:szCs w:val="20"/>
        </w:rPr>
        <w:br/>
      </w:r>
      <w:r>
        <w:rPr>
          <w:rFonts w:ascii="Times New Roman" w:hAnsi="Times New Roman"/>
          <w:noProof/>
          <w:sz w:val="20"/>
        </w:rPr>
        <w:t>*** Включително лихвените субсидии, свързани с предишни ЕФР.</w:t>
      </w:r>
    </w:p>
    <w:p>
      <w:pPr>
        <w:rPr>
          <w:noProof/>
        </w:rPr>
      </w:pPr>
      <w:r>
        <w:rPr>
          <w:noProof/>
        </w:rPr>
        <w:br w:type="page"/>
      </w:r>
    </w:p>
    <w:p>
      <w:pPr>
        <w:pStyle w:val="Heading2"/>
        <w:numPr>
          <w:ilvl w:val="1"/>
          <w:numId w:val="1"/>
        </w:numPr>
        <w:rPr>
          <w:noProof/>
        </w:rPr>
      </w:pPr>
      <w:r>
        <w:rPr>
          <w:noProof/>
        </w:rPr>
        <w:t>Приложение 3: Финансова ситуация за 2016 г., прогнози за 2017 г. и 2018 г. (млн. евро) и необвързващи прогнози за 2019 г. и 2020 г.:</w:t>
      </w:r>
    </w:p>
    <w:tbl>
      <w:tblPr>
        <w:tblW w:w="12018" w:type="dxa"/>
        <w:tblInd w:w="108" w:type="dxa"/>
        <w:tblLook w:val="04A0" w:firstRow="1" w:lastRow="0" w:firstColumn="1" w:lastColumn="0" w:noHBand="0" w:noVBand="1"/>
      </w:tblPr>
      <w:tblGrid>
        <w:gridCol w:w="856"/>
        <w:gridCol w:w="4000"/>
        <w:gridCol w:w="1417"/>
        <w:gridCol w:w="1120"/>
        <w:gridCol w:w="1120"/>
        <w:gridCol w:w="1460"/>
        <w:gridCol w:w="1120"/>
        <w:gridCol w:w="1120"/>
      </w:tblGrid>
      <w:tr>
        <w:trPr>
          <w:trHeight w:val="222"/>
        </w:trPr>
        <w:tc>
          <w:tcPr>
            <w:tcW w:w="661"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p>
        </w:tc>
        <w:tc>
          <w:tcPr>
            <w:tcW w:w="365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 xml:space="preserve">Съобщение октомври 2016 г. </w:t>
            </w:r>
            <w:r>
              <w:rPr>
                <w:rFonts w:ascii="Arial" w:hAnsi="Arial"/>
                <w:b/>
                <w:noProof/>
                <w:sz w:val="20"/>
                <w:vertAlign w:val="superscript"/>
              </w:rPr>
              <w:t>1</w:t>
            </w:r>
          </w:p>
        </w:tc>
        <w:tc>
          <w:tcPr>
            <w:tcW w:w="3700" w:type="dxa"/>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 xml:space="preserve">Съобщение юни 2017 г. </w:t>
            </w:r>
            <w:r>
              <w:rPr>
                <w:rFonts w:ascii="Arial" w:hAnsi="Arial"/>
                <w:b/>
                <w:noProof/>
                <w:sz w:val="20"/>
                <w:vertAlign w:val="superscript"/>
              </w:rPr>
              <w:t>1</w:t>
            </w:r>
          </w:p>
        </w:tc>
      </w:tr>
      <w:tr>
        <w:trPr>
          <w:trHeight w:val="222"/>
        </w:trPr>
        <w:tc>
          <w:tcPr>
            <w:tcW w:w="661"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p>
        </w:tc>
        <w:tc>
          <w:tcPr>
            <w:tcW w:w="4000"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b/>
                <w:bCs/>
                <w:noProof/>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Комисия</w:t>
            </w:r>
          </w:p>
        </w:tc>
        <w:tc>
          <w:tcPr>
            <w:tcW w:w="11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 xml:space="preserve">ЕИБ </w:t>
            </w:r>
            <w:r>
              <w:rPr>
                <w:rFonts w:ascii="Arial" w:hAnsi="Arial"/>
                <w:b/>
                <w:noProof/>
                <w:sz w:val="20"/>
                <w:vertAlign w:val="superscript"/>
              </w:rPr>
              <w:t>8</w:t>
            </w:r>
          </w:p>
        </w:tc>
        <w:tc>
          <w:tcPr>
            <w:tcW w:w="1120" w:type="dxa"/>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ОБЩО</w:t>
            </w:r>
          </w:p>
        </w:tc>
        <w:tc>
          <w:tcPr>
            <w:tcW w:w="14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Комисия</w:t>
            </w:r>
          </w:p>
        </w:tc>
        <w:tc>
          <w:tcPr>
            <w:tcW w:w="11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 xml:space="preserve">ЕИБ </w:t>
            </w:r>
            <w:r>
              <w:rPr>
                <w:rFonts w:ascii="Arial" w:hAnsi="Arial"/>
                <w:b/>
                <w:noProof/>
                <w:sz w:val="20"/>
                <w:vertAlign w:val="superscript"/>
              </w:rPr>
              <w:t>8</w:t>
            </w:r>
          </w:p>
        </w:tc>
        <w:tc>
          <w:tcPr>
            <w:tcW w:w="1120" w:type="dxa"/>
            <w:tcBorders>
              <w:top w:val="nil"/>
              <w:left w:val="nil"/>
              <w:bottom w:val="nil"/>
              <w:right w:val="single" w:sz="4" w:space="0" w:color="auto"/>
            </w:tcBorders>
            <w:shd w:val="clear" w:color="auto" w:fill="auto"/>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ОБЩО</w:t>
            </w:r>
          </w:p>
        </w:tc>
      </w:tr>
      <w:tr>
        <w:trPr>
          <w:trHeight w:val="222"/>
        </w:trPr>
        <w:tc>
          <w:tcPr>
            <w:tcW w:w="661" w:type="dxa"/>
            <w:tcBorders>
              <w:top w:val="nil"/>
              <w:left w:val="nil"/>
              <w:bottom w:val="single" w:sz="4" w:space="0" w:color="auto"/>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 </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20"/>
                <w:szCs w:val="20"/>
              </w:rPr>
            </w:pPr>
            <w:r>
              <w:rPr>
                <w:rFonts w:ascii="Arial" w:hAnsi="Arial"/>
                <w:b/>
                <w:noProof/>
                <w:sz w:val="20"/>
              </w:rPr>
              <w:t xml:space="preserve">Салдо към 31.12.2015 г. </w:t>
            </w:r>
            <w:r>
              <w:rPr>
                <w:rFonts w:ascii="Arial" w:hAnsi="Arial"/>
                <w:b/>
                <w:noProof/>
                <w:sz w:val="20"/>
                <w:vertAlign w:val="superscript"/>
              </w:rPr>
              <w:t>2</w:t>
            </w:r>
          </w:p>
        </w:tc>
        <w:tc>
          <w:tcPr>
            <w:tcW w:w="141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508</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222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730</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508</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222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730</w:t>
            </w:r>
          </w:p>
        </w:tc>
      </w:tr>
      <w:tr>
        <w:trPr>
          <w:trHeight w:val="222"/>
        </w:trPr>
        <w:tc>
          <w:tcPr>
            <w:tcW w:w="661" w:type="dxa"/>
            <w:vMerge w:val="restart"/>
            <w:tcBorders>
              <w:top w:val="nil"/>
              <w:left w:val="single" w:sz="4" w:space="0" w:color="auto"/>
              <w:bottom w:val="single" w:sz="4" w:space="0" w:color="000000"/>
              <w:right w:val="nil"/>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2016 г.</w:t>
            </w:r>
          </w:p>
        </w:tc>
        <w:tc>
          <w:tcPr>
            <w:tcW w:w="400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Вноски на държавите членки за 2016 г.:</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3,450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3 600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3 450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3 600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1-ва част от вноската</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1 750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2-ра част от вноската</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1 000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1 100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1 000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1 100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3-та част от вноската</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750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750</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 xml:space="preserve">Обратни потоци </w:t>
            </w:r>
            <w:r>
              <w:rPr>
                <w:rFonts w:ascii="Arial" w:hAnsi="Arial"/>
                <w:noProof/>
                <w:sz w:val="20"/>
                <w:vertAlign w:val="superscript"/>
              </w:rPr>
              <w:t>3</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209</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209</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347</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347</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Вноски за 2017 г., получени през 2016 г.</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261</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261</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Вноски за 2016 г., получени през 2015 г.</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-307</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-307</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-307</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-307</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single" w:sz="4" w:space="0" w:color="auto"/>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Възстановявания, лихви и други приходи</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65</w:t>
            </w:r>
          </w:p>
        </w:tc>
        <w:tc>
          <w:tcPr>
            <w:tcW w:w="1120" w:type="dxa"/>
            <w:tcBorders>
              <w:top w:val="nil"/>
              <w:left w:val="nil"/>
              <w:bottom w:val="nil"/>
              <w:right w:val="single" w:sz="4" w:space="0" w:color="auto"/>
            </w:tcBorders>
            <w:shd w:val="clear" w:color="000000" w:fill="FFFFFF"/>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65</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rPr>
              <w:t xml:space="preserve">Общо плащания </w:t>
            </w:r>
            <w:r>
              <w:rPr>
                <w:rFonts w:ascii="Arial" w:hAnsi="Arial"/>
                <w:noProof/>
                <w:sz w:val="20"/>
                <w:vertAlign w:val="superscript"/>
              </w:rPr>
              <w:t>4</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-3 752</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-4 202</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-3 416</w:t>
            </w:r>
          </w:p>
        </w:tc>
        <w:tc>
          <w:tcPr>
            <w:tcW w:w="1120" w:type="dxa"/>
            <w:tcBorders>
              <w:top w:val="nil"/>
              <w:left w:val="nil"/>
              <w:bottom w:val="nil"/>
              <w:right w:val="single" w:sz="4" w:space="0" w:color="auto"/>
            </w:tcBorders>
            <w:shd w:val="clear" w:color="000000" w:fill="FFFFFF"/>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-679</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-4 095</w:t>
            </w:r>
          </w:p>
        </w:tc>
      </w:tr>
      <w:tr>
        <w:trPr>
          <w:trHeight w:val="222"/>
        </w:trPr>
        <w:tc>
          <w:tcPr>
            <w:tcW w:w="661" w:type="dxa"/>
            <w:vMerge/>
            <w:tcBorders>
              <w:top w:val="nil"/>
              <w:left w:val="single" w:sz="4" w:space="0" w:color="auto"/>
              <w:bottom w:val="single" w:sz="4" w:space="0" w:color="000000"/>
              <w:right w:val="nil"/>
            </w:tcBorders>
            <w:vAlign w:val="center"/>
            <w:hideMark/>
          </w:tcPr>
          <w:p>
            <w:pPr>
              <w:spacing w:after="0" w:line="240" w:lineRule="auto"/>
              <w:rPr>
                <w:rFonts w:ascii="Arial" w:eastAsia="Times New Roman" w:hAnsi="Arial" w:cs="Arial"/>
                <w:b/>
                <w:bCs/>
                <w:noProof/>
                <w:sz w:val="20"/>
                <w:szCs w:val="20"/>
              </w:rPr>
            </w:pP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Arial" w:eastAsia="Times New Roman" w:hAnsi="Arial" w:cs="Arial"/>
                <w:b/>
                <w:bCs/>
                <w:noProof/>
                <w:sz w:val="20"/>
                <w:szCs w:val="20"/>
              </w:rPr>
            </w:pPr>
            <w:r>
              <w:rPr>
                <w:rFonts w:ascii="Arial" w:hAnsi="Arial"/>
                <w:b/>
                <w:noProof/>
                <w:sz w:val="20"/>
              </w:rPr>
              <w:t xml:space="preserve">Салдо към 31.12.2016 г. </w:t>
            </w:r>
            <w:r>
              <w:rPr>
                <w:rFonts w:ascii="Arial" w:hAnsi="Arial"/>
                <w:b/>
                <w:noProof/>
                <w:sz w:val="20"/>
                <w:vertAlign w:val="superscript"/>
              </w:rPr>
              <w:t>2,7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131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561</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601</w:t>
            </w:r>
          </w:p>
        </w:tc>
      </w:tr>
      <w:tr>
        <w:trPr>
          <w:trHeight w:val="222"/>
        </w:trPr>
        <w:tc>
          <w:tcPr>
            <w:tcW w:w="66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2017 г.</w:t>
            </w: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Вноски на държавите членки за 2017 г.:</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4 000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4 000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1-ва част от вноската</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1 800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1 800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2-ра част от вноската</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1 350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1 350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20"/>
                <w:szCs w:val="20"/>
              </w:rPr>
            </w:pPr>
            <w:r>
              <w:rPr>
                <w:rFonts w:ascii="Arial" w:hAnsi="Arial"/>
                <w:i/>
                <w:noProof/>
                <w:sz w:val="20"/>
              </w:rPr>
              <w:t xml:space="preserve">     3-та част от вноската</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850</w:t>
            </w:r>
          </w:p>
        </w:tc>
      </w:tr>
      <w:tr>
        <w:trPr>
          <w:trHeight w:val="28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 xml:space="preserve">Обратни потоци </w:t>
            </w:r>
            <w:r>
              <w:rPr>
                <w:rFonts w:ascii="Arial" w:hAnsi="Arial"/>
                <w:noProof/>
                <w:sz w:val="20"/>
                <w:vertAlign w:val="superscript"/>
              </w:rPr>
              <w:t>3</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Вноски за 2017 г., получени през 2016 г.</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-261</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-261</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Възстановявания, лихви и други приходи</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rPr>
              <w:t xml:space="preserve">Общо плащания </w:t>
            </w:r>
            <w:r>
              <w:rPr>
                <w:rFonts w:ascii="Arial" w:hAnsi="Arial"/>
                <w:noProof/>
                <w:sz w:val="20"/>
                <w:vertAlign w:val="superscript"/>
              </w:rPr>
              <w:t>4</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-3 900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-470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-4 370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-4 064</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-540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-4 604</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20"/>
                <w:szCs w:val="20"/>
              </w:rPr>
            </w:pPr>
            <w:r>
              <w:rPr>
                <w:rFonts w:ascii="Arial" w:hAnsi="Arial"/>
                <w:b/>
                <w:noProof/>
                <w:sz w:val="20"/>
              </w:rPr>
              <w:t xml:space="preserve">Салдо към 31.12.2017 г. </w:t>
            </w:r>
            <w:r>
              <w:rPr>
                <w:rFonts w:ascii="Arial" w:hAnsi="Arial"/>
                <w:b/>
                <w:noProof/>
                <w:sz w:val="20"/>
                <w:vertAlign w:val="superscript"/>
              </w:rPr>
              <w:t>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136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136</w:t>
            </w:r>
          </w:p>
        </w:tc>
      </w:tr>
      <w:tr>
        <w:trPr>
          <w:trHeight w:val="222"/>
        </w:trPr>
        <w:tc>
          <w:tcPr>
            <w:tcW w:w="66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2018 г.</w:t>
            </w: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 xml:space="preserve">Вноски на държавите членки за 2018 г. </w:t>
            </w:r>
            <w:r>
              <w:rPr>
                <w:rFonts w:ascii="Arial" w:hAnsi="Arial"/>
                <w:noProof/>
                <w:color w:val="FF0000"/>
                <w:sz w:val="20"/>
                <w:vertAlign w:val="superscript"/>
              </w:rPr>
              <w:t>8</w:t>
            </w:r>
            <w:r>
              <w:rPr>
                <w:rFonts w:ascii="Arial" w:hAnsi="Arial"/>
                <w:noProof/>
                <w:color w:val="FF0000"/>
                <w:sz w:val="20"/>
              </w:rPr>
              <w:t>:</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4,550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4 800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4 550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250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4 800</w:t>
            </w:r>
          </w:p>
        </w:tc>
      </w:tr>
      <w:tr>
        <w:trPr>
          <w:trHeight w:val="289"/>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 xml:space="preserve">Обратни потоци </w:t>
            </w:r>
            <w:r>
              <w:rPr>
                <w:rFonts w:ascii="Arial" w:hAnsi="Arial"/>
                <w:noProof/>
                <w:sz w:val="20"/>
                <w:vertAlign w:val="superscript"/>
              </w:rPr>
              <w:t>3</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350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20"/>
                <w:szCs w:val="20"/>
              </w:rPr>
            </w:pPr>
            <w:r>
              <w:rPr>
                <w:rFonts w:ascii="Arial" w:hAnsi="Arial"/>
                <w:noProof/>
                <w:sz w:val="20"/>
              </w:rPr>
              <w:t>Възстановявания, лихви и други</w:t>
            </w:r>
          </w:p>
        </w:tc>
        <w:tc>
          <w:tcPr>
            <w:tcW w:w="1417"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80</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20"/>
                <w:szCs w:val="20"/>
              </w:rPr>
            </w:pPr>
            <w:r>
              <w:rPr>
                <w:rFonts w:ascii="Arial" w:hAnsi="Arial"/>
                <w:noProof/>
                <w:sz w:val="20"/>
              </w:rPr>
              <w:t xml:space="preserve">Общо плащания </w:t>
            </w:r>
            <w:r>
              <w:rPr>
                <w:rFonts w:ascii="Arial" w:hAnsi="Arial"/>
                <w:noProof/>
                <w:sz w:val="20"/>
                <w:vertAlign w:val="superscript"/>
              </w:rPr>
              <w:t>4</w:t>
            </w:r>
          </w:p>
        </w:tc>
        <w:tc>
          <w:tcPr>
            <w:tcW w:w="1417"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-4 400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-4 900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-4 600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-565</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right"/>
              <w:rPr>
                <w:rFonts w:ascii="Arial" w:eastAsia="Times New Roman" w:hAnsi="Arial" w:cs="Arial"/>
                <w:noProof/>
                <w:sz w:val="20"/>
                <w:szCs w:val="20"/>
              </w:rPr>
            </w:pPr>
            <w:r>
              <w:rPr>
                <w:rFonts w:ascii="Arial" w:hAnsi="Arial"/>
                <w:noProof/>
                <w:sz w:val="20"/>
              </w:rPr>
              <w:t>-5 165</w:t>
            </w:r>
          </w:p>
        </w:tc>
      </w:tr>
      <w:tr>
        <w:trPr>
          <w:trHeight w:val="222"/>
        </w:trPr>
        <w:tc>
          <w:tcPr>
            <w:tcW w:w="661"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20"/>
                <w:szCs w:val="20"/>
              </w:rPr>
            </w:pPr>
          </w:p>
        </w:tc>
        <w:tc>
          <w:tcPr>
            <w:tcW w:w="400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Arial" w:eastAsia="Times New Roman" w:hAnsi="Arial" w:cs="Arial"/>
                <w:b/>
                <w:bCs/>
                <w:noProof/>
                <w:sz w:val="20"/>
                <w:szCs w:val="20"/>
              </w:rPr>
            </w:pPr>
            <w:r>
              <w:rPr>
                <w:rFonts w:ascii="Arial" w:hAnsi="Arial"/>
                <w:b/>
                <w:noProof/>
                <w:sz w:val="20"/>
              </w:rPr>
              <w:t>Салдо към 31.12.2018 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209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161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370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166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35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201</w:t>
            </w:r>
          </w:p>
        </w:tc>
      </w:tr>
      <w:tr>
        <w:trPr>
          <w:trHeight w:val="22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2019 г.</w:t>
            </w:r>
          </w:p>
        </w:tc>
        <w:tc>
          <w:tcPr>
            <w:tcW w:w="4000"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 xml:space="preserve">Вноски на държавите членки за 2019 г. </w:t>
            </w:r>
            <w:r>
              <w:rPr>
                <w:rFonts w:ascii="Arial" w:hAnsi="Arial"/>
                <w:noProof/>
                <w:color w:val="FF0000"/>
                <w:sz w:val="20"/>
                <w:vertAlign w:val="superscript"/>
              </w:rPr>
              <w:t>6</w:t>
            </w:r>
          </w:p>
        </w:tc>
        <w:tc>
          <w:tcPr>
            <w:tcW w:w="141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300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4 800</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4 900</w:t>
            </w:r>
          </w:p>
        </w:tc>
      </w:tr>
      <w:tr>
        <w:trPr>
          <w:trHeight w:val="22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2020 г.</w:t>
            </w:r>
          </w:p>
        </w:tc>
        <w:tc>
          <w:tcPr>
            <w:tcW w:w="4000"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20"/>
                <w:szCs w:val="20"/>
              </w:rPr>
            </w:pPr>
            <w:r>
              <w:rPr>
                <w:rFonts w:ascii="Arial" w:hAnsi="Arial"/>
                <w:noProof/>
                <w:color w:val="FF0000"/>
                <w:sz w:val="20"/>
              </w:rPr>
              <w:t xml:space="preserve">Вноски на държавите членки за 2020 г. </w:t>
            </w:r>
            <w:r>
              <w:rPr>
                <w:rFonts w:ascii="Arial" w:hAnsi="Arial"/>
                <w:noProof/>
                <w:color w:val="FF0000"/>
                <w:sz w:val="20"/>
                <w:vertAlign w:val="superscript"/>
              </w:rPr>
              <w:t>6</w:t>
            </w:r>
          </w:p>
        </w:tc>
        <w:tc>
          <w:tcPr>
            <w:tcW w:w="141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300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4 800</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Arial" w:eastAsia="Times New Roman" w:hAnsi="Arial" w:cs="Arial"/>
                <w:b/>
                <w:bCs/>
                <w:noProof/>
                <w:sz w:val="20"/>
                <w:szCs w:val="20"/>
              </w:rPr>
            </w:pPr>
            <w:r>
              <w:rPr>
                <w:rFonts w:ascii="Arial" w:hAnsi="Arial"/>
                <w:b/>
                <w:noProof/>
                <w:sz w:val="20"/>
              </w:rPr>
              <w:t>4 900</w:t>
            </w:r>
          </w:p>
        </w:tc>
      </w:tr>
    </w:tbl>
    <w:p>
      <w:pPr>
        <w:pStyle w:val="Text1"/>
        <w:spacing w:before="0" w:after="0"/>
        <w:ind w:left="851"/>
        <w:jc w:val="left"/>
        <w:rPr>
          <w:noProof/>
          <w:sz w:val="16"/>
          <w:szCs w:val="16"/>
        </w:rPr>
      </w:pPr>
      <w:r>
        <w:rPr>
          <w:noProof/>
          <w:sz w:val="16"/>
        </w:rPr>
        <w:t>1</w:t>
      </w:r>
      <w:r>
        <w:rPr>
          <w:noProof/>
        </w:rPr>
        <w:tab/>
      </w:r>
      <w:r>
        <w:rPr>
          <w:noProof/>
          <w:sz w:val="16"/>
        </w:rPr>
        <w:t>Налични оперативни суми съгласно съобщение на Комисията до Съвета.</w:t>
      </w:r>
      <w:r>
        <w:rPr>
          <w:noProof/>
          <w:sz w:val="16"/>
          <w:szCs w:val="16"/>
        </w:rPr>
        <w:br/>
      </w:r>
      <w:r>
        <w:rPr>
          <w:noProof/>
          <w:sz w:val="16"/>
        </w:rPr>
        <w:t>2</w:t>
      </w:r>
      <w:r>
        <w:rPr>
          <w:noProof/>
        </w:rPr>
        <w:tab/>
      </w:r>
      <w:r>
        <w:rPr>
          <w:noProof/>
          <w:sz w:val="16"/>
        </w:rPr>
        <w:t>Тези салда не включват: i) съвместното финансиране, получено до 31.12., ii) постъпленията в банки, които все още не са разпределени по съответен бюджетен ред на ЕФР, iii) специалния фонд за Демократична република Конго.</w:t>
      </w:r>
    </w:p>
    <w:p>
      <w:pPr>
        <w:pStyle w:val="Text1"/>
        <w:spacing w:before="0" w:after="0"/>
        <w:ind w:left="851"/>
        <w:jc w:val="left"/>
        <w:rPr>
          <w:noProof/>
          <w:sz w:val="16"/>
          <w:szCs w:val="16"/>
        </w:rPr>
      </w:pPr>
      <w:r>
        <w:rPr>
          <w:noProof/>
          <w:sz w:val="16"/>
        </w:rPr>
        <w:t>3</w:t>
      </w:r>
      <w:r>
        <w:rPr>
          <w:noProof/>
        </w:rPr>
        <w:tab/>
      </w:r>
      <w:r>
        <w:rPr>
          <w:noProof/>
          <w:sz w:val="16"/>
        </w:rPr>
        <w:t>Нето от такси за управление на ЕИБ.</w:t>
      </w:r>
      <w:r>
        <w:rPr>
          <w:noProof/>
          <w:sz w:val="16"/>
          <w:szCs w:val="16"/>
        </w:rPr>
        <w:br/>
      </w:r>
      <w:r>
        <w:rPr>
          <w:noProof/>
          <w:sz w:val="16"/>
        </w:rPr>
        <w:t>4</w:t>
      </w:r>
      <w:r>
        <w:rPr>
          <w:noProof/>
        </w:rPr>
        <w:tab/>
      </w:r>
      <w:r>
        <w:rPr>
          <w:noProof/>
          <w:sz w:val="16"/>
        </w:rPr>
        <w:t>Включително лихвените субсидии, свързани с предишни ЕФР.</w:t>
      </w:r>
      <w:r>
        <w:rPr>
          <w:noProof/>
          <w:sz w:val="16"/>
          <w:szCs w:val="16"/>
        </w:rPr>
        <w:br/>
      </w:r>
      <w:r>
        <w:rPr>
          <w:noProof/>
          <w:sz w:val="16"/>
        </w:rPr>
        <w:t>5</w:t>
      </w:r>
      <w:r>
        <w:rPr>
          <w:noProof/>
        </w:rPr>
        <w:tab/>
      </w:r>
      <w:r>
        <w:rPr>
          <w:noProof/>
          <w:sz w:val="16"/>
        </w:rPr>
        <w:t>Тези салда не включват: i) съвместното финансиране, получено до 31.12., ii) постъпленията в банки, които все още не са разпределени по съответен бюджетен ред на ЕФР, iii) специалния фонд за Демократична република Конго.</w:t>
      </w:r>
      <w:r>
        <w:rPr>
          <w:noProof/>
          <w:sz w:val="16"/>
          <w:szCs w:val="16"/>
        </w:rPr>
        <w:br/>
      </w:r>
      <w:r>
        <w:rPr>
          <w:noProof/>
          <w:sz w:val="16"/>
        </w:rPr>
        <w:t>6</w:t>
      </w:r>
      <w:r>
        <w:rPr>
          <w:noProof/>
        </w:rPr>
        <w:tab/>
      </w:r>
      <w:r>
        <w:rPr>
          <w:noProof/>
          <w:sz w:val="16"/>
        </w:rPr>
        <w:t>Член 21, параграф 2, буква г) от Финансовия регламент: необвързваща прогноза, базирана на статистически подход, за очаквания годишен размер на вноските за години n + 3 и n + 4.</w:t>
      </w:r>
      <w:r>
        <w:rPr>
          <w:noProof/>
          <w:sz w:val="16"/>
          <w:szCs w:val="16"/>
        </w:rPr>
        <w:br/>
      </w:r>
      <w:r>
        <w:rPr>
          <w:noProof/>
          <w:sz w:val="16"/>
        </w:rPr>
        <w:t>7</w:t>
      </w:r>
      <w:r>
        <w:rPr>
          <w:noProof/>
        </w:rPr>
        <w:tab/>
      </w:r>
      <w:r>
        <w:rPr>
          <w:noProof/>
          <w:sz w:val="16"/>
        </w:rPr>
        <w:t>Балансът на паричните средства на ЕФР никога не може да бъде отрицателен. Евентуалните отрицателни стойности в таблицата показват недостиг на бюджетни кредити за плащания.</w:t>
      </w:r>
    </w:p>
    <w:p>
      <w:pPr>
        <w:pStyle w:val="Text1"/>
        <w:spacing w:before="0" w:after="0"/>
        <w:ind w:left="851"/>
        <w:jc w:val="left"/>
        <w:rPr>
          <w:noProof/>
          <w:sz w:val="16"/>
          <w:szCs w:val="16"/>
        </w:rPr>
      </w:pPr>
      <w:r>
        <w:rPr>
          <w:noProof/>
          <w:sz w:val="16"/>
        </w:rPr>
        <w:t>8</w:t>
      </w:r>
      <w:r>
        <w:rPr>
          <w:noProof/>
        </w:rPr>
        <w:tab/>
      </w:r>
      <w:r>
        <w:rPr>
          <w:noProof/>
          <w:sz w:val="16"/>
        </w:rPr>
        <w:t>Искане на ЕИБ за вноски за 2018 г.: информационна бележка на ЕИБ за информация от 17.11.2015 г., MD no: 151/15 ADD 1 ACP.</w:t>
      </w:r>
    </w:p>
    <w:p>
      <w:pPr>
        <w:pStyle w:val="Heading2"/>
        <w:numPr>
          <w:ilvl w:val="1"/>
          <w:numId w:val="1"/>
        </w:numPr>
        <w:rPr>
          <w:noProof/>
        </w:rPr>
      </w:pPr>
      <w:r>
        <w:rPr>
          <w:noProof/>
        </w:rPr>
        <w:t>Приложение 4: Вноски на държавите членки за 2017 г. (EUR)</w:t>
      </w:r>
    </w:p>
    <w:tbl>
      <w:tblPr>
        <w:tblW w:w="0" w:type="auto"/>
        <w:tblInd w:w="93" w:type="dxa"/>
        <w:tblLook w:val="04A0" w:firstRow="1" w:lastRow="0" w:firstColumn="1" w:lastColumn="0" w:noHBand="0" w:noVBand="1"/>
      </w:tblPr>
      <w:tblGrid>
        <w:gridCol w:w="2441"/>
        <w:gridCol w:w="1091"/>
        <w:gridCol w:w="1196"/>
        <w:gridCol w:w="1021"/>
        <w:gridCol w:w="1021"/>
        <w:gridCol w:w="1196"/>
        <w:gridCol w:w="982"/>
        <w:gridCol w:w="1091"/>
        <w:gridCol w:w="1091"/>
        <w:gridCol w:w="1196"/>
        <w:gridCol w:w="1333"/>
      </w:tblGrid>
      <w:tr>
        <w:trPr>
          <w:trHeight w:val="28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ДЪРЖАВИ ЧЛЕНКИ</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1-ва част от вноската</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2-ра част от вноската</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 xml:space="preserve"> 3-та част от вноската</w:t>
            </w:r>
          </w:p>
        </w:tc>
        <w:tc>
          <w:tcPr>
            <w:tcW w:w="0" w:type="auto"/>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Общо ЕИБ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Общо</w:t>
            </w:r>
            <w:r>
              <w:rPr>
                <w:rFonts w:ascii="Times New Roman" w:eastAsia="Times New Roman" w:hAnsi="Times New Roman" w:cs="Times New Roman"/>
                <w:b/>
                <w:bCs/>
                <w:noProof/>
                <w:sz w:val="16"/>
                <w:szCs w:val="16"/>
              </w:rPr>
              <w:br/>
            </w:r>
            <w:r>
              <w:rPr>
                <w:rFonts w:ascii="Times New Roman" w:hAnsi="Times New Roman"/>
                <w:b/>
                <w:noProof/>
                <w:sz w:val="16"/>
              </w:rPr>
              <w:t>Комисия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Общо за 2017 г.</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ЕИБ</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Комисия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ЕИБ</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Комисия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Комисия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ЕИБ</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Комисия</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10-ти ЕФР</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10-ти ЕФР</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10-ти ЕФР</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10-ти ЕФР</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11-ти ЕФР</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10-ти ЕФР</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11-ти ЕФР</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БЕЛГИЯ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60 010 000,00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1 765 000,00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2 586 394,39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39 859 803,57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27 618 795,00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130 074 992,96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135 369 992,96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БЪЛГАРИЯ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2 380 000,00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102 576,55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2 680 775,34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1 857 505,00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7 020 856,88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7 230 856,88</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ЧЕШКА РЕПУБЛИКА</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8 670 000,00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373 671,71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9 782 566,65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6 778 325,00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25 604 563,37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26 369 563,37</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ДАНИЯ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1 465 379,26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24 294 794,82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16 833 825,00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3 000 000,00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76 593 999,08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79 593 999,08</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ГЕРМАНИЯ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20 500 000,00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348 500 000,00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15 020 137,42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252 458 793,95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174 928 300,00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30 750 000,00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790 907 231,37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821 657 231,37</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ЕСТОНИЯ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36 634,48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1 059 282,25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733 975,00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2 679 891,73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2 754 891,73</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ИРЛАНДИЯ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15 470 000,00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666 747,56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11 532 007,79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7 990 510,00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1 365 000,00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35 659 265,35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37 024 265,35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ГЪРЦИЯ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24 990 000,00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1 077 053,76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18 491 130,29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12 812 475,00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57 370 659,04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59 575 659,04</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ИСПАНИЯ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133 450 000,00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5 751 613,60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97 310 194,16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67 426 080,00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303 937 887,76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315 712 887,76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ФРАНЦИЯ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332 350 000,00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9 775 000,00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14 324 082,27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218 513 796,75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151 407 865,00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29 325 000,00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716 595 744,02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745 920 744,02</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ХЪРВАТИЯ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2 762 352,95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1 914 030,00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4 676 382,95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4 676 382,95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ИТАЛИЯ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12 860 000,00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218 620 000,00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6 430 000,00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9 422 388,64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153 710 502,99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106 505 765,00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19 290 000,00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488 258 656,64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507 548 656,64</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КИПЪР</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65 942,07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1 369 277,18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948 770,00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3 913 989,25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4 048 989,25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ЛАТВИЯ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51 288,27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1 424 480,08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987 020,00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3 652 788,35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3 757 788,35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ЛИТВА</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87 922,76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2 217 561,70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1 536 545,00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5 882 029,45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6 062 029,45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ЛЮКСЕМБУРГ</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4 590 000,00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197 826,20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3 129 268,20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2 168 265,00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10 085 359,40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10 490 359,40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УНГАРИЯ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9 350 000,00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402 979,30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7 538 998,26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5 223 760,00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22 515 737,56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23 340 737,56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МАЛТА</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21 980,69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466 280,47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323 085,00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1 321 346,16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1 366 346,16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НИДЕРЛАНДИЯ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82 450 000,00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3 553 544,71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58 598 242,83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40 602 630,00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185 204 417,53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192 479 417,53</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АВСТРИЯ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40 970 000,00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1 765 782,01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29 411 735,32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20 379 345,00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3 615 000,00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92 526 862,33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96 141 862,33</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ПОЛША</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22 100 000,00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952 496,52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24 624 662,80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17 062 390,00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64 739 549,32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66 689 549,32</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ПОРТУГАЛИЯ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842 593,07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14 681 394,38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10 172 715,00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45 246 702,45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46 971 702,45</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РУМЪНИЯ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6 290 000,00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271 095,16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8 809 768,94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6 104 275,00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21 475 139,11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22 030 139,11</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СЛОВЕНИЯ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3 060 000,00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131 884,13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2 754 256,52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1 908 420,00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7 854 560,66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8 124 560,66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СЛОВАКИЯ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153 864,82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4 614 471,47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3 197 360,00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11 535 696,29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11 850 696,29</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ФИНЛАНДИЯ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24 990 000,00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1 077 053,76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18 512 475,41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12 827 265,00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57 406 794,16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59 611 794,16</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ШВЕЦИЯ</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46 580 000,00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2 007 569,59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36 054 974,58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24 982 435,00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4 110 000,00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109 624 979,17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113 734 979,17</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ОБЕДИНЕНОТО КРАЛСТВО</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14 820 000,00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251 940 000,00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7 410 000,00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10 858 460,32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180 067 187,34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124 768 270,00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22 230 000,00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567 633 917,66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589 863 917,66</w:t>
            </w:r>
          </w:p>
        </w:tc>
      </w:tr>
      <w:tr>
        <w:trPr>
          <w:trHeight w:val="28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ОБЩО ЕС-28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1 700 000 000,00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73 268 963,00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1 226 731 037,00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850 000 000,00</w:t>
            </w:r>
          </w:p>
        </w:tc>
        <w:tc>
          <w:tcPr>
            <w:tcW w:w="0" w:type="auto"/>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150 000 000,00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3 850 000 000,00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4 000 000 000,00</w:t>
            </w:r>
          </w:p>
        </w:tc>
      </w:tr>
    </w:tbl>
    <w:p>
      <w:pPr>
        <w:rPr>
          <w:noProof/>
        </w:rPr>
      </w:pPr>
    </w:p>
    <w:p>
      <w:pPr>
        <w:pStyle w:val="Heading2"/>
        <w:numPr>
          <w:ilvl w:val="1"/>
          <w:numId w:val="1"/>
        </w:numPr>
        <w:rPr>
          <w:noProof/>
        </w:rPr>
      </w:pPr>
      <w:r>
        <w:rPr>
          <w:noProof/>
        </w:rPr>
        <w:t>Приложение 5: Вноски на държавите членки за 2017—2020 г. (в евро)</w:t>
      </w:r>
    </w:p>
    <w:tbl>
      <w:tblPr>
        <w:tblW w:w="13902" w:type="dxa"/>
        <w:tblInd w:w="98" w:type="dxa"/>
        <w:tblLook w:val="04A0" w:firstRow="1" w:lastRow="0" w:firstColumn="1" w:lastColumn="0" w:noHBand="0" w:noVBand="1"/>
      </w:tblPr>
      <w:tblGrid>
        <w:gridCol w:w="1846"/>
        <w:gridCol w:w="1033"/>
        <w:gridCol w:w="1033"/>
        <w:gridCol w:w="1057"/>
        <w:gridCol w:w="1247"/>
        <w:gridCol w:w="1131"/>
        <w:gridCol w:w="1064"/>
        <w:gridCol w:w="1140"/>
        <w:gridCol w:w="1064"/>
        <w:gridCol w:w="1192"/>
        <w:gridCol w:w="1064"/>
        <w:gridCol w:w="1251"/>
      </w:tblGrid>
      <w:tr>
        <w:trPr>
          <w:trHeight w:val="255"/>
        </w:trPr>
        <w:tc>
          <w:tcPr>
            <w:tcW w:w="18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ДЪРЖАВИ ЧЛЕНКИ</w:t>
            </w:r>
          </w:p>
        </w:tc>
        <w:tc>
          <w:tcPr>
            <w:tcW w:w="877"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Алгоритъм за вноските за 10-ия ЕФР</w:t>
            </w:r>
          </w:p>
        </w:tc>
        <w:tc>
          <w:tcPr>
            <w:tcW w:w="936"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Алгоритъм за вноските за 11-ия ЕФР</w:t>
            </w:r>
          </w:p>
        </w:tc>
        <w:tc>
          <w:tcPr>
            <w:tcW w:w="3444" w:type="dxa"/>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2017 г.</w:t>
            </w:r>
          </w:p>
        </w:tc>
        <w:tc>
          <w:tcPr>
            <w:tcW w:w="2210"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2018 г.</w:t>
            </w:r>
          </w:p>
        </w:tc>
        <w:tc>
          <w:tcPr>
            <w:tcW w:w="2262"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2019 г.</w:t>
            </w:r>
          </w:p>
        </w:tc>
        <w:tc>
          <w:tcPr>
            <w:tcW w:w="2322"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2020 г.</w:t>
            </w:r>
          </w:p>
        </w:tc>
      </w:tr>
      <w:tr>
        <w:trPr>
          <w:trHeight w:val="255"/>
        </w:trPr>
        <w:tc>
          <w:tcPr>
            <w:tcW w:w="1851"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877"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ЕФР %</w:t>
            </w:r>
          </w:p>
        </w:tc>
        <w:tc>
          <w:tcPr>
            <w:tcW w:w="936"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ЕФР %</w:t>
            </w:r>
          </w:p>
        </w:tc>
        <w:tc>
          <w:tcPr>
            <w:tcW w:w="1060" w:type="dxa"/>
            <w:tcBorders>
              <w:top w:val="nil"/>
              <w:left w:val="nil"/>
              <w:bottom w:val="single" w:sz="8" w:space="0" w:color="auto"/>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Комисия 10-и</w:t>
            </w:r>
          </w:p>
        </w:tc>
        <w:tc>
          <w:tcPr>
            <w:tcW w:w="1250" w:type="dxa"/>
            <w:tcBorders>
              <w:top w:val="nil"/>
              <w:left w:val="single" w:sz="4" w:space="0" w:color="auto"/>
              <w:bottom w:val="single" w:sz="8"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Комисия 10-и</w:t>
            </w:r>
          </w:p>
        </w:tc>
        <w:tc>
          <w:tcPr>
            <w:tcW w:w="1134"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EИБ 10-и</w:t>
            </w:r>
          </w:p>
        </w:tc>
        <w:tc>
          <w:tcPr>
            <w:tcW w:w="1067"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Комисия 10-и</w:t>
            </w:r>
          </w:p>
        </w:tc>
        <w:tc>
          <w:tcPr>
            <w:tcW w:w="1143"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EИБ 10-и</w:t>
            </w:r>
          </w:p>
        </w:tc>
        <w:tc>
          <w:tcPr>
            <w:tcW w:w="1067"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Комисия 10-и</w:t>
            </w:r>
          </w:p>
        </w:tc>
        <w:tc>
          <w:tcPr>
            <w:tcW w:w="1195"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EИБ 10-и</w:t>
            </w:r>
          </w:p>
        </w:tc>
        <w:tc>
          <w:tcPr>
            <w:tcW w:w="1067"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Комисия 10-и</w:t>
            </w:r>
          </w:p>
        </w:tc>
        <w:tc>
          <w:tcPr>
            <w:tcW w:w="1255"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EИБ 10-и</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БЕЛГИЯ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3,53</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3,24927</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62 596 394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67 478 599</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147 841 785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8 825 000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146 217 150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14 120 000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146 217 150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14 120 000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БЪЛГАРИЯ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0,14</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0,21853</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2 482 577</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4 538 280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9 943 115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9 833 850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9 833 850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ЧЕШКА РЕПУБЛИКА</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0,79745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9 043 672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16 560 892</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36 283 975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35 885 250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35 885 250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ДАНИЯ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1,98045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35 465 379</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41 128 620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90 110 475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89 120 250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8 000 000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89 120 250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8 000 000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ГЕРМАНИЯ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20,57980</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363 520 137</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427 387 094</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30 750 000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936 380 900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51 250 000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926 091 000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82 000 000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926 091 000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82 000 000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ЕСТОНИЯ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0,08635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886 634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1 793 257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3 928 925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3 885 750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3 885 750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ИРЛАНДИЯ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0,94006</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16 136 748</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19 522 518</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1 365 000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42 772 730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42 302 700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42 302 700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ГЪРЦИЯ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1,50735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26 067 054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31 303 605</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68 584 425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67 830 750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67 830 750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ИСПАНИЯ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7,85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7,93248</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139 201 614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164 736 274</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360 927 840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19 625 000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356 961 600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31 400 000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356 961 600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31 400 000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ФРАНЦИЯ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19,55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17,81269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346 674 082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369 921 662</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29 325 000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810 477 395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48 875 000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801 571 050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78 200 000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801 571 050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78 200 000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ХЪРВАТИЯ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0,22518</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4 676 383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10 245 690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10 133 100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10 133 100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ИТАЛИЯ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12,86</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12,53009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228 042 389</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260 216 268</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19 290 000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570 119 095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32 150 000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563 854 050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51 440 000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563 854 050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51 440 000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КИПЪР</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0,09</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0,11162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1 595 942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2 318 047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5 078 710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5 022 900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5 022 900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ЛАТВИЯ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0,11612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1 241 288</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2 411 500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5 283 460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5 225 400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5 225 400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ЛИТВА</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0,12</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0,18077</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2 127 923</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3 754 107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8 225 035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8 134 650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8 134 650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ЛЮКСЕМБУРГ</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0,25509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4 787 826</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5 297 533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11 606 595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11 479 050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11 479 050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УНГАРИЯ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0,61456</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9 752 979</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12 762 758</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27 962 480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27 655 200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27 655 200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МАЛТА</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0,03801</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531 981</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789 365</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1 729 455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1 710 450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1 710 450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НИДЕРЛАНДИЯ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4,85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4,77678</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86 003 545</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99 200 873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217 343 490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12 125 000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214 955 100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19 400 000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214 955 100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19 400 000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АВСТРИЯ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2,41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2,39757</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42 735 782</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49 791 080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3 615 000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109 089 435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107 890 650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9 640 000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107 890 650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9 640 000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ПОЛША</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1,30</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2,00734</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23 052 497</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41 687 053</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91 333 970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3 250 000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90 330 300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90 330 300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ПОРТУГАЛИЯ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1,15</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1,19679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20 392 593</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24 854 109</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54 453 945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2 875 000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53 855 550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4 600 000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53 855 550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4 600 000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РУМЪНИЯ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0,71815</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6 561 095</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14 914 044</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32 675 825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32 316 750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32 316 750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СЛОВЕНИЯ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0,22452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3 191 884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4 662 677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10 215 660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10 103 400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720 000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10 103 400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720 000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СЛОВАКИЯ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0,37616</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3 723 865</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7 811 831</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17 115 280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525 000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16 927 200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16 927 200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ФИНЛАНДИЯ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1,50909</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26 067 054</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31 339 740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68 663 595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3 675 000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67 909 050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67 909 050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5 880 000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ШВЕЦИЯ</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2,74</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2,93911</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48 587 570</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61 037 410</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4 110 000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133 729 505</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6 850 000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132 259 950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10 960 000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132 259 950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10 960 000</w:t>
            </w:r>
          </w:p>
        </w:tc>
      </w:tr>
      <w:tr>
        <w:trPr>
          <w:trHeight w:val="255"/>
        </w:trPr>
        <w:tc>
          <w:tcPr>
            <w:tcW w:w="1851"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ОБЕДИНЕНОТО КРАЛСТВО</w:t>
            </w:r>
          </w:p>
        </w:tc>
        <w:tc>
          <w:tcPr>
            <w:tcW w:w="877"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14,82</w:t>
            </w:r>
          </w:p>
        </w:tc>
        <w:tc>
          <w:tcPr>
            <w:tcW w:w="936"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14,67862</w:t>
            </w:r>
          </w:p>
        </w:tc>
        <w:tc>
          <w:tcPr>
            <w:tcW w:w="10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262 798 460</w:t>
            </w:r>
          </w:p>
        </w:tc>
        <w:tc>
          <w:tcPr>
            <w:tcW w:w="125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304 835 457</w:t>
            </w:r>
          </w:p>
        </w:tc>
        <w:tc>
          <w:tcPr>
            <w:tcW w:w="113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22 230 000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667 877 210</w:t>
            </w:r>
          </w:p>
        </w:tc>
        <w:tc>
          <w:tcPr>
            <w:tcW w:w="1143"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37 050 000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660 537 900</w:t>
            </w:r>
          </w:p>
        </w:tc>
        <w:tc>
          <w:tcPr>
            <w:tcW w:w="119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59 280 000</w:t>
            </w:r>
          </w:p>
        </w:tc>
        <w:tc>
          <w:tcPr>
            <w:tcW w:w="1067"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660 537 900</w:t>
            </w:r>
          </w:p>
        </w:tc>
        <w:tc>
          <w:tcPr>
            <w:tcW w:w="1255"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59 280 000</w:t>
            </w:r>
          </w:p>
        </w:tc>
      </w:tr>
      <w:tr>
        <w:trPr>
          <w:trHeight w:val="255"/>
        </w:trPr>
        <w:tc>
          <w:tcPr>
            <w:tcW w:w="185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ОБЩО ЕС-28</w:t>
            </w:r>
          </w:p>
        </w:tc>
        <w:tc>
          <w:tcPr>
            <w:tcW w:w="877"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936"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1060"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1 773 268 963</w:t>
            </w:r>
          </w:p>
        </w:tc>
        <w:tc>
          <w:tcPr>
            <w:tcW w:w="1250" w:type="dxa"/>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2 076 731 037</w:t>
            </w:r>
          </w:p>
        </w:tc>
        <w:tc>
          <w:tcPr>
            <w:tcW w:w="1134"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150 000 000</w:t>
            </w:r>
          </w:p>
        </w:tc>
        <w:tc>
          <w:tcPr>
            <w:tcW w:w="1067"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4 550 000 000</w:t>
            </w:r>
          </w:p>
        </w:tc>
        <w:tc>
          <w:tcPr>
            <w:tcW w:w="1143"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250 000 000</w:t>
            </w:r>
          </w:p>
        </w:tc>
        <w:tc>
          <w:tcPr>
            <w:tcW w:w="1067"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4 500 000 000</w:t>
            </w:r>
          </w:p>
        </w:tc>
        <w:tc>
          <w:tcPr>
            <w:tcW w:w="1195"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400 000 000</w:t>
            </w:r>
          </w:p>
        </w:tc>
        <w:tc>
          <w:tcPr>
            <w:tcW w:w="1067"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4 500 000 000</w:t>
            </w:r>
          </w:p>
        </w:tc>
        <w:tc>
          <w:tcPr>
            <w:tcW w:w="1255"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400 000 000</w:t>
            </w:r>
          </w:p>
        </w:tc>
      </w:tr>
      <w:tr>
        <w:trPr>
          <w:trHeight w:val="255"/>
        </w:trPr>
        <w:tc>
          <w:tcPr>
            <w:tcW w:w="1851"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 </w:t>
            </w:r>
          </w:p>
        </w:tc>
        <w:tc>
          <w:tcPr>
            <w:tcW w:w="877" w:type="dxa"/>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 </w:t>
            </w:r>
          </w:p>
        </w:tc>
        <w:tc>
          <w:tcPr>
            <w:tcW w:w="936" w:type="dxa"/>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 </w:t>
            </w:r>
          </w:p>
        </w:tc>
        <w:tc>
          <w:tcPr>
            <w:tcW w:w="3444"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4 000 000 000</w:t>
            </w:r>
          </w:p>
        </w:tc>
        <w:tc>
          <w:tcPr>
            <w:tcW w:w="2210"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4 800 000 000</w:t>
            </w:r>
          </w:p>
        </w:tc>
        <w:tc>
          <w:tcPr>
            <w:tcW w:w="2262"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4 900 000 000</w:t>
            </w:r>
          </w:p>
        </w:tc>
        <w:tc>
          <w:tcPr>
            <w:tcW w:w="2322"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4 900 000 000</w:t>
            </w:r>
          </w:p>
        </w:tc>
      </w:tr>
    </w:tbl>
    <w:p>
      <w:pPr>
        <w:rPr>
          <w:noProof/>
        </w:rPr>
      </w:pPr>
      <w:r>
        <w:rPr>
          <w:noProof/>
        </w:rPr>
        <w:br w:type="page"/>
      </w:r>
    </w:p>
    <w:p>
      <w:pPr>
        <w:pStyle w:val="Heading2"/>
        <w:numPr>
          <w:ilvl w:val="1"/>
          <w:numId w:val="1"/>
        </w:numPr>
        <w:rPr>
          <w:noProof/>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20"/>
          <w:docGrid w:linePitch="360"/>
        </w:sectPr>
      </w:pPr>
    </w:p>
    <w:p>
      <w:pPr>
        <w:pStyle w:val="Heading2"/>
        <w:numPr>
          <w:ilvl w:val="1"/>
          <w:numId w:val="1"/>
        </w:numPr>
        <w:rPr>
          <w:noProof/>
        </w:rPr>
      </w:pPr>
      <w:r>
        <w:rPr>
          <w:noProof/>
        </w:rPr>
        <w:t>Приложение 6: Състояние на резерва от отменени средства от предишни ЕФР (евро)</w:t>
      </w:r>
    </w:p>
    <w:p>
      <w:pPr>
        <w:jc w:val="both"/>
        <w:rPr>
          <w:rFonts w:ascii="Times New Roman" w:hAnsi="Times New Roman" w:cs="Times New Roman"/>
          <w:noProof/>
          <w:sz w:val="24"/>
          <w:szCs w:val="24"/>
        </w:rPr>
      </w:pPr>
      <w:r>
        <w:rPr>
          <w:rFonts w:ascii="Times New Roman" w:hAnsi="Times New Roman"/>
          <w:noProof/>
          <w:sz w:val="24"/>
        </w:rPr>
        <w:t>В съответствие с член 61 от Регламент (ЕС) 2015/323 на Съвета относно финансовия регламент приложим за 11-ия Европейски фонд за развитие</w:t>
      </w:r>
      <w:r>
        <w:rPr>
          <w:rStyle w:val="FootnoteReference"/>
          <w:rFonts w:ascii="Times New Roman" w:hAnsi="Times New Roman"/>
          <w:noProof/>
          <w:sz w:val="24"/>
        </w:rPr>
        <w:footnoteReference w:id="11"/>
      </w:r>
      <w:r>
        <w:rPr>
          <w:rFonts w:ascii="Times New Roman" w:hAnsi="Times New Roman"/>
          <w:noProof/>
          <w:sz w:val="24"/>
        </w:rPr>
        <w:t xml:space="preserve"> в посочената по-долу таблица е показан размерът на резерва от отменени средства от предишни ЕФР в края на 2016 г., както по предишни ЕФР (Осмия/Деветия или 10-ия ЕФР, като за всеки ЕФР има конкретен списък от участващи държави членки и конкретен алгоритъм за вноските по държави членки.)  </w:t>
      </w:r>
    </w:p>
    <w:p>
      <w:pPr>
        <w:jc w:val="both"/>
        <w:rPr>
          <w:rFonts w:ascii="Times New Roman" w:hAnsi="Times New Roman" w:cs="Times New Roman"/>
          <w:noProof/>
          <w:sz w:val="24"/>
          <w:szCs w:val="24"/>
        </w:rPr>
      </w:pPr>
      <w:r>
        <w:rPr>
          <w:rFonts w:ascii="Times New Roman" w:hAnsi="Times New Roman"/>
          <w:noProof/>
          <w:sz w:val="24"/>
        </w:rPr>
        <w:t>Резерв от отменени средства от предишни ЕФР към 31.12.2016 г.</w:t>
      </w:r>
    </w:p>
    <w:tbl>
      <w:tblPr>
        <w:tblW w:w="5500" w:type="dxa"/>
        <w:tblInd w:w="93" w:type="dxa"/>
        <w:tblLook w:val="04A0" w:firstRow="1" w:lastRow="0" w:firstColumn="1" w:lastColumn="0" w:noHBand="0" w:noVBand="1"/>
      </w:tblPr>
      <w:tblGrid>
        <w:gridCol w:w="1240"/>
        <w:gridCol w:w="1596"/>
        <w:gridCol w:w="1716"/>
        <w:gridCol w:w="1716"/>
      </w:tblGrid>
      <w:tr>
        <w:trPr>
          <w:trHeight w:val="255"/>
        </w:trPr>
        <w:tc>
          <w:tcPr>
            <w:tcW w:w="124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 </w:t>
            </w:r>
          </w:p>
        </w:tc>
        <w:tc>
          <w:tcPr>
            <w:tcW w:w="134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10-ия ЕФР</w:t>
            </w:r>
          </w:p>
        </w:tc>
        <w:tc>
          <w:tcPr>
            <w:tcW w:w="146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8-ия/9-ия ЕФР</w:t>
            </w:r>
          </w:p>
        </w:tc>
        <w:tc>
          <w:tcPr>
            <w:tcW w:w="1460" w:type="dxa"/>
            <w:tcBorders>
              <w:top w:val="nil"/>
              <w:left w:val="nil"/>
              <w:bottom w:val="single" w:sz="4" w:space="0" w:color="95B3D7"/>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Общо</w:t>
            </w:r>
          </w:p>
        </w:tc>
      </w:tr>
      <w:tr>
        <w:trPr>
          <w:trHeight w:val="255"/>
        </w:trPr>
        <w:tc>
          <w:tcPr>
            <w:tcW w:w="1240" w:type="dxa"/>
            <w:tcBorders>
              <w:top w:val="nil"/>
              <w:left w:val="nil"/>
              <w:bottom w:val="nil"/>
              <w:right w:val="nil"/>
            </w:tcBorders>
            <w:shd w:val="clear" w:color="000000" w:fill="FFFFFF"/>
            <w:noWrap/>
            <w:vAlign w:val="bottom"/>
            <w:hideMark/>
          </w:tcPr>
          <w:p>
            <w:pPr>
              <w:spacing w:after="0" w:line="240" w:lineRule="auto"/>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АКТБ</w:t>
            </w:r>
          </w:p>
        </w:tc>
        <w:tc>
          <w:tcPr>
            <w:tcW w:w="13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31 435 360,12</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242 695 821,82</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274 131 181,94</w:t>
            </w:r>
          </w:p>
        </w:tc>
      </w:tr>
      <w:tr>
        <w:trPr>
          <w:trHeight w:val="255"/>
        </w:trPr>
        <w:tc>
          <w:tcPr>
            <w:tcW w:w="1240" w:type="dxa"/>
            <w:tcBorders>
              <w:top w:val="nil"/>
              <w:left w:val="nil"/>
              <w:bottom w:val="nil"/>
              <w:right w:val="nil"/>
            </w:tcBorders>
            <w:shd w:val="clear" w:color="000000" w:fill="FFFFFF"/>
            <w:noWrap/>
            <w:vAlign w:val="bottom"/>
            <w:hideMark/>
          </w:tcPr>
          <w:p>
            <w:pPr>
              <w:spacing w:after="0" w:line="240" w:lineRule="auto"/>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OСT</w:t>
            </w:r>
          </w:p>
        </w:tc>
        <w:tc>
          <w:tcPr>
            <w:tcW w:w="13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3 445 760,70</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21 496 601,75</w:t>
            </w:r>
          </w:p>
        </w:tc>
        <w:tc>
          <w:tcPr>
            <w:tcW w:w="146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24 942 362,45</w:t>
            </w:r>
          </w:p>
        </w:tc>
      </w:tr>
      <w:tr>
        <w:trPr>
          <w:trHeight w:val="255"/>
        </w:trPr>
        <w:tc>
          <w:tcPr>
            <w:tcW w:w="1240" w:type="dxa"/>
            <w:tcBorders>
              <w:top w:val="single" w:sz="4" w:space="0" w:color="95B3D7"/>
              <w:left w:val="nil"/>
              <w:bottom w:val="nil"/>
              <w:right w:val="nil"/>
            </w:tcBorders>
            <w:shd w:val="clear" w:color="DCE6F1" w:fill="DCE6F1"/>
            <w:noWrap/>
            <w:vAlign w:val="bottom"/>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Общо</w:t>
            </w:r>
          </w:p>
        </w:tc>
        <w:tc>
          <w:tcPr>
            <w:tcW w:w="1340" w:type="dxa"/>
            <w:tcBorders>
              <w:top w:val="single" w:sz="4" w:space="0" w:color="95B3D7"/>
              <w:left w:val="nil"/>
              <w:bottom w:val="nil"/>
              <w:right w:val="nil"/>
            </w:tcBorders>
            <w:shd w:val="clear" w:color="DCE6F1" w:fill="DCE6F1"/>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noProof/>
                <w:color w:val="000000"/>
                <w:sz w:val="24"/>
              </w:rPr>
              <w:t>34 881 120,82</w:t>
            </w:r>
          </w:p>
        </w:tc>
        <w:tc>
          <w:tcPr>
            <w:tcW w:w="1460" w:type="dxa"/>
            <w:tcBorders>
              <w:top w:val="single" w:sz="4" w:space="0" w:color="95B3D7"/>
              <w:left w:val="nil"/>
              <w:bottom w:val="nil"/>
              <w:right w:val="nil"/>
            </w:tcBorders>
            <w:shd w:val="clear" w:color="DCE6F1" w:fill="DCE6F1"/>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noProof/>
                <w:color w:val="000000"/>
                <w:sz w:val="24"/>
              </w:rPr>
              <w:t>264 192 423,57</w:t>
            </w:r>
          </w:p>
        </w:tc>
        <w:tc>
          <w:tcPr>
            <w:tcW w:w="1460" w:type="dxa"/>
            <w:tcBorders>
              <w:top w:val="single" w:sz="4" w:space="0" w:color="95B3D7"/>
              <w:left w:val="nil"/>
              <w:bottom w:val="nil"/>
              <w:right w:val="nil"/>
            </w:tcBorders>
            <w:shd w:val="clear" w:color="DCE6F1" w:fill="DCE6F1"/>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noProof/>
                <w:color w:val="000000"/>
                <w:sz w:val="24"/>
              </w:rPr>
              <w:t>299 073 544,39</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На 2 август 2016 г. Съветът прие Решение (ЕС) 2016/1337 за предоставяне на средства в максимален размер от 491 387 500 евро отменени средства от 10-ия ЕФР с цел да бъдат предоставени допълнителни средства за Механизма за подкрепа на мира в Африка за периода 2016—2018 г. в съответствие с член 1, параграф 4 от Вътрешното споразумение за 11-ия ЕФР</w:t>
      </w:r>
      <w:r>
        <w:rPr>
          <w:rStyle w:val="FootnoteReference"/>
          <w:rFonts w:ascii="Times New Roman" w:hAnsi="Times New Roman"/>
          <w:noProof/>
          <w:sz w:val="24"/>
        </w:rPr>
        <w:footnoteReference w:id="12"/>
      </w:r>
      <w:r>
        <w:rPr>
          <w:rFonts w:ascii="Times New Roman" w:hAnsi="Times New Roman"/>
          <w:noProof/>
          <w:sz w:val="24"/>
        </w:rPr>
        <w:t>. В края на годината общият размер на средствата от 10-ия ЕФР, които бяха прехвърлени за използване, е 386 387 500 евро; затова от резерва от отменени средства от 10-ия ЕФР се прехвърлят допълнителни средства в размер на 121 387 500 евро.</w:t>
      </w:r>
    </w:p>
    <w:p>
      <w:pPr>
        <w:jc w:val="both"/>
        <w:rPr>
          <w:rFonts w:ascii="Times New Roman" w:hAnsi="Times New Roman" w:cs="Times New Roman"/>
          <w:noProof/>
          <w:sz w:val="24"/>
          <w:szCs w:val="24"/>
        </w:rPr>
      </w:pPr>
      <w:r>
        <w:rPr>
          <w:rFonts w:ascii="Times New Roman" w:hAnsi="Times New Roman"/>
          <w:noProof/>
          <w:sz w:val="24"/>
        </w:rPr>
        <w:t xml:space="preserve">От резерва на Осмия/Деветия ЕФР се изважда сума в размер на 200 000 000 евро с цел възстановяване на средства на участващите държави членки, докато Съветът приеме предложението на Комисията, приложено към настоящото предложение за 2-ра вноска за 2017 г. </w:t>
      </w:r>
    </w:p>
    <w:p>
      <w:pPr>
        <w:rPr>
          <w:noProof/>
        </w:rPr>
      </w:pPr>
      <w:r>
        <w:rPr>
          <w:noProof/>
        </w:rPr>
        <w:br w:type="page"/>
      </w:r>
    </w:p>
    <w:p>
      <w:pPr>
        <w:pStyle w:val="Heading2"/>
        <w:numPr>
          <w:ilvl w:val="1"/>
          <w:numId w:val="1"/>
        </w:numPr>
        <w:rPr>
          <w:noProof/>
        </w:rPr>
        <w:sectPr>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20"/>
          <w:docGrid w:linePitch="360"/>
        </w:sectPr>
      </w:pPr>
    </w:p>
    <w:p>
      <w:pPr>
        <w:pStyle w:val="Heading2"/>
        <w:numPr>
          <w:ilvl w:val="1"/>
          <w:numId w:val="1"/>
        </w:numPr>
        <w:rPr>
          <w:noProof/>
        </w:rPr>
      </w:pPr>
      <w:r>
        <w:rPr>
          <w:noProof/>
        </w:rPr>
        <w:t>Приложение 7: Отражение на намалението върху вноските по оставащи салда за всяка държава членка (евро)</w:t>
      </w:r>
    </w:p>
    <w:p>
      <w:pPr>
        <w:jc w:val="both"/>
        <w:rPr>
          <w:rFonts w:ascii="Times New Roman" w:hAnsi="Times New Roman" w:cs="Times New Roman"/>
          <w:noProof/>
          <w:sz w:val="24"/>
          <w:szCs w:val="24"/>
        </w:rPr>
      </w:pPr>
      <w:r>
        <w:rPr>
          <w:rFonts w:ascii="Times New Roman" w:hAnsi="Times New Roman"/>
          <w:noProof/>
          <w:sz w:val="24"/>
        </w:rPr>
        <w:t>В съответствие с член 61 от Регламент (ЕС) 2015/323 на Съвета относно финансовия регламент приложим за 11-ия Европейски фонд за развитие</w:t>
      </w:r>
      <w:r>
        <w:rPr>
          <w:rStyle w:val="FootnoteReference"/>
          <w:rFonts w:ascii="Times New Roman" w:hAnsi="Times New Roman"/>
          <w:noProof/>
          <w:sz w:val="24"/>
        </w:rPr>
        <w:footnoteReference w:id="13"/>
      </w:r>
      <w:r>
        <w:rPr>
          <w:rFonts w:ascii="Times New Roman" w:hAnsi="Times New Roman"/>
          <w:noProof/>
          <w:sz w:val="24"/>
        </w:rPr>
        <w:t xml:space="preserve"> в посочената по-долу таблица е показано отражението на намаляване на вноската въз основа на сумата в резерва от отменени от предходни ЕФР средства. Сумите, посочени в таблицата, обаче са теоретични, тъй като те не вземат под внимание нито предложеното изпълнение на възстановяването на средства в размер на 200 милиона евро, съгласно представеното от Европейската комисия предложение заедно с настоящото съобщение, нито предвиденото разпределение на средства в размер на 150 милиона евро, предвидено за 2017 г. в полза на Европейския фонд за устойчиво развитие (ЕФУР), гаранцията от ЕФУР и гаранционния фонд на ЕФУР.</w:t>
      </w:r>
    </w:p>
    <w:tbl>
      <w:tblPr>
        <w:tblW w:w="7340" w:type="dxa"/>
        <w:tblInd w:w="93" w:type="dxa"/>
        <w:tblLook w:val="04A0" w:firstRow="1" w:lastRow="0" w:firstColumn="1" w:lastColumn="0" w:noHBand="0" w:noVBand="1"/>
      </w:tblPr>
      <w:tblGrid>
        <w:gridCol w:w="1880"/>
        <w:gridCol w:w="1036"/>
        <w:gridCol w:w="1036"/>
        <w:gridCol w:w="1140"/>
        <w:gridCol w:w="1200"/>
        <w:gridCol w:w="1200"/>
      </w:tblGrid>
      <w:tr>
        <w:trPr>
          <w:trHeight w:val="255"/>
        </w:trPr>
        <w:tc>
          <w:tcPr>
            <w:tcW w:w="18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ДЪРЖАВИ ЧЛЕНКИ</w:t>
            </w:r>
          </w:p>
        </w:tc>
        <w:tc>
          <w:tcPr>
            <w:tcW w:w="960"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Алгоритъм за вноските за 9-ия ЕФР</w:t>
            </w:r>
          </w:p>
        </w:tc>
        <w:tc>
          <w:tcPr>
            <w:tcW w:w="960" w:type="dxa"/>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Алгоритъм за вноските за 10-ия ЕФР</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9-ти ЕФР</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10-ти ЕФР</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ОБЩО</w:t>
            </w:r>
          </w:p>
        </w:tc>
      </w:tr>
      <w:tr>
        <w:trPr>
          <w:trHeight w:val="270"/>
        </w:trPr>
        <w:tc>
          <w:tcPr>
            <w:tcW w:w="188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960"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ЕФР %</w:t>
            </w:r>
          </w:p>
        </w:tc>
        <w:tc>
          <w:tcPr>
            <w:tcW w:w="960" w:type="dxa"/>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ЕФР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rPr>
            </w:pP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БЕЛГИЯ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3,92</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3,53</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10 356 343</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1 231 304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11 587 647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БЪЛГАРИЯ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0,14</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48 834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48 834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ЧЕШКА РЕПУБЛИКА</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177 894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177 894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ДАНИЯ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2,14</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5 653 718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697 622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6 351 340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ГЕРМАНИЯ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23,36</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20,50</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61 715 350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7 150 630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68 865 980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ЕСТОНИЯ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17 441</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17 441</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ИРЛАНДИЯ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0,62</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1 637 993</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317 418</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1 955 411</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ГЪРЦИЯ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1,25</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3 302 405</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512 752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3 815 158</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ИСПАНИЯ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5,84</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7,85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15 428 838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2 738 168</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18 167 006</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ФРАНЦИЯ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24,30</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19,55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64 198 759</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6 819 259</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71 018 018</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ХЪРВАТИЯ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ИТАЛИЯ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12,54</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12,86</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33 129 730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4 485 712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37 615 442</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КИПЪР</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0,09</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31 393</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31 393</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ЛАТВИЯ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24 417</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24 417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ЛИТВА</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0,12</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41 857</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41 857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ЛЮКСЕМБУРГ</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0,29</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766 158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94 179</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860 337</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УНГАРИЯ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191 846</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191 846</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МАЛТА</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10 464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10 464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НИДЕРЛАНДИЯ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5,22</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4,85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13 790 845</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1 691 734</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15 482 579</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АВСТРИЯ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2,65</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2,41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7 001 099</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840 635</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7 841 734</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ПОЛША</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1,30</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453 455</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453 455</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ПОРТУГАЛИЯ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0,97</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1,15</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2 562 667</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401 133</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2 963 799</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РУМЪНИЯ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129 060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129 060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СЛОВЕНИЯ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62 786</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62 786</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СЛОВАКИЯ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73 250</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73 250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ФИНЛАНДИЯ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1,48</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3 910 048</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512 752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4 422 800</w:t>
            </w:r>
          </w:p>
        </w:tc>
      </w:tr>
      <w:tr>
        <w:trPr>
          <w:trHeight w:val="255"/>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ШВЕЦИЯ</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2,73</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2,74</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7 212 453</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955 743</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8 168 196</w:t>
            </w:r>
          </w:p>
        </w:tc>
      </w:tr>
      <w:tr>
        <w:trPr>
          <w:trHeight w:val="270"/>
        </w:trPr>
        <w:tc>
          <w:tcPr>
            <w:tcW w:w="188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ОБЕДИНЕНОТО КРАЛСТВО</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12,69</w:t>
            </w:r>
          </w:p>
        </w:tc>
        <w:tc>
          <w:tcPr>
            <w:tcW w:w="960" w:type="dxa"/>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14,82</w:t>
            </w:r>
          </w:p>
        </w:tc>
        <w:tc>
          <w:tcPr>
            <w:tcW w:w="1140"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33 526 019</w:t>
            </w:r>
          </w:p>
        </w:tc>
        <w:tc>
          <w:tcPr>
            <w:tcW w:w="12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5 169 382</w:t>
            </w:r>
          </w:p>
        </w:tc>
        <w:tc>
          <w:tcPr>
            <w:tcW w:w="1200"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38 695 401</w:t>
            </w:r>
          </w:p>
        </w:tc>
      </w:tr>
      <w:tr>
        <w:trPr>
          <w:trHeight w:val="270"/>
        </w:trPr>
        <w:tc>
          <w:tcPr>
            <w:tcW w:w="188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ОБЩО ЕС-28</w:t>
            </w:r>
          </w:p>
        </w:tc>
        <w:tc>
          <w:tcPr>
            <w:tcW w:w="96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96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1140"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264 192 424</w:t>
            </w:r>
          </w:p>
        </w:tc>
        <w:tc>
          <w:tcPr>
            <w:tcW w:w="1200" w:type="dxa"/>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34 881 121</w:t>
            </w:r>
          </w:p>
        </w:tc>
        <w:tc>
          <w:tcPr>
            <w:tcW w:w="120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299 073 544</w:t>
            </w:r>
          </w:p>
        </w:tc>
      </w:tr>
    </w:tbl>
    <w:p>
      <w:pPr>
        <w:tabs>
          <w:tab w:val="left" w:pos="2316"/>
        </w:tabs>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3058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02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72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315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Вътрешно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 (ОВ L 210, 6.8.2013 г., стр. 1).</w:t>
      </w:r>
    </w:p>
  </w:footnote>
  <w:footnote w:id="2">
    <w:p>
      <w:pPr>
        <w:pStyle w:val="FootnoteText"/>
      </w:pPr>
      <w:r>
        <w:rPr>
          <w:rStyle w:val="FootnoteReference"/>
        </w:rPr>
        <w:footnoteRef/>
      </w:r>
      <w:r>
        <w:tab/>
        <w:t>ОВ L 58, 3.3.2015 г., стр. 17—38.</w:t>
      </w:r>
    </w:p>
  </w:footnote>
  <w:footnote w:id="3">
    <w:p>
      <w:pPr>
        <w:pStyle w:val="FootnoteText"/>
      </w:pPr>
      <w:r>
        <w:rPr>
          <w:rStyle w:val="FootnoteReference"/>
        </w:rPr>
        <w:footnoteRef/>
      </w:r>
      <w:r>
        <w:tab/>
        <w:t>Държави от Африка, Карибите и Тихоокеанския басейн.</w:t>
      </w:r>
    </w:p>
  </w:footnote>
  <w:footnote w:id="4">
    <w:p>
      <w:pPr>
        <w:pStyle w:val="FootnoteText"/>
      </w:pPr>
      <w:r>
        <w:rPr>
          <w:rStyle w:val="FootnoteReference"/>
        </w:rPr>
        <w:footnoteRef/>
      </w:r>
      <w:r>
        <w:tab/>
        <w:t>Отвъдморски страни и територии.</w:t>
      </w:r>
    </w:p>
  </w:footnote>
  <w:footnote w:id="5">
    <w:p>
      <w:pPr>
        <w:pStyle w:val="FootnoteText"/>
      </w:pPr>
      <w:r>
        <w:rPr>
          <w:rStyle w:val="FootnoteReference"/>
        </w:rPr>
        <w:footnoteRef/>
      </w:r>
      <w:r>
        <w:tab/>
        <w:t>ОВ L 210, 6.8.2013 г.</w:t>
      </w:r>
    </w:p>
  </w:footnote>
  <w:footnote w:id="6">
    <w:p>
      <w:pPr>
        <w:pStyle w:val="FootnoteText"/>
      </w:pPr>
      <w:r>
        <w:rPr>
          <w:rStyle w:val="FootnoteReference"/>
        </w:rPr>
        <w:footnoteRef/>
      </w:r>
      <w:r>
        <w:tab/>
        <w:t>OВ L 58, 3.3.2015 г., Регламент (ЕС) 2015/323 на Съвета от 2 март 2015 г. относно финансовия регламент, приложим за 11-ия Европейски фонд за развитие.</w:t>
      </w:r>
    </w:p>
  </w:footnote>
  <w:footnote w:id="7">
    <w:p>
      <w:pPr>
        <w:pStyle w:val="FootnoteText"/>
      </w:pPr>
      <w:r>
        <w:rPr>
          <w:rStyle w:val="FootnoteReference"/>
        </w:rPr>
        <w:footnoteRef/>
      </w:r>
      <w:r>
        <w:tab/>
        <w:t>Решение на Комисията за създаване на Извънредния доверителен фонд за Африка C(2015)7293.</w:t>
      </w:r>
    </w:p>
  </w:footnote>
  <w:footnote w:id="8">
    <w:p>
      <w:pPr>
        <w:pStyle w:val="FootnoteText"/>
      </w:pPr>
      <w:r>
        <w:rPr>
          <w:rStyle w:val="FootnoteReference"/>
        </w:rPr>
        <w:footnoteRef/>
      </w:r>
      <w:r>
        <w:tab/>
        <w:t>Предложение на Комисията COM(2016)586 final.</w:t>
      </w:r>
    </w:p>
  </w:footnote>
  <w:footnote w:id="9">
    <w:p>
      <w:pPr>
        <w:pStyle w:val="FootnoteText"/>
      </w:pPr>
      <w:r>
        <w:rPr>
          <w:rStyle w:val="FootnoteReference"/>
        </w:rPr>
        <w:footnoteRef/>
      </w:r>
      <w:r>
        <w:tab/>
        <w:t>Брутни поети задължения, т.е. без да са приспаднати отменените бюджетни кредити.</w:t>
      </w:r>
    </w:p>
  </w:footnote>
  <w:footnote w:id="10">
    <w:p>
      <w:pPr>
        <w:pStyle w:val="FootnoteText"/>
      </w:pPr>
      <w:r>
        <w:rPr>
          <w:rStyle w:val="FootnoteReference"/>
        </w:rPr>
        <w:footnoteRef/>
      </w:r>
      <w:r>
        <w:tab/>
        <w:t>Брутни плащания, т.е. без приспадане на събиранията.</w:t>
      </w:r>
    </w:p>
  </w:footnote>
  <w:footnote w:id="11">
    <w:p>
      <w:pPr>
        <w:pStyle w:val="FootnoteText"/>
      </w:pPr>
      <w:r>
        <w:rPr>
          <w:rStyle w:val="FootnoteReference"/>
        </w:rPr>
        <w:footnoteRef/>
      </w:r>
      <w:r>
        <w:tab/>
        <w:t>OВ L 58, 3.3.2015 г., Регламент (ЕС) 2015/323 на Съвета от 2 март 2015 г. относно финансовия регламент, приложим за 11-ия Европейски фонд за развитие.</w:t>
      </w:r>
    </w:p>
  </w:footnote>
  <w:footnote w:id="12">
    <w:p>
      <w:pPr>
        <w:pStyle w:val="FootnoteText"/>
      </w:pPr>
      <w:r>
        <w:rPr>
          <w:rStyle w:val="FootnoteReference"/>
        </w:rPr>
        <w:footnoteRef/>
      </w:r>
      <w:r>
        <w:tab/>
        <w:t>ОВ L 212, 5.8.2016 г., стр. 107.</w:t>
      </w:r>
    </w:p>
  </w:footnote>
  <w:footnote w:id="13">
    <w:p>
      <w:pPr>
        <w:pStyle w:val="FootnoteText"/>
      </w:pPr>
      <w:r>
        <w:rPr>
          <w:rStyle w:val="FootnoteReference"/>
        </w:rPr>
        <w:footnoteRef/>
      </w:r>
      <w:r>
        <w:tab/>
        <w:t>OВ L 58, 3.3.2015 г., Регламент (ЕС) 2015/323 на Съвета от 2 март 2015 г. относно финансовия регламент, приложим за 11-ия Европейски фонд за развитие.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1461DAD11CD4558A3D4EB4F0593AA31"/>
    <w:docVar w:name="LW_CROSSREFERENCE" w:val="&lt;UNUSED&gt;"/>
    <w:docVar w:name="LW_DocType" w:val="NORMAL"/>
    <w:docVar w:name="LW_EMISSION" w:val="14.6.2017"/>
    <w:docVar w:name="LW_EMISSION_ISODATE" w:val="2017-06-14"/>
    <w:docVar w:name="LW_EMISSION_LOCATION" w:val="BRX"/>
    <w:docVar w:name="LW_EMISSION_PREFIX" w:val="Брюксел, "/>
    <w:docVar w:name="LW_EMISSION_SUFFIX" w:val=" \u1075?."/>
    <w:docVar w:name="LW_ID_DOCTYPE_NONLW" w:val="CP-010"/>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99"/>
    <w:docVar w:name="LW_REF.INTERNE" w:val="&lt;UNUSED&gt;"/>
    <w:docVar w:name="LW_SOUS.TITRE.OBJ.CP" w:val="&lt;UNUSED&gt;"/>
    <w:docVar w:name="LW_SUPERTITRE" w:val="&lt;UNUSED&gt;"/>
    <w:docVar w:name="LW_TITRE.OBJ.CP" w:val="\u1060?\u1080?\u1085?\u1072?\u1085?\u1089?\u1086?\u1074?\u1072? \u1080?\u1085?\u1092?\u1086?\u1088?\u1084?\u1072?\u1094?\u1080?\u1103? \u1086?\u1090?\u1085?\u1086?\u1089?\u1085?\u1086? \u1045?\u1074?\u1088?\u1086?\u1087?\u1077?\u1081?\u1089?\u1082?\u1080?\u1103? \u1092?\u1086?\u1085?\u1076? \u1079?\u1072? \u1088?\u1072?\u1079?\u1074?\u1080?\u1090?\u1080?\u1077?_x000b__x000b_\u1045?\u1074?\u1088?\u1086?\u1087?\u1077?\u1081?\u1089?\u1082?\u1080? \u1092?\u1086?\u1085?\u1076? \u1079?\u1072? \u1088?\u1072?\u1079?\u1074?\u1080?\u1090?\u1080?\u1077? (\u1045?\u1060?\u1056?): \u1087?\u1088?\u1086?\u1075?\u1085?\u1086?\u1079?\u1080? \u1086?\u1090?\u1085?\u1086?\u1089?\u1085?\u1086? \u1087?\u1086?\u1077?\u1090?\u1080?\u1090?\u1077? \u1079?\u1072?\u1076?\u1098?\u1083?\u1078?\u1077?\u1085?\u1080?\u1103?, \u1087?\u1083?\u1072?\u1097?\u1072?\u1085?\u1080?\u1103?\u1090?\u1072? \u1080? \u1074?\u1085?\u1086?\u1089?\u1082?\u1080?\u1090?\u1077? "/>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2587">
      <w:bodyDiv w:val="1"/>
      <w:marLeft w:val="0"/>
      <w:marRight w:val="0"/>
      <w:marTop w:val="0"/>
      <w:marBottom w:val="0"/>
      <w:divBdr>
        <w:top w:val="none" w:sz="0" w:space="0" w:color="auto"/>
        <w:left w:val="none" w:sz="0" w:space="0" w:color="auto"/>
        <w:bottom w:val="none" w:sz="0" w:space="0" w:color="auto"/>
        <w:right w:val="none" w:sz="0" w:space="0" w:color="auto"/>
      </w:divBdr>
    </w:div>
    <w:div w:id="190269309">
      <w:bodyDiv w:val="1"/>
      <w:marLeft w:val="0"/>
      <w:marRight w:val="0"/>
      <w:marTop w:val="0"/>
      <w:marBottom w:val="0"/>
      <w:divBdr>
        <w:top w:val="none" w:sz="0" w:space="0" w:color="auto"/>
        <w:left w:val="none" w:sz="0" w:space="0" w:color="auto"/>
        <w:bottom w:val="none" w:sz="0" w:space="0" w:color="auto"/>
        <w:right w:val="none" w:sz="0" w:space="0" w:color="auto"/>
      </w:divBdr>
    </w:div>
    <w:div w:id="221792415">
      <w:bodyDiv w:val="1"/>
      <w:marLeft w:val="0"/>
      <w:marRight w:val="0"/>
      <w:marTop w:val="0"/>
      <w:marBottom w:val="0"/>
      <w:divBdr>
        <w:top w:val="none" w:sz="0" w:space="0" w:color="auto"/>
        <w:left w:val="none" w:sz="0" w:space="0" w:color="auto"/>
        <w:bottom w:val="none" w:sz="0" w:space="0" w:color="auto"/>
        <w:right w:val="none" w:sz="0" w:space="0" w:color="auto"/>
      </w:divBdr>
    </w:div>
    <w:div w:id="352195666">
      <w:bodyDiv w:val="1"/>
      <w:marLeft w:val="0"/>
      <w:marRight w:val="0"/>
      <w:marTop w:val="0"/>
      <w:marBottom w:val="0"/>
      <w:divBdr>
        <w:top w:val="none" w:sz="0" w:space="0" w:color="auto"/>
        <w:left w:val="none" w:sz="0" w:space="0" w:color="auto"/>
        <w:bottom w:val="none" w:sz="0" w:space="0" w:color="auto"/>
        <w:right w:val="none" w:sz="0" w:space="0" w:color="auto"/>
      </w:divBdr>
    </w:div>
    <w:div w:id="648285809">
      <w:bodyDiv w:val="1"/>
      <w:marLeft w:val="0"/>
      <w:marRight w:val="0"/>
      <w:marTop w:val="0"/>
      <w:marBottom w:val="0"/>
      <w:divBdr>
        <w:top w:val="none" w:sz="0" w:space="0" w:color="auto"/>
        <w:left w:val="none" w:sz="0" w:space="0" w:color="auto"/>
        <w:bottom w:val="none" w:sz="0" w:space="0" w:color="auto"/>
        <w:right w:val="none" w:sz="0" w:space="0" w:color="auto"/>
      </w:divBdr>
    </w:div>
    <w:div w:id="726337285">
      <w:bodyDiv w:val="1"/>
      <w:marLeft w:val="0"/>
      <w:marRight w:val="0"/>
      <w:marTop w:val="0"/>
      <w:marBottom w:val="0"/>
      <w:divBdr>
        <w:top w:val="none" w:sz="0" w:space="0" w:color="auto"/>
        <w:left w:val="none" w:sz="0" w:space="0" w:color="auto"/>
        <w:bottom w:val="none" w:sz="0" w:space="0" w:color="auto"/>
        <w:right w:val="none" w:sz="0" w:space="0" w:color="auto"/>
      </w:divBdr>
    </w:div>
    <w:div w:id="745415268">
      <w:bodyDiv w:val="1"/>
      <w:marLeft w:val="0"/>
      <w:marRight w:val="0"/>
      <w:marTop w:val="0"/>
      <w:marBottom w:val="0"/>
      <w:divBdr>
        <w:top w:val="none" w:sz="0" w:space="0" w:color="auto"/>
        <w:left w:val="none" w:sz="0" w:space="0" w:color="auto"/>
        <w:bottom w:val="none" w:sz="0" w:space="0" w:color="auto"/>
        <w:right w:val="none" w:sz="0" w:space="0" w:color="auto"/>
      </w:divBdr>
    </w:div>
    <w:div w:id="886649050">
      <w:bodyDiv w:val="1"/>
      <w:marLeft w:val="0"/>
      <w:marRight w:val="0"/>
      <w:marTop w:val="0"/>
      <w:marBottom w:val="0"/>
      <w:divBdr>
        <w:top w:val="none" w:sz="0" w:space="0" w:color="auto"/>
        <w:left w:val="none" w:sz="0" w:space="0" w:color="auto"/>
        <w:bottom w:val="none" w:sz="0" w:space="0" w:color="auto"/>
        <w:right w:val="none" w:sz="0" w:space="0" w:color="auto"/>
      </w:divBdr>
    </w:div>
    <w:div w:id="1015573858">
      <w:bodyDiv w:val="1"/>
      <w:marLeft w:val="0"/>
      <w:marRight w:val="0"/>
      <w:marTop w:val="0"/>
      <w:marBottom w:val="0"/>
      <w:divBdr>
        <w:top w:val="none" w:sz="0" w:space="0" w:color="auto"/>
        <w:left w:val="none" w:sz="0" w:space="0" w:color="auto"/>
        <w:bottom w:val="none" w:sz="0" w:space="0" w:color="auto"/>
        <w:right w:val="none" w:sz="0" w:space="0" w:color="auto"/>
      </w:divBdr>
    </w:div>
    <w:div w:id="1108895169">
      <w:bodyDiv w:val="1"/>
      <w:marLeft w:val="0"/>
      <w:marRight w:val="0"/>
      <w:marTop w:val="0"/>
      <w:marBottom w:val="0"/>
      <w:divBdr>
        <w:top w:val="none" w:sz="0" w:space="0" w:color="auto"/>
        <w:left w:val="none" w:sz="0" w:space="0" w:color="auto"/>
        <w:bottom w:val="none" w:sz="0" w:space="0" w:color="auto"/>
        <w:right w:val="none" w:sz="0" w:space="0" w:color="auto"/>
      </w:divBdr>
    </w:div>
    <w:div w:id="1182663719">
      <w:bodyDiv w:val="1"/>
      <w:marLeft w:val="0"/>
      <w:marRight w:val="0"/>
      <w:marTop w:val="0"/>
      <w:marBottom w:val="0"/>
      <w:divBdr>
        <w:top w:val="none" w:sz="0" w:space="0" w:color="auto"/>
        <w:left w:val="none" w:sz="0" w:space="0" w:color="auto"/>
        <w:bottom w:val="none" w:sz="0" w:space="0" w:color="auto"/>
        <w:right w:val="none" w:sz="0" w:space="0" w:color="auto"/>
      </w:divBdr>
    </w:div>
    <w:div w:id="1940796710">
      <w:bodyDiv w:val="1"/>
      <w:marLeft w:val="0"/>
      <w:marRight w:val="0"/>
      <w:marTop w:val="0"/>
      <w:marBottom w:val="0"/>
      <w:divBdr>
        <w:top w:val="none" w:sz="0" w:space="0" w:color="auto"/>
        <w:left w:val="none" w:sz="0" w:space="0" w:color="auto"/>
        <w:bottom w:val="none" w:sz="0" w:space="0" w:color="auto"/>
        <w:right w:val="none" w:sz="0" w:space="0" w:color="auto"/>
      </w:divBdr>
    </w:div>
    <w:div w:id="2029482831">
      <w:bodyDiv w:val="1"/>
      <w:marLeft w:val="0"/>
      <w:marRight w:val="0"/>
      <w:marTop w:val="0"/>
      <w:marBottom w:val="0"/>
      <w:divBdr>
        <w:top w:val="none" w:sz="0" w:space="0" w:color="auto"/>
        <w:left w:val="none" w:sz="0" w:space="0" w:color="auto"/>
        <w:bottom w:val="none" w:sz="0" w:space="0" w:color="auto"/>
        <w:right w:val="none" w:sz="0" w:space="0" w:color="auto"/>
      </w:divBdr>
    </w:div>
    <w:div w:id="2039381223">
      <w:bodyDiv w:val="1"/>
      <w:marLeft w:val="0"/>
      <w:marRight w:val="0"/>
      <w:marTop w:val="0"/>
      <w:marBottom w:val="0"/>
      <w:divBdr>
        <w:top w:val="none" w:sz="0" w:space="0" w:color="auto"/>
        <w:left w:val="none" w:sz="0" w:space="0" w:color="auto"/>
        <w:bottom w:val="none" w:sz="0" w:space="0" w:color="auto"/>
        <w:right w:val="none" w:sz="0" w:space="0" w:color="auto"/>
      </w:divBdr>
    </w:div>
    <w:div w:id="21091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3457-D26C-45E2-B291-56535E0D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4527</Words>
  <Characters>18742</Characters>
  <Application>Microsoft Office Word</Application>
  <DocSecurity>0</DocSecurity>
  <Lines>1874</Lines>
  <Paragraphs>1662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2017-05-12T12:03:00Z</dcterms:created>
  <dcterms:modified xsi:type="dcterms:W3CDTF">2017-06-02T10:20:00Z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