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517BE1ADC54A6EAFE2F35539A304D7" style="width:450.8pt;height:3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rPr>
          <w:noProof/>
        </w:rPr>
      </w:pPr>
      <w:bookmarkStart w:id="1" w:name="_GoBack"/>
      <w:bookmarkEnd w:id="1"/>
      <w:r>
        <w:rPr>
          <w:noProof/>
        </w:rPr>
        <w:lastRenderedPageBreak/>
        <w:t>Foreword</w:t>
      </w:r>
    </w:p>
    <w:p>
      <w:pPr>
        <w:pStyle w:val="Text1"/>
        <w:rPr>
          <w:noProof/>
        </w:rPr>
      </w:pPr>
      <w:r>
        <w:rPr>
          <w:noProof/>
        </w:rPr>
        <w:t>In accordance with Article 7(3) of the 11</w:t>
      </w:r>
      <w:r>
        <w:rPr>
          <w:noProof/>
          <w:vertAlign w:val="superscript"/>
        </w:rPr>
        <w:t>th</w:t>
      </w:r>
      <w:r>
        <w:rPr>
          <w:noProof/>
        </w:rPr>
        <w:t xml:space="preserve"> EDF Internal Agreement</w:t>
      </w:r>
      <w:r>
        <w:rPr>
          <w:rStyle w:val="FootnoteReference"/>
          <w:noProof/>
        </w:rPr>
        <w:footnoteReference w:id="1"/>
      </w:r>
      <w:r>
        <w:rPr>
          <w:noProof/>
        </w:rPr>
        <w:t xml:space="preserve"> and Article 21(4) of Council Regulation (EU) 2015/323 on the financial regulation applicable to the 11</w:t>
      </w:r>
      <w:r>
        <w:rPr>
          <w:noProof/>
          <w:vertAlign w:val="superscript"/>
        </w:rPr>
        <w:t>th</w:t>
      </w:r>
      <w:r>
        <w:rPr>
          <w:noProof/>
        </w:rPr>
        <w:t xml:space="preserve"> European Development Fund</w:t>
      </w:r>
      <w:r>
        <w:rPr>
          <w:rStyle w:val="FootnoteReference"/>
          <w:noProof/>
        </w:rPr>
        <w:footnoteReference w:id="2"/>
      </w:r>
      <w:r>
        <w:rPr>
          <w:noProof/>
        </w:rPr>
        <w:t xml:space="preserve"> (hereinafter referred to as "11</w:t>
      </w:r>
      <w:r>
        <w:rPr>
          <w:noProof/>
          <w:vertAlign w:val="superscript"/>
        </w:rPr>
        <w:t>th</w:t>
      </w:r>
      <w:r>
        <w:rPr>
          <w:noProof/>
        </w:rPr>
        <w:t xml:space="preserve"> EDF Financial Regulation"), the Commission presents in this document the commitments, payments and contributions made in 2016 and to be made in the years 2017 and 2018, taking into account the forecasts of the European Investment Bank (EIB). </w:t>
      </w:r>
    </w:p>
    <w:p>
      <w:pPr>
        <w:pStyle w:val="Text1"/>
        <w:rPr>
          <w:noProof/>
        </w:rPr>
      </w:pPr>
      <w:r>
        <w:rPr>
          <w:noProof/>
        </w:rPr>
        <w:t>This document sets out the financial implementation of the EDFs (Eighth to 11</w:t>
      </w:r>
      <w:r>
        <w:rPr>
          <w:noProof/>
          <w:vertAlign w:val="superscript"/>
        </w:rPr>
        <w:t>th</w:t>
      </w:r>
      <w:r>
        <w:rPr>
          <w:noProof/>
        </w:rPr>
        <w:t>) for 2016 and the forecasts of implementation for 2017 and 2018.</w:t>
      </w:r>
    </w:p>
    <w:p>
      <w:pPr>
        <w:pStyle w:val="Text1"/>
        <w:rPr>
          <w:noProof/>
        </w:rPr>
      </w:pPr>
      <w:r>
        <w:rPr>
          <w:noProof/>
        </w:rPr>
        <w:t>Member States contribute funds directly to the European Investment Bank (EIB) for the instruments which it manages under the Ninth, 10</w:t>
      </w:r>
      <w:r>
        <w:rPr>
          <w:noProof/>
          <w:vertAlign w:val="superscript"/>
        </w:rPr>
        <w:t>th</w:t>
      </w:r>
      <w:r>
        <w:rPr>
          <w:noProof/>
        </w:rPr>
        <w:t>, and 11</w:t>
      </w:r>
      <w:r>
        <w:rPr>
          <w:noProof/>
          <w:vertAlign w:val="superscript"/>
        </w:rPr>
        <w:t>th</w:t>
      </w:r>
      <w:r>
        <w:rPr>
          <w:noProof/>
        </w:rPr>
        <w:t xml:space="preserve"> EDFs (the Investment Facility and interest-rate subsidies). </w:t>
      </w:r>
    </w:p>
    <w:p>
      <w:pPr>
        <w:pStyle w:val="Heading1"/>
        <w:numPr>
          <w:ilvl w:val="0"/>
          <w:numId w:val="2"/>
        </w:numPr>
        <w:rPr>
          <w:noProof/>
        </w:rPr>
      </w:pPr>
      <w:r>
        <w:rPr>
          <w:noProof/>
        </w:rPr>
        <w:t>Introduction</w:t>
      </w:r>
    </w:p>
    <w:p>
      <w:pPr>
        <w:pStyle w:val="Text1"/>
        <w:rPr>
          <w:noProof/>
        </w:rPr>
      </w:pPr>
      <w:r>
        <w:rPr>
          <w:noProof/>
        </w:rPr>
        <w:t>The Commission and the EIB have updated their commitment and payment forecasts for 2017 and 2018 for each of the ACP countries</w:t>
      </w:r>
      <w:r>
        <w:rPr>
          <w:rStyle w:val="FootnoteReference"/>
          <w:noProof/>
        </w:rPr>
        <w:footnoteReference w:id="3"/>
      </w:r>
      <w:r>
        <w:rPr>
          <w:noProof/>
        </w:rPr>
        <w:t xml:space="preserve"> and the OCTs</w:t>
      </w:r>
      <w:r>
        <w:rPr>
          <w:rStyle w:val="FootnoteReference"/>
          <w:noProof/>
        </w:rPr>
        <w:footnoteReference w:id="4"/>
      </w:r>
      <w:r>
        <w:rPr>
          <w:noProof/>
        </w:rPr>
        <w:t>.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pStyle w:val="Text1"/>
        <w:rPr>
          <w:noProof/>
        </w:rPr>
      </w:pPr>
      <w:r>
        <w:rPr>
          <w:noProof/>
        </w:rPr>
        <w:t>In accordance with Article 7(3) of the 11</w:t>
      </w:r>
      <w:r>
        <w:rPr>
          <w:noProof/>
          <w:vertAlign w:val="superscript"/>
        </w:rPr>
        <w:t>th</w:t>
      </w:r>
      <w:r>
        <w:rPr>
          <w:noProof/>
        </w:rPr>
        <w:t xml:space="preserve"> EDF Internal Agreement</w:t>
      </w:r>
      <w:r>
        <w:rPr>
          <w:rStyle w:val="FootnoteReference"/>
          <w:noProof/>
        </w:rPr>
        <w:footnoteReference w:id="5"/>
      </w:r>
      <w:r>
        <w:rPr>
          <w:noProof/>
        </w:rPr>
        <w:t xml:space="preserve"> and Article 21(4) of the 11</w:t>
      </w:r>
      <w:r>
        <w:rPr>
          <w:noProof/>
          <w:vertAlign w:val="superscript"/>
        </w:rPr>
        <w:t>th</w:t>
      </w:r>
      <w:r>
        <w:rPr>
          <w:noProof/>
        </w:rPr>
        <w:t xml:space="preserve"> EDF Financial Regulation</w:t>
      </w:r>
      <w:r>
        <w:rPr>
          <w:rStyle w:val="FootnoteReference"/>
          <w:noProof/>
        </w:rPr>
        <w:footnoteReference w:id="6"/>
      </w:r>
      <w:r>
        <w:rPr>
          <w:noProof/>
        </w:rPr>
        <w:t>, the estimates provided in this document have been updated.</w:t>
      </w:r>
    </w:p>
    <w:p>
      <w:pPr>
        <w:pStyle w:val="Text1"/>
        <w:rPr>
          <w:noProof/>
        </w:rPr>
      </w:pPr>
      <w:r>
        <w:rPr>
          <w:noProof/>
        </w:rPr>
        <w:t>The graph below shows the general trend in gross commitments and payments since 1999 until 2016 and projections for the period 2017-2018 (Commission and EIB cumulated amounts).</w:t>
      </w:r>
    </w:p>
    <w:p>
      <w:pPr>
        <w:rPr>
          <w:noProof/>
        </w:rPr>
      </w:pPr>
      <w:r>
        <w:rPr>
          <w:noProof/>
        </w:rPr>
        <w:br w:type="page"/>
      </w:r>
    </w:p>
    <w:p>
      <w:pPr>
        <w:pStyle w:val="Text1"/>
        <w:rPr>
          <w:b/>
          <w:noProof/>
        </w:rPr>
      </w:pPr>
      <w:r>
        <w:rPr>
          <w:b/>
          <w:noProof/>
        </w:rPr>
        <w:t>Gross commitments and payments: trend 1999-2018 (EUR million)</w:t>
      </w:r>
    </w:p>
    <w:p>
      <w:pPr>
        <w:jc w:val="both"/>
        <w:rPr>
          <w:noProof/>
        </w:rPr>
      </w:pPr>
      <w:r>
        <w:rPr>
          <w:noProof/>
          <w:lang w:val="en-US"/>
        </w:rPr>
        <w:drawing>
          <wp:inline distT="0" distB="0" distL="0" distR="0">
            <wp:extent cx="576262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3456813"/>
                    </a:xfrm>
                    <a:prstGeom prst="rect">
                      <a:avLst/>
                    </a:prstGeom>
                  </pic:spPr>
                </pic:pic>
              </a:graphicData>
            </a:graphic>
          </wp:inline>
        </w:drawing>
      </w:r>
      <w:r>
        <w:rPr>
          <w:rFonts w:ascii="Times New Roman" w:hAnsi="Times New Roman" w:cs="Times New Roman"/>
          <w:noProof/>
          <w:sz w:val="20"/>
          <w:szCs w:val="20"/>
        </w:rPr>
        <w:t>Note: Figures from implementation of the European Development Funds as of 31 December 2016 (commitments, payments and financial situation) and forecasts for 2017 and 2018.</w:t>
      </w:r>
    </w:p>
    <w:p>
      <w:pPr>
        <w:pStyle w:val="Heading1"/>
        <w:numPr>
          <w:ilvl w:val="0"/>
          <w:numId w:val="2"/>
        </w:numPr>
        <w:rPr>
          <w:noProof/>
        </w:rPr>
      </w:pPr>
      <w:r>
        <w:rPr>
          <w:noProof/>
        </w:rPr>
        <w:t>Financial forecasts for 2017 – 2018 (EUR million)</w:t>
      </w:r>
    </w:p>
    <w:p>
      <w:pPr>
        <w:pStyle w:val="Text1"/>
        <w:rPr>
          <w:noProof/>
        </w:rPr>
      </w:pPr>
      <w:r>
        <w:rPr>
          <w:noProof/>
        </w:rPr>
        <w:t>The following table provides an update of the commitments, the payments and of the contributions, based on the Commission's latest forecasts.</w:t>
      </w:r>
    </w:p>
    <w:tbl>
      <w:tblPr>
        <w:tblW w:w="8379" w:type="dxa"/>
        <w:tblInd w:w="93" w:type="dxa"/>
        <w:tblLook w:val="04A0" w:firstRow="1" w:lastRow="0" w:firstColumn="1" w:lastColumn="0" w:noHBand="0" w:noVBand="1"/>
      </w:tblPr>
      <w:tblGrid>
        <w:gridCol w:w="1900"/>
        <w:gridCol w:w="2500"/>
        <w:gridCol w:w="1285"/>
        <w:gridCol w:w="1276"/>
        <w:gridCol w:w="1418"/>
      </w:tblGrid>
      <w:tr>
        <w:trPr>
          <w:trHeight w:val="240"/>
        </w:trPr>
        <w:tc>
          <w:tcPr>
            <w:tcW w:w="4400" w:type="dxa"/>
            <w:gridSpan w:val="2"/>
            <w:tcBorders>
              <w:top w:val="single" w:sz="8" w:space="0" w:color="auto"/>
              <w:left w:val="single" w:sz="8"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Actuals 2016 (*)</w:t>
            </w:r>
          </w:p>
        </w:tc>
        <w:tc>
          <w:tcPr>
            <w:tcW w:w="1285" w:type="dxa"/>
            <w:tcBorders>
              <w:top w:val="single" w:sz="8" w:space="0" w:color="auto"/>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276"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418"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240"/>
        </w:trPr>
        <w:tc>
          <w:tcPr>
            <w:tcW w:w="4400" w:type="dxa"/>
            <w:gridSpan w:val="2"/>
            <w:tcBorders>
              <w:top w:val="nil"/>
              <w:left w:val="single" w:sz="8"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Forecasts 2017-2018</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2017</w:t>
            </w:r>
          </w:p>
        </w:tc>
        <w:tc>
          <w:tcPr>
            <w:tcW w:w="1418"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2018</w:t>
            </w:r>
          </w:p>
        </w:tc>
      </w:tr>
      <w:tr>
        <w:trPr>
          <w:trHeight w:val="24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Commitments</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6,919</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5,629</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4,550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878</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855</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880</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Total</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7,797</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6,484</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5,430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Payments</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3,416</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4,064</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679</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540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565</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Total</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4,095</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4,604</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5,165</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Contributions</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3,450</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3,850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4,550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150</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34"/>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250</w:t>
            </w:r>
            <w:r>
              <w:rPr>
                <w:rFonts w:ascii="Times New Roman" w:eastAsia="Times New Roman" w:hAnsi="Times New Roman" w:cs="Times New Roman"/>
                <w:noProof/>
                <w:sz w:val="24"/>
                <w:szCs w:val="24"/>
                <w:vertAlign w:val="superscript"/>
                <w:lang w:eastAsia="en-GB"/>
              </w:rPr>
              <w:t>**</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Total</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3,600</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4,000</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4,800</w:t>
            </w:r>
          </w:p>
        </w:tc>
      </w:tr>
    </w:tbl>
    <w:p>
      <w:pPr>
        <w:pStyle w:val="Text1"/>
        <w:ind w:left="0"/>
        <w:rPr>
          <w:noProof/>
          <w:sz w:val="20"/>
          <w:szCs w:val="20"/>
        </w:rPr>
      </w:pPr>
      <w:r>
        <w:rPr>
          <w:noProof/>
          <w:sz w:val="20"/>
          <w:szCs w:val="20"/>
        </w:rPr>
        <w:t>* Gross amounts, i.e. no decommitments or recoveries/reflows have been deducted. This approach is in line with that used for the General Budget of the European Union.</w:t>
      </w:r>
    </w:p>
    <w:p>
      <w:pPr>
        <w:pStyle w:val="Text1"/>
        <w:ind w:left="0"/>
        <w:rPr>
          <w:noProof/>
          <w:sz w:val="20"/>
          <w:szCs w:val="20"/>
        </w:rPr>
      </w:pPr>
      <w:r>
        <w:rPr>
          <w:noProof/>
          <w:sz w:val="20"/>
          <w:szCs w:val="20"/>
        </w:rPr>
        <w:t>** Ref. EIB explanatory note for information of 17/11/2015, MD no: 151/15 ADD 1 ACP.</w:t>
      </w:r>
    </w:p>
    <w:p>
      <w:pPr>
        <w:rPr>
          <w:noProof/>
        </w:rPr>
      </w:pPr>
      <w:r>
        <w:rPr>
          <w:noProof/>
        </w:rPr>
        <w:br w:type="page"/>
      </w:r>
    </w:p>
    <w:p>
      <w:pPr>
        <w:pStyle w:val="Heading1"/>
        <w:numPr>
          <w:ilvl w:val="0"/>
          <w:numId w:val="2"/>
        </w:numPr>
        <w:rPr>
          <w:noProof/>
        </w:rPr>
      </w:pPr>
      <w:r>
        <w:rPr>
          <w:noProof/>
        </w:rPr>
        <w:t>Non-binding forecasts of contributions for 2019 – 2020 (EUR million)</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900" w:type="dxa"/>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315"/>
        </w:trPr>
        <w:tc>
          <w:tcPr>
            <w:tcW w:w="3800" w:type="dxa"/>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Forecasts 2019-2020 (*)</w:t>
            </w:r>
          </w:p>
        </w:tc>
        <w:tc>
          <w:tcPr>
            <w:tcW w:w="158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2019</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2020</w:t>
            </w:r>
          </w:p>
        </w:tc>
      </w:tr>
      <w:tr>
        <w:trPr>
          <w:trHeight w:val="33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Contributions</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4,500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4,500</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Total</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4,900</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4,900</w:t>
            </w:r>
          </w:p>
        </w:tc>
      </w:tr>
    </w:tbl>
    <w:p>
      <w:pPr>
        <w:pStyle w:val="Text1"/>
        <w:ind w:left="0"/>
        <w:rPr>
          <w:noProof/>
          <w:sz w:val="20"/>
          <w:szCs w:val="20"/>
        </w:rPr>
      </w:pPr>
      <w:r>
        <w:rPr>
          <w:noProof/>
          <w:sz w:val="20"/>
          <w:szCs w:val="20"/>
        </w:rPr>
        <w:t>* Art.21 (2) 11</w:t>
      </w:r>
      <w:r>
        <w:rPr>
          <w:noProof/>
          <w:sz w:val="20"/>
          <w:szCs w:val="20"/>
          <w:vertAlign w:val="superscript"/>
        </w:rPr>
        <w:t>th</w:t>
      </w:r>
      <w:r>
        <w:rPr>
          <w:noProof/>
          <w:sz w:val="20"/>
          <w:szCs w:val="20"/>
        </w:rPr>
        <w:t xml:space="preserve"> EDF Financial Regulation (EU 2015/323): indicative, non-binding forecast based on a statistical approach for the expected annual amounts of contributions for the years n + 3 and n + 4.</w:t>
      </w:r>
    </w:p>
    <w:p>
      <w:pPr>
        <w:pStyle w:val="Heading1"/>
        <w:numPr>
          <w:ilvl w:val="0"/>
          <w:numId w:val="2"/>
        </w:numPr>
        <w:rPr>
          <w:noProof/>
        </w:rPr>
      </w:pPr>
      <w:r>
        <w:rPr>
          <w:noProof/>
        </w:rPr>
        <w:t>Financial implementation for 2016 and forecasts for 2017 and 2018</w:t>
      </w:r>
    </w:p>
    <w:p>
      <w:pPr>
        <w:pStyle w:val="Text1"/>
        <w:ind w:left="851"/>
        <w:rPr>
          <w:noProof/>
          <w:highlight w:val="yellow"/>
        </w:rPr>
      </w:pPr>
      <w:r>
        <w:rPr>
          <w:noProof/>
        </w:rPr>
        <w:t>End-of-year totals for 2016 commitments exceeded the estimates provided in the Communication of October 2016. However, the target for payments was not reached.</w:t>
      </w:r>
    </w:p>
    <w:p>
      <w:pPr>
        <w:pStyle w:val="Text1"/>
        <w:ind w:left="851"/>
        <w:rPr>
          <w:noProof/>
        </w:rPr>
      </w:pPr>
      <w:r>
        <w:rPr>
          <w:noProof/>
        </w:rPr>
        <w:t>The 2016 estimate for commitments provided in the October 2016 Communication (EUR 5,325 million) is exceeded by EUR 1,594 million. One of the reasons for the overrun of the target is that initial forecasts did not include the decision to allocate EUR 500 million of additional credits to the EU Emergency Trust Fund for Africa (EUTF Africa).</w:t>
      </w:r>
      <w:r>
        <w:rPr>
          <w:rStyle w:val="FootnoteReference"/>
          <w:noProof/>
        </w:rPr>
        <w:footnoteReference w:id="7"/>
      </w:r>
      <w:r>
        <w:rPr>
          <w:noProof/>
        </w:rPr>
        <w:t xml:space="preserve"> The current level of absorption by the Commission keeps the 11</w:t>
      </w:r>
      <w:r>
        <w:rPr>
          <w:noProof/>
          <w:vertAlign w:val="superscript"/>
        </w:rPr>
        <w:t>th</w:t>
      </w:r>
      <w:r>
        <w:rPr>
          <w:noProof/>
        </w:rPr>
        <w:t xml:space="preserve"> EDF on track for full commitment by the end of the implementation period.</w:t>
      </w:r>
    </w:p>
    <w:p>
      <w:pPr>
        <w:pStyle w:val="Text1"/>
        <w:ind w:left="851"/>
        <w:rPr>
          <w:noProof/>
        </w:rPr>
      </w:pPr>
      <w:r>
        <w:rPr>
          <w:noProof/>
        </w:rPr>
        <w:t>EDF payments (EUR 3,416 million) failed to reach the 2016 estimate announced in October 2016 (EUR 3,752 million) but are still EUR 216 million above the 2015 year's execution (EUR 3,210 million). The Commission's estimates depended on EUTF Africa payments (EUR 250 million for 2016 with EUR 207.5 million coming from the EDF). However, the EUTF Africa only called EUR 98.5 million EDF funds.</w:t>
      </w:r>
    </w:p>
    <w:p>
      <w:pPr>
        <w:pStyle w:val="Text1"/>
        <w:ind w:left="851"/>
        <w:rPr>
          <w:noProof/>
        </w:rPr>
      </w:pPr>
      <w:r>
        <w:rPr>
          <w:noProof/>
        </w:rPr>
        <w:t>A tight and difficult treasury situation is still expected for 2017-2018. Reasons include the consumption of the EDF "cash buffer" in 2015 (Contributions called = EUR 3,200 million against Payments EUR 3,210 million), disbursements for the EUTF Africa, increased funding of the African Peace Facility for the period 2016-2018 and the proposal for a Regulation on the European Fund for Sustainable Development (EFSD) establishing the EFSD Guarantee Fund.</w:t>
      </w:r>
      <w:r>
        <w:rPr>
          <w:rStyle w:val="FootnoteReference"/>
          <w:noProof/>
        </w:rPr>
        <w:footnoteReference w:id="8"/>
      </w:r>
      <w:r>
        <w:rPr>
          <w:noProof/>
        </w:rPr>
        <w:t>. Once adopted, this proposal envisages a contribution of EUR 400 million from the 11</w:t>
      </w:r>
      <w:r>
        <w:rPr>
          <w:noProof/>
          <w:vertAlign w:val="superscript"/>
        </w:rPr>
        <w:t>th</w:t>
      </w:r>
      <w:r>
        <w:rPr>
          <w:noProof/>
        </w:rPr>
        <w:t xml:space="preserve"> EDF of which EUR 150 million to be paid in 2017.</w:t>
      </w:r>
    </w:p>
    <w:p>
      <w:pPr>
        <w:pStyle w:val="Text1"/>
        <w:ind w:left="0"/>
        <w:rPr>
          <w:noProof/>
        </w:rPr>
      </w:pPr>
      <w:r>
        <w:rPr>
          <w:noProof/>
        </w:rPr>
        <w:t>Attachments 1 and 2 show respectively for commitments and payments the actuals of 2016 and the forecasts for the 2017-2018, compared to the previous communicated forecasts.</w:t>
      </w:r>
    </w:p>
    <w:p>
      <w:pPr>
        <w:pStyle w:val="Text1"/>
        <w:ind w:left="0"/>
        <w:rPr>
          <w:noProof/>
        </w:rPr>
      </w:pPr>
      <w:r>
        <w:rPr>
          <w:noProof/>
        </w:rPr>
        <w:t>Attachment 3 shows the actual financial situation of 2016 and the forecasts for 2017-2020, compared to the previous communicated forecasts.</w:t>
      </w:r>
    </w:p>
    <w:p>
      <w:pPr>
        <w:pStyle w:val="Text1"/>
        <w:ind w:left="0"/>
        <w:rPr>
          <w:noProof/>
        </w:rPr>
      </w:pPr>
      <w:r>
        <w:rPr>
          <w:noProof/>
        </w:rPr>
        <w:t>Attachments 4 and 5 show respectively the Member States' contributions by EDF for 2017 by instalment and for the years 2017-2020 by total.</w:t>
      </w:r>
    </w:p>
    <w:p>
      <w:pPr>
        <w:pStyle w:val="Text1"/>
        <w:ind w:left="0"/>
        <w:rPr>
          <w:noProof/>
        </w:rPr>
      </w:pPr>
      <w:r>
        <w:rPr>
          <w:noProof/>
        </w:rPr>
        <w:t>Attachment 6 and 7 show respectively the decommitted funds from previous EDFs and the impact of the reduction on contributions of each Member State.</w:t>
      </w:r>
    </w:p>
    <w:p>
      <w:pPr>
        <w:pStyle w:val="Text1"/>
        <w:ind w:left="0"/>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Heading2"/>
        <w:numPr>
          <w:ilvl w:val="1"/>
          <w:numId w:val="1"/>
        </w:numPr>
        <w:rPr>
          <w:noProof/>
        </w:rPr>
      </w:pPr>
      <w:r>
        <w:rPr>
          <w:noProof/>
        </w:rPr>
        <w:t>Attachment 1: actual commitments</w:t>
      </w:r>
      <w:r>
        <w:rPr>
          <w:noProof/>
          <w:vertAlign w:val="superscript"/>
        </w:rPr>
        <w:footnoteReference w:id="9"/>
      </w:r>
      <w:r>
        <w:rPr>
          <w:noProof/>
        </w:rPr>
        <w:t xml:space="preserve"> for 2016, and forecasts for 2017 and 2018 (EUR million)</w:t>
      </w:r>
    </w:p>
    <w:tbl>
      <w:tblPr>
        <w:tblW w:w="12170" w:type="dxa"/>
        <w:tblInd w:w="108" w:type="dxa"/>
        <w:tblLook w:val="04A0" w:firstRow="1" w:lastRow="0" w:firstColumn="1" w:lastColumn="0" w:noHBand="0" w:noVBand="1"/>
      </w:tblPr>
      <w:tblGrid>
        <w:gridCol w:w="2760"/>
        <w:gridCol w:w="1594"/>
        <w:gridCol w:w="1440"/>
        <w:gridCol w:w="1594"/>
        <w:gridCol w:w="1594"/>
        <w:gridCol w:w="1594"/>
        <w:gridCol w:w="1594"/>
      </w:tblGrid>
      <w:tr>
        <w:trPr>
          <w:trHeight w:val="255"/>
        </w:trPr>
        <w:tc>
          <w:tcPr>
            <w:tcW w:w="27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30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tc>
        <w:tc>
          <w:tcPr>
            <w:tcW w:w="3188"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c>
          <w:tcPr>
            <w:tcW w:w="3188"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r>
      <w:tr>
        <w:trPr>
          <w:trHeight w:val="510"/>
        </w:trPr>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59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2016</w:t>
            </w:r>
          </w:p>
        </w:tc>
        <w:tc>
          <w:tcPr>
            <w:tcW w:w="144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Actuals 2016</w:t>
            </w:r>
          </w:p>
        </w:tc>
        <w:tc>
          <w:tcPr>
            <w:tcW w:w="15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2016</w:t>
            </w:r>
          </w:p>
        </w:tc>
        <w:tc>
          <w:tcPr>
            <w:tcW w:w="1594"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c>
          <w:tcPr>
            <w:tcW w:w="15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2016</w:t>
            </w:r>
          </w:p>
        </w:tc>
        <w:tc>
          <w:tcPr>
            <w:tcW w:w="1594"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r>
      <w:tr>
        <w:trPr>
          <w:trHeight w:val="255"/>
        </w:trPr>
        <w:tc>
          <w:tcPr>
            <w:tcW w:w="276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594"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Africa</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810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892 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703 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Africa</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1,776</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2,729 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1,943 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Central Africa</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1,139</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1,179 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Caribbean</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213</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131 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Southern Africa</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560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682 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469 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hAnsi="Times New Roman" w:cs="Times New Roman"/>
                <w:b/>
                <w:bCs/>
                <w:noProof/>
                <w:sz w:val="20"/>
                <w:szCs w:val="20"/>
              </w:rPr>
              <w:t>4,525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5,886</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4,646</w:t>
            </w: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Water and Energy Facility</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118 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Trust Fund (*)</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 (**)</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594"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800</w:t>
            </w:r>
          </w:p>
        </w:tc>
        <w:tc>
          <w:tcPr>
            <w:tcW w:w="14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1,032</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984</w:t>
            </w:r>
            <w:r>
              <w:rPr>
                <w:rFonts w:ascii="Times New Roman" w:eastAsia="Times New Roman" w:hAnsi="Times New Roman" w:cs="Times New Roman"/>
                <w:noProof/>
                <w:sz w:val="20"/>
                <w:szCs w:val="20"/>
                <w:lang w:eastAsia="en-GB"/>
              </w:rPr>
              <w:t> </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5,325</w:t>
            </w:r>
          </w:p>
        </w:tc>
        <w:tc>
          <w:tcPr>
            <w:tcW w:w="14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6,919</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4,663</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5,629</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4,550</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4,550</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594"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793</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800</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775</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825</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800</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594"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4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855</w:t>
            </w:r>
          </w:p>
        </w:tc>
        <w:tc>
          <w:tcPr>
            <w:tcW w:w="14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878</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880</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855</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905</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880</w:t>
            </w:r>
          </w:p>
        </w:tc>
      </w:tr>
      <w:tr>
        <w:trPr>
          <w:trHeight w:val="255"/>
        </w:trPr>
        <w:tc>
          <w:tcPr>
            <w:tcW w:w="2760" w:type="dxa"/>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EC+EIB</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6,180</w:t>
            </w:r>
          </w:p>
        </w:tc>
        <w:tc>
          <w:tcPr>
            <w:tcW w:w="14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7,797</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5,543</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6,484</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5,455</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5,430</w:t>
            </w:r>
          </w:p>
        </w:tc>
      </w:tr>
    </w:tbl>
    <w:p>
      <w:pPr>
        <w:pStyle w:val="Text1"/>
        <w:spacing w:after="0"/>
        <w:ind w:left="0"/>
        <w:jc w:val="left"/>
        <w:rPr>
          <w:noProof/>
          <w:sz w:val="20"/>
          <w:szCs w:val="20"/>
        </w:rPr>
      </w:pPr>
      <w:r>
        <w:rPr>
          <w:noProof/>
          <w:sz w:val="20"/>
          <w:szCs w:val="20"/>
        </w:rPr>
        <w:t xml:space="preserve">Gross commitments, i.e. without de-commitments being deducted. </w:t>
      </w:r>
    </w:p>
    <w:p>
      <w:pPr>
        <w:pStyle w:val="Text1"/>
        <w:spacing w:before="0"/>
        <w:ind w:left="0"/>
        <w:jc w:val="left"/>
        <w:rPr>
          <w:noProof/>
          <w:sz w:val="20"/>
          <w:szCs w:val="20"/>
        </w:rPr>
      </w:pPr>
      <w:r>
        <w:rPr>
          <w:noProof/>
          <w:sz w:val="20"/>
          <w:szCs w:val="20"/>
        </w:rPr>
        <w:t>* Emergency EU Trust Fund for stability and addressing root causes of illegal migration in Africa and the Bêkou EU Trust Fund.</w:t>
      </w:r>
      <w:r>
        <w:rPr>
          <w:noProof/>
          <w:sz w:val="20"/>
          <w:szCs w:val="20"/>
        </w:rPr>
        <w:br/>
        <w:t>** Includes support expenditures (e.g. joint institutions, ACP Secretariat), DG ECHO, other DG's and Agencies.</w:t>
      </w:r>
      <w:r>
        <w:rPr>
          <w:noProof/>
          <w:sz w:val="20"/>
          <w:szCs w:val="20"/>
        </w:rPr>
        <w:br/>
        <w:t>*** Including interest rate subsidies under previous EDFs.</w:t>
      </w:r>
    </w:p>
    <w:p>
      <w:pPr>
        <w:rPr>
          <w:noProof/>
        </w:rPr>
      </w:pPr>
      <w:r>
        <w:rPr>
          <w:noProof/>
        </w:rPr>
        <w:br w:type="page"/>
      </w:r>
    </w:p>
    <w:p>
      <w:pPr>
        <w:pStyle w:val="Heading2"/>
        <w:numPr>
          <w:ilvl w:val="1"/>
          <w:numId w:val="1"/>
        </w:numPr>
        <w:rPr>
          <w:noProof/>
        </w:rPr>
      </w:pPr>
      <w:r>
        <w:rPr>
          <w:noProof/>
        </w:rPr>
        <w:t>Attachment 2: actual payments</w:t>
      </w:r>
      <w:r>
        <w:rPr>
          <w:noProof/>
          <w:vertAlign w:val="superscript"/>
        </w:rPr>
        <w:footnoteReference w:id="10"/>
      </w:r>
      <w:r>
        <w:rPr>
          <w:noProof/>
          <w:vertAlign w:val="superscript"/>
        </w:rPr>
        <w:t xml:space="preserve"> </w:t>
      </w:r>
      <w:r>
        <w:rPr>
          <w:noProof/>
        </w:rPr>
        <w:t>for 2016, and forecasts for 2017 and 2018 (EUR million)</w:t>
      </w:r>
    </w:p>
    <w:tbl>
      <w:tblPr>
        <w:tblW w:w="12360" w:type="dxa"/>
        <w:tblInd w:w="108" w:type="dxa"/>
        <w:tblLook w:val="04A0" w:firstRow="1" w:lastRow="0" w:firstColumn="1" w:lastColumn="0" w:noHBand="0" w:noVBand="1"/>
      </w:tblPr>
      <w:tblGrid>
        <w:gridCol w:w="2760"/>
        <w:gridCol w:w="1600"/>
        <w:gridCol w:w="1600"/>
        <w:gridCol w:w="1600"/>
        <w:gridCol w:w="1600"/>
        <w:gridCol w:w="1600"/>
        <w:gridCol w:w="1600"/>
      </w:tblGrid>
      <w:tr>
        <w:trPr>
          <w:trHeight w:val="255"/>
        </w:trPr>
        <w:tc>
          <w:tcPr>
            <w:tcW w:w="27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r>
      <w:tr>
        <w:trPr>
          <w:trHeight w:val="510"/>
        </w:trPr>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2016</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Actuals 2016</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2016</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2016</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r>
      <w:tr>
        <w:trPr>
          <w:trHeight w:val="255"/>
        </w:trPr>
        <w:tc>
          <w:tcPr>
            <w:tcW w:w="276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618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605 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500 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Central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513</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477 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674 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Caribbean</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199 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66 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Southern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442</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437 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334 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2,730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2,666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3,322</w:t>
            </w: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Other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Water and Energy Facility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92 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Trust Fund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1,022</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749</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742</w:t>
            </w:r>
            <w:r>
              <w:rPr>
                <w:rFonts w:ascii="Times New Roman" w:eastAsia="Times New Roman" w:hAnsi="Times New Roman" w:cs="Times New Roman"/>
                <w:noProof/>
                <w:sz w:val="20"/>
                <w:szCs w:val="20"/>
                <w:lang w:eastAsia="en-GB"/>
              </w:rPr>
              <w:t> </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3,752</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3,416</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3,900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4,064</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4,400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4,600</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662</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679</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470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540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565</w:t>
            </w:r>
          </w:p>
        </w:tc>
      </w:tr>
      <w:tr>
        <w:trPr>
          <w:trHeight w:val="510"/>
        </w:trPr>
        <w:tc>
          <w:tcPr>
            <w:tcW w:w="2760" w:type="dxa"/>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 +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4,202</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4,095</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4,370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4,604</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4,900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5,165</w:t>
            </w:r>
          </w:p>
        </w:tc>
      </w:tr>
    </w:tbl>
    <w:p>
      <w:pPr>
        <w:spacing w:before="240" w:after="0"/>
        <w:rPr>
          <w:rFonts w:ascii="Times New Roman" w:hAnsi="Times New Roman" w:cs="Times New Roman"/>
          <w:noProof/>
          <w:sz w:val="20"/>
          <w:szCs w:val="20"/>
        </w:rPr>
      </w:pPr>
      <w:r>
        <w:rPr>
          <w:rFonts w:ascii="Times New Roman" w:hAnsi="Times New Roman" w:cs="Times New Roman"/>
          <w:noProof/>
          <w:sz w:val="20"/>
          <w:szCs w:val="20"/>
        </w:rPr>
        <w:t>* Emergency EU Trust Fund for stability and addressing root causes of illegal migration in Africa and the Bêkou EU Trust Fund.</w:t>
      </w:r>
      <w:r>
        <w:rPr>
          <w:rFonts w:ascii="Times New Roman" w:hAnsi="Times New Roman" w:cs="Times New Roman"/>
          <w:noProof/>
          <w:sz w:val="20"/>
          <w:szCs w:val="20"/>
        </w:rPr>
        <w:br/>
        <w:t>** Includes support expenditures (e.g. joint institutions, ACP Secretariat), DG ECHO, other DG's and Agencies.</w:t>
      </w:r>
      <w:r>
        <w:rPr>
          <w:rFonts w:ascii="Times New Roman" w:hAnsi="Times New Roman" w:cs="Times New Roman"/>
          <w:noProof/>
          <w:sz w:val="20"/>
          <w:szCs w:val="20"/>
        </w:rPr>
        <w:br/>
        <w:t>*** Including interest rate subsidies under previous EDFs.</w:t>
      </w:r>
    </w:p>
    <w:p>
      <w:pPr>
        <w:rPr>
          <w:noProof/>
        </w:rPr>
      </w:pPr>
      <w:r>
        <w:rPr>
          <w:noProof/>
        </w:rPr>
        <w:br w:type="page"/>
      </w:r>
    </w:p>
    <w:p>
      <w:pPr>
        <w:pStyle w:val="Heading2"/>
        <w:numPr>
          <w:ilvl w:val="1"/>
          <w:numId w:val="1"/>
        </w:numPr>
        <w:rPr>
          <w:noProof/>
        </w:rPr>
      </w:pPr>
      <w:r>
        <w:rPr>
          <w:noProof/>
        </w:rPr>
        <w:t>Attachment 3: 2016 Financial situation, forecasts for 2017 and 2018 (EUR million) and non-binding forecasts for 2019-2020:</w:t>
      </w:r>
    </w:p>
    <w:tbl>
      <w:tblPr>
        <w:tblW w:w="12018" w:type="dxa"/>
        <w:tblInd w:w="108" w:type="dxa"/>
        <w:tblLook w:val="04A0" w:firstRow="1" w:lastRow="0" w:firstColumn="1" w:lastColumn="0" w:noHBand="0" w:noVBand="1"/>
      </w:tblPr>
      <w:tblGrid>
        <w:gridCol w:w="661"/>
        <w:gridCol w:w="4000"/>
        <w:gridCol w:w="1417"/>
        <w:gridCol w:w="1120"/>
        <w:gridCol w:w="1120"/>
        <w:gridCol w:w="1460"/>
        <w:gridCol w:w="1120"/>
        <w:gridCol w:w="1120"/>
      </w:tblGrid>
      <w:tr>
        <w:trPr>
          <w:trHeight w:val="222"/>
        </w:trPr>
        <w:tc>
          <w:tcPr>
            <w:tcW w:w="661"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365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 xml:space="preserve">Communication October 2016 </w:t>
            </w:r>
            <w:r>
              <w:rPr>
                <w:rFonts w:ascii="Arial" w:eastAsia="Times New Roman" w:hAnsi="Arial" w:cs="Arial"/>
                <w:b/>
                <w:bCs/>
                <w:noProof/>
                <w:sz w:val="20"/>
                <w:szCs w:val="20"/>
                <w:vertAlign w:val="superscript"/>
                <w:lang w:eastAsia="en-GB"/>
              </w:rPr>
              <w:t>1</w:t>
            </w:r>
          </w:p>
        </w:tc>
        <w:tc>
          <w:tcPr>
            <w:tcW w:w="3700" w:type="dxa"/>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 xml:space="preserve">Communication June 2017 </w:t>
            </w:r>
            <w:r>
              <w:rPr>
                <w:rFonts w:ascii="Arial" w:eastAsia="Times New Roman" w:hAnsi="Arial" w:cs="Arial"/>
                <w:b/>
                <w:bCs/>
                <w:noProof/>
                <w:sz w:val="20"/>
                <w:szCs w:val="20"/>
                <w:vertAlign w:val="superscript"/>
                <w:lang w:eastAsia="en-GB"/>
              </w:rPr>
              <w:t>1</w:t>
            </w:r>
          </w:p>
        </w:tc>
      </w:tr>
      <w:tr>
        <w:trPr>
          <w:trHeight w:val="222"/>
        </w:trPr>
        <w:tc>
          <w:tcPr>
            <w:tcW w:w="661"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4000"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Commission</w:t>
            </w:r>
          </w:p>
        </w:tc>
        <w:tc>
          <w:tcPr>
            <w:tcW w:w="11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EIB</w:t>
            </w:r>
            <w:r>
              <w:rPr>
                <w:rFonts w:ascii="Arial" w:eastAsia="Times New Roman" w:hAnsi="Arial" w:cs="Arial"/>
                <w:b/>
                <w:bCs/>
                <w:noProof/>
                <w:sz w:val="20"/>
                <w:szCs w:val="20"/>
                <w:vertAlign w:val="superscript"/>
                <w:lang w:eastAsia="en-GB"/>
              </w:rPr>
              <w:t xml:space="preserve"> 8</w:t>
            </w:r>
          </w:p>
        </w:tc>
        <w:tc>
          <w:tcPr>
            <w:tcW w:w="1120" w:type="dxa"/>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TOTAL</w:t>
            </w:r>
          </w:p>
        </w:tc>
        <w:tc>
          <w:tcPr>
            <w:tcW w:w="14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Commission</w:t>
            </w:r>
          </w:p>
        </w:tc>
        <w:tc>
          <w:tcPr>
            <w:tcW w:w="11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EIB</w:t>
            </w:r>
            <w:r>
              <w:rPr>
                <w:rFonts w:ascii="Arial" w:eastAsia="Times New Roman" w:hAnsi="Arial" w:cs="Arial"/>
                <w:b/>
                <w:bCs/>
                <w:noProof/>
                <w:sz w:val="20"/>
                <w:szCs w:val="20"/>
                <w:vertAlign w:val="superscript"/>
                <w:lang w:eastAsia="en-GB"/>
              </w:rPr>
              <w:t xml:space="preserve"> 8</w:t>
            </w:r>
          </w:p>
        </w:tc>
        <w:tc>
          <w:tcPr>
            <w:tcW w:w="1120" w:type="dxa"/>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TOTAL</w:t>
            </w:r>
          </w:p>
        </w:tc>
      </w:tr>
      <w:tr>
        <w:trPr>
          <w:trHeight w:val="222"/>
        </w:trPr>
        <w:tc>
          <w:tcPr>
            <w:tcW w:w="661" w:type="dxa"/>
            <w:tcBorders>
              <w:top w:val="nil"/>
              <w:left w:val="nil"/>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 </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Balance 31/12/2015</w:t>
            </w:r>
            <w:r>
              <w:rPr>
                <w:rFonts w:ascii="Arial" w:eastAsia="Times New Roman" w:hAnsi="Arial" w:cs="Arial"/>
                <w:b/>
                <w:bCs/>
                <w:noProof/>
                <w:sz w:val="20"/>
                <w:szCs w:val="20"/>
                <w:vertAlign w:val="superscript"/>
                <w:lang w:eastAsia="en-GB"/>
              </w:rPr>
              <w:t xml:space="preserve"> 2</w:t>
            </w:r>
          </w:p>
        </w:tc>
        <w:tc>
          <w:tcPr>
            <w:tcW w:w="141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508</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730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508</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730</w:t>
            </w:r>
          </w:p>
        </w:tc>
      </w:tr>
      <w:tr>
        <w:trPr>
          <w:trHeight w:val="222"/>
        </w:trPr>
        <w:tc>
          <w:tcPr>
            <w:tcW w:w="661" w:type="dxa"/>
            <w:vMerge w:val="restart"/>
            <w:tcBorders>
              <w:top w:val="nil"/>
              <w:left w:val="single" w:sz="4" w:space="0" w:color="auto"/>
              <w:bottom w:val="single" w:sz="4" w:space="0" w:color="000000"/>
              <w:right w:val="nil"/>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2016</w:t>
            </w:r>
          </w:p>
        </w:tc>
        <w:tc>
          <w:tcPr>
            <w:tcW w:w="400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lang w:eastAsia="en-GB"/>
              </w:rPr>
            </w:pPr>
            <w:r>
              <w:rPr>
                <w:rFonts w:ascii="Arial" w:eastAsia="Times New Roman" w:hAnsi="Arial" w:cs="Arial"/>
                <w:noProof/>
                <w:color w:val="FF0000"/>
                <w:sz w:val="20"/>
                <w:szCs w:val="20"/>
                <w:lang w:eastAsia="en-GB"/>
              </w:rPr>
              <w:t>Member States contributions for 2016:</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3,600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lang w:eastAsia="en-GB"/>
              </w:rPr>
            </w:pPr>
            <w:r>
              <w:rPr>
                <w:rFonts w:ascii="Arial" w:eastAsia="Times New Roman" w:hAnsi="Arial" w:cs="Arial"/>
                <w:i/>
                <w:iCs/>
                <w:noProof/>
                <w:sz w:val="20"/>
                <w:szCs w:val="20"/>
                <w:lang w:eastAsia="en-GB"/>
              </w:rPr>
              <w:t xml:space="preserve">     1st instalment</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1,750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lang w:eastAsia="en-GB"/>
              </w:rPr>
            </w:pPr>
            <w:r>
              <w:rPr>
                <w:rFonts w:ascii="Arial" w:eastAsia="Times New Roman" w:hAnsi="Arial" w:cs="Arial"/>
                <w:i/>
                <w:iCs/>
                <w:noProof/>
                <w:sz w:val="20"/>
                <w:szCs w:val="20"/>
                <w:lang w:eastAsia="en-GB"/>
              </w:rPr>
              <w:t xml:space="preserve">     2nd instalment</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1,100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lang w:eastAsia="en-GB"/>
              </w:rPr>
            </w:pPr>
            <w:r>
              <w:rPr>
                <w:rFonts w:ascii="Arial" w:eastAsia="Times New Roman" w:hAnsi="Arial" w:cs="Arial"/>
                <w:i/>
                <w:iCs/>
                <w:noProof/>
                <w:sz w:val="20"/>
                <w:szCs w:val="20"/>
                <w:lang w:eastAsia="en-GB"/>
              </w:rPr>
              <w:t xml:space="preserve">     3rd instalment</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750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Reflows</w:t>
            </w:r>
            <w:r>
              <w:rPr>
                <w:rFonts w:ascii="Arial" w:eastAsia="Times New Roman" w:hAnsi="Arial" w:cs="Arial"/>
                <w:noProof/>
                <w:sz w:val="20"/>
                <w:szCs w:val="20"/>
                <w:vertAlign w:val="superscript"/>
                <w:lang w:eastAsia="en-GB"/>
              </w:rPr>
              <w:t xml:space="preserve"> 3</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209</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209</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347</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Contributions 2017 received in 2016</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261</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261</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Contributions 2016 received in 2015</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-307</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-307</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Recoveries, interest and other income</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65</w:t>
            </w:r>
          </w:p>
        </w:tc>
        <w:tc>
          <w:tcPr>
            <w:tcW w:w="1120" w:type="dxa"/>
            <w:tcBorders>
              <w:top w:val="nil"/>
              <w:left w:val="nil"/>
              <w:bottom w:val="nil"/>
              <w:right w:val="single" w:sz="4" w:space="0" w:color="auto"/>
            </w:tcBorders>
            <w:shd w:val="clear" w:color="000000" w:fill="FFFFFF"/>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65</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Total payments</w:t>
            </w:r>
            <w:r>
              <w:rPr>
                <w:rFonts w:ascii="Arial" w:eastAsia="Times New Roman" w:hAnsi="Arial" w:cs="Arial"/>
                <w:noProof/>
                <w:sz w:val="20"/>
                <w:szCs w:val="20"/>
                <w:vertAlign w:val="superscript"/>
                <w:lang w:eastAsia="en-GB"/>
              </w:rPr>
              <w:t xml:space="preserve"> 4</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-3,752</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-4,202</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-3,416</w:t>
            </w:r>
          </w:p>
        </w:tc>
        <w:tc>
          <w:tcPr>
            <w:tcW w:w="1120" w:type="dxa"/>
            <w:tcBorders>
              <w:top w:val="nil"/>
              <w:left w:val="nil"/>
              <w:bottom w:val="nil"/>
              <w:right w:val="single" w:sz="4" w:space="0" w:color="auto"/>
            </w:tcBorders>
            <w:shd w:val="clear" w:color="000000" w:fill="FFFFFF"/>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-679</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-4,095</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Balance 31/12/2016</w:t>
            </w:r>
            <w:r>
              <w:rPr>
                <w:rFonts w:ascii="Arial" w:eastAsia="Times New Roman" w:hAnsi="Arial" w:cs="Arial"/>
                <w:b/>
                <w:bCs/>
                <w:noProof/>
                <w:sz w:val="20"/>
                <w:szCs w:val="20"/>
                <w:vertAlign w:val="superscript"/>
                <w:lang w:eastAsia="en-GB"/>
              </w:rPr>
              <w:t xml:space="preserve"> 2,7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131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561</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601</w:t>
            </w:r>
          </w:p>
        </w:tc>
      </w:tr>
      <w:tr>
        <w:trPr>
          <w:trHeight w:val="222"/>
        </w:trPr>
        <w:tc>
          <w:tcPr>
            <w:tcW w:w="66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2017</w:t>
            </w: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lang w:eastAsia="en-GB"/>
              </w:rPr>
            </w:pPr>
            <w:r>
              <w:rPr>
                <w:rFonts w:ascii="Arial" w:eastAsia="Times New Roman" w:hAnsi="Arial" w:cs="Arial"/>
                <w:noProof/>
                <w:color w:val="FF0000"/>
                <w:sz w:val="20"/>
                <w:szCs w:val="20"/>
                <w:lang w:eastAsia="en-GB"/>
              </w:rPr>
              <w:t>Member States contributions for 2017:</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4,000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lang w:eastAsia="en-GB"/>
              </w:rPr>
            </w:pPr>
            <w:r>
              <w:rPr>
                <w:rFonts w:ascii="Arial" w:eastAsia="Times New Roman" w:hAnsi="Arial" w:cs="Arial"/>
                <w:i/>
                <w:iCs/>
                <w:noProof/>
                <w:sz w:val="20"/>
                <w:szCs w:val="20"/>
                <w:lang w:eastAsia="en-GB"/>
              </w:rPr>
              <w:t xml:space="preserve">     1st instalment</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1,800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lang w:eastAsia="en-GB"/>
              </w:rPr>
            </w:pPr>
            <w:r>
              <w:rPr>
                <w:rFonts w:ascii="Arial" w:eastAsia="Times New Roman" w:hAnsi="Arial" w:cs="Arial"/>
                <w:i/>
                <w:iCs/>
                <w:noProof/>
                <w:sz w:val="20"/>
                <w:szCs w:val="20"/>
                <w:lang w:eastAsia="en-GB"/>
              </w:rPr>
              <w:t xml:space="preserve">     2nd instalment</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lang w:eastAsia="en-GB"/>
              </w:rPr>
            </w:pPr>
            <w:r>
              <w:rPr>
                <w:rFonts w:ascii="Arial" w:eastAsia="Times New Roman" w:hAnsi="Arial" w:cs="Arial"/>
                <w:i/>
                <w:iCs/>
                <w:noProof/>
                <w:sz w:val="20"/>
                <w:szCs w:val="20"/>
                <w:lang w:eastAsia="en-GB"/>
              </w:rPr>
              <w:t xml:space="preserve">     3rd instalment</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850</w:t>
            </w:r>
          </w:p>
        </w:tc>
      </w:tr>
      <w:tr>
        <w:trPr>
          <w:trHeight w:val="28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Reflows</w:t>
            </w:r>
            <w:r>
              <w:rPr>
                <w:rFonts w:ascii="Arial" w:eastAsia="Times New Roman" w:hAnsi="Arial" w:cs="Arial"/>
                <w:noProof/>
                <w:sz w:val="20"/>
                <w:szCs w:val="20"/>
                <w:vertAlign w:val="superscript"/>
                <w:lang w:eastAsia="en-GB"/>
              </w:rPr>
              <w:t xml:space="preserve"> 3</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Contributions 2017 received in 2016</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-261</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-261</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Recoveries, interest and other income</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Total payments</w:t>
            </w:r>
            <w:r>
              <w:rPr>
                <w:rFonts w:ascii="Arial" w:eastAsia="Times New Roman" w:hAnsi="Arial" w:cs="Arial"/>
                <w:noProof/>
                <w:sz w:val="20"/>
                <w:szCs w:val="20"/>
                <w:vertAlign w:val="superscript"/>
                <w:lang w:eastAsia="en-GB"/>
              </w:rPr>
              <w:t xml:space="preserve"> 4</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-3,900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-4,370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-4,064</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-540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-4,604</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Balance at 31/12/2017</w:t>
            </w:r>
            <w:r>
              <w:rPr>
                <w:rFonts w:ascii="Arial" w:eastAsia="Times New Roman" w:hAnsi="Arial" w:cs="Arial"/>
                <w:b/>
                <w:bCs/>
                <w:noProof/>
                <w:sz w:val="20"/>
                <w:szCs w:val="20"/>
                <w:vertAlign w:val="superscript"/>
                <w:lang w:eastAsia="en-GB"/>
              </w:rPr>
              <w:t xml:space="preserve"> 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136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136</w:t>
            </w:r>
          </w:p>
        </w:tc>
      </w:tr>
      <w:tr>
        <w:trPr>
          <w:trHeight w:val="222"/>
        </w:trPr>
        <w:tc>
          <w:tcPr>
            <w:tcW w:w="66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2018</w:t>
            </w: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lang w:eastAsia="en-GB"/>
              </w:rPr>
            </w:pPr>
            <w:r>
              <w:rPr>
                <w:rFonts w:ascii="Arial" w:eastAsia="Times New Roman" w:hAnsi="Arial" w:cs="Arial"/>
                <w:noProof/>
                <w:color w:val="FF0000"/>
                <w:sz w:val="20"/>
                <w:szCs w:val="20"/>
                <w:lang w:eastAsia="en-GB"/>
              </w:rPr>
              <w:t>Member States contributions for 2018</w:t>
            </w:r>
            <w:r>
              <w:rPr>
                <w:rFonts w:ascii="Arial" w:eastAsia="Times New Roman" w:hAnsi="Arial" w:cs="Arial"/>
                <w:noProof/>
                <w:color w:val="FF0000"/>
                <w:sz w:val="20"/>
                <w:szCs w:val="20"/>
                <w:vertAlign w:val="superscript"/>
                <w:lang w:eastAsia="en-GB"/>
              </w:rPr>
              <w:t xml:space="preserve"> 8</w:t>
            </w:r>
            <w:r>
              <w:rPr>
                <w:rFonts w:ascii="Arial" w:eastAsia="Times New Roman" w:hAnsi="Arial" w:cs="Arial"/>
                <w:noProof/>
                <w:color w:val="FF0000"/>
                <w:sz w:val="20"/>
                <w:szCs w:val="20"/>
                <w:lang w:eastAsia="en-GB"/>
              </w:rPr>
              <w:t>:</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4,550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4,550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4,800</w:t>
            </w:r>
          </w:p>
        </w:tc>
      </w:tr>
      <w:tr>
        <w:trPr>
          <w:trHeight w:val="289"/>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Reflows</w:t>
            </w:r>
            <w:r>
              <w:rPr>
                <w:rFonts w:ascii="Arial" w:eastAsia="Times New Roman" w:hAnsi="Arial" w:cs="Arial"/>
                <w:noProof/>
                <w:sz w:val="20"/>
                <w:szCs w:val="20"/>
                <w:vertAlign w:val="superscript"/>
                <w:lang w:eastAsia="en-GB"/>
              </w:rPr>
              <w:t xml:space="preserve"> 3</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Recoveries, interest and other</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Total payments</w:t>
            </w:r>
            <w:r>
              <w:rPr>
                <w:rFonts w:ascii="Arial" w:eastAsia="Times New Roman" w:hAnsi="Arial" w:cs="Arial"/>
                <w:noProof/>
                <w:sz w:val="20"/>
                <w:szCs w:val="20"/>
                <w:vertAlign w:val="superscript"/>
                <w:lang w:eastAsia="en-GB"/>
              </w:rPr>
              <w:t xml:space="preserve"> 4</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-4,400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-4,900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-565</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-5,165</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lang w:eastAsia="en-GB"/>
              </w:rPr>
            </w:pPr>
          </w:p>
        </w:tc>
        <w:tc>
          <w:tcPr>
            <w:tcW w:w="400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Balance at 31/12/2018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209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161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370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35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201</w:t>
            </w:r>
          </w:p>
        </w:tc>
      </w:tr>
      <w:tr>
        <w:trPr>
          <w:trHeight w:val="22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2019</w:t>
            </w:r>
          </w:p>
        </w:tc>
        <w:tc>
          <w:tcPr>
            <w:tcW w:w="4000"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20"/>
                <w:szCs w:val="20"/>
                <w:lang w:eastAsia="en-GB"/>
              </w:rPr>
            </w:pPr>
            <w:r>
              <w:rPr>
                <w:rFonts w:ascii="Arial" w:eastAsia="Times New Roman" w:hAnsi="Arial" w:cs="Arial"/>
                <w:noProof/>
                <w:color w:val="FF0000"/>
                <w:sz w:val="20"/>
                <w:szCs w:val="20"/>
                <w:lang w:eastAsia="en-GB"/>
              </w:rPr>
              <w:t>Member States contributions for 2019</w:t>
            </w:r>
            <w:r>
              <w:rPr>
                <w:rFonts w:ascii="Arial" w:eastAsia="Times New Roman" w:hAnsi="Arial" w:cs="Arial"/>
                <w:noProof/>
                <w:color w:val="FF0000"/>
                <w:sz w:val="20"/>
                <w:szCs w:val="20"/>
                <w:vertAlign w:val="superscript"/>
                <w:lang w:eastAsia="en-GB"/>
              </w:rPr>
              <w:t xml:space="preserve"> 6</w:t>
            </w:r>
          </w:p>
        </w:tc>
        <w:tc>
          <w:tcPr>
            <w:tcW w:w="141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4,800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4,900</w:t>
            </w:r>
          </w:p>
        </w:tc>
      </w:tr>
      <w:tr>
        <w:trPr>
          <w:trHeight w:val="22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2020</w:t>
            </w:r>
          </w:p>
        </w:tc>
        <w:tc>
          <w:tcPr>
            <w:tcW w:w="4000"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20"/>
                <w:szCs w:val="20"/>
                <w:lang w:eastAsia="en-GB"/>
              </w:rPr>
            </w:pPr>
            <w:r>
              <w:rPr>
                <w:rFonts w:ascii="Arial" w:eastAsia="Times New Roman" w:hAnsi="Arial" w:cs="Arial"/>
                <w:noProof/>
                <w:color w:val="FF0000"/>
                <w:sz w:val="20"/>
                <w:szCs w:val="20"/>
                <w:lang w:eastAsia="en-GB"/>
              </w:rPr>
              <w:t>Member States contributions for 2020</w:t>
            </w:r>
            <w:r>
              <w:rPr>
                <w:rFonts w:ascii="Arial" w:eastAsia="Times New Roman" w:hAnsi="Arial" w:cs="Arial"/>
                <w:noProof/>
                <w:color w:val="FF0000"/>
                <w:sz w:val="20"/>
                <w:szCs w:val="20"/>
                <w:vertAlign w:val="superscript"/>
                <w:lang w:eastAsia="en-GB"/>
              </w:rPr>
              <w:t xml:space="preserve"> 6</w:t>
            </w:r>
          </w:p>
        </w:tc>
        <w:tc>
          <w:tcPr>
            <w:tcW w:w="141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4,800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4,900</w:t>
            </w:r>
          </w:p>
        </w:tc>
      </w:tr>
    </w:tbl>
    <w:p>
      <w:pPr>
        <w:pStyle w:val="Text1"/>
        <w:spacing w:before="0" w:after="0"/>
        <w:ind w:left="851"/>
        <w:jc w:val="left"/>
        <w:rPr>
          <w:noProof/>
          <w:sz w:val="16"/>
          <w:szCs w:val="16"/>
        </w:rPr>
      </w:pPr>
      <w:r>
        <w:rPr>
          <w:noProof/>
          <w:sz w:val="16"/>
          <w:szCs w:val="16"/>
        </w:rPr>
        <w:t>1</w:t>
      </w:r>
      <w:r>
        <w:rPr>
          <w:noProof/>
          <w:sz w:val="16"/>
          <w:szCs w:val="16"/>
        </w:rPr>
        <w:tab/>
        <w:t>Funds available for operations as per Communication from the Commission to the Council.</w:t>
      </w:r>
      <w:r>
        <w:rPr>
          <w:noProof/>
          <w:sz w:val="16"/>
          <w:szCs w:val="16"/>
        </w:rPr>
        <w:br/>
        <w:t>2</w:t>
      </w:r>
      <w:r>
        <w:rPr>
          <w:noProof/>
          <w:sz w:val="16"/>
          <w:szCs w:val="16"/>
        </w:rPr>
        <w:tab/>
        <w:t>Balances do not include: (i) Cofinancings received by 31/12, (ii) Receipts in bank not yet allocated to a specific EDF line, (iii) Special fund for Democratic Republic of the Congo.</w:t>
      </w:r>
    </w:p>
    <w:p>
      <w:pPr>
        <w:pStyle w:val="Text1"/>
        <w:spacing w:before="0" w:after="0"/>
        <w:ind w:left="851"/>
        <w:jc w:val="left"/>
        <w:rPr>
          <w:noProof/>
          <w:sz w:val="16"/>
          <w:szCs w:val="16"/>
        </w:rPr>
      </w:pPr>
      <w:r>
        <w:rPr>
          <w:noProof/>
          <w:sz w:val="16"/>
          <w:szCs w:val="16"/>
        </w:rPr>
        <w:t>3</w:t>
      </w:r>
      <w:r>
        <w:rPr>
          <w:noProof/>
          <w:sz w:val="16"/>
          <w:szCs w:val="16"/>
        </w:rPr>
        <w:tab/>
        <w:t>Net of EIB management fees.</w:t>
      </w:r>
      <w:r>
        <w:rPr>
          <w:noProof/>
          <w:sz w:val="16"/>
          <w:szCs w:val="16"/>
        </w:rPr>
        <w:br/>
        <w:t>4</w:t>
      </w:r>
      <w:r>
        <w:rPr>
          <w:noProof/>
          <w:sz w:val="16"/>
          <w:szCs w:val="16"/>
        </w:rPr>
        <w:tab/>
        <w:t>Including interest rates subsidies under the previous EDFs.</w:t>
      </w:r>
      <w:r>
        <w:rPr>
          <w:noProof/>
          <w:sz w:val="16"/>
          <w:szCs w:val="16"/>
        </w:rPr>
        <w:br/>
        <w:t>5</w:t>
      </w:r>
      <w:r>
        <w:rPr>
          <w:noProof/>
          <w:sz w:val="16"/>
          <w:szCs w:val="16"/>
        </w:rPr>
        <w:tab/>
        <w:t>Balances do not include: (i) Cofinancings received by 31.12.2015, (ii) Receipts in bank not yet allocated to a specific EDF line, (iii) Special fund for Democratic Republic of the Congo.</w:t>
      </w:r>
      <w:r>
        <w:rPr>
          <w:noProof/>
          <w:sz w:val="16"/>
          <w:szCs w:val="16"/>
        </w:rPr>
        <w:br/>
        <w:t>6</w:t>
      </w:r>
      <w:r>
        <w:rPr>
          <w:noProof/>
          <w:sz w:val="16"/>
          <w:szCs w:val="16"/>
        </w:rPr>
        <w:tab/>
        <w:t>Art.21(2)(d) Financial Regulation: non-binding forecast based on a statistical approach for the expected annual contributions for the years n + 3 and n + 4.</w:t>
      </w:r>
      <w:r>
        <w:rPr>
          <w:noProof/>
          <w:sz w:val="16"/>
          <w:szCs w:val="16"/>
        </w:rPr>
        <w:br/>
        <w:t>7</w:t>
      </w:r>
      <w:r>
        <w:rPr>
          <w:noProof/>
          <w:sz w:val="16"/>
          <w:szCs w:val="16"/>
        </w:rPr>
        <w:tab/>
        <w:t>The EDF treasury balance can never be negative. Any negative amounts in the table indicate a shortage of payment credits.</w:t>
      </w:r>
    </w:p>
    <w:p>
      <w:pPr>
        <w:pStyle w:val="Text1"/>
        <w:spacing w:before="0" w:after="0"/>
        <w:ind w:left="851"/>
        <w:jc w:val="left"/>
        <w:rPr>
          <w:noProof/>
          <w:sz w:val="16"/>
          <w:szCs w:val="16"/>
        </w:rPr>
      </w:pPr>
      <w:r>
        <w:rPr>
          <w:noProof/>
          <w:sz w:val="16"/>
          <w:szCs w:val="16"/>
        </w:rPr>
        <w:t>8</w:t>
      </w:r>
      <w:r>
        <w:rPr>
          <w:noProof/>
          <w:sz w:val="16"/>
          <w:szCs w:val="16"/>
        </w:rPr>
        <w:tab/>
        <w:t>EIB request for contributions for 2018: EIB information note of 17/11/2015, MD no: 151/15 ADD 1 ACP.</w:t>
      </w:r>
    </w:p>
    <w:p>
      <w:pPr>
        <w:pStyle w:val="Heading2"/>
        <w:numPr>
          <w:ilvl w:val="1"/>
          <w:numId w:val="1"/>
        </w:numPr>
        <w:rPr>
          <w:noProof/>
        </w:rPr>
      </w:pPr>
      <w:r>
        <w:rPr>
          <w:noProof/>
        </w:rPr>
        <w:t>Attachment 4: Member States contributions for 2017 (EUR)</w:t>
      </w:r>
    </w:p>
    <w:tbl>
      <w:tblPr>
        <w:tblW w:w="0" w:type="auto"/>
        <w:tblInd w:w="93" w:type="dxa"/>
        <w:tblLook w:val="04A0" w:firstRow="1" w:lastRow="0" w:firstColumn="1" w:lastColumn="0" w:noHBand="0" w:noVBand="1"/>
      </w:tblPr>
      <w:tblGrid>
        <w:gridCol w:w="1697"/>
        <w:gridCol w:w="1091"/>
        <w:gridCol w:w="1196"/>
        <w:gridCol w:w="1021"/>
        <w:gridCol w:w="1061"/>
        <w:gridCol w:w="1196"/>
        <w:gridCol w:w="879"/>
        <w:gridCol w:w="1091"/>
        <w:gridCol w:w="1091"/>
        <w:gridCol w:w="1196"/>
        <w:gridCol w:w="1196"/>
      </w:tblGrid>
      <w:tr>
        <w:trPr>
          <w:trHeight w:val="28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1st instalment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2nd instalment</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3rd instalment</w:t>
            </w:r>
          </w:p>
        </w:tc>
        <w:tc>
          <w:tcPr>
            <w:tcW w:w="0" w:type="auto"/>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EIB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w:t>
            </w:r>
            <w:r>
              <w:rPr>
                <w:rFonts w:ascii="Times New Roman" w:eastAsia="Times New Roman" w:hAnsi="Times New Roman" w:cs="Times New Roman"/>
                <w:b/>
                <w:bCs/>
                <w:noProof/>
                <w:sz w:val="16"/>
                <w:szCs w:val="16"/>
                <w:lang w:eastAsia="en-GB"/>
              </w:rPr>
              <w:br/>
              <w:t>Commission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2017</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BELGIUM</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60,010,000.00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1,765,000.00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2,586,394.39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39,859,803.57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27,618,795.00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5,295,000.00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130,074,992.96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135,369,992.96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BULGARIA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2,380,000.00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102,576.55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2,680,775.34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1,857,505.00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7,020,856.88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7,230,856.88</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CZECH REPUBLIC</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373,671.71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9,782,566.65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6,778,325.00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25,604,563.37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26,369,563.37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DENMARK</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34,000,000.00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1,000,000.00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1,465,379.26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24,294,794.82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16,833,825.00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76,593,999.08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79,593,999.08</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GERMANY</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348,500,000.00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15,020,137.42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252,458,793.95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174,928,300.00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30,750,000.00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790,907,231.37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821,657,231.37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ESTONIA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36,634.48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1,059,282.25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733,975.00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2,679,891.73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2,754,891.73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IRELAND</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15,470,000.00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666,747.56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11,532,007.79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7,990,510.00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1,365,000.00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35,659,265.35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37,024,265.35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GREECE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24,990,000.00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1,077,053.76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18,491,130.29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12,812,475.00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57,370,659.04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59,575,659.04</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SPAIN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133,450,000.00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3,925,000.00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5,751,613.60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97,310,194.16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67,426,080.00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11,775,000.00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303,937,887.76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315,712,887.76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FRANCE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332,350,000.00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9,775,000.00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14,324,082.27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218,513,796.75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151,407,865.00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29,325,000.00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716,595,744.02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745,920,744.02</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CROATIA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2,762,352.95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1,914,030.00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4,676,382.95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4,676,382.95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ITALY</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218,620,000.00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6,430,000.00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9,422,388.64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153,710,502.99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106,505,765.00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19,290,000.00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488,258,656.64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507,548,656.64</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CYPRUS</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65,942.07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1,369,277.18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948,770.00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3,913,989.25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4,048,989.25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LATVIA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51,288.27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1,424,480.08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987,020.00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3,652,788.35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3,757,788.35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LITHUANIA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2,040,000.00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87,922.76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2,217,561.70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1,536,545.00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5,882,029.45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6,062,029.45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LUXEMBOURG</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4,590,000.00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197,826.20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3,129,268.20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2,168,265.00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10,085,359.40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10,490,359.40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HUNGARY</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9,350,000.00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402,979.30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7,538,998.26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5,223,760.00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22,515,737.56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23,340,737.56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MALTA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21,980.69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466,280.47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323,085.00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1,321,346.16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1,366,346.16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NETHERLANDS</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82,450,000.00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2,425,000.00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3,553,544.71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58,598,242.83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40,602,630.00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7,275,000.00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185,204,417.53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192,479,417.53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AUSTRIA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40,970,000.00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1,765,782.01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29,411,735.32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20,379,345.00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3,615,000.00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92,526,862.33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96,141,862.33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POLAND</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22,100,000.00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952,496.52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24,624,662.80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17,062,390.00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64,739,549.32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66,689,549.32</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PORTUGAL</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842,593.07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14,681,394.38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10,172,715.00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1,725,000.00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45,246,702.45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46,971,702.45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ROMANIA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6,290,000.00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271,095.16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8,809,768.94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6,104,275.00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21,475,139.11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22,030,139.11</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SLOVENIA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3,060,000.00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131,884.13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2,754,256.52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1,908,420.00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7,854,560.66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8,124,560.66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SLOVAKIA</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153,864.82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4,614,471.47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3,197,360.00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11,535,696.29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11,850,696.29</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FINLAND</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24,990,000.00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735,000.00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1,077,053.76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18,512,475.41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12,827,265.00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2,205,000.00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57,406,794.16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59,611,794.16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SWEDEN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46,580,000.00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1,370,000.00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2,007,569.59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36,054,974.58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24,982,435.00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4,110,000.00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109,624,979.17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113,734,979.17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UNITED KINGDOM</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251,940,000.00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7,410,000.00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10,858,460.32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180,067,187.34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124,768,270.00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22,230,000.00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567,633,917.66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589,863,917.66</w:t>
            </w:r>
          </w:p>
        </w:tc>
      </w:tr>
      <w:tr>
        <w:trPr>
          <w:trHeight w:val="28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1,700,000,000.00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50,000,000.00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73,268,963.00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1,226,731,037.00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850,000,000.00</w:t>
            </w:r>
          </w:p>
        </w:tc>
        <w:tc>
          <w:tcPr>
            <w:tcW w:w="0" w:type="auto"/>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3,850,000,000.00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4,000,000,000.00</w:t>
            </w:r>
          </w:p>
        </w:tc>
      </w:tr>
    </w:tbl>
    <w:p>
      <w:pPr>
        <w:rPr>
          <w:noProof/>
        </w:rPr>
      </w:pPr>
    </w:p>
    <w:p>
      <w:pPr>
        <w:pStyle w:val="Heading2"/>
        <w:numPr>
          <w:ilvl w:val="1"/>
          <w:numId w:val="1"/>
        </w:numPr>
        <w:rPr>
          <w:noProof/>
        </w:rPr>
      </w:pPr>
      <w:r>
        <w:rPr>
          <w:noProof/>
        </w:rPr>
        <w:t>Attachment 5: Member States contributions for 2017-2020 (EUR)</w:t>
      </w:r>
    </w:p>
    <w:tbl>
      <w:tblPr>
        <w:tblW w:w="13902" w:type="dxa"/>
        <w:tblInd w:w="98" w:type="dxa"/>
        <w:tblLook w:val="04A0" w:firstRow="1" w:lastRow="0" w:firstColumn="1" w:lastColumn="0" w:noHBand="0" w:noVBand="1"/>
      </w:tblPr>
      <w:tblGrid>
        <w:gridCol w:w="1851"/>
        <w:gridCol w:w="877"/>
        <w:gridCol w:w="936"/>
        <w:gridCol w:w="1060"/>
        <w:gridCol w:w="1250"/>
        <w:gridCol w:w="1134"/>
        <w:gridCol w:w="1067"/>
        <w:gridCol w:w="1143"/>
        <w:gridCol w:w="1067"/>
        <w:gridCol w:w="1195"/>
        <w:gridCol w:w="1067"/>
        <w:gridCol w:w="1255"/>
      </w:tblGrid>
      <w:tr>
        <w:trPr>
          <w:trHeight w:val="255"/>
        </w:trPr>
        <w:tc>
          <w:tcPr>
            <w:tcW w:w="18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877"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10th</w:t>
            </w:r>
          </w:p>
        </w:tc>
        <w:tc>
          <w:tcPr>
            <w:tcW w:w="936"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11th</w:t>
            </w:r>
          </w:p>
        </w:tc>
        <w:tc>
          <w:tcPr>
            <w:tcW w:w="3444" w:type="dxa"/>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2017</w:t>
            </w:r>
          </w:p>
        </w:tc>
        <w:tc>
          <w:tcPr>
            <w:tcW w:w="2210"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2018</w:t>
            </w:r>
          </w:p>
        </w:tc>
        <w:tc>
          <w:tcPr>
            <w:tcW w:w="2262"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2019</w:t>
            </w:r>
          </w:p>
        </w:tc>
        <w:tc>
          <w:tcPr>
            <w:tcW w:w="2322"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2020</w:t>
            </w:r>
          </w:p>
        </w:tc>
      </w:tr>
      <w:tr>
        <w:trPr>
          <w:trHeight w:val="255"/>
        </w:trPr>
        <w:tc>
          <w:tcPr>
            <w:tcW w:w="1851"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877"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 %</w:t>
            </w:r>
          </w:p>
        </w:tc>
        <w:tc>
          <w:tcPr>
            <w:tcW w:w="936"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 %</w:t>
            </w:r>
          </w:p>
        </w:tc>
        <w:tc>
          <w:tcPr>
            <w:tcW w:w="1060" w:type="dxa"/>
            <w:tcBorders>
              <w:top w:val="nil"/>
              <w:left w:val="nil"/>
              <w:bottom w:val="single" w:sz="8" w:space="0" w:color="auto"/>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10th</w:t>
            </w:r>
          </w:p>
        </w:tc>
        <w:tc>
          <w:tcPr>
            <w:tcW w:w="1250" w:type="dxa"/>
            <w:tcBorders>
              <w:top w:val="nil"/>
              <w:left w:val="single" w:sz="4" w:space="0" w:color="auto"/>
              <w:bottom w:val="single" w:sz="8"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1134"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1143"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1195"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1255"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BELGIUM</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62,596,394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67,478,599</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5,295,000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147,841,785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146,217,150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14,120,000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146,217,150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14,120,000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BULGARIA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0.21853</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2,482,577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4,538,280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9,943,115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9,833,850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9,833,850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CZECH REPUBLIC</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0.79745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9,043,672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16,560,892</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36,283,975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35,885,250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2,040,000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35,885,250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2,040,000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DENMARK</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35,465,379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41,128,620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90,110,475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89,120,250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89,120,250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GERMANY</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363,520,137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427,387,094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30,750,000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936,380,900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51,250,000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926,091,000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82,000,000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926,091,000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82,000,000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ESTONIA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0.08635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886,634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1,793,257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3,928,925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3,885,750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3,885,750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IRELAND</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0.94006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16,136,748</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19,522,518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1,365,000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42,772,730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42,302,700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3,640,000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42,302,700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3,640,000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GREECE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26,067,054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31,303,605</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68,584,425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67,830,750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67,830,750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5,880,000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SPAIN</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139,201,614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164,736,274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11,775,000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360,927,840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19,625,000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356,961,600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31,400,000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356,961,600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31,400,000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FRANCE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346,674,082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369,921,662</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810,477,395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48,875,000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801,571,050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78,200,000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801,571,050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78,200,000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CROATIA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0.22518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4,676,383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10,245,690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10,133,100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10,133,100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ITALY</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228,042,389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260,216,268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19,290,000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570,119,095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32,150,000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563,854,050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51,440,000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563,854,050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51,440,000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CYPRUS</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0.11162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1,595,942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2,318,047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5,078,710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5,022,900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5,022,900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LATVIA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0.11612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1,241,288</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2,411,500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5,283,460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5,225,400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5,225,400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LITHUANIA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0.18077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2,127,923</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3,754,107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8,225,035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8,134,650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8,134,650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LUXEMBOURG</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0.25509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4,787,826</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5,297,533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11,606,595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11,479,050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11,479,050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1,080,000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HUNGARY</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0.61456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9,752,979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12,762,758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27,962,480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27,655,200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27,655,200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MALTA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0.03801</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531,981</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789,365</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1,729,455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1,710,450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1,710,450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NETHERLANDS</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86,003,545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99,200,873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217,343,490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12,125,000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214,955,100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19,400,000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214,955,100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19,400,000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AUSTRIA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42,735,782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49,791,080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3,615,000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109,089,435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107,890,650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9,640,000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107,890,650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9,640,000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POLAND</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23,052,497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41,687,053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91,333,970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90,330,300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90,330,300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PORTUGAL</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20,392,593</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24,854,109</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54,453,945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53,855,550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4,600,000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53,855,550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4,600,000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ROMANIA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0.71815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6,561,095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14,914,044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32,675,825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32,316,750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32,316,750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SLOVENIA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0.22452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3,191,884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4,662,677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10,215,660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10,103,400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10,103,400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SLOVAKIA</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0.37616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3,723,865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7,811,831</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17,115,280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16,927,200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16,927,200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FINLAND</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26,067,054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31,339,740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68,663,595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3,675,000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67,909,050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67,909,050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5,880,000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SWEDEN</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48,587,570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61,037,410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4,110,000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133,729,505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132,259,950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10,960,000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132,259,950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10,960,000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UNITED KINGDOM</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262,798,460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304,835,457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22,230,000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667,877,210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37,050,000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660,537,900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59,280,000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660,537,900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59,280,000</w:t>
            </w:r>
          </w:p>
        </w:tc>
      </w:tr>
      <w:tr>
        <w:trPr>
          <w:trHeight w:val="255"/>
        </w:trPr>
        <w:tc>
          <w:tcPr>
            <w:tcW w:w="185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877"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936"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1060"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1,773,268,963</w:t>
            </w:r>
          </w:p>
        </w:tc>
        <w:tc>
          <w:tcPr>
            <w:tcW w:w="1250"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2,076,731,037</w:t>
            </w:r>
          </w:p>
        </w:tc>
        <w:tc>
          <w:tcPr>
            <w:tcW w:w="1134"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150,000,000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4,550,000,000</w:t>
            </w:r>
          </w:p>
        </w:tc>
        <w:tc>
          <w:tcPr>
            <w:tcW w:w="1143"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250,000,000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4,500,000,000</w:t>
            </w:r>
          </w:p>
        </w:tc>
        <w:tc>
          <w:tcPr>
            <w:tcW w:w="1195"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400,000,000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4,500,000,000</w:t>
            </w:r>
          </w:p>
        </w:tc>
        <w:tc>
          <w:tcPr>
            <w:tcW w:w="1255"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400,000,000</w:t>
            </w:r>
          </w:p>
        </w:tc>
      </w:tr>
      <w:tr>
        <w:trPr>
          <w:trHeight w:val="255"/>
        </w:trPr>
        <w:tc>
          <w:tcPr>
            <w:tcW w:w="1851"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w:t>
            </w:r>
          </w:p>
        </w:tc>
        <w:tc>
          <w:tcPr>
            <w:tcW w:w="877"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 </w:t>
            </w:r>
          </w:p>
        </w:tc>
        <w:tc>
          <w:tcPr>
            <w:tcW w:w="936"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 </w:t>
            </w:r>
          </w:p>
        </w:tc>
        <w:tc>
          <w:tcPr>
            <w:tcW w:w="3444"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4,000,000,000</w:t>
            </w:r>
          </w:p>
        </w:tc>
        <w:tc>
          <w:tcPr>
            <w:tcW w:w="2210"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4 800 000 000</w:t>
            </w:r>
          </w:p>
        </w:tc>
        <w:tc>
          <w:tcPr>
            <w:tcW w:w="2262"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4,900,000,000</w:t>
            </w:r>
          </w:p>
        </w:tc>
        <w:tc>
          <w:tcPr>
            <w:tcW w:w="2322"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4,900,000,000</w:t>
            </w:r>
          </w:p>
        </w:tc>
      </w:tr>
    </w:tbl>
    <w:p>
      <w:pPr>
        <w:rPr>
          <w:noProof/>
        </w:rPr>
      </w:pPr>
      <w:r>
        <w:rPr>
          <w:noProof/>
        </w:rPr>
        <w:br w:type="page"/>
      </w:r>
    </w:p>
    <w:p>
      <w:pPr>
        <w:pStyle w:val="Heading2"/>
        <w:numPr>
          <w:ilvl w:val="1"/>
          <w:numId w:val="1"/>
        </w:numPr>
        <w:rPr>
          <w:noProof/>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20"/>
          <w:docGrid w:linePitch="360"/>
        </w:sectPr>
      </w:pPr>
    </w:p>
    <w:p>
      <w:pPr>
        <w:pStyle w:val="Heading2"/>
        <w:numPr>
          <w:ilvl w:val="1"/>
          <w:numId w:val="1"/>
        </w:numPr>
        <w:rPr>
          <w:noProof/>
        </w:rPr>
      </w:pPr>
      <w:r>
        <w:rPr>
          <w:noProof/>
        </w:rPr>
        <w:t>Attachment 6: State of reserves of decommitted funds from previous EDFs (EUR)</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61 of the Council Regulation (EU) 2015/323 on the financial regulation applicable to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 following table displays the amount of reserves of decommitted funds from previous EDFs at the end of 2016 and per previous EDF (Eighth/Ninth or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as each EDF has a specific list of Member States participating and a specific contribution key per Member State). </w:t>
      </w:r>
    </w:p>
    <w:p>
      <w:pPr>
        <w:jc w:val="both"/>
        <w:rPr>
          <w:rFonts w:ascii="Times New Roman" w:hAnsi="Times New Roman" w:cs="Times New Roman"/>
          <w:noProof/>
          <w:sz w:val="24"/>
          <w:szCs w:val="24"/>
        </w:rPr>
      </w:pPr>
      <w:r>
        <w:rPr>
          <w:rFonts w:ascii="Times New Roman" w:hAnsi="Times New Roman" w:cs="Times New Roman"/>
          <w:noProof/>
          <w:sz w:val="24"/>
          <w:szCs w:val="24"/>
        </w:rPr>
        <w:t>Reserves of decommitted funds from previous EDFs at the 31/12/2016</w:t>
      </w:r>
    </w:p>
    <w:tbl>
      <w:tblPr>
        <w:tblW w:w="5500" w:type="dxa"/>
        <w:tblInd w:w="93" w:type="dxa"/>
        <w:tblLook w:val="04A0" w:firstRow="1" w:lastRow="0" w:firstColumn="1" w:lastColumn="0" w:noHBand="0" w:noVBand="1"/>
      </w:tblPr>
      <w:tblGrid>
        <w:gridCol w:w="1240"/>
        <w:gridCol w:w="1596"/>
        <w:gridCol w:w="1716"/>
        <w:gridCol w:w="1716"/>
      </w:tblGrid>
      <w:tr>
        <w:trPr>
          <w:trHeight w:val="255"/>
        </w:trPr>
        <w:tc>
          <w:tcPr>
            <w:tcW w:w="124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 </w:t>
            </w:r>
          </w:p>
        </w:tc>
        <w:tc>
          <w:tcPr>
            <w:tcW w:w="134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10</w:t>
            </w:r>
            <w:r>
              <w:rPr>
                <w:rFonts w:ascii="Times New Roman" w:eastAsia="Times New Roman" w:hAnsi="Times New Roman" w:cs="Times New Roman"/>
                <w:b/>
                <w:bCs/>
                <w:noProof/>
                <w:color w:val="000000"/>
                <w:sz w:val="24"/>
                <w:szCs w:val="24"/>
                <w:vertAlign w:val="superscript"/>
                <w:lang w:eastAsia="en-GB"/>
              </w:rPr>
              <w:t>th</w:t>
            </w:r>
            <w:r>
              <w:rPr>
                <w:rFonts w:ascii="Times New Roman" w:eastAsia="Times New Roman" w:hAnsi="Times New Roman" w:cs="Times New Roman"/>
                <w:b/>
                <w:bCs/>
                <w:noProof/>
                <w:color w:val="000000"/>
                <w:sz w:val="24"/>
                <w:szCs w:val="24"/>
                <w:lang w:eastAsia="en-GB"/>
              </w:rPr>
              <w:t xml:space="preserve"> EDF</w:t>
            </w:r>
          </w:p>
        </w:tc>
        <w:tc>
          <w:tcPr>
            <w:tcW w:w="146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8</w:t>
            </w:r>
            <w:r>
              <w:rPr>
                <w:rFonts w:ascii="Times New Roman" w:eastAsia="Times New Roman" w:hAnsi="Times New Roman" w:cs="Times New Roman"/>
                <w:b/>
                <w:bCs/>
                <w:noProof/>
                <w:color w:val="000000"/>
                <w:sz w:val="24"/>
                <w:szCs w:val="24"/>
                <w:vertAlign w:val="superscript"/>
                <w:lang w:eastAsia="en-GB"/>
              </w:rPr>
              <w:t>th</w:t>
            </w:r>
            <w:r>
              <w:rPr>
                <w:rFonts w:ascii="Times New Roman" w:eastAsia="Times New Roman" w:hAnsi="Times New Roman" w:cs="Times New Roman"/>
                <w:b/>
                <w:bCs/>
                <w:noProof/>
                <w:color w:val="000000"/>
                <w:sz w:val="24"/>
                <w:szCs w:val="24"/>
                <w:lang w:eastAsia="en-GB"/>
              </w:rPr>
              <w:t>/9</w:t>
            </w:r>
            <w:r>
              <w:rPr>
                <w:rFonts w:ascii="Times New Roman" w:eastAsia="Times New Roman" w:hAnsi="Times New Roman" w:cs="Times New Roman"/>
                <w:b/>
                <w:bCs/>
                <w:noProof/>
                <w:color w:val="000000"/>
                <w:sz w:val="24"/>
                <w:szCs w:val="24"/>
                <w:vertAlign w:val="superscript"/>
                <w:lang w:eastAsia="en-GB"/>
              </w:rPr>
              <w:t>th</w:t>
            </w:r>
            <w:r>
              <w:rPr>
                <w:rFonts w:ascii="Times New Roman" w:eastAsia="Times New Roman" w:hAnsi="Times New Roman" w:cs="Times New Roman"/>
                <w:b/>
                <w:bCs/>
                <w:noProof/>
                <w:color w:val="000000"/>
                <w:sz w:val="24"/>
                <w:szCs w:val="24"/>
                <w:lang w:eastAsia="en-GB"/>
              </w:rPr>
              <w:t xml:space="preserve"> EDF</w:t>
            </w:r>
          </w:p>
        </w:tc>
        <w:tc>
          <w:tcPr>
            <w:tcW w:w="146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Grand Total</w:t>
            </w:r>
          </w:p>
        </w:tc>
      </w:tr>
      <w:tr>
        <w:trPr>
          <w:trHeight w:val="255"/>
        </w:trPr>
        <w:tc>
          <w:tcPr>
            <w:tcW w:w="1240" w:type="dxa"/>
            <w:tcBorders>
              <w:top w:val="nil"/>
              <w:left w:val="nil"/>
              <w:bottom w:val="nil"/>
              <w:right w:val="nil"/>
            </w:tcBorders>
            <w:shd w:val="clear" w:color="000000" w:fill="FFFFFF"/>
            <w:noWrap/>
            <w:vAlign w:val="bottom"/>
            <w:hideMark/>
          </w:tcPr>
          <w:p>
            <w:pPr>
              <w:spacing w:after="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ACP</w:t>
            </w:r>
          </w:p>
        </w:tc>
        <w:tc>
          <w:tcPr>
            <w:tcW w:w="13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31,435,360.12</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242,695,821.82</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274,131,181.94</w:t>
            </w:r>
          </w:p>
        </w:tc>
      </w:tr>
      <w:tr>
        <w:trPr>
          <w:trHeight w:val="255"/>
        </w:trPr>
        <w:tc>
          <w:tcPr>
            <w:tcW w:w="1240" w:type="dxa"/>
            <w:tcBorders>
              <w:top w:val="nil"/>
              <w:left w:val="nil"/>
              <w:bottom w:val="nil"/>
              <w:right w:val="nil"/>
            </w:tcBorders>
            <w:shd w:val="clear" w:color="000000" w:fill="FFFFFF"/>
            <w:noWrap/>
            <w:vAlign w:val="bottom"/>
            <w:hideMark/>
          </w:tcPr>
          <w:p>
            <w:pPr>
              <w:spacing w:after="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OCT</w:t>
            </w:r>
          </w:p>
        </w:tc>
        <w:tc>
          <w:tcPr>
            <w:tcW w:w="13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3,445,760.70</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21,496,601.75</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24,942,362.45</w:t>
            </w:r>
          </w:p>
        </w:tc>
      </w:tr>
      <w:tr>
        <w:trPr>
          <w:trHeight w:val="255"/>
        </w:trPr>
        <w:tc>
          <w:tcPr>
            <w:tcW w:w="1240" w:type="dxa"/>
            <w:tcBorders>
              <w:top w:val="single" w:sz="4" w:space="0" w:color="95B3D7"/>
              <w:left w:val="nil"/>
              <w:bottom w:val="nil"/>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Grand Total</w:t>
            </w:r>
          </w:p>
        </w:tc>
        <w:tc>
          <w:tcPr>
            <w:tcW w:w="134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34,881,120.82</w:t>
            </w:r>
          </w:p>
        </w:tc>
        <w:tc>
          <w:tcPr>
            <w:tcW w:w="146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264,192,423.57</w:t>
            </w:r>
          </w:p>
        </w:tc>
        <w:tc>
          <w:tcPr>
            <w:tcW w:w="146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299,073,544.39</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On 2 August 2016, the Council adopted Decision (EU) 2016/1337 to allocate an amount of up to a maximum of EUR 491,387,500 of decommitted funds from the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for the purpose of replenishing the African Peace Facility for the period 2016-2018 in accordance with Article 1(4) of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Internal Agreement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At year end, the total of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 funds transferred for consumption is EUR 386,387,500; therefore an additional amount of EUR 121,387,500 shall be transferred from the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reserve of decommitted funds.</w:t>
      </w:r>
    </w:p>
    <w:p>
      <w:pPr>
        <w:jc w:val="both"/>
        <w:rPr>
          <w:rFonts w:ascii="Times New Roman" w:hAnsi="Times New Roman" w:cs="Times New Roman"/>
          <w:noProof/>
          <w:sz w:val="24"/>
          <w:szCs w:val="24"/>
        </w:rPr>
      </w:pPr>
      <w:r>
        <w:rPr>
          <w:rFonts w:ascii="Times New Roman" w:hAnsi="Times New Roman" w:cs="Times New Roman"/>
          <w:noProof/>
          <w:sz w:val="24"/>
          <w:szCs w:val="24"/>
        </w:rPr>
        <w:t>From the Eighth/Ninth EDF reserve, an amount of EUR 200,000,000 shall be deducted in order to refund the participating Member States, pending the adoption by the Council of the Commission proposal enclosed with the current proposal for the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instalment 2017. </w:t>
      </w:r>
    </w:p>
    <w:p>
      <w:pPr>
        <w:rPr>
          <w:noProof/>
        </w:rPr>
      </w:pPr>
      <w:r>
        <w:rPr>
          <w:noProof/>
        </w:rPr>
        <w:br w:type="page"/>
      </w:r>
    </w:p>
    <w:p>
      <w:pPr>
        <w:pStyle w:val="Heading2"/>
        <w:numPr>
          <w:ilvl w:val="1"/>
          <w:numId w:val="1"/>
        </w:numPr>
        <w:rPr>
          <w:noProof/>
        </w:rPr>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20"/>
          <w:docGrid w:linePitch="360"/>
        </w:sectPr>
      </w:pPr>
    </w:p>
    <w:p>
      <w:pPr>
        <w:pStyle w:val="Heading2"/>
        <w:numPr>
          <w:ilvl w:val="1"/>
          <w:numId w:val="1"/>
        </w:numPr>
        <w:rPr>
          <w:noProof/>
        </w:rPr>
      </w:pPr>
      <w:r>
        <w:rPr>
          <w:noProof/>
        </w:rPr>
        <w:t>Attachment 7: Impact of the reduction on contributions by remaining balances of each Member States (EUR)</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61 of the Council Regulation (EU) 2015/323 on the Financial Regulation applicable to the 11th EDF</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following table displays the impact of a reduction of contribution based on the amount in the reserve from decommitted funds of previous EDFs. However, the amounts presented in the table are theoretical, since they do not take into account the proposed implementation of the refund of EUR 200 million, as per proposal presented by the European Commission together with this Communication, nor the envisaged allocation of EUR 150 million foreseen for 2017 to the European Fund for Sustainable Development (EFSD), the EFSD Guarantee and the EFSD Guarantee Fund.</w:t>
      </w:r>
    </w:p>
    <w:tbl>
      <w:tblPr>
        <w:tblW w:w="7340" w:type="dxa"/>
        <w:tblInd w:w="93" w:type="dxa"/>
        <w:tblLook w:val="04A0" w:firstRow="1" w:lastRow="0" w:firstColumn="1" w:lastColumn="0" w:noHBand="0" w:noVBand="1"/>
      </w:tblPr>
      <w:tblGrid>
        <w:gridCol w:w="1880"/>
        <w:gridCol w:w="960"/>
        <w:gridCol w:w="960"/>
        <w:gridCol w:w="1140"/>
        <w:gridCol w:w="1200"/>
        <w:gridCol w:w="1200"/>
      </w:tblGrid>
      <w:tr>
        <w:trPr>
          <w:trHeight w:val="255"/>
        </w:trPr>
        <w:tc>
          <w:tcPr>
            <w:tcW w:w="18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960"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9th</w:t>
            </w:r>
          </w:p>
        </w:tc>
        <w:tc>
          <w:tcPr>
            <w:tcW w:w="960"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10th</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9th EDF</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w:t>
            </w:r>
          </w:p>
        </w:tc>
      </w:tr>
      <w:tr>
        <w:trPr>
          <w:trHeight w:val="270"/>
        </w:trPr>
        <w:tc>
          <w:tcPr>
            <w:tcW w:w="188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960"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 %</w:t>
            </w:r>
          </w:p>
        </w:tc>
        <w:tc>
          <w:tcPr>
            <w:tcW w:w="960"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BELGIUM</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10,356,343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1,231,304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11,587,647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BULGARIA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48,834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48,834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CZECH REPUBLIC</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177,894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177,894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DENMARK</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5,653,718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697,622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6,351,340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GERMANY</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23.36</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61,715,350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7,150,630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68,865,980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ESTONIA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17,441</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17,441</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IRELAND</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1,637,993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317,418</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1,955,411</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GREECE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3,302,405</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512,752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3,815,158</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SPAIN</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15,428,838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2,738,168</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18,167,006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FRANCE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24.30</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64,198,759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6,819,259</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71,018,018</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CROATIA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ITALY</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33,129,730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4,485,712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37,615,442</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CYPRUS</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31,393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31,393</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LATVIA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24,417</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24,417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LITHUANIA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41,857</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41,857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LUXEMBOURG</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0.29</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766,158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94,179</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860,337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HUNGARY</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191,846</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191,846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MALTA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10,464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10,464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NETHERLANDS</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13,790,845</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1,691,734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15,482,579</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AUSTRIA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2.65</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7,001,099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840,635</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7,841,734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POLAND</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453,455</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453,455</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PORTUGAL</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0.97</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2,562,667</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401,133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2,963,799</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ROMANIA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129,060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129,060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SLOVENIA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62,786</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62,786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SLOVAKIA</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73,250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73,250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FINLAND</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3,910,048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512,752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4,422,800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SWEDEN</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2.73</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7,212,453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955,743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8,168,196</w:t>
            </w:r>
          </w:p>
        </w:tc>
      </w:tr>
      <w:tr>
        <w:trPr>
          <w:trHeight w:val="270"/>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UNITED KINGDOM</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12.69</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33,526,019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5,169,382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38,695,401</w:t>
            </w:r>
          </w:p>
        </w:tc>
      </w:tr>
      <w:tr>
        <w:trPr>
          <w:trHeight w:val="270"/>
        </w:trPr>
        <w:tc>
          <w:tcPr>
            <w:tcW w:w="188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96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96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1140"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264,192,424</w:t>
            </w:r>
          </w:p>
        </w:tc>
        <w:tc>
          <w:tcPr>
            <w:tcW w:w="1200"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34,881,121</w:t>
            </w:r>
          </w:p>
        </w:tc>
        <w:tc>
          <w:tcPr>
            <w:tcW w:w="120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299,073,544</w:t>
            </w:r>
          </w:p>
        </w:tc>
      </w:tr>
    </w:tbl>
    <w:p>
      <w:pPr>
        <w:tabs>
          <w:tab w:val="left" w:pos="2316"/>
        </w:tabs>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3058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02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2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315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w:t>
      </w:r>
    </w:p>
  </w:footnote>
  <w:footnote w:id="2">
    <w:p>
      <w:pPr>
        <w:pStyle w:val="FootnoteText"/>
      </w:pPr>
      <w:r>
        <w:rPr>
          <w:rStyle w:val="FootnoteReference"/>
        </w:rPr>
        <w:footnoteRef/>
      </w:r>
      <w:r>
        <w:tab/>
      </w:r>
      <w:r>
        <w:rPr>
          <w:szCs w:val="24"/>
        </w:rPr>
        <w:t>OJ L 58, 3.3.2015, p. 17–38.</w:t>
      </w:r>
    </w:p>
  </w:footnote>
  <w:footnote w:id="3">
    <w:p>
      <w:pPr>
        <w:pStyle w:val="FootnoteText"/>
      </w:pPr>
      <w:r>
        <w:rPr>
          <w:rStyle w:val="FootnoteReference"/>
        </w:rPr>
        <w:footnoteRef/>
      </w:r>
      <w:r>
        <w:tab/>
        <w:t>African, Caribbean and Pacific States.</w:t>
      </w:r>
    </w:p>
  </w:footnote>
  <w:footnote w:id="4">
    <w:p>
      <w:pPr>
        <w:pStyle w:val="FootnoteText"/>
      </w:pPr>
      <w:r>
        <w:rPr>
          <w:rStyle w:val="FootnoteReference"/>
        </w:rPr>
        <w:footnoteRef/>
      </w:r>
      <w:r>
        <w:tab/>
        <w:t>Overseas Countries and Territories.</w:t>
      </w:r>
    </w:p>
  </w:footnote>
  <w:footnote w:id="5">
    <w:p>
      <w:pPr>
        <w:pStyle w:val="FootnoteText"/>
      </w:pPr>
      <w:r>
        <w:rPr>
          <w:rStyle w:val="FootnoteReference"/>
        </w:rPr>
        <w:footnoteRef/>
      </w:r>
      <w:r>
        <w:tab/>
        <w:t>OJ L 210, 06.08.2013.</w:t>
      </w:r>
    </w:p>
  </w:footnote>
  <w:footnote w:id="6">
    <w:p>
      <w:pPr>
        <w:pStyle w:val="FootnoteText"/>
      </w:pPr>
      <w:r>
        <w:rPr>
          <w:rStyle w:val="FootnoteReference"/>
        </w:rPr>
        <w:footnoteRef/>
      </w:r>
      <w:r>
        <w:tab/>
        <w:t>OJ L 58, 03.03.2015, Council Regulation (EU) 2015/323 of 2 March 2015 on the Financial Regulation applicable to the 11</w:t>
      </w:r>
      <w:r>
        <w:rPr>
          <w:vertAlign w:val="superscript"/>
        </w:rPr>
        <w:t>th</w:t>
      </w:r>
      <w:r>
        <w:t xml:space="preserve"> European Development Fund.</w:t>
      </w:r>
    </w:p>
  </w:footnote>
  <w:footnote w:id="7">
    <w:p>
      <w:pPr>
        <w:pStyle w:val="FootnoteText"/>
      </w:pPr>
      <w:r>
        <w:rPr>
          <w:rStyle w:val="FootnoteReference"/>
        </w:rPr>
        <w:footnoteRef/>
      </w:r>
      <w:r>
        <w:tab/>
        <w:t>Commission decision establishing the EUTF Africa C(2015)7293.</w:t>
      </w:r>
    </w:p>
  </w:footnote>
  <w:footnote w:id="8">
    <w:p>
      <w:pPr>
        <w:pStyle w:val="FootnoteText"/>
      </w:pPr>
      <w:r>
        <w:rPr>
          <w:rStyle w:val="FootnoteReference"/>
        </w:rPr>
        <w:footnoteRef/>
      </w:r>
      <w:r>
        <w:tab/>
        <w:t>Commission proposal COM(2016)586 final.</w:t>
      </w:r>
    </w:p>
  </w:footnote>
  <w:footnote w:id="9">
    <w:p>
      <w:pPr>
        <w:pStyle w:val="FootnoteText"/>
      </w:pPr>
      <w:r>
        <w:rPr>
          <w:rStyle w:val="FootnoteReference"/>
        </w:rPr>
        <w:footnoteRef/>
      </w:r>
      <w:r>
        <w:tab/>
        <w:t>Gross commitments, i.e. without de-commitments being deducted.</w:t>
      </w:r>
    </w:p>
  </w:footnote>
  <w:footnote w:id="10">
    <w:p>
      <w:pPr>
        <w:pStyle w:val="FootnoteText"/>
      </w:pPr>
      <w:r>
        <w:rPr>
          <w:rStyle w:val="FootnoteReference"/>
        </w:rPr>
        <w:footnoteRef/>
      </w:r>
      <w:r>
        <w:tab/>
        <w:t>Gross payments, i.e. without recoveries being deducted.</w:t>
      </w:r>
    </w:p>
  </w:footnote>
  <w:footnote w:id="11">
    <w:p>
      <w:pPr>
        <w:pStyle w:val="FootnoteText"/>
      </w:pPr>
      <w:r>
        <w:rPr>
          <w:rStyle w:val="FootnoteReference"/>
        </w:rPr>
        <w:footnoteRef/>
      </w:r>
      <w:r>
        <w:tab/>
        <w:t>OJ L 58, 03.03.2015, Council Regulation (EU) 2015/323 of 2 March 2015 on the Financial Regulation applicable to the 11th European Development Fund.</w:t>
      </w:r>
    </w:p>
  </w:footnote>
  <w:footnote w:id="12">
    <w:p>
      <w:pPr>
        <w:pStyle w:val="FootnoteText"/>
      </w:pPr>
      <w:r>
        <w:rPr>
          <w:rStyle w:val="FootnoteReference"/>
        </w:rPr>
        <w:footnoteRef/>
      </w:r>
      <w:r>
        <w:tab/>
        <w:t>OJ L212, 5.8.2016, p. 107.</w:t>
      </w:r>
    </w:p>
  </w:footnote>
  <w:footnote w:id="13">
    <w:p>
      <w:pPr>
        <w:pStyle w:val="FootnoteText"/>
      </w:pPr>
      <w:r>
        <w:rPr>
          <w:rStyle w:val="FootnoteReference"/>
        </w:rPr>
        <w:footnoteRef/>
      </w:r>
      <w:r>
        <w:tab/>
        <w:t>OJ L 58, 03.03.2015, Council Regulation (EU) 2015/323 of 2 March 2015 on the Financial Regulation applicable to the 11th European Development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E517BE1ADC54A6EAFE2F35539A304D7"/>
    <w:docVar w:name="LW_CROSSREFERENCE" w:val="&lt;UNUSED&gt;"/>
    <w:docVar w:name="LW_DocType" w:val="NORMAL"/>
    <w:docVar w:name="LW_EMISSION" w:val="14.6.2017"/>
    <w:docVar w:name="LW_EMISSION_ISODATE" w:val="2017-06-14"/>
    <w:docVar w:name="LW_EMISSION_LOCATION" w:val="BRX"/>
    <w:docVar w:name="LW_EMISSION_PREFIX" w:val="Brussels, "/>
    <w:docVar w:name="LW_EMISSION_SUFFIX" w:val=" "/>
    <w:docVar w:name="LW_ID_DOCTYPE_NONLW" w:val="CP-010"/>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99"/>
    <w:docVar w:name="LW_REF.INTERNE" w:val="&lt;UNUSED&gt;"/>
    <w:docVar w:name="LW_SOUS.TITRE.OBJ.CP" w:val="&lt;UNUSED&gt;"/>
    <w:docVar w:name="LW_SUPERTITRE" w:val="&lt;UNUSED&gt;"/>
    <w:docVar w:name="LW_TITRE.OBJ.CP" w:val="Financial information on the European Development Fund_x000b__x000b_European Development Fund (EDF): forecasts of commitments, payments and contributions "/>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2587">
      <w:bodyDiv w:val="1"/>
      <w:marLeft w:val="0"/>
      <w:marRight w:val="0"/>
      <w:marTop w:val="0"/>
      <w:marBottom w:val="0"/>
      <w:divBdr>
        <w:top w:val="none" w:sz="0" w:space="0" w:color="auto"/>
        <w:left w:val="none" w:sz="0" w:space="0" w:color="auto"/>
        <w:bottom w:val="none" w:sz="0" w:space="0" w:color="auto"/>
        <w:right w:val="none" w:sz="0" w:space="0" w:color="auto"/>
      </w:divBdr>
    </w:div>
    <w:div w:id="190269309">
      <w:bodyDiv w:val="1"/>
      <w:marLeft w:val="0"/>
      <w:marRight w:val="0"/>
      <w:marTop w:val="0"/>
      <w:marBottom w:val="0"/>
      <w:divBdr>
        <w:top w:val="none" w:sz="0" w:space="0" w:color="auto"/>
        <w:left w:val="none" w:sz="0" w:space="0" w:color="auto"/>
        <w:bottom w:val="none" w:sz="0" w:space="0" w:color="auto"/>
        <w:right w:val="none" w:sz="0" w:space="0" w:color="auto"/>
      </w:divBdr>
    </w:div>
    <w:div w:id="221792415">
      <w:bodyDiv w:val="1"/>
      <w:marLeft w:val="0"/>
      <w:marRight w:val="0"/>
      <w:marTop w:val="0"/>
      <w:marBottom w:val="0"/>
      <w:divBdr>
        <w:top w:val="none" w:sz="0" w:space="0" w:color="auto"/>
        <w:left w:val="none" w:sz="0" w:space="0" w:color="auto"/>
        <w:bottom w:val="none" w:sz="0" w:space="0" w:color="auto"/>
        <w:right w:val="none" w:sz="0" w:space="0" w:color="auto"/>
      </w:divBdr>
    </w:div>
    <w:div w:id="352195666">
      <w:bodyDiv w:val="1"/>
      <w:marLeft w:val="0"/>
      <w:marRight w:val="0"/>
      <w:marTop w:val="0"/>
      <w:marBottom w:val="0"/>
      <w:divBdr>
        <w:top w:val="none" w:sz="0" w:space="0" w:color="auto"/>
        <w:left w:val="none" w:sz="0" w:space="0" w:color="auto"/>
        <w:bottom w:val="none" w:sz="0" w:space="0" w:color="auto"/>
        <w:right w:val="none" w:sz="0" w:space="0" w:color="auto"/>
      </w:divBdr>
    </w:div>
    <w:div w:id="648285809">
      <w:bodyDiv w:val="1"/>
      <w:marLeft w:val="0"/>
      <w:marRight w:val="0"/>
      <w:marTop w:val="0"/>
      <w:marBottom w:val="0"/>
      <w:divBdr>
        <w:top w:val="none" w:sz="0" w:space="0" w:color="auto"/>
        <w:left w:val="none" w:sz="0" w:space="0" w:color="auto"/>
        <w:bottom w:val="none" w:sz="0" w:space="0" w:color="auto"/>
        <w:right w:val="none" w:sz="0" w:space="0" w:color="auto"/>
      </w:divBdr>
    </w:div>
    <w:div w:id="726337285">
      <w:bodyDiv w:val="1"/>
      <w:marLeft w:val="0"/>
      <w:marRight w:val="0"/>
      <w:marTop w:val="0"/>
      <w:marBottom w:val="0"/>
      <w:divBdr>
        <w:top w:val="none" w:sz="0" w:space="0" w:color="auto"/>
        <w:left w:val="none" w:sz="0" w:space="0" w:color="auto"/>
        <w:bottom w:val="none" w:sz="0" w:space="0" w:color="auto"/>
        <w:right w:val="none" w:sz="0" w:space="0" w:color="auto"/>
      </w:divBdr>
    </w:div>
    <w:div w:id="745415268">
      <w:bodyDiv w:val="1"/>
      <w:marLeft w:val="0"/>
      <w:marRight w:val="0"/>
      <w:marTop w:val="0"/>
      <w:marBottom w:val="0"/>
      <w:divBdr>
        <w:top w:val="none" w:sz="0" w:space="0" w:color="auto"/>
        <w:left w:val="none" w:sz="0" w:space="0" w:color="auto"/>
        <w:bottom w:val="none" w:sz="0" w:space="0" w:color="auto"/>
        <w:right w:val="none" w:sz="0" w:space="0" w:color="auto"/>
      </w:divBdr>
    </w:div>
    <w:div w:id="886649050">
      <w:bodyDiv w:val="1"/>
      <w:marLeft w:val="0"/>
      <w:marRight w:val="0"/>
      <w:marTop w:val="0"/>
      <w:marBottom w:val="0"/>
      <w:divBdr>
        <w:top w:val="none" w:sz="0" w:space="0" w:color="auto"/>
        <w:left w:val="none" w:sz="0" w:space="0" w:color="auto"/>
        <w:bottom w:val="none" w:sz="0" w:space="0" w:color="auto"/>
        <w:right w:val="none" w:sz="0" w:space="0" w:color="auto"/>
      </w:divBdr>
    </w:div>
    <w:div w:id="1015573858">
      <w:bodyDiv w:val="1"/>
      <w:marLeft w:val="0"/>
      <w:marRight w:val="0"/>
      <w:marTop w:val="0"/>
      <w:marBottom w:val="0"/>
      <w:divBdr>
        <w:top w:val="none" w:sz="0" w:space="0" w:color="auto"/>
        <w:left w:val="none" w:sz="0" w:space="0" w:color="auto"/>
        <w:bottom w:val="none" w:sz="0" w:space="0" w:color="auto"/>
        <w:right w:val="none" w:sz="0" w:space="0" w:color="auto"/>
      </w:divBdr>
    </w:div>
    <w:div w:id="1108895169">
      <w:bodyDiv w:val="1"/>
      <w:marLeft w:val="0"/>
      <w:marRight w:val="0"/>
      <w:marTop w:val="0"/>
      <w:marBottom w:val="0"/>
      <w:divBdr>
        <w:top w:val="none" w:sz="0" w:space="0" w:color="auto"/>
        <w:left w:val="none" w:sz="0" w:space="0" w:color="auto"/>
        <w:bottom w:val="none" w:sz="0" w:space="0" w:color="auto"/>
        <w:right w:val="none" w:sz="0" w:space="0" w:color="auto"/>
      </w:divBdr>
    </w:div>
    <w:div w:id="1182663719">
      <w:bodyDiv w:val="1"/>
      <w:marLeft w:val="0"/>
      <w:marRight w:val="0"/>
      <w:marTop w:val="0"/>
      <w:marBottom w:val="0"/>
      <w:divBdr>
        <w:top w:val="none" w:sz="0" w:space="0" w:color="auto"/>
        <w:left w:val="none" w:sz="0" w:space="0" w:color="auto"/>
        <w:bottom w:val="none" w:sz="0" w:space="0" w:color="auto"/>
        <w:right w:val="none" w:sz="0" w:space="0" w:color="auto"/>
      </w:divBdr>
    </w:div>
    <w:div w:id="1940796710">
      <w:bodyDiv w:val="1"/>
      <w:marLeft w:val="0"/>
      <w:marRight w:val="0"/>
      <w:marTop w:val="0"/>
      <w:marBottom w:val="0"/>
      <w:divBdr>
        <w:top w:val="none" w:sz="0" w:space="0" w:color="auto"/>
        <w:left w:val="none" w:sz="0" w:space="0" w:color="auto"/>
        <w:bottom w:val="none" w:sz="0" w:space="0" w:color="auto"/>
        <w:right w:val="none" w:sz="0" w:space="0" w:color="auto"/>
      </w:divBdr>
    </w:div>
    <w:div w:id="2029482831">
      <w:bodyDiv w:val="1"/>
      <w:marLeft w:val="0"/>
      <w:marRight w:val="0"/>
      <w:marTop w:val="0"/>
      <w:marBottom w:val="0"/>
      <w:divBdr>
        <w:top w:val="none" w:sz="0" w:space="0" w:color="auto"/>
        <w:left w:val="none" w:sz="0" w:space="0" w:color="auto"/>
        <w:bottom w:val="none" w:sz="0" w:space="0" w:color="auto"/>
        <w:right w:val="none" w:sz="0" w:space="0" w:color="auto"/>
      </w:divBdr>
    </w:div>
    <w:div w:id="2039381223">
      <w:bodyDiv w:val="1"/>
      <w:marLeft w:val="0"/>
      <w:marRight w:val="0"/>
      <w:marTop w:val="0"/>
      <w:marBottom w:val="0"/>
      <w:divBdr>
        <w:top w:val="none" w:sz="0" w:space="0" w:color="auto"/>
        <w:left w:val="none" w:sz="0" w:space="0" w:color="auto"/>
        <w:bottom w:val="none" w:sz="0" w:space="0" w:color="auto"/>
        <w:right w:val="none" w:sz="0" w:space="0" w:color="auto"/>
      </w:divBdr>
    </w:div>
    <w:div w:id="21091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7593-6625-4BD5-874B-9C155720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3049</Words>
  <Characters>18909</Characters>
  <Application>Microsoft Office Word</Application>
  <DocSecurity>0</DocSecurity>
  <Lines>1890</Lines>
  <Paragraphs>1568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2017-05-12T12:03:00Z</dcterms:created>
  <dcterms:modified xsi:type="dcterms:W3CDTF">2017-06-02T10:20:00Z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