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37B18A53834741AEB7A3FF16C612C7" style="width:450.35pt;height:393.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u w:color="000000"/>
          <w:bdr w:val="nil"/>
        </w:rPr>
      </w:pPr>
      <w:r>
        <w:rPr>
          <w:noProof/>
        </w:rPr>
        <w:t>•</w:t>
      </w:r>
      <w:r>
        <w:rPr>
          <w:noProof/>
        </w:rPr>
        <w:tab/>
        <w:t>Основания и цели на предложението</w:t>
      </w:r>
    </w:p>
    <w:p>
      <w:pPr>
        <w:rPr>
          <w:noProof/>
        </w:rPr>
      </w:pPr>
      <w:r>
        <w:rPr>
          <w:noProof/>
        </w:rPr>
        <w:t>В съответствие с член 396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(наричана по-долу „Директивата за ДДС“) Съветът, действащ с единодушие по предложение на Комисията, може да разреши на държава членка да сключи с трета държава или международен орган споразумение, което съдържа дерогации от Директивата за ДДС.</w:t>
      </w:r>
    </w:p>
    <w:p>
      <w:pPr>
        <w:rPr>
          <w:noProof/>
        </w:rPr>
      </w:pPr>
      <w:r>
        <w:rPr>
          <w:noProof/>
        </w:rPr>
        <w:t>С писмо, заведено в Комисията на 7 октомври 2016 г., Полша поиска разрешение да сключи международно споразумение с Украйна по отношение на териториалното прилагане на системата на ДДС във връзка с поддръжката на пътните мостове на полско-украинската граница. В съответствие с член 396, параграф 2 от Директивата за ДДС с писмо от 24 януари 2017 г. Комисията изпрати съответното уведомление до останалите държави членки. С писмо от 25 януари 2017 г. Комисията уведоми Полша, че разполага с цялата необходима информация за разглеждане на искането.</w:t>
      </w:r>
    </w:p>
    <w:p>
      <w:pPr>
        <w:rPr>
          <w:iCs/>
          <w:noProof/>
        </w:rPr>
      </w:pPr>
      <w:r>
        <w:rPr>
          <w:noProof/>
        </w:rPr>
        <w:t>С цел да се подобри транспортът между Полша и Украйна двете държави изготвиха проект за двустранно споразумение относно поддръжката на пътните мостове на полско-украинската граница (наричано по-нататък „споразумението“).</w:t>
      </w:r>
    </w:p>
    <w:p>
      <w:pPr>
        <w:rPr>
          <w:noProof/>
        </w:rPr>
      </w:pPr>
      <w:r>
        <w:rPr>
          <w:noProof/>
        </w:rPr>
        <w:t xml:space="preserve">То се отнася до поддръжката на трите пътни моста на полско-украинската граница, всеки от които е разположен отчасти на територията на Република Полша и отчасти на територията на Република Украйна. Тези мостове представляват част от обществената пътна система по протежение на границата между двете държави. Двата гранични моста над река Bug на полско-украинската граница са изградени с финансиране от Полша и са нейна собственост: стоманен мост между Dorohusk и Jagodzin, който ще се поддържа от Украйна, и мост от стоманобетонна и стоманена конструкция между Zosin и Ustyluh, който ще се поддържа от Полша. </w:t>
      </w:r>
    </w:p>
    <w:p>
      <w:pPr>
        <w:rPr>
          <w:rFonts w:eastAsia="Times New Roman"/>
          <w:noProof/>
          <w:szCs w:val="24"/>
        </w:rPr>
      </w:pPr>
      <w:r>
        <w:rPr>
          <w:noProof/>
        </w:rPr>
        <w:t>Третият пътен мост над река Bug, който е със стоманени греди и стоманобетонна настилка, разположен отново между Dorohusk и Jagodzins, е бил изграден с финансиране от двете държави, които притежват равно дялово участие в собствеността. Двете страни постигнаха съгласие относно разпределянето на работите по поддръжката, като всяка страна ще поддържа частта от моста, която притежава, с изключение на зимната поддръжка.</w:t>
      </w:r>
    </w:p>
    <w:p>
      <w:pPr>
        <w:rPr>
          <w:noProof/>
        </w:rPr>
      </w:pPr>
      <w:r>
        <w:rPr>
          <w:noProof/>
        </w:rPr>
        <w:t xml:space="preserve">Що се отнася до зимната поддръжка, двете страни ще отговарят на ротационен принцип за граничния пътен мост по цялата му дължина: Полша </w:t>
      </w:r>
      <w:r>
        <w:rPr>
          <w:noProof/>
        </w:rPr>
        <w:noBreakHyphen/>
        <w:t xml:space="preserve"> от 1 октомври на всяка нечетна година до 30 септември на всяка четна година  и Украйна </w:t>
      </w:r>
      <w:r>
        <w:rPr>
          <w:noProof/>
        </w:rPr>
        <w:noBreakHyphen/>
        <w:t xml:space="preserve"> от 1 октомври на всяка четна година до 30 септември на всяка нечетна година.</w:t>
      </w:r>
    </w:p>
    <w:p>
      <w:pPr>
        <w:rPr>
          <w:noProof/>
        </w:rPr>
      </w:pPr>
      <w:r>
        <w:rPr>
          <w:noProof/>
        </w:rPr>
        <w:t>Що се отнася до прилагането на законодателството на Полша и Украйна във връзка с ДДС, споразумението предвижда, че по отношение на доставката на стоки и услуги, предназначени за поддръжката на граничните пътни мостове или на части от тях, граничният пътен мост или част от него се счита за полска територия, доколкото Полша е отговорна за поддръжката му в съответствие с приложението към споразумението. Споразумението предвижда освен това, че по отношение на доставката на стоки и услуги, предназначени за поддръжката на граничните пътни мостове или на части от тях, граничният пътен мост или част от него се счита за украинската територия, доколкото Украйна е отговорна за поддръжката му в съответствие с приложението към споразумението.</w:t>
      </w:r>
    </w:p>
    <w:p>
      <w:pPr>
        <w:rPr>
          <w:noProof/>
        </w:rPr>
      </w:pPr>
      <w:r>
        <w:rPr>
          <w:noProof/>
        </w:rPr>
        <w:t>В споразумението също така се предвижда, че стоките, внасяни от територията на една от договарящите се страни в територията на другата договаряща се страна, не подлежат на облагане с ДДС съгласно полското или украинското законодателство, ако тези стоки се използват за работи по поддръжката, извършвани съгласно споразумението.</w:t>
      </w:r>
    </w:p>
    <w:p>
      <w:pPr>
        <w:rPr>
          <w:noProof/>
        </w:rPr>
      </w:pPr>
      <w:r>
        <w:rPr>
          <w:noProof/>
        </w:rPr>
        <w:t xml:space="preserve">В съответствие с принципа на териториално приложение, определен с Директивата за ДДС, доставките на стоки и услуги във връзка с  извършваните на полска суверенна територия работи по поддръжката на пътните мостове ще подлежат на облагане с ДДС в Полша, докато доставките на стоки и услуги за работите по поддръжката, извършвани на украинска суверенна територия, ще останат извън териториалния обхват на Директивата за ДДС. Ако тези разпоредби биха се прилагали, би било необходимо сделките да се разпределят въз основа на територията, на която са извършени. Освен това всички стоки, внесени от Украйна в Полша, предназначени за поддръжката на граничен мост, биха се облагали с ДДС в Полша. </w:t>
      </w:r>
    </w:p>
    <w:p>
      <w:pPr>
        <w:rPr>
          <w:noProof/>
        </w:rPr>
      </w:pPr>
      <w:r>
        <w:rPr>
          <w:noProof/>
        </w:rPr>
        <w:t>Полша е на мнение, че прилагането на тези правила би породило данъчни усложнения за предприятията изпълнители, отговорни за поддръжката на мостовете. Поради това тя счита, че данъчните разпоредби в споразумението са обосновани с оглед опростяването на данъчните задължения на изпълнителите.</w:t>
      </w:r>
    </w:p>
    <w:p>
      <w:pPr>
        <w:rPr>
          <w:noProof/>
        </w:rPr>
      </w:pPr>
      <w:r>
        <w:rPr>
          <w:noProof/>
        </w:rPr>
        <w:t>Предвид гореизложеното Полша иска чрез дерогация от член 5 от Директивата за ДДС, граничните пътни мостове или части от тях да бъдат признати за част от територията на Полша (или съответно на Украйна) за целите на доставките на стоки и услуги, както и за вноса на стоки, предназначени за поддръжката от Полша или Украйна на тези мостове или части от тях.</w:t>
      </w:r>
    </w:p>
    <w:p>
      <w:pPr>
        <w:rPr>
          <w:noProof/>
        </w:rPr>
      </w:pPr>
      <w:r>
        <w:rPr>
          <w:noProof/>
        </w:rPr>
        <w:t>Съветът вече няколко пъти е разрешавал на държави членки да сключат споразумения с трети държави в погранични райони и тези споразумения включват, между другото, подобни на предложените тук данъчни разпоредби. Германия получи разрешение да сключи няколко споразумения с Полша</w:t>
      </w:r>
      <w:r>
        <w:rPr>
          <w:rStyle w:val="FootnoteReference"/>
          <w:noProof/>
        </w:rPr>
        <w:footnoteReference w:id="2"/>
      </w:r>
      <w:r>
        <w:rPr>
          <w:noProof/>
        </w:rPr>
        <w:t>, Чешката република</w:t>
      </w:r>
      <w:r>
        <w:rPr>
          <w:rStyle w:val="FootnoteReference"/>
          <w:noProof/>
        </w:rPr>
        <w:footnoteReference w:id="3"/>
      </w:r>
      <w:r>
        <w:rPr>
          <w:noProof/>
        </w:rPr>
        <w:t xml:space="preserve"> и Швейцария</w:t>
      </w:r>
      <w:r>
        <w:rPr>
          <w:rStyle w:val="FootnoteReference"/>
          <w:noProof/>
        </w:rPr>
        <w:footnoteReference w:id="4"/>
      </w:r>
      <w:r>
        <w:rPr>
          <w:noProof/>
        </w:rPr>
        <w:t>, а Австрия — със Швейцария</w:t>
      </w:r>
      <w:r>
        <w:rPr>
          <w:rStyle w:val="FootnoteReference"/>
          <w:noProof/>
        </w:rPr>
        <w:footnoteReference w:id="5"/>
      </w:r>
      <w:r>
        <w:rPr>
          <w:noProof/>
        </w:rPr>
        <w:t xml:space="preserve">. </w:t>
      </w:r>
    </w:p>
    <w:p>
      <w:pPr>
        <w:rPr>
          <w:noProof/>
        </w:rPr>
      </w:pPr>
      <w:r>
        <w:rPr>
          <w:noProof/>
        </w:rPr>
        <w:t>Комисията е съгласна, че еднаквото данъчно облагане на работите по поддръжката на граничните мостове или част от тях и отказът от събиране на ДДС върху вноса на стоки, предназначени за използване в такива дейности, би улеснило изпълнителите в сравнение с прилагането на обичайните правила за данъчно облагане.</w:t>
      </w:r>
    </w:p>
    <w:p>
      <w:pPr>
        <w:rPr>
          <w:noProof/>
        </w:rPr>
      </w:pPr>
      <w:r>
        <w:rPr>
          <w:noProof/>
        </w:rPr>
        <w:t xml:space="preserve">Комисията счита, че въпросното споразумение би могло да има само ограничено положително или отрицателно въздействие върху собствените ресурси на Съюза, формирани от ДДС. Независимо това Комисията счита, че това не следва да бъде пречка Полша да получи поисканото разрешение, тъй като целта на предвидения в споразумението данъчен режим е да се постигне цялостен баланс, вече съществуват предходни споразумения, с които е търсен цялостен компенсиращ баланс, и съответните суми са незначителни по размер. </w:t>
      </w:r>
    </w:p>
    <w:p>
      <w:pPr>
        <w:rPr>
          <w:noProof/>
        </w:rPr>
      </w:pPr>
      <w:r>
        <w:rPr>
          <w:noProof/>
        </w:rPr>
        <w:t>Поради това Комисията счита, че на Полша следва да се разреши да сключи предложеното споразумение.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396 от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даването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noProof/>
        </w:rPr>
      </w:pPr>
      <w:r>
        <w:rPr>
          <w:noProof/>
        </w:rPr>
        <w:t>Поради силно ограничения обхват на дерогацията специалната мярка е пропорционална на поставената цел.</w:t>
      </w:r>
    </w:p>
    <w:p>
      <w:pPr>
        <w:pStyle w:val="ManualHeading2"/>
        <w:rPr>
          <w:rFonts w:eastAsia="Arial Unicode MS"/>
          <w:noProof/>
          <w:u w:color="000000"/>
          <w:bdr w:val="nil"/>
        </w:rPr>
      </w:pPr>
      <w:r>
        <w:rPr>
          <w:noProof/>
        </w:rPr>
        <w:t>•</w:t>
      </w:r>
      <w:r>
        <w:rPr>
          <w:noProof/>
        </w:rPr>
        <w:tab/>
        <w:t>Избор на инструмент</w:t>
      </w:r>
    </w:p>
    <w:p>
      <w:pPr>
        <w:spacing w:before="0" w:after="240"/>
        <w:rPr>
          <w:rFonts w:eastAsia="Arial Unicode MS"/>
          <w:noProof/>
        </w:rPr>
      </w:pPr>
      <w:r>
        <w:rPr>
          <w:noProof/>
        </w:rPr>
        <w:t>Предлаган инструмент: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В съответствие с член 396 от Директивата за ДДС дерогация от общите правила за ДДС е възможна единствено след като Съветът, действащ с единодушие по предложение на Комисията, е дал своето разрешение. Най-подходящият инструмент е решение за изпълнение на Съвета,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rFonts w:eastAsia="Arial Unicode MS"/>
          <w:noProof/>
        </w:rPr>
      </w:pPr>
      <w:r>
        <w:rPr>
          <w:noProof/>
        </w:rPr>
        <w:t>Настоящото предложение се основава на искане, отправено от Полша,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Предложението за решение за изпълнение на Съвета се отнася до ситуацията по отношение на поддръжката на пътните мостове на полско-украинската граница. Предвид ограничения обхват на дерогацията въздействието във всички случаи ще бъде ограничено.</w:t>
      </w:r>
    </w:p>
    <w:p>
      <w:pPr>
        <w:pStyle w:val="ManualHeading1"/>
        <w:rPr>
          <w:noProof/>
        </w:rPr>
      </w:pPr>
      <w:r>
        <w:rPr>
          <w:noProof/>
        </w:rPr>
        <w:t>4.</w:t>
      </w:r>
      <w:r>
        <w:rPr>
          <w:noProof/>
        </w:rPr>
        <w:tab/>
        <w:t>ОТРАЖЕНИЕ ВЪРХУ БЮДЖЕТА</w:t>
      </w:r>
    </w:p>
    <w:p>
      <w:pPr>
        <w:jc w:val="left"/>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Предложението не оказва въздействие върху собствените ресурси на Съюза, формирани от ДДС, тъй като вносителите или доставчиците от трети държави биха имали при всички случаи пълно право на приспадане на ДДС, платен при вноса или доставките, направени съгласно обичайната система.</w:t>
      </w:r>
    </w:p>
    <w:p>
      <w:pPr>
        <w:pStyle w:val="Rfrenceinterinstitutionnelle"/>
        <w:rPr>
          <w:noProof/>
        </w:rPr>
      </w:pPr>
      <w:r>
        <w:rPr>
          <w:noProof/>
        </w:rPr>
        <w:t>2017/0131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даване на разрешение на Република Полша да сключи с Република Украйна споразумение, съдържащо мерки за дерогация от член 2, параграф 1, буква г) и член 5 от Директива 2006/112/ЕО относно общата система на данъка върху добавената стойност по отношение на поддръжката на пътните мостове на полско-украинската граница</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6"/>
      </w:r>
      <w:r>
        <w:rPr>
          <w:noProof/>
        </w:rPr>
        <w:t>, и по-специално член 396,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писмо, заведено в Комисията на 7 октомври 2016 г., Полша поиска разрешение да сключи споразумение с Украйна във връзка с поддръжката на трите пътни моста над река Bug на полско-украинската граница (два моста между Dorohusk и Jagodzin и трети мост между Zosin и Ustyluh).</w:t>
      </w:r>
    </w:p>
    <w:p>
      <w:pPr>
        <w:pStyle w:val="ManualConsidrant"/>
        <w:rPr>
          <w:noProof/>
        </w:rPr>
      </w:pPr>
      <w:r>
        <w:t>(2)</w:t>
      </w:r>
      <w:r>
        <w:tab/>
      </w:r>
      <w:r>
        <w:rPr>
          <w:noProof/>
        </w:rPr>
        <w:t>В съответствие с член 396, параграф 2, втора алинея от Директива 2006/112/ЕО, с писмо от 24 януари 2017 г., Комисията информира останалите държави членки за отправеното от Полша искане. С писмо от 25 януари 2017 г. Комисията уведоми Полша, че разполага с цялата необходима информация за разглеждане на искането.</w:t>
      </w:r>
    </w:p>
    <w:p>
      <w:pPr>
        <w:pStyle w:val="ManualConsidrant"/>
        <w:rPr>
          <w:noProof/>
        </w:rPr>
      </w:pPr>
      <w:r>
        <w:t>(3)</w:t>
      </w:r>
      <w:r>
        <w:tab/>
      </w:r>
      <w:r>
        <w:rPr>
          <w:noProof/>
        </w:rPr>
        <w:t>Извършените на територията на Полша работи по поддръжката се облагат с ДДС в Полша, докато работите, извършени на територията на Украйна, остават извън обхвата на Директива 2006/112/ЕО. Освен това всички стоки, внесени от Украйна в Полша, за да бъдат използвани за поддръжката на граничните мостове, се облагат с ДДС в Полша.</w:t>
      </w:r>
    </w:p>
    <w:p>
      <w:pPr>
        <w:pStyle w:val="ManualConsidrant"/>
        <w:rPr>
          <w:noProof/>
        </w:rPr>
      </w:pPr>
      <w:r>
        <w:t>(4)</w:t>
      </w:r>
      <w:r>
        <w:tab/>
      </w:r>
      <w:r>
        <w:rPr>
          <w:noProof/>
        </w:rPr>
        <w:t>С оглед гарантиране постигането на целите на споразумението и по-специално подобряването на транспорта между Полша и Украйна е целесъобразно да се опростят правилата в областта на ДДС, приложими за работите по поддръжката и свързания с тях внос на стоки.</w:t>
      </w:r>
    </w:p>
    <w:p>
      <w:pPr>
        <w:pStyle w:val="ManualConsidrant"/>
        <w:rPr>
          <w:noProof/>
        </w:rPr>
      </w:pPr>
      <w:r>
        <w:t>(5)</w:t>
      </w:r>
      <w:r>
        <w:tab/>
      </w:r>
      <w:r>
        <w:rPr>
          <w:noProof/>
        </w:rPr>
        <w:t>Дерогацията няма да има въздействие върху собствените ресурси на Съюза, формирани от ДДС,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На Полша се разрешава да сключи споразумение с Украйна, което включва разпоредби за дерогация от член 2, параграф 1, буква г) и член 5 от Директива 2006/112/ЕО по отношение на териториалния обхват на системата на данъка върху добавената стойност и реда за облагане с ДДС на сделките във връзка с поддръжката на пътните мостове на полско-украинската граница.</w:t>
      </w:r>
    </w:p>
    <w:p>
      <w:pPr>
        <w:rPr>
          <w:noProof/>
        </w:rPr>
      </w:pPr>
      <w:r>
        <w:rPr>
          <w:noProof/>
        </w:rPr>
        <w:t>Настоящото споразумение се отнася до поддръжката на трите гранични моста, изброени в приложението.</w:t>
      </w:r>
    </w:p>
    <w:p>
      <w:pPr>
        <w:pStyle w:val="Titrearticle"/>
        <w:rPr>
          <w:noProof/>
        </w:rPr>
      </w:pPr>
      <w:r>
        <w:rPr>
          <w:noProof/>
        </w:rPr>
        <w:t>Член 2</w:t>
      </w:r>
    </w:p>
    <w:p>
      <w:pPr>
        <w:rPr>
          <w:noProof/>
        </w:rPr>
      </w:pPr>
      <w:r>
        <w:rPr>
          <w:noProof/>
        </w:rPr>
        <w:t>Чрез дерогация от член 5 от Директива 2006/112/ЕО посочените в приложението гранични мостове, за чиято поддръжка Полша е поела отговорност, се считат за част от суверенната територия на Полша — доколкото тези мостове продължават върху суверенната територия на Украйна — по отношение на доставките на стоки или услуги, предназначени за поддръжката им.</w:t>
      </w:r>
    </w:p>
    <w:p>
      <w:pPr>
        <w:pStyle w:val="Titrearticle"/>
        <w:rPr>
          <w:noProof/>
        </w:rPr>
      </w:pPr>
      <w:r>
        <w:rPr>
          <w:noProof/>
        </w:rPr>
        <w:t>Член 3</w:t>
      </w:r>
    </w:p>
    <w:p>
      <w:pPr>
        <w:rPr>
          <w:noProof/>
        </w:rPr>
      </w:pPr>
      <w:r>
        <w:rPr>
          <w:noProof/>
        </w:rPr>
        <w:t>Чрез дерогация от член 5 от Директива 2006/112/ЕО граничните мостове, за чиято поддръжка Украйна е поела отговорност, се считат за част от суверенната територия на Украйна — доколкото тези мостове продължават върху суверенната територия на Полша —  по отношение на доставките на стоки или услуги, предназначени за поддръжката им.</w:t>
      </w:r>
    </w:p>
    <w:p>
      <w:pPr>
        <w:pStyle w:val="Titrearticle"/>
        <w:rPr>
          <w:noProof/>
        </w:rPr>
      </w:pPr>
      <w:r>
        <w:rPr>
          <w:noProof/>
        </w:rPr>
        <w:t>Член 4</w:t>
      </w:r>
    </w:p>
    <w:p>
      <w:pPr>
        <w:rPr>
          <w:noProof/>
        </w:rPr>
      </w:pPr>
      <w:r>
        <w:rPr>
          <w:noProof/>
        </w:rPr>
        <w:t xml:space="preserve">Чрез дерогация от член 2, параграф 1, буква г) от Директива 2006/112/ЕО стоките, внесени от Украйна в Полша от данъчно задължени лица с пълно право на приспадане, не подлежат на облагане с ДДС, доколкото тези стоки се използват за поддръжка на посочените в приложението мостове. </w:t>
      </w:r>
    </w:p>
    <w:p>
      <w:pPr>
        <w:pStyle w:val="Titrearticle"/>
        <w:rPr>
          <w:noProof/>
        </w:rPr>
      </w:pPr>
      <w:r>
        <w:rPr>
          <w:noProof/>
        </w:rPr>
        <w:t>Член 5</w:t>
      </w:r>
    </w:p>
    <w:p>
      <w:pPr>
        <w:keepNext/>
        <w:keepLines/>
        <w:rPr>
          <w:noProof/>
        </w:rPr>
      </w:pPr>
      <w:r>
        <w:rPr>
          <w:noProof/>
          <w:color w:val="000000"/>
        </w:rPr>
        <w:t>Адресат на настоящото решение е Република Полша</w:t>
      </w:r>
      <w: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ind w:left="720" w:hanging="720"/>
        <w:rPr>
          <w:sz w:val="20"/>
          <w:szCs w:val="20"/>
        </w:rPr>
      </w:pPr>
      <w:r>
        <w:rPr>
          <w:rStyle w:val="FootnoteReference"/>
        </w:rPr>
        <w:footnoteRef/>
      </w:r>
      <w:r>
        <w:tab/>
      </w:r>
      <w:r>
        <w:rPr>
          <w:sz w:val="20"/>
        </w:rPr>
        <w:t>Решение 95/115/ЕО на Съвета</w:t>
      </w:r>
      <w:r>
        <w:t xml:space="preserve"> от </w:t>
      </w:r>
      <w:hyperlink r:id="rId1">
        <w:r>
          <w:rPr>
            <w:sz w:val="20"/>
          </w:rPr>
          <w:t>30 март 1995 г.</w:t>
        </w:r>
      </w:hyperlink>
      <w:r>
        <w:t xml:space="preserve">, </w:t>
      </w:r>
      <w:r>
        <w:rPr>
          <w:sz w:val="20"/>
        </w:rPr>
        <w:t>(ОВ L 80, 8.4.1995 г., стр. 47)</w:t>
      </w:r>
      <w:r>
        <w:t>;</w:t>
      </w:r>
      <w:r>
        <w:rPr>
          <w:sz w:val="20"/>
        </w:rPr>
        <w:t xml:space="preserve"> Решение 96/402/ЕО на Съвета</w:t>
      </w:r>
      <w:r>
        <w:t xml:space="preserve"> от </w:t>
      </w:r>
      <w:hyperlink r:id="rId2">
        <w:r>
          <w:rPr>
            <w:sz w:val="20"/>
          </w:rPr>
          <w:t>25 юни 1996 г.</w:t>
        </w:r>
      </w:hyperlink>
      <w:r>
        <w:t xml:space="preserve">, </w:t>
      </w:r>
      <w:r>
        <w:rPr>
          <w:sz w:val="20"/>
        </w:rPr>
        <w:t>(ОВ L 165, 4.7.1996 г., стр. 35); Решение 95/435/ЕО на Съвета</w:t>
      </w:r>
      <w:r>
        <w:t xml:space="preserve"> от </w:t>
      </w:r>
      <w:r>
        <w:rPr>
          <w:sz w:val="20"/>
        </w:rPr>
        <w:t>23 октомври 1995 г.</w:t>
      </w:r>
      <w:r>
        <w:t xml:space="preserve"> (ОВ L 257, 27.10.1995 г., стр. 34) и Решение 2001/741/ЕО на Съвета от 16 октомври 2001 г. (ОВ L 278, 23.10.2001 г., стр. 28).</w:t>
      </w:r>
    </w:p>
  </w:footnote>
  <w:footnote w:id="3">
    <w:p>
      <w:pPr>
        <w:pStyle w:val="FootnoteText"/>
      </w:pPr>
      <w:r>
        <w:rPr>
          <w:rStyle w:val="FootnoteReference"/>
        </w:rPr>
        <w:footnoteRef/>
      </w:r>
      <w:r>
        <w:tab/>
        <w:t>Решение 97/188/ЕО на Съвета от 17 март 1997 г., (ОВ L 80, 21.3.1997 г., стр. 18) Решение 97/511/ЕО на Съвета от 24 юли 1997 г. (ОВ L 214, 6.8.1997 г., стр. 39) и Решение 2001/742/ЕО на Съвета от 16 октомври 2001 г. (ОВ L 278, 23.10.2001 г., стр. 30).</w:t>
      </w:r>
    </w:p>
  </w:footnote>
  <w:footnote w:id="4">
    <w:p>
      <w:pPr>
        <w:pStyle w:val="FootnoteText"/>
      </w:pPr>
      <w:r>
        <w:rPr>
          <w:rStyle w:val="FootnoteReference"/>
        </w:rPr>
        <w:footnoteRef/>
      </w:r>
      <w:r>
        <w:tab/>
        <w:t>Решение 2003/544/ЕО на Съвета от 15 юли 2003 г. (ОВ L 186, 25.7.2003 г., стр. 36) и Решение 2005/911/ЕО на Съвета от 12 декември 2005 г. (ОВ L 331, 17.12.2005 г., стр. 30).</w:t>
      </w:r>
    </w:p>
  </w:footnote>
  <w:footnote w:id="5">
    <w:p>
      <w:pPr>
        <w:pStyle w:val="FootnoteText"/>
      </w:pPr>
      <w:r>
        <w:rPr>
          <w:rStyle w:val="FootnoteReference"/>
        </w:rPr>
        <w:footnoteRef/>
      </w:r>
      <w:r>
        <w:tab/>
        <w:t>Решение 2007/485/ЕО на Съвета от 10 юли 2007 г. (ОВ L 182, 12.7.2007 г., стр. 29)</w:t>
      </w:r>
    </w:p>
  </w:footnote>
  <w:footnote w:id="6">
    <w:p>
      <w:pPr>
        <w:pStyle w:val="FootnoteText"/>
      </w:pPr>
      <w:r>
        <w:rPr>
          <w:rStyle w:val="FootnoteReference"/>
        </w:rPr>
        <w:footnoteRef/>
      </w:r>
      <w:r>
        <w:tab/>
        <w:t>ОВ L 347, 11.12.2006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5600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86F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2423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C74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FC3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3C72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902A92"/>
    <w:lvl w:ilvl="0">
      <w:start w:val="1"/>
      <w:numFmt w:val="decimal"/>
      <w:pStyle w:val="ListNumber"/>
      <w:lvlText w:val="%1."/>
      <w:lvlJc w:val="left"/>
      <w:pPr>
        <w:tabs>
          <w:tab w:val="num" w:pos="360"/>
        </w:tabs>
        <w:ind w:left="360" w:hanging="360"/>
      </w:pPr>
    </w:lvl>
  </w:abstractNum>
  <w:abstractNum w:abstractNumId="7">
    <w:nsid w:val="FFFFFF89"/>
    <w:multiLevelType w:val="singleLevel"/>
    <w:tmpl w:val="D018D3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3"/>
  </w:num>
  <w:num w:numId="11">
    <w:abstractNumId w:val="18"/>
  </w:num>
  <w:num w:numId="12">
    <w:abstractNumId w:val="17"/>
  </w:num>
  <w:num w:numId="13">
    <w:abstractNumId w:val="25"/>
    <w:lvlOverride w:ilvl="0">
      <w:startOverride w:val="1"/>
    </w:lvlOverride>
  </w:num>
  <w:num w:numId="14">
    <w:abstractNumId w:val="22"/>
  </w:num>
  <w:num w:numId="15">
    <w:abstractNumId w:val="14"/>
  </w:num>
  <w:num w:numId="16">
    <w:abstractNumId w:val="24"/>
  </w:num>
  <w:num w:numId="17">
    <w:abstractNumId w:val="12"/>
  </w:num>
  <w:num w:numId="18">
    <w:abstractNumId w:val="15"/>
  </w:num>
  <w:num w:numId="19">
    <w:abstractNumId w:val="10"/>
  </w:num>
  <w:num w:numId="20">
    <w:abstractNumId w:val="23"/>
  </w:num>
  <w:num w:numId="21">
    <w:abstractNumId w:val="9"/>
  </w:num>
  <w:num w:numId="22">
    <w:abstractNumId w:val="16"/>
  </w:num>
  <w:num w:numId="23">
    <w:abstractNumId w:val="20"/>
  </w:num>
  <w:num w:numId="24">
    <w:abstractNumId w:val="21"/>
  </w:num>
  <w:num w:numId="25">
    <w:abstractNumId w:val="11"/>
  </w:num>
  <w:num w:numId="26">
    <w:abstractNumId w:val="19"/>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8 14:13: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E337B18A53834741AEB7A3FF16C612C7"/>
    <w:docVar w:name="LW_CROSSREFERENCE" w:val="&lt;UNUSED&gt;"/>
    <w:docVar w:name="LW_DocType" w:val="COM"/>
    <w:docVar w:name="LW_EMISSION" w:val="15.6.2017"/>
    <w:docVar w:name="LW_EMISSION_ISODATE" w:val="2017-06-15"/>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1"/>
    <w:docVar w:name="LW_REF.II.NEW.CP_YEAR" w:val="2017"/>
    <w:docVar w:name="LW_REF.INST.NEW" w:val="COM"/>
    <w:docVar w:name="LW_REF.INST.NEW_ADOPTED" w:val="final"/>
    <w:docVar w:name="LW_REF.INST.NEW_TEXT" w:val="(2017) 318"/>
    <w:docVar w:name="LW_REF.INTERNE" w:val="&lt;UNUSED&gt;"/>
    <w:docVar w:name="LW_SOUS.TITRE.OBJ.CP" w:val="&lt;UNUSED&gt;"/>
    <w:docVar w:name="LW_STATUT.CP" w:val="\u1055?\u1088?\u1077?\u1076?\u1083?\u1086?\u1078?\u1077?\u1085?\u1080?\u1077? \u1079?\u1072?"/>
    <w:docVar w:name="LW_SUPERTITRE" w:val="&lt;UNUSED&gt;"/>
    <w:docVar w:name="LW_TITRE.OBJ.CP" w:val="\u1079?\u1072? \u1076?\u1072?\u1074?\u1072?\u1085?\u1077? \u1085?\u1072? \u1088?\u1072?\u1079?\u1088?\u1077?\u1096?\u1077?\u1085?\u1080?\u1077? \u1085?\u1072? \u1056?\u1077?\u1087?\u1091?\u1073?\u1083?\u1080?\u1082?\u1072? \u1055?\u1086?\u1083?\u1096?\u1072? \u1076?\u1072? \u1089?\u1082?\u1083?\u1102?\u1095?\u1080? \u1089? \u1056?\u1077?\u1087?\u1091?\u1073?\u1083?\u1080?\u1082?\u1072? \u1059?\u1082?\u1088?\u1072?\u1081?\u1085?\u1072? \u1089?\u1087?\u1086?\u1088?\u1072?\u1079?\u1091?\u1084?\u1077?\u1085?\u1080?\u1077?, \u1089?\u1098?\u1076?\u1098?\u1088?\u1078?\u1072?\u1097?\u1086? \u1084?\u1077?\u1088?\u1082?\u1080? \u1079?\u1072? \u1076?\u1077?\u1088?\u1086?\u1075?\u1072?\u1094?\u1080?\u1103? \u1086?\u1090? \u1095?\u1083?\u1077?\u1085? 2, \u1087?\u1072?\u1088?\u1072?\u1075?\u1088?\u1072?\u1092? 1, \u1073?\u1091?\u1082?\u1074?\u1072? \u1075?) \u1080? \u1095?\u1083?\u1077?\u1085? 5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u1087?\u1086? \u1086?\u1090?\u1085?\u1086?\u1096?\u1077?\u1085?\u1080?\u1077? \u1085?\u1072? \u1087?\u1086?\u1076?\u1076?\u1088?\u1098?\u1078?\u1082?\u1072?\u1090?\u1072? \u1085?\u1072? \u1087?\u1098?\u1090?\u1085?\u1080?\u1090?\u1077? \u1084?\u1086?\u1089?\u1090?\u1086?\u1074?\u1077? \u1085?\u1072? \u1087?\u1086?\u1083?\u1089?\u1082?\u1086?-\u1091?\u1082?\u1088?\u1072?\u1080?\u1085?\u1089?\u1082?\u1072?\u1090?\u1072? \u1075?\u1088?\u1072?\u1085?\u1080?\u1094?\u1072?"/>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character" w:customStyle="1" w:styleId="Teksttreci">
    <w:name w:val="Tekst treści_"/>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color w:val="000000"/>
      <w:spacing w:val="0"/>
      <w:w w:val="100"/>
      <w:position w:val="0"/>
      <w:sz w:val="21"/>
      <w:szCs w:val="21"/>
      <w:u w:val="none"/>
      <w:lang w:val="bg-BG"/>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Teksttreci9pt">
    <w:name w:val="Tekst treści + 9 pt"/>
    <w:basedOn w:val="Teksttrec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Teksttreci8">
    <w:name w:val="Tekst treści (8)_"/>
    <w:basedOn w:val="DefaultParagraphFont"/>
    <w:link w:val="Teksttreci80"/>
    <w:rPr>
      <w:rFonts w:ascii="Times New Roman" w:eastAsia="Times New Roman" w:hAnsi="Times New Roman" w:cs="Times New Roman"/>
      <w:sz w:val="18"/>
      <w:szCs w:val="18"/>
      <w:shd w:val="clear" w:color="auto" w:fill="FFFFFF"/>
    </w:rPr>
  </w:style>
  <w:style w:type="paragraph" w:customStyle="1" w:styleId="Teksttreci80">
    <w:name w:val="Tekst treści (8)"/>
    <w:basedOn w:val="Normal"/>
    <w:link w:val="Teksttreci8"/>
    <w:pPr>
      <w:widowControl w:val="0"/>
      <w:shd w:val="clear" w:color="auto" w:fill="FFFFFF"/>
      <w:spacing w:before="60" w:after="0" w:line="298" w:lineRule="exact"/>
      <w:ind w:hanging="760"/>
    </w:pPr>
    <w:rPr>
      <w:rFonts w:eastAsia="Times New Roman"/>
      <w:sz w:val="18"/>
      <w:szCs w:val="18"/>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customStyle="1" w:styleId="ListBullet1">
    <w:name w:val="List Bullet 1"/>
    <w:basedOn w:val="Normal"/>
    <w:pPr>
      <w:numPr>
        <w:numId w:val="9"/>
      </w:numPr>
    </w:pPr>
    <w:rPr>
      <w:rFonts w:eastAsia="Times New Roman"/>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character" w:customStyle="1" w:styleId="Teksttreci">
    <w:name w:val="Tekst treści_"/>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color w:val="000000"/>
      <w:spacing w:val="0"/>
      <w:w w:val="100"/>
      <w:position w:val="0"/>
      <w:sz w:val="21"/>
      <w:szCs w:val="21"/>
      <w:u w:val="none"/>
      <w:lang w:val="bg-BG"/>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Teksttreci9pt">
    <w:name w:val="Tekst treści + 9 pt"/>
    <w:basedOn w:val="Teksttrec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Teksttreci8">
    <w:name w:val="Tekst treści (8)_"/>
    <w:basedOn w:val="DefaultParagraphFont"/>
    <w:link w:val="Teksttreci80"/>
    <w:rPr>
      <w:rFonts w:ascii="Times New Roman" w:eastAsia="Times New Roman" w:hAnsi="Times New Roman" w:cs="Times New Roman"/>
      <w:sz w:val="18"/>
      <w:szCs w:val="18"/>
      <w:shd w:val="clear" w:color="auto" w:fill="FFFFFF"/>
    </w:rPr>
  </w:style>
  <w:style w:type="paragraph" w:customStyle="1" w:styleId="Teksttreci80">
    <w:name w:val="Tekst treści (8)"/>
    <w:basedOn w:val="Normal"/>
    <w:link w:val="Teksttreci8"/>
    <w:pPr>
      <w:widowControl w:val="0"/>
      <w:shd w:val="clear" w:color="auto" w:fill="FFFFFF"/>
      <w:spacing w:before="60" w:after="0" w:line="298" w:lineRule="exact"/>
      <w:ind w:hanging="760"/>
    </w:pPr>
    <w:rPr>
      <w:rFonts w:eastAsia="Times New Roman"/>
      <w:sz w:val="18"/>
      <w:szCs w:val="18"/>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customStyle="1" w:styleId="ListBullet1">
    <w:name w:val="List Bullet 1"/>
    <w:basedOn w:val="Normal"/>
    <w:pPr>
      <w:numPr>
        <w:numId w:val="9"/>
      </w:numPr>
    </w:pPr>
    <w:rPr>
      <w:rFonts w:eastAsia="Times New Roman"/>
    </w:rPr>
  </w:style>
  <w:style w:type="paragraph" w:customStyle="1" w:styleId="ListDash">
    <w:name w:val="List Dash"/>
    <w:basedOn w:val="Normal"/>
    <w:pPr>
      <w:numPr>
        <w:numId w:val="10"/>
      </w:numPr>
    </w:pPr>
    <w:rPr>
      <w:rFonts w:eastAsia="Times New Roman"/>
    </w:rPr>
  </w:style>
  <w:style w:type="paragraph" w:customStyle="1" w:styleId="ListDash1">
    <w:name w:val="List Dash 1"/>
    <w:basedOn w:val="Normal"/>
    <w:pPr>
      <w:numPr>
        <w:numId w:val="11"/>
      </w:numPr>
    </w:pPr>
    <w:rPr>
      <w:rFonts w:eastAsia="Times New Roman"/>
    </w:rPr>
  </w:style>
  <w:style w:type="paragraph" w:customStyle="1" w:styleId="ListDash2">
    <w:name w:val="List Dash 2"/>
    <w:basedOn w:val="Normal"/>
    <w:pPr>
      <w:numPr>
        <w:numId w:val="1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lang w:eastAsia="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6978">
      <w:bodyDiv w:val="1"/>
      <w:marLeft w:val="0"/>
      <w:marRight w:val="0"/>
      <w:marTop w:val="0"/>
      <w:marBottom w:val="0"/>
      <w:divBdr>
        <w:top w:val="none" w:sz="0" w:space="0" w:color="auto"/>
        <w:left w:val="none" w:sz="0" w:space="0" w:color="auto"/>
        <w:bottom w:val="none" w:sz="0" w:space="0" w:color="auto"/>
        <w:right w:val="none" w:sz="0" w:space="0" w:color="auto"/>
      </w:divBdr>
    </w:div>
    <w:div w:id="1054625984">
      <w:bodyDiv w:val="1"/>
      <w:marLeft w:val="0"/>
      <w:marRight w:val="0"/>
      <w:marTop w:val="0"/>
      <w:marBottom w:val="0"/>
      <w:divBdr>
        <w:top w:val="none" w:sz="0" w:space="0" w:color="auto"/>
        <w:left w:val="none" w:sz="0" w:space="0" w:color="auto"/>
        <w:bottom w:val="none" w:sz="0" w:space="0" w:color="auto"/>
        <w:right w:val="none" w:sz="0" w:space="0" w:color="auto"/>
      </w:divBdr>
      <w:divsChild>
        <w:div w:id="11627717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70312597">
      <w:bodyDiv w:val="1"/>
      <w:marLeft w:val="0"/>
      <w:marRight w:val="0"/>
      <w:marTop w:val="0"/>
      <w:marBottom w:val="0"/>
      <w:divBdr>
        <w:top w:val="none" w:sz="0" w:space="0" w:color="auto"/>
        <w:left w:val="none" w:sz="0" w:space="0" w:color="auto"/>
        <w:bottom w:val="none" w:sz="0" w:space="0" w:color="auto"/>
        <w:right w:val="none" w:sz="0" w:space="0" w:color="auto"/>
      </w:divBdr>
      <w:divsChild>
        <w:div w:id="9128116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637030978">
      <w:bodyDiv w:val="1"/>
      <w:marLeft w:val="0"/>
      <w:marRight w:val="0"/>
      <w:marTop w:val="0"/>
      <w:marBottom w:val="0"/>
      <w:divBdr>
        <w:top w:val="none" w:sz="0" w:space="0" w:color="auto"/>
        <w:left w:val="none" w:sz="0" w:space="0" w:color="auto"/>
        <w:bottom w:val="none" w:sz="0" w:space="0" w:color="auto"/>
        <w:right w:val="none" w:sz="0" w:space="0" w:color="auto"/>
      </w:divBdr>
    </w:div>
    <w:div w:id="1710110713">
      <w:bodyDiv w:val="1"/>
      <w:marLeft w:val="0"/>
      <w:marRight w:val="0"/>
      <w:marTop w:val="0"/>
      <w:marBottom w:val="0"/>
      <w:divBdr>
        <w:top w:val="none" w:sz="0" w:space="0" w:color="auto"/>
        <w:left w:val="none" w:sz="0" w:space="0" w:color="auto"/>
        <w:bottom w:val="none" w:sz="0" w:space="0" w:color="auto"/>
        <w:right w:val="none" w:sz="0" w:space="0" w:color="auto"/>
      </w:divBdr>
    </w:div>
    <w:div w:id="1964144352">
      <w:bodyDiv w:val="1"/>
      <w:marLeft w:val="0"/>
      <w:marRight w:val="0"/>
      <w:marTop w:val="0"/>
      <w:marBottom w:val="0"/>
      <w:divBdr>
        <w:top w:val="none" w:sz="0" w:space="0" w:color="auto"/>
        <w:left w:val="none" w:sz="0" w:space="0" w:color="auto"/>
        <w:bottom w:val="none" w:sz="0" w:space="0" w:color="auto"/>
        <w:right w:val="none" w:sz="0" w:space="0" w:color="auto"/>
      </w:divBdr>
      <w:divsChild>
        <w:div w:id="7861214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23433081">
      <w:bodyDiv w:val="1"/>
      <w:marLeft w:val="0"/>
      <w:marRight w:val="0"/>
      <w:marTop w:val="0"/>
      <w:marBottom w:val="0"/>
      <w:divBdr>
        <w:top w:val="none" w:sz="0" w:space="0" w:color="auto"/>
        <w:left w:val="none" w:sz="0" w:space="0" w:color="auto"/>
        <w:bottom w:val="none" w:sz="0" w:space="0" w:color="auto"/>
        <w:right w:val="none" w:sz="0" w:space="0" w:color="auto"/>
      </w:divBdr>
      <w:divsChild>
        <w:div w:id="1306355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qid=1490082922715&amp;uri=CELEX:31996D0402" TargetMode="External"/><Relationship Id="rId1" Type="http://schemas.openxmlformats.org/officeDocument/2006/relationships/hyperlink" Target="http://eur-lex.europa.eu/legal-content/EN/TXT/?qid=1490082875461&amp;uri=CELEX:31995D0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9F74-29B3-49A9-80A9-73BDF4F0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1750</Words>
  <Characters>9906</Characters>
  <Application>Microsoft Office Word</Application>
  <DocSecurity>0</DocSecurity>
  <Lines>190</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2017-03-14T13:59:00Z</cp:lastPrinted>
  <dcterms:created xsi:type="dcterms:W3CDTF">2017-05-31T10:44:00Z</dcterms:created>
  <dcterms:modified xsi:type="dcterms:W3CDTF">2017-06-08T12:13:00Z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