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EE44C74605394194900061A5CBD45018" style="width:450.8pt;height:3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imes New Roman" w:hAnsi="Times New Roman" w:cs="Times New Roman"/>
          <w:b w:val="0"/>
          <w:bCs w:val="0"/>
          <w:noProof/>
          <w:color w:val="auto"/>
          <w:sz w:val="20"/>
          <w:szCs w:val="20"/>
          <w:lang w:val="en-GB" w:eastAsia="en-GB"/>
        </w:rPr>
        <w:id w:val="-696622858"/>
        <w:docPartObj>
          <w:docPartGallery w:val="Table of Contents"/>
          <w:docPartUnique/>
        </w:docPartObj>
      </w:sdtPr>
      <w:sdtContent>
        <w:p>
          <w:pPr>
            <w:pStyle w:val="TOCHeading"/>
            <w:jc w:val="center"/>
            <w:rPr>
              <w:noProof/>
            </w:rPr>
          </w:pPr>
          <w:r>
            <w:rPr>
              <w:noProof/>
            </w:rPr>
            <w:t>Table of Contents</w:t>
          </w:r>
        </w:p>
        <w:p>
          <w:pPr>
            <w:rPr>
              <w:noProof/>
              <w:lang w:val="en-US" w:eastAsia="ja-JP"/>
            </w:rPr>
          </w:pPr>
        </w:p>
        <w:p>
          <w:pPr>
            <w:rPr>
              <w:noProof/>
              <w:lang w:val="en-US" w:eastAsia="ja-JP"/>
            </w:rPr>
          </w:pPr>
        </w:p>
        <w:p>
          <w:pPr>
            <w:rPr>
              <w:noProof/>
              <w:lang w:val="en-US" w:eastAsia="ja-JP"/>
            </w:rPr>
          </w:pPr>
        </w:p>
        <w:p>
          <w:pPr>
            <w:pStyle w:val="TOC1"/>
            <w:tabs>
              <w:tab w:val="left" w:pos="400"/>
              <w:tab w:val="right" w:leader="dot" w:pos="9060"/>
            </w:tabs>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79335686"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_Toc479335686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00"/>
              <w:tab w:val="right" w:leader="dot" w:pos="9060"/>
            </w:tabs>
            <w:rPr>
              <w:rFonts w:asciiTheme="minorHAnsi" w:eastAsiaTheme="minorEastAsia" w:hAnsiTheme="minorHAnsi" w:cstheme="minorBidi"/>
              <w:noProof/>
              <w:sz w:val="22"/>
              <w:szCs w:val="22"/>
            </w:rPr>
          </w:pPr>
          <w:hyperlink w:anchor="_Toc479335687" w:history="1">
            <w:r>
              <w:rPr>
                <w:rStyle w:val="Hyperlink"/>
                <w:noProof/>
              </w:rPr>
              <w:t>2.</w:t>
            </w:r>
            <w:r>
              <w:rPr>
                <w:rFonts w:asciiTheme="minorHAnsi" w:eastAsiaTheme="minorEastAsia" w:hAnsiTheme="minorHAnsi" w:cstheme="minorBidi"/>
                <w:noProof/>
                <w:sz w:val="22"/>
                <w:szCs w:val="22"/>
              </w:rPr>
              <w:tab/>
            </w:r>
            <w:r>
              <w:rPr>
                <w:rStyle w:val="Hyperlink"/>
                <w:noProof/>
              </w:rPr>
              <w:t>EFSI OPERATIONS SUPPORTED BY THE EU GUARANTEE</w:t>
            </w:r>
            <w:r>
              <w:rPr>
                <w:noProof/>
                <w:webHidden/>
              </w:rPr>
              <w:tab/>
            </w:r>
            <w:r>
              <w:rPr>
                <w:noProof/>
                <w:webHidden/>
              </w:rPr>
              <w:fldChar w:fldCharType="begin"/>
            </w:r>
            <w:r>
              <w:rPr>
                <w:noProof/>
                <w:webHidden/>
              </w:rPr>
              <w:instrText xml:space="preserve"> PAGEREF _Toc479335687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79335688" w:history="1">
            <w:r>
              <w:rPr>
                <w:rStyle w:val="Hyperlink"/>
                <w:noProof/>
              </w:rPr>
              <w:t>2.1</w:t>
            </w:r>
            <w:r>
              <w:rPr>
                <w:rFonts w:asciiTheme="minorHAnsi" w:eastAsiaTheme="minorEastAsia" w:hAnsiTheme="minorHAnsi" w:cstheme="minorBidi"/>
                <w:noProof/>
                <w:sz w:val="22"/>
                <w:szCs w:val="22"/>
              </w:rPr>
              <w:tab/>
            </w:r>
            <w:r>
              <w:rPr>
                <w:rStyle w:val="Hyperlink"/>
                <w:noProof/>
              </w:rPr>
              <w:t>EIB OPERATIONS</w:t>
            </w:r>
            <w:r>
              <w:rPr>
                <w:noProof/>
                <w:webHidden/>
              </w:rPr>
              <w:tab/>
            </w:r>
            <w:r>
              <w:rPr>
                <w:noProof/>
                <w:webHidden/>
              </w:rPr>
              <w:fldChar w:fldCharType="begin"/>
            </w:r>
            <w:r>
              <w:rPr>
                <w:noProof/>
                <w:webHidden/>
              </w:rPr>
              <w:instrText xml:space="preserve"> PAGEREF _Toc479335688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79335689" w:history="1">
            <w:r>
              <w:rPr>
                <w:rStyle w:val="Hyperlink"/>
                <w:noProof/>
              </w:rPr>
              <w:t>2.2</w:t>
            </w:r>
            <w:r>
              <w:rPr>
                <w:rFonts w:asciiTheme="minorHAnsi" w:eastAsiaTheme="minorEastAsia" w:hAnsiTheme="minorHAnsi" w:cstheme="minorBidi"/>
                <w:noProof/>
                <w:sz w:val="22"/>
                <w:szCs w:val="22"/>
              </w:rPr>
              <w:tab/>
            </w:r>
            <w:r>
              <w:rPr>
                <w:rStyle w:val="Hyperlink"/>
                <w:noProof/>
              </w:rPr>
              <w:t>EIF OPERATIONS</w:t>
            </w:r>
            <w:r>
              <w:rPr>
                <w:noProof/>
                <w:webHidden/>
              </w:rPr>
              <w:tab/>
            </w:r>
            <w:r>
              <w:rPr>
                <w:noProof/>
                <w:webHidden/>
              </w:rPr>
              <w:fldChar w:fldCharType="begin"/>
            </w:r>
            <w:r>
              <w:rPr>
                <w:noProof/>
                <w:webHidden/>
              </w:rPr>
              <w:instrText xml:space="preserve"> PAGEREF _Toc479335689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rPr>
          </w:pPr>
          <w:hyperlink w:anchor="_Toc479335690" w:history="1">
            <w:r>
              <w:rPr>
                <w:rStyle w:val="Hyperlink"/>
                <w:noProof/>
              </w:rPr>
              <w:t>2.3</w:t>
            </w:r>
            <w:r>
              <w:rPr>
                <w:rFonts w:asciiTheme="minorHAnsi" w:eastAsiaTheme="minorEastAsia" w:hAnsiTheme="minorHAnsi" w:cstheme="minorBidi"/>
                <w:noProof/>
                <w:sz w:val="22"/>
                <w:szCs w:val="22"/>
              </w:rPr>
              <w:tab/>
            </w:r>
            <w:r>
              <w:rPr>
                <w:rStyle w:val="Hyperlink"/>
                <w:noProof/>
              </w:rPr>
              <w:t>BREAKDOWN OF EFSI OPERATIONS BY SECTOR AND COUNTRY</w:t>
            </w:r>
            <w:r>
              <w:rPr>
                <w:noProof/>
                <w:webHidden/>
              </w:rPr>
              <w:tab/>
            </w:r>
            <w:r>
              <w:rPr>
                <w:noProof/>
                <w:webHidden/>
              </w:rPr>
              <w:fldChar w:fldCharType="begin"/>
            </w:r>
            <w:r>
              <w:rPr>
                <w:noProof/>
                <w:webHidden/>
              </w:rPr>
              <w:instrText xml:space="preserve"> PAGEREF _Toc479335690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00"/>
              <w:tab w:val="right" w:leader="dot" w:pos="9060"/>
            </w:tabs>
            <w:rPr>
              <w:rFonts w:asciiTheme="minorHAnsi" w:eastAsiaTheme="minorEastAsia" w:hAnsiTheme="minorHAnsi" w:cstheme="minorBidi"/>
              <w:noProof/>
              <w:sz w:val="22"/>
              <w:szCs w:val="22"/>
            </w:rPr>
          </w:pPr>
          <w:hyperlink w:anchor="_Toc479335691" w:history="1">
            <w:r>
              <w:rPr>
                <w:rStyle w:val="Hyperlink"/>
                <w:noProof/>
              </w:rPr>
              <w:t>3.</w:t>
            </w:r>
            <w:r>
              <w:rPr>
                <w:rFonts w:asciiTheme="minorHAnsi" w:eastAsiaTheme="minorEastAsia" w:hAnsiTheme="minorHAnsi" w:cstheme="minorBidi"/>
                <w:noProof/>
                <w:sz w:val="22"/>
                <w:szCs w:val="22"/>
              </w:rPr>
              <w:tab/>
            </w:r>
            <w:r>
              <w:rPr>
                <w:rStyle w:val="Hyperlink"/>
                <w:noProof/>
              </w:rPr>
              <w:t>EFSI GF FINANCIAL STATEMENTS</w:t>
            </w:r>
            <w:r>
              <w:rPr>
                <w:noProof/>
                <w:webHidden/>
              </w:rPr>
              <w:tab/>
            </w:r>
            <w:r>
              <w:rPr>
                <w:noProof/>
                <w:webHidden/>
              </w:rPr>
              <w:fldChar w:fldCharType="begin"/>
            </w:r>
            <w:r>
              <w:rPr>
                <w:noProof/>
                <w:webHidden/>
              </w:rPr>
              <w:instrText xml:space="preserve"> PAGEREF _Toc479335691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00"/>
              <w:tab w:val="right" w:leader="dot" w:pos="9060"/>
            </w:tabs>
            <w:rPr>
              <w:rFonts w:asciiTheme="minorHAnsi" w:eastAsiaTheme="minorEastAsia" w:hAnsiTheme="minorHAnsi" w:cstheme="minorBidi"/>
              <w:noProof/>
              <w:sz w:val="22"/>
              <w:szCs w:val="22"/>
            </w:rPr>
          </w:pPr>
          <w:hyperlink w:anchor="_Toc479335692" w:history="1">
            <w:r>
              <w:rPr>
                <w:rStyle w:val="Hyperlink"/>
                <w:noProof/>
              </w:rPr>
              <w:t>4.</w:t>
            </w:r>
            <w:r>
              <w:rPr>
                <w:rFonts w:asciiTheme="minorHAnsi" w:eastAsiaTheme="minorEastAsia" w:hAnsiTheme="minorHAnsi" w:cstheme="minorBidi"/>
                <w:noProof/>
                <w:sz w:val="22"/>
                <w:szCs w:val="22"/>
              </w:rPr>
              <w:tab/>
            </w:r>
            <w:r>
              <w:rPr>
                <w:rStyle w:val="Hyperlink"/>
                <w:noProof/>
              </w:rPr>
              <w:t>ASSET MANAGEMENT</w:t>
            </w:r>
            <w:r>
              <w:rPr>
                <w:noProof/>
                <w:webHidden/>
              </w:rPr>
              <w:tab/>
            </w:r>
            <w:r>
              <w:rPr>
                <w:noProof/>
                <w:webHidden/>
              </w:rPr>
              <w:fldChar w:fldCharType="begin"/>
            </w:r>
            <w:r>
              <w:rPr>
                <w:noProof/>
                <w:webHidden/>
              </w:rPr>
              <w:instrText xml:space="preserve"> PAGEREF _Toc479335692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rPr>
          </w:pPr>
          <w:hyperlink w:anchor="_Toc479335693" w:history="1">
            <w:r>
              <w:rPr>
                <w:rStyle w:val="Hyperlink"/>
                <w:noProof/>
              </w:rPr>
              <w:t>4.1</w:t>
            </w:r>
            <w:r>
              <w:rPr>
                <w:rFonts w:asciiTheme="minorHAnsi" w:eastAsiaTheme="minorEastAsia" w:hAnsiTheme="minorHAnsi" w:cstheme="minorBidi"/>
                <w:noProof/>
                <w:sz w:val="22"/>
                <w:szCs w:val="22"/>
              </w:rPr>
              <w:tab/>
            </w:r>
            <w:r>
              <w:rPr>
                <w:rStyle w:val="Hyperlink"/>
                <w:noProof/>
              </w:rPr>
              <w:t>COMPOSITION OF THE PORTFOLIO</w:t>
            </w:r>
            <w:r>
              <w:rPr>
                <w:noProof/>
                <w:webHidden/>
              </w:rPr>
              <w:tab/>
            </w:r>
            <w:r>
              <w:rPr>
                <w:noProof/>
                <w:webHidden/>
              </w:rPr>
              <w:fldChar w:fldCharType="begin"/>
            </w:r>
            <w:r>
              <w:rPr>
                <w:noProof/>
                <w:webHidden/>
              </w:rPr>
              <w:instrText xml:space="preserve"> PAGEREF _Toc479335693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rPr>
          </w:pPr>
          <w:hyperlink w:anchor="_Toc479335694" w:history="1">
            <w:r>
              <w:rPr>
                <w:rStyle w:val="Hyperlink"/>
                <w:noProof/>
              </w:rPr>
              <w:t>4.2</w:t>
            </w:r>
            <w:r>
              <w:rPr>
                <w:rFonts w:asciiTheme="minorHAnsi" w:eastAsiaTheme="minorEastAsia" w:hAnsiTheme="minorHAnsi" w:cstheme="minorBidi"/>
                <w:noProof/>
                <w:sz w:val="22"/>
                <w:szCs w:val="22"/>
              </w:rPr>
              <w:tab/>
            </w:r>
            <w:r>
              <w:rPr>
                <w:rStyle w:val="Hyperlink"/>
                <w:noProof/>
              </w:rPr>
              <w:t>KEY RISK CHARACTERISTICS OF THE PORTFOLIO</w:t>
            </w:r>
            <w:r>
              <w:rPr>
                <w:noProof/>
                <w:webHidden/>
              </w:rPr>
              <w:tab/>
            </w:r>
            <w:r>
              <w:rPr>
                <w:noProof/>
                <w:webHidden/>
              </w:rPr>
              <w:fldChar w:fldCharType="begin"/>
            </w:r>
            <w:r>
              <w:rPr>
                <w:noProof/>
                <w:webHidden/>
              </w:rPr>
              <w:instrText xml:space="preserve"> PAGEREF _Toc479335694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sdtContent>
    </w:sdt>
    <w:p>
      <w:pPr>
        <w:widowControl/>
        <w:autoSpaceDE/>
        <w:autoSpaceDN/>
        <w:adjustRightInd/>
        <w:spacing w:after="200" w:line="276" w:lineRule="auto"/>
        <w:rPr>
          <w:noProof/>
        </w:rPr>
      </w:pPr>
      <w:r>
        <w:rPr>
          <w:noProof/>
        </w:rPr>
        <w:br w:type="page"/>
      </w:r>
    </w:p>
    <w:p>
      <w:pPr>
        <w:pStyle w:val="Heading1"/>
        <w:rPr>
          <w:noProof/>
        </w:rPr>
      </w:pPr>
      <w:bookmarkStart w:id="2" w:name="_Toc477531487"/>
      <w:bookmarkStart w:id="3" w:name="_Toc479335686"/>
      <w:r>
        <w:rPr>
          <w:noProof/>
        </w:rPr>
        <w:t>INTRODUCTION</w:t>
      </w:r>
      <w:bookmarkEnd w:id="2"/>
      <w:bookmarkEnd w:id="3"/>
    </w:p>
    <w:p>
      <w:pPr>
        <w:spacing w:before="240" w:after="240"/>
        <w:jc w:val="both"/>
        <w:rPr>
          <w:noProof/>
          <w:sz w:val="24"/>
          <w:szCs w:val="24"/>
        </w:rPr>
      </w:pPr>
      <w:r>
        <w:rPr>
          <w:noProof/>
          <w:sz w:val="24"/>
          <w:szCs w:val="24"/>
        </w:rPr>
        <w:t>This Staff Working Document (SWD) accompanies the Report on the Management of the European Fund for Strategic Investments Guarantee Fund (EFSI GF) in 2016. The SWD provides further information and tables on (2) operations managed by EIB and EIF (signatures and disbursed amounts, breakdown by sector and country), (3) financial statements and (4) asset management.</w:t>
      </w:r>
    </w:p>
    <w:p>
      <w:pPr>
        <w:pStyle w:val="Heading1"/>
        <w:rPr>
          <w:noProof/>
        </w:rPr>
      </w:pPr>
      <w:bookmarkStart w:id="4" w:name="_Toc477531488"/>
      <w:bookmarkStart w:id="5" w:name="_Toc479335687"/>
      <w:r>
        <w:rPr>
          <w:noProof/>
        </w:rPr>
        <w:t>EFSI OPERATIONS</w:t>
      </w:r>
      <w:bookmarkEnd w:id="4"/>
      <w:r>
        <w:rPr>
          <w:noProof/>
        </w:rPr>
        <w:t xml:space="preserve"> SUPPORTED BY THE EU GUARANTEE</w:t>
      </w:r>
      <w:bookmarkEnd w:id="5"/>
    </w:p>
    <w:p>
      <w:pPr>
        <w:spacing w:before="240" w:after="240"/>
        <w:jc w:val="both"/>
        <w:rPr>
          <w:noProof/>
          <w:sz w:val="24"/>
          <w:szCs w:val="24"/>
        </w:rPr>
      </w:pPr>
      <w:r>
        <w:rPr>
          <w:noProof/>
          <w:sz w:val="24"/>
          <w:szCs w:val="24"/>
        </w:rPr>
        <w:t xml:space="preserve">This section provides a breakdown of the EFSI operations supported by the EU guarantee in terms of number of operations, investment volume (signature and investment mobilised) as well sector and country breakdown. </w:t>
      </w:r>
    </w:p>
    <w:p>
      <w:pPr>
        <w:pStyle w:val="Heading2"/>
        <w:rPr>
          <w:noProof/>
        </w:rPr>
      </w:pPr>
      <w:bookmarkStart w:id="6" w:name="_Toc479335688"/>
      <w:r>
        <w:rPr>
          <w:noProof/>
        </w:rPr>
        <w:t>EIB OPERATIONS</w:t>
      </w:r>
      <w:bookmarkEnd w:id="6"/>
    </w:p>
    <w:p>
      <w:pPr>
        <w:spacing w:before="240" w:after="240"/>
        <w:jc w:val="both"/>
        <w:rPr>
          <w:noProof/>
          <w:sz w:val="24"/>
          <w:szCs w:val="24"/>
        </w:rPr>
      </w:pPr>
      <w:r>
        <w:rPr>
          <w:noProof/>
          <w:sz w:val="24"/>
          <w:szCs w:val="24"/>
        </w:rPr>
        <w:t xml:space="preserve">As of end-2016, EIB had signed 121 operations in 24 Member States. The total signatures amount to EUR 14.2 billion which is expected to mobilise investments of EUR 67.7 billion. More than half of the signed operations in terms of volume were in the energy (34%) and research sector (19%) followed by transport (15%) and the provision of financial support to SME’s and small Mid-Cap companies (12%).  </w:t>
      </w:r>
    </w:p>
    <w:p>
      <w:pPr>
        <w:pStyle w:val="Heading2"/>
        <w:rPr>
          <w:noProof/>
        </w:rPr>
      </w:pPr>
      <w:bookmarkStart w:id="7" w:name="_Toc479335689"/>
      <w:r>
        <w:rPr>
          <w:noProof/>
        </w:rPr>
        <w:t>EIF OPERATIONS</w:t>
      </w:r>
      <w:bookmarkEnd w:id="7"/>
    </w:p>
    <w:p>
      <w:pPr>
        <w:spacing w:before="240" w:after="240"/>
        <w:jc w:val="both"/>
        <w:rPr>
          <w:noProof/>
          <w:sz w:val="24"/>
          <w:szCs w:val="24"/>
        </w:rPr>
      </w:pPr>
      <w:r>
        <w:rPr>
          <w:noProof/>
          <w:sz w:val="24"/>
          <w:szCs w:val="24"/>
        </w:rPr>
        <w:t>As of end-2016, the EIF signed 225 operations with 192 financial intermediaries in 27 Member States. The total EIF financing of EUR 7.1 billion is expected to mobilise investments of EUR 58.9 billion, of which EUR 39.7 billion private finance.</w:t>
      </w:r>
    </w:p>
    <w:p>
      <w:pPr>
        <w:spacing w:before="240" w:after="240"/>
        <w:jc w:val="both"/>
        <w:rPr>
          <w:noProof/>
          <w:sz w:val="24"/>
          <w:szCs w:val="24"/>
        </w:rPr>
      </w:pPr>
      <w:r>
        <w:rPr>
          <w:noProof/>
          <w:sz w:val="24"/>
          <w:szCs w:val="24"/>
        </w:rPr>
        <w:t>Of the 388,100 final recipients (SMEs, small mid-caps and mid-caps) which are estimated to eventually benefit from the above financing, 45,883 final recipients were already reached, thus supporting 432,357 jobs. The most important sectors in terms of amounts were research and development (67%) and information and communication technologies (21%).</w:t>
      </w:r>
    </w:p>
    <w:p>
      <w:pPr>
        <w:spacing w:before="240" w:after="240"/>
        <w:jc w:val="both"/>
        <w:rPr>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2"/>
          <w:cols w:space="720"/>
          <w:docGrid w:linePitch="360"/>
        </w:sectPr>
      </w:pPr>
    </w:p>
    <w:p>
      <w:pPr>
        <w:spacing w:before="240" w:after="240"/>
        <w:jc w:val="both"/>
        <w:rPr>
          <w:noProof/>
          <w:sz w:val="24"/>
          <w:szCs w:val="24"/>
        </w:rPr>
      </w:pPr>
    </w:p>
    <w:p>
      <w:pPr>
        <w:pStyle w:val="Heading2"/>
        <w:ind w:left="1440" w:hanging="720"/>
        <w:rPr>
          <w:noProof/>
        </w:rPr>
      </w:pPr>
      <w:bookmarkStart w:id="8" w:name="_Toc479335690"/>
      <w:r>
        <w:rPr>
          <w:noProof/>
        </w:rPr>
        <w:t>BREAKDOWN OF EFSI OPERATIONS BY SECTOR AND COUNTRY</w:t>
      </w:r>
      <w:bookmarkEnd w:id="8"/>
    </w:p>
    <w:p>
      <w:pPr>
        <w:tabs>
          <w:tab w:val="left" w:pos="-1134"/>
          <w:tab w:val="left" w:pos="993"/>
        </w:tabs>
        <w:spacing w:before="240" w:after="240"/>
        <w:ind w:left="993" w:hanging="993"/>
        <w:jc w:val="both"/>
        <w:rPr>
          <w:noProof/>
          <w:sz w:val="24"/>
          <w:szCs w:val="24"/>
        </w:rPr>
      </w:pPr>
      <w:r>
        <w:rPr>
          <w:noProof/>
          <w:sz w:val="24"/>
          <w:szCs w:val="24"/>
        </w:rPr>
        <w:t>Table 1:</w:t>
      </w:r>
      <w:r>
        <w:rPr>
          <w:noProof/>
          <w:sz w:val="24"/>
          <w:szCs w:val="24"/>
        </w:rPr>
        <w:tab/>
        <w:t>Distribution of signed EFSI Infrastructure and Innovation Window ("IIW") and Small and Medium Enterprises Window ("SMEW") operations by sector (as defined in the EFSI regulation) at the end of 2016.</w:t>
      </w:r>
    </w:p>
    <w:p>
      <w:pPr>
        <w:widowControl/>
        <w:autoSpaceDE/>
        <w:autoSpaceDN/>
        <w:adjustRightInd/>
        <w:spacing w:after="200" w:line="276" w:lineRule="auto"/>
        <w:rPr>
          <w:noProof/>
          <w:sz w:val="24"/>
          <w:szCs w:val="24"/>
        </w:rPr>
      </w:pPr>
      <w:r>
        <w:rPr>
          <w:noProof/>
          <w:lang w:val="en-US" w:eastAsia="en-US"/>
        </w:rPr>
        <w:drawing>
          <wp:inline distT="0" distB="0" distL="0" distR="0">
            <wp:extent cx="5759450" cy="231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312795"/>
                    </a:xfrm>
                    <a:prstGeom prst="rect">
                      <a:avLst/>
                    </a:prstGeom>
                    <a:noFill/>
                    <a:ln>
                      <a:noFill/>
                    </a:ln>
                  </pic:spPr>
                </pic:pic>
              </a:graphicData>
            </a:graphic>
          </wp:inline>
        </w:drawing>
      </w:r>
      <w:r>
        <w:rPr>
          <w:noProof/>
          <w:sz w:val="24"/>
          <w:szCs w:val="24"/>
        </w:rPr>
        <w:br w:type="page"/>
      </w:r>
    </w:p>
    <w:p>
      <w:pPr>
        <w:tabs>
          <w:tab w:val="left" w:pos="1134"/>
        </w:tabs>
        <w:spacing w:before="240" w:after="240"/>
        <w:ind w:left="1134" w:hanging="1134"/>
        <w:jc w:val="both"/>
        <w:rPr>
          <w:noProof/>
          <w:sz w:val="24"/>
          <w:szCs w:val="24"/>
        </w:rPr>
      </w:pPr>
      <w:r>
        <w:rPr>
          <w:noProof/>
          <w:sz w:val="24"/>
          <w:szCs w:val="24"/>
        </w:rPr>
        <w:t>Table 2:</w:t>
      </w:r>
      <w:r>
        <w:rPr>
          <w:noProof/>
          <w:sz w:val="24"/>
          <w:szCs w:val="24"/>
        </w:rPr>
        <w:tab/>
        <w:t>Distribution of signed EFSI IIW and SMEW operations by country at the end of 2016.</w:t>
      </w:r>
    </w:p>
    <w:p>
      <w:pPr>
        <w:widowControl/>
        <w:autoSpaceDE/>
        <w:autoSpaceDN/>
        <w:adjustRightInd/>
        <w:spacing w:after="200" w:line="276" w:lineRule="auto"/>
        <w:rPr>
          <w:noProof/>
        </w:rPr>
      </w:pPr>
      <w:bookmarkStart w:id="9" w:name="_Toc477531489"/>
      <w:r>
        <w:rPr>
          <w:noProof/>
          <w:lang w:val="en-US" w:eastAsia="en-US"/>
        </w:rPr>
        <w:drawing>
          <wp:inline distT="0" distB="0" distL="0" distR="0">
            <wp:extent cx="5759450" cy="609529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095291"/>
                    </a:xfrm>
                    <a:prstGeom prst="rect">
                      <a:avLst/>
                    </a:prstGeom>
                    <a:noFill/>
                    <a:ln>
                      <a:noFill/>
                    </a:ln>
                  </pic:spPr>
                </pic:pic>
              </a:graphicData>
            </a:graphic>
          </wp:inline>
        </w:drawing>
      </w:r>
    </w:p>
    <w:p>
      <w:pPr>
        <w:widowControl/>
        <w:autoSpaceDE/>
        <w:autoSpaceDN/>
        <w:adjustRightInd/>
        <w:spacing w:after="200" w:line="276" w:lineRule="auto"/>
        <w:rPr>
          <w:rFonts w:asciiTheme="majorHAnsi" w:eastAsiaTheme="majorEastAsia" w:hAnsiTheme="majorHAnsi" w:cstheme="majorBidi"/>
          <w:b/>
          <w:bCs/>
          <w:noProof/>
          <w:color w:val="000000" w:themeColor="text1"/>
          <w:sz w:val="28"/>
          <w:szCs w:val="28"/>
        </w:rPr>
      </w:pPr>
      <w:r>
        <w:rPr>
          <w:noProof/>
        </w:rPr>
        <w:br w:type="page"/>
      </w:r>
    </w:p>
    <w:p>
      <w:pPr>
        <w:pStyle w:val="Heading1"/>
        <w:rPr>
          <w:noProof/>
        </w:rPr>
      </w:pPr>
      <w:bookmarkStart w:id="10" w:name="_Toc479335691"/>
      <w:r>
        <w:rPr>
          <w:noProof/>
        </w:rPr>
        <w:t>EFSI GF FINANCIAL STATEMENTS</w:t>
      </w:r>
      <w:bookmarkEnd w:id="9"/>
      <w:bookmarkEnd w:id="10"/>
    </w:p>
    <w:p>
      <w:pPr>
        <w:spacing w:before="240" w:after="240"/>
        <w:jc w:val="both"/>
        <w:rPr>
          <w:noProof/>
          <w:sz w:val="24"/>
          <w:szCs w:val="24"/>
        </w:rPr>
      </w:pPr>
      <w:r>
        <w:rPr>
          <w:noProof/>
          <w:sz w:val="24"/>
          <w:szCs w:val="24"/>
        </w:rPr>
        <w:t>Balance sheet as at 31 December 2016</w:t>
      </w:r>
    </w:p>
    <w:p>
      <w:pPr>
        <w:widowControl/>
        <w:autoSpaceDE/>
        <w:autoSpaceDN/>
        <w:adjustRightInd/>
        <w:spacing w:after="200" w:line="276" w:lineRule="auto"/>
        <w:rPr>
          <w:noProof/>
          <w:sz w:val="18"/>
          <w:szCs w:val="18"/>
        </w:rPr>
      </w:pPr>
      <w:r>
        <w:rPr>
          <w:noProof/>
          <w:sz w:val="18"/>
          <w:szCs w:val="18"/>
        </w:rPr>
        <w:t xml:space="preserve">ASSETS </w:t>
      </w:r>
    </w:p>
    <w:tbl>
      <w:tblPr>
        <w:tblW w:w="7660" w:type="dxa"/>
        <w:tblLayout w:type="fixed"/>
        <w:tblCellMar>
          <w:left w:w="0" w:type="dxa"/>
          <w:right w:w="0" w:type="dxa"/>
        </w:tblCellMar>
        <w:tblLook w:val="0000" w:firstRow="0" w:lastRow="0" w:firstColumn="0" w:lastColumn="0" w:noHBand="0" w:noVBand="0"/>
      </w:tblPr>
      <w:tblGrid>
        <w:gridCol w:w="4683"/>
        <w:gridCol w:w="2977"/>
      </w:tblGrid>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after="120" w:line="240" w:lineRule="atLeast"/>
              <w:rPr>
                <w:rFonts w:ascii="Arial" w:hAnsi="Arial" w:cs="Arial"/>
                <w:noProof/>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after="120" w:line="240" w:lineRule="atLeast"/>
              <w:jc w:val="center"/>
              <w:rPr>
                <w:rFonts w:ascii="Arial" w:hAnsi="Arial" w:cs="Arial"/>
                <w:b/>
                <w:bCs/>
                <w:noProof/>
                <w:lang w:val="fr-FR" w:eastAsia="en-US"/>
              </w:rPr>
            </w:pPr>
            <w:r>
              <w:rPr>
                <w:rFonts w:ascii="Arial" w:hAnsi="Arial" w:cs="Arial"/>
                <w:b/>
                <w:bCs/>
                <w:noProof/>
                <w:lang w:val="fr-FR" w:eastAsia="en-US"/>
              </w:rPr>
              <w:t>EUR</w:t>
            </w: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
                <w:bCs/>
                <w:noProof/>
                <w:sz w:val="18"/>
                <w:szCs w:val="18"/>
                <w:lang w:val="fr-FR" w:eastAsia="en-US"/>
              </w:rPr>
            </w:pPr>
            <w:r>
              <w:rPr>
                <w:rFonts w:ascii="Arial" w:hAnsi="Arial" w:cs="Arial"/>
                <w:b/>
                <w:bCs/>
                <w:noProof/>
                <w:sz w:val="18"/>
                <w:szCs w:val="18"/>
                <w:lang w:val="fr-FR" w:eastAsia="en-US"/>
              </w:rPr>
              <w:t>NON-CURRENT ASSETS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noProof/>
                <w:sz w:val="18"/>
                <w:szCs w:val="18"/>
                <w:lang w:eastAsia="ko-KR"/>
              </w:rPr>
            </w:pPr>
            <w:r>
              <w:rPr>
                <w:rFonts w:ascii="Arial" w:hAnsi="Arial" w:cs="Arial"/>
                <w:b/>
                <w:noProof/>
                <w:sz w:val="18"/>
                <w:szCs w:val="18"/>
                <w:lang w:eastAsia="ko-KR"/>
              </w:rPr>
              <w:t>833,258,147</w:t>
            </w:r>
          </w:p>
        </w:tc>
      </w:tr>
      <w:tr>
        <w:trPr>
          <w:trHeight w:hRule="exact" w:val="166"/>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noProof/>
                <w:sz w:val="18"/>
                <w:szCs w:val="18"/>
                <w:lang w:eastAsia="ko-KR"/>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Cs/>
                <w:noProof/>
                <w:sz w:val="18"/>
                <w:szCs w:val="18"/>
                <w:lang w:eastAsia="en-US"/>
              </w:rPr>
            </w:pPr>
            <w:r>
              <w:rPr>
                <w:rFonts w:ascii="Arial" w:eastAsia="Arial Unicode MS" w:hAnsi="Arial" w:cs="Arial"/>
                <w:bCs/>
                <w:noProof/>
                <w:sz w:val="18"/>
                <w:szCs w:val="18"/>
                <w:lang w:eastAsia="en-US"/>
              </w:rPr>
              <w:t>Available for sale financial assets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noProof/>
                <w:sz w:val="18"/>
                <w:szCs w:val="18"/>
                <w:lang w:eastAsia="ko-KR"/>
              </w:rPr>
            </w:pPr>
            <w:r>
              <w:rPr>
                <w:rFonts w:ascii="Arial" w:hAnsi="Arial" w:cs="Arial"/>
                <w:noProof/>
                <w:sz w:val="18"/>
                <w:szCs w:val="18"/>
                <w:lang w:eastAsia="ko-KR"/>
              </w:rPr>
              <w:t>833,258,147</w:t>
            </w:r>
          </w:p>
        </w:tc>
      </w:tr>
      <w:tr>
        <w:trPr>
          <w:trHeight w:hRule="exact" w:val="144"/>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
                <w:bCs/>
                <w:noProof/>
                <w:sz w:val="18"/>
                <w:szCs w:val="18"/>
                <w:lang w:val="fr-FR"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noProof/>
                <w:sz w:val="18"/>
                <w:szCs w:val="18"/>
                <w:lang w:eastAsia="ko-KR"/>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val="fr-FR" w:eastAsia="en-US"/>
              </w:rPr>
            </w:pPr>
            <w:r>
              <w:rPr>
                <w:rFonts w:ascii="Arial" w:hAnsi="Arial" w:cs="Arial"/>
                <w:b/>
                <w:bCs/>
                <w:noProof/>
                <w:sz w:val="18"/>
                <w:szCs w:val="18"/>
                <w:lang w:val="fr-FR" w:eastAsia="en-US"/>
              </w:rPr>
              <w:t>CURRENT ASSETS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noProof/>
                <w:sz w:val="18"/>
                <w:szCs w:val="18"/>
                <w:lang w:eastAsia="ko-KR"/>
              </w:rPr>
            </w:pPr>
            <w:r>
              <w:rPr>
                <w:rFonts w:ascii="Arial" w:hAnsi="Arial" w:cs="Arial"/>
                <w:b/>
                <w:noProof/>
                <w:sz w:val="18"/>
                <w:szCs w:val="18"/>
                <w:lang w:eastAsia="ko-KR"/>
              </w:rPr>
              <w:t>186,696,779</w:t>
            </w:r>
          </w:p>
          <w:p>
            <w:pPr>
              <w:widowControl/>
              <w:autoSpaceDE/>
              <w:autoSpaceDN/>
              <w:adjustRightInd/>
              <w:spacing w:line="240" w:lineRule="atLeast"/>
              <w:ind w:right="142"/>
              <w:jc w:val="right"/>
              <w:rPr>
                <w:rFonts w:ascii="Arial" w:hAnsi="Arial" w:cs="Arial"/>
                <w:b/>
                <w:noProof/>
                <w:sz w:val="18"/>
                <w:szCs w:val="18"/>
                <w:lang w:eastAsia="ko-KR"/>
              </w:rPr>
            </w:pPr>
          </w:p>
        </w:tc>
      </w:tr>
      <w:tr>
        <w:trPr>
          <w:trHeight w:hRule="exact" w:val="137"/>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jc w:val="right"/>
              <w:rPr>
                <w:rFonts w:ascii="Arial" w:hAnsi="Arial" w:cs="Arial"/>
                <w:b/>
                <w:noProof/>
                <w:sz w:val="18"/>
                <w:szCs w:val="18"/>
                <w:lang w:eastAsia="ko-KR"/>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Cs/>
                <w:noProof/>
                <w:sz w:val="18"/>
                <w:szCs w:val="18"/>
                <w:lang w:eastAsia="en-US"/>
              </w:rPr>
            </w:pPr>
            <w:r>
              <w:rPr>
                <w:rFonts w:ascii="Arial" w:eastAsia="Arial Unicode MS" w:hAnsi="Arial" w:cs="Arial"/>
                <w:bCs/>
                <w:noProof/>
                <w:sz w:val="18"/>
                <w:szCs w:val="18"/>
                <w:lang w:eastAsia="en-US"/>
              </w:rPr>
              <w:t>Available for sale financial assets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114,825,356</w:t>
            </w:r>
          </w:p>
        </w:tc>
      </w:tr>
      <w:tr>
        <w:trPr>
          <w:trHeight w:hRule="exact" w:val="129"/>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hAnsi="Arial" w:cs="Arial"/>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noProof/>
                <w:sz w:val="18"/>
                <w:szCs w:val="18"/>
                <w:highlight w:val="yellow"/>
                <w:lang w:eastAsia="ko-KR"/>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hAnsi="Arial" w:cs="Arial"/>
                <w:bCs/>
                <w:noProof/>
                <w:sz w:val="18"/>
                <w:szCs w:val="18"/>
                <w:lang w:eastAsia="en-US"/>
              </w:rPr>
            </w:pPr>
            <w:r>
              <w:rPr>
                <w:rFonts w:ascii="Arial" w:hAnsi="Arial" w:cs="Arial"/>
                <w:bCs/>
                <w:noProof/>
                <w:sz w:val="18"/>
                <w:szCs w:val="18"/>
                <w:lang w:eastAsia="en-US"/>
              </w:rPr>
              <w:t>Financial assets at fair value through surplus or deficit</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hAnsi="Arial" w:cs="Arial"/>
                <w:noProof/>
                <w:sz w:val="18"/>
                <w:szCs w:val="18"/>
                <w:lang w:eastAsia="ko-KR"/>
              </w:rPr>
              <w:t>475,241</w:t>
            </w:r>
          </w:p>
        </w:tc>
      </w:tr>
      <w:tr>
        <w:trPr>
          <w:trHeight w:hRule="exact" w:val="134"/>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hAnsi="Arial" w:cs="Arial"/>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noProof/>
                <w:sz w:val="18"/>
                <w:szCs w:val="18"/>
                <w:highlight w:val="yellow"/>
                <w:lang w:eastAsia="ko-KR"/>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hAnsi="Arial" w:cs="Arial"/>
                <w:bCs/>
                <w:noProof/>
                <w:sz w:val="18"/>
                <w:szCs w:val="18"/>
                <w:lang w:eastAsia="en-US"/>
              </w:rPr>
            </w:pPr>
            <w:r>
              <w:rPr>
                <w:rFonts w:ascii="Arial" w:hAnsi="Arial" w:cs="Arial"/>
                <w:bCs/>
                <w:noProof/>
                <w:sz w:val="18"/>
                <w:szCs w:val="18"/>
                <w:lang w:eastAsia="en-US"/>
              </w:rPr>
              <w:t>Short-term deposits (&gt;3 months and ≤ 1 year)</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45,000,000</w:t>
            </w:r>
          </w:p>
        </w:tc>
      </w:tr>
      <w:tr>
        <w:trPr>
          <w:trHeight w:hRule="exact" w:val="140"/>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eastAsia="Arial Unicode MS" w:hAnsi="Arial" w:cs="Arial"/>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rPr>
                <w:rFonts w:ascii="Arial" w:eastAsia="Arial Unicode MS" w:hAnsi="Arial" w:cs="Arial"/>
                <w:b/>
                <w:bCs/>
                <w:noProof/>
                <w:sz w:val="18"/>
                <w:szCs w:val="18"/>
                <w:lang w:eastAsia="en-US"/>
              </w:rPr>
            </w:pPr>
            <w:r>
              <w:rPr>
                <w:rFonts w:ascii="Arial" w:eastAsia="Arial Unicode MS" w:hAnsi="Arial" w:cs="Arial"/>
                <w:b/>
                <w:bCs/>
                <w:noProof/>
                <w:sz w:val="18"/>
                <w:szCs w:val="18"/>
                <w:lang w:eastAsia="en-US"/>
              </w:rPr>
              <w:t>Cash and cash equivalents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26,396,182</w:t>
            </w: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ind w:firstLine="142"/>
              <w:rPr>
                <w:rFonts w:ascii="Arial" w:eastAsia="Arial Unicode MS" w:hAnsi="Arial" w:cs="Arial"/>
                <w:bCs/>
                <w:i/>
                <w:noProof/>
                <w:sz w:val="18"/>
                <w:szCs w:val="18"/>
                <w:lang w:eastAsia="en-US"/>
              </w:rPr>
            </w:pPr>
            <w:r>
              <w:rPr>
                <w:rFonts w:ascii="Arial" w:eastAsia="Arial Unicode MS" w:hAnsi="Arial" w:cs="Arial"/>
                <w:bCs/>
                <w:i/>
                <w:noProof/>
                <w:sz w:val="18"/>
                <w:szCs w:val="18"/>
                <w:lang w:eastAsia="en-US"/>
              </w:rPr>
              <w:t>Current accounts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i/>
                <w:noProof/>
                <w:sz w:val="18"/>
                <w:szCs w:val="18"/>
                <w:lang w:eastAsia="en-US"/>
              </w:rPr>
            </w:pPr>
            <w:r>
              <w:rPr>
                <w:rFonts w:ascii="Arial" w:eastAsia="Arial Unicode MS" w:hAnsi="Arial" w:cs="Arial"/>
                <w:i/>
                <w:noProof/>
                <w:sz w:val="18"/>
                <w:szCs w:val="18"/>
                <w:lang w:eastAsia="en-US"/>
              </w:rPr>
              <w:t>1,395,113</w:t>
            </w: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autoSpaceDE/>
              <w:autoSpaceDN/>
              <w:adjustRightInd/>
              <w:spacing w:line="240" w:lineRule="atLeast"/>
              <w:ind w:firstLine="142"/>
              <w:rPr>
                <w:rFonts w:ascii="Arial" w:hAnsi="Arial" w:cs="Arial"/>
                <w:bCs/>
                <w:i/>
                <w:noProof/>
                <w:sz w:val="18"/>
                <w:szCs w:val="18"/>
                <w:lang w:eastAsia="en-US"/>
              </w:rPr>
            </w:pPr>
            <w:r>
              <w:rPr>
                <w:rFonts w:ascii="Arial" w:hAnsi="Arial" w:cs="Arial"/>
                <w:bCs/>
                <w:i/>
                <w:noProof/>
                <w:sz w:val="18"/>
                <w:szCs w:val="18"/>
                <w:lang w:eastAsia="en-US"/>
              </w:rPr>
              <w:t>Cash equivalents (call-deposits incl. accrued interest)</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i/>
                <w:noProof/>
                <w:sz w:val="18"/>
                <w:szCs w:val="18"/>
                <w:lang w:eastAsia="en-US"/>
              </w:rPr>
            </w:pPr>
            <w:r>
              <w:rPr>
                <w:rFonts w:ascii="Arial" w:eastAsia="Arial Unicode MS" w:hAnsi="Arial" w:cs="Arial"/>
                <w:i/>
                <w:noProof/>
                <w:sz w:val="18"/>
                <w:szCs w:val="18"/>
                <w:lang w:eastAsia="en-US"/>
              </w:rPr>
              <w:t>25,001,069</w:t>
            </w:r>
          </w:p>
        </w:tc>
      </w:tr>
      <w:tr>
        <w:trPr>
          <w:trHeight w:hRule="exact" w:val="140"/>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eastAsia="en-US"/>
              </w:rPr>
            </w:pPr>
            <w:r>
              <w:rPr>
                <w:rFonts w:ascii="Arial" w:hAnsi="Arial" w:cs="Arial"/>
                <w:b/>
                <w:bCs/>
                <w:noProof/>
                <w:sz w:val="18"/>
                <w:szCs w:val="18"/>
                <w:lang w:eastAsia="en-US"/>
              </w:rPr>
              <w:t>TOTAL</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b/>
                <w:bCs/>
                <w:noProof/>
                <w:sz w:val="18"/>
                <w:szCs w:val="18"/>
                <w:lang w:eastAsia="en-US"/>
              </w:rPr>
            </w:pPr>
            <w:r>
              <w:rPr>
                <w:rFonts w:ascii="Arial" w:eastAsia="Arial Unicode MS" w:hAnsi="Arial" w:cs="Arial"/>
                <w:b/>
                <w:bCs/>
                <w:noProof/>
                <w:sz w:val="18"/>
                <w:szCs w:val="18"/>
                <w:lang w:eastAsia="en-US"/>
              </w:rPr>
              <w:t>1,019,954,926</w:t>
            </w:r>
          </w:p>
        </w:tc>
      </w:tr>
    </w:tbl>
    <w:p>
      <w:pPr>
        <w:widowControl/>
        <w:autoSpaceDE/>
        <w:autoSpaceDN/>
        <w:adjustRightInd/>
        <w:spacing w:after="200" w:line="276" w:lineRule="auto"/>
        <w:rPr>
          <w:noProof/>
          <w:sz w:val="18"/>
          <w:szCs w:val="18"/>
        </w:rPr>
      </w:pPr>
    </w:p>
    <w:p>
      <w:pPr>
        <w:widowControl/>
        <w:autoSpaceDE/>
        <w:autoSpaceDN/>
        <w:adjustRightInd/>
        <w:spacing w:after="200" w:line="276" w:lineRule="auto"/>
        <w:rPr>
          <w:noProof/>
          <w:sz w:val="18"/>
          <w:szCs w:val="18"/>
        </w:rPr>
      </w:pPr>
      <w:r>
        <w:rPr>
          <w:noProof/>
          <w:sz w:val="18"/>
          <w:szCs w:val="18"/>
        </w:rPr>
        <w:t xml:space="preserve">NET ASSETS AND LIABILITIES </w:t>
      </w:r>
    </w:p>
    <w:tbl>
      <w:tblPr>
        <w:tblW w:w="7660" w:type="dxa"/>
        <w:tblLayout w:type="fixed"/>
        <w:tblCellMar>
          <w:left w:w="0" w:type="dxa"/>
          <w:right w:w="0" w:type="dxa"/>
        </w:tblCellMar>
        <w:tblLook w:val="0000" w:firstRow="0" w:lastRow="0" w:firstColumn="0" w:lastColumn="0" w:noHBand="0" w:noVBand="0"/>
      </w:tblPr>
      <w:tblGrid>
        <w:gridCol w:w="4683"/>
        <w:gridCol w:w="2977"/>
      </w:tblGrid>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noProof/>
                <w:sz w:val="18"/>
                <w:szCs w:val="18"/>
                <w:lang w:val="fr-FR"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jc w:val="center"/>
              <w:rPr>
                <w:rFonts w:ascii="Arial" w:hAnsi="Arial" w:cs="Arial"/>
                <w:b/>
                <w:bCs/>
                <w:noProof/>
                <w:sz w:val="18"/>
                <w:szCs w:val="18"/>
                <w:lang w:val="fr-FR" w:eastAsia="en-US"/>
              </w:rPr>
            </w:pPr>
            <w:r>
              <w:rPr>
                <w:rFonts w:ascii="Arial" w:hAnsi="Arial" w:cs="Arial"/>
                <w:b/>
                <w:bCs/>
                <w:noProof/>
                <w:sz w:val="18"/>
                <w:szCs w:val="18"/>
                <w:lang w:val="fr-FR" w:eastAsia="en-US"/>
              </w:rPr>
              <w:t>EUR</w:t>
            </w: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val="fr-FR" w:eastAsia="en-US"/>
              </w:rPr>
            </w:pPr>
            <w:r>
              <w:rPr>
                <w:rFonts w:ascii="Arial" w:hAnsi="Arial" w:cs="Arial"/>
                <w:b/>
                <w:bCs/>
                <w:noProof/>
                <w:sz w:val="18"/>
                <w:szCs w:val="18"/>
                <w:lang w:val="fr-FR" w:eastAsia="en-US"/>
              </w:rPr>
              <w:t>NET ASSETS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bCs/>
                <w:noProof/>
                <w:sz w:val="18"/>
                <w:szCs w:val="18"/>
                <w:lang w:val="fr-FR" w:eastAsia="en-US"/>
              </w:rPr>
            </w:pPr>
            <w:r>
              <w:rPr>
                <w:rFonts w:ascii="Arial" w:hAnsi="Arial" w:cs="Arial"/>
                <w:b/>
                <w:bCs/>
                <w:noProof/>
                <w:sz w:val="18"/>
                <w:szCs w:val="18"/>
                <w:lang w:val="fr-FR" w:eastAsia="en-US"/>
              </w:rPr>
              <w:t>1,018,968,395</w:t>
            </w:r>
          </w:p>
        </w:tc>
      </w:tr>
      <w:tr>
        <w:trPr>
          <w:trHeight w:hRule="exact" w:val="110"/>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jc w:val="right"/>
              <w:rPr>
                <w:rFonts w:ascii="Arial" w:hAnsi="Arial" w:cs="Arial"/>
                <w:b/>
                <w:bCs/>
                <w:noProof/>
                <w:sz w:val="18"/>
                <w:szCs w:val="18"/>
                <w:lang w:eastAsia="en-US"/>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Cs/>
                <w:noProof/>
                <w:sz w:val="18"/>
                <w:szCs w:val="18"/>
                <w:lang w:eastAsia="en-US"/>
              </w:rPr>
            </w:pPr>
            <w:r>
              <w:rPr>
                <w:rFonts w:ascii="Arial" w:hAnsi="Arial" w:cs="Arial"/>
                <w:bCs/>
                <w:noProof/>
                <w:sz w:val="18"/>
                <w:szCs w:val="18"/>
                <w:lang w:eastAsia="en-US"/>
              </w:rPr>
              <w:t>Contribution from EU Budget</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Cs/>
                <w:noProof/>
                <w:sz w:val="18"/>
                <w:szCs w:val="18"/>
                <w:lang w:eastAsia="en-US"/>
              </w:rPr>
            </w:pPr>
            <w:r>
              <w:rPr>
                <w:rFonts w:ascii="Arial" w:eastAsia="Arial Unicode MS" w:hAnsi="Arial" w:cs="Arial"/>
                <w:noProof/>
                <w:sz w:val="18"/>
                <w:szCs w:val="18"/>
                <w:lang w:eastAsia="en-US"/>
              </w:rPr>
              <w:t>1,018,037,889</w:t>
            </w: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Cs/>
                <w:noProof/>
                <w:sz w:val="18"/>
                <w:szCs w:val="18"/>
                <w:lang w:eastAsia="en-US"/>
              </w:rPr>
            </w:pPr>
            <w:r>
              <w:rPr>
                <w:rFonts w:ascii="Arial" w:hAnsi="Arial" w:cs="Arial"/>
                <w:bCs/>
                <w:noProof/>
                <w:sz w:val="18"/>
                <w:szCs w:val="18"/>
                <w:lang w:eastAsia="en-US"/>
              </w:rPr>
              <w:t>Fair value reserve</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(3,388)</w:t>
            </w:r>
          </w:p>
          <w:p>
            <w:pPr>
              <w:widowControl/>
              <w:autoSpaceDE/>
              <w:autoSpaceDN/>
              <w:adjustRightInd/>
              <w:spacing w:line="240" w:lineRule="atLeast"/>
              <w:ind w:right="142"/>
              <w:jc w:val="right"/>
              <w:rPr>
                <w:rFonts w:ascii="Arial" w:hAnsi="Arial" w:cs="Arial"/>
                <w:bCs/>
                <w:noProof/>
                <w:sz w:val="18"/>
                <w:szCs w:val="18"/>
                <w:lang w:eastAsia="en-US"/>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noProof/>
                <w:sz w:val="18"/>
                <w:szCs w:val="18"/>
                <w:lang w:eastAsia="en-US"/>
              </w:rPr>
            </w:pPr>
            <w:r>
              <w:rPr>
                <w:rFonts w:ascii="Arial" w:hAnsi="Arial" w:cs="Arial"/>
                <w:noProof/>
                <w:sz w:val="18"/>
                <w:szCs w:val="18"/>
                <w:lang w:eastAsia="en-US"/>
              </w:rPr>
              <w:t>Retained earnings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noProof/>
                <w:sz w:val="18"/>
                <w:szCs w:val="18"/>
                <w:lang w:eastAsia="en-US"/>
              </w:rPr>
            </w:pPr>
            <w:r>
              <w:rPr>
                <w:rFonts w:ascii="Arial" w:eastAsia="Arial Unicode MS" w:hAnsi="Arial" w:cs="Arial"/>
                <w:b/>
                <w:noProof/>
                <w:sz w:val="18"/>
                <w:szCs w:val="18"/>
                <w:lang w:eastAsia="en-US"/>
              </w:rPr>
              <w:t>-</w:t>
            </w:r>
          </w:p>
        </w:tc>
      </w:tr>
      <w:tr>
        <w:trPr>
          <w:trHeight w:hRule="exact" w:val="297"/>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noProof/>
                <w:sz w:val="18"/>
                <w:szCs w:val="18"/>
                <w:lang w:eastAsia="en-US"/>
              </w:rPr>
            </w:pPr>
            <w:r>
              <w:rPr>
                <w:rFonts w:ascii="Arial" w:hAnsi="Arial" w:cs="Arial"/>
                <w:noProof/>
                <w:sz w:val="18"/>
                <w:szCs w:val="18"/>
                <w:lang w:eastAsia="en-US"/>
              </w:rPr>
              <w:t>Economic result of the year</w:t>
            </w:r>
          </w:p>
          <w:p>
            <w:pPr>
              <w:widowControl/>
              <w:autoSpaceDE/>
              <w:autoSpaceDN/>
              <w:adjustRightInd/>
              <w:spacing w:line="240" w:lineRule="atLeast"/>
              <w:rPr>
                <w:rFonts w:ascii="Arial" w:hAnsi="Arial" w:cs="Arial"/>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933,894</w:t>
            </w:r>
          </w:p>
          <w:p>
            <w:pPr>
              <w:widowControl/>
              <w:autoSpaceDE/>
              <w:autoSpaceDN/>
              <w:adjustRightInd/>
              <w:spacing w:line="240" w:lineRule="atLeast"/>
              <w:ind w:right="142"/>
              <w:jc w:val="right"/>
              <w:rPr>
                <w:rFonts w:ascii="Arial" w:hAnsi="Arial" w:cs="Arial"/>
                <w:noProof/>
                <w:sz w:val="18"/>
                <w:szCs w:val="18"/>
                <w:lang w:eastAsia="en-US"/>
              </w:rPr>
            </w:pPr>
          </w:p>
        </w:tc>
      </w:tr>
      <w:tr>
        <w:trPr>
          <w:trHeight w:hRule="exact" w:val="114"/>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val="fr-FR"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jc w:val="right"/>
              <w:rPr>
                <w:rFonts w:ascii="Arial" w:hAnsi="Arial" w:cs="Arial"/>
                <w:b/>
                <w:noProof/>
                <w:sz w:val="18"/>
                <w:szCs w:val="18"/>
                <w:lang w:val="fr-FR" w:eastAsia="en-US"/>
              </w:rPr>
            </w:pPr>
          </w:p>
        </w:tc>
      </w:tr>
      <w:tr>
        <w:trPr>
          <w:trHeight w:hRule="exact" w:val="283"/>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val="fr-FR" w:eastAsia="en-US"/>
              </w:rPr>
            </w:pPr>
            <w:r>
              <w:rPr>
                <w:rFonts w:ascii="Arial" w:hAnsi="Arial" w:cs="Arial"/>
                <w:b/>
                <w:bCs/>
                <w:noProof/>
                <w:sz w:val="18"/>
                <w:szCs w:val="18"/>
                <w:lang w:val="fr-FR" w:eastAsia="en-US"/>
              </w:rPr>
              <w:t>CURRENT LIABILITIES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tabs>
                <w:tab w:val="left" w:pos="1558"/>
              </w:tabs>
              <w:autoSpaceDE/>
              <w:autoSpaceDN/>
              <w:adjustRightInd/>
              <w:spacing w:line="240" w:lineRule="atLeast"/>
              <w:ind w:right="143"/>
              <w:jc w:val="right"/>
              <w:rPr>
                <w:rFonts w:ascii="Arial" w:eastAsia="Arial Unicode MS" w:hAnsi="Arial" w:cs="Arial"/>
                <w:b/>
                <w:noProof/>
                <w:sz w:val="18"/>
                <w:szCs w:val="18"/>
                <w:lang w:eastAsia="en-US"/>
              </w:rPr>
            </w:pPr>
            <w:r>
              <w:rPr>
                <w:rFonts w:ascii="Arial" w:eastAsia="Arial Unicode MS" w:hAnsi="Arial" w:cs="Arial"/>
                <w:b/>
                <w:noProof/>
                <w:sz w:val="18"/>
                <w:szCs w:val="18"/>
                <w:lang w:eastAsia="en-US"/>
              </w:rPr>
              <w:t>986,531</w:t>
            </w:r>
          </w:p>
          <w:p>
            <w:pPr>
              <w:widowControl/>
              <w:tabs>
                <w:tab w:val="left" w:pos="1558"/>
              </w:tabs>
              <w:autoSpaceDE/>
              <w:autoSpaceDN/>
              <w:adjustRightInd/>
              <w:spacing w:line="240" w:lineRule="atLeast"/>
              <w:ind w:right="143"/>
              <w:jc w:val="right"/>
              <w:rPr>
                <w:rFonts w:ascii="Arial" w:eastAsia="Arial Unicode MS" w:hAnsi="Arial" w:cs="Arial"/>
                <w:b/>
                <w:noProof/>
                <w:sz w:val="18"/>
                <w:szCs w:val="18"/>
                <w:lang w:eastAsia="en-US"/>
              </w:rPr>
            </w:pPr>
          </w:p>
        </w:tc>
      </w:tr>
      <w:tr>
        <w:trPr>
          <w:trHeight w:hRule="exact" w:val="90"/>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jc w:val="right"/>
              <w:rPr>
                <w:rFonts w:ascii="Arial" w:hAnsi="Arial" w:cs="Arial"/>
                <w:noProof/>
                <w:sz w:val="18"/>
                <w:szCs w:val="18"/>
                <w:lang w:eastAsia="en-US"/>
              </w:rPr>
            </w:pPr>
          </w:p>
        </w:tc>
      </w:tr>
      <w:tr>
        <w:trPr>
          <w:trHeight w:hRule="exact" w:val="375"/>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Cs/>
                <w:noProof/>
                <w:sz w:val="18"/>
                <w:szCs w:val="18"/>
                <w:lang w:eastAsia="en-US"/>
              </w:rPr>
            </w:pPr>
            <w:r>
              <w:rPr>
                <w:rFonts w:ascii="Arial" w:hAnsi="Arial" w:cs="Arial"/>
                <w:bCs/>
                <w:noProof/>
                <w:sz w:val="18"/>
                <w:szCs w:val="18"/>
                <w:lang w:eastAsia="en-US"/>
              </w:rPr>
              <w:t>Financial liabilities at fair value through surplus or deficit</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tabs>
                <w:tab w:val="left" w:pos="1558"/>
              </w:tabs>
              <w:autoSpaceDE/>
              <w:autoSpaceDN/>
              <w:adjustRightInd/>
              <w:spacing w:line="240" w:lineRule="atLeast"/>
              <w:ind w:right="143"/>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902,827</w:t>
            </w:r>
          </w:p>
        </w:tc>
      </w:tr>
      <w:tr>
        <w:trPr>
          <w:trHeight w:hRule="exact" w:val="344"/>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hAnsi="Arial" w:cs="Arial"/>
                <w:bCs/>
                <w:noProof/>
                <w:sz w:val="18"/>
                <w:szCs w:val="18"/>
                <w:lang w:eastAsia="en-US"/>
              </w:rPr>
            </w:pPr>
            <w:r>
              <w:rPr>
                <w:rFonts w:ascii="Arial" w:hAnsi="Arial" w:cs="Arial"/>
                <w:bCs/>
                <w:noProof/>
                <w:sz w:val="18"/>
                <w:szCs w:val="18"/>
                <w:lang w:eastAsia="en-US"/>
              </w:rPr>
              <w:t>Other payables</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r>
              <w:rPr>
                <w:rFonts w:ascii="Arial" w:eastAsia="Arial Unicode MS" w:hAnsi="Arial" w:cs="Arial"/>
                <w:noProof/>
                <w:sz w:val="18"/>
                <w:szCs w:val="18"/>
                <w:lang w:eastAsia="en-US"/>
              </w:rPr>
              <w:t>83,704</w:t>
            </w:r>
          </w:p>
          <w:p>
            <w:pPr>
              <w:widowControl/>
              <w:autoSpaceDE/>
              <w:autoSpaceDN/>
              <w:adjustRightInd/>
              <w:spacing w:line="240" w:lineRule="atLeast"/>
              <w:ind w:right="142"/>
              <w:jc w:val="right"/>
              <w:rPr>
                <w:rFonts w:ascii="Arial" w:hAnsi="Arial" w:cs="Arial"/>
                <w:noProof/>
                <w:sz w:val="18"/>
                <w:szCs w:val="18"/>
                <w:lang w:eastAsia="en-US"/>
              </w:rPr>
            </w:pPr>
          </w:p>
        </w:tc>
      </w:tr>
      <w:tr>
        <w:trPr>
          <w:trHeight w:hRule="exact" w:val="188"/>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Cs/>
                <w:noProof/>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eastAsia="Arial Unicode MS" w:hAnsi="Arial" w:cs="Arial"/>
                <w:noProof/>
                <w:sz w:val="18"/>
                <w:szCs w:val="18"/>
                <w:lang w:eastAsia="en-US"/>
              </w:rPr>
            </w:pPr>
          </w:p>
        </w:tc>
      </w:tr>
      <w:tr>
        <w:trPr>
          <w:trHeight w:hRule="exact" w:val="276"/>
        </w:trPr>
        <w:tc>
          <w:tcPr>
            <w:tcW w:w="4683"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rPr>
                <w:rFonts w:ascii="Arial" w:eastAsia="Arial Unicode MS" w:hAnsi="Arial" w:cs="Arial"/>
                <w:b/>
                <w:bCs/>
                <w:noProof/>
                <w:sz w:val="18"/>
                <w:szCs w:val="18"/>
                <w:lang w:eastAsia="en-US"/>
              </w:rPr>
            </w:pPr>
            <w:r>
              <w:rPr>
                <w:rFonts w:ascii="Arial" w:hAnsi="Arial" w:cs="Arial"/>
                <w:b/>
                <w:bCs/>
                <w:noProof/>
                <w:sz w:val="18"/>
                <w:szCs w:val="18"/>
                <w:lang w:eastAsia="en-US"/>
              </w:rPr>
              <w:t>TOTAL</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bottom"/>
          </w:tcPr>
          <w:p>
            <w:pPr>
              <w:widowControl/>
              <w:autoSpaceDE/>
              <w:autoSpaceDN/>
              <w:adjustRightInd/>
              <w:spacing w:line="240" w:lineRule="atLeast"/>
              <w:ind w:right="142"/>
              <w:jc w:val="right"/>
              <w:rPr>
                <w:rFonts w:ascii="Arial" w:hAnsi="Arial" w:cs="Arial"/>
                <w:b/>
                <w:noProof/>
                <w:sz w:val="18"/>
                <w:szCs w:val="18"/>
                <w:lang w:eastAsia="en-US"/>
              </w:rPr>
            </w:pPr>
            <w:r>
              <w:rPr>
                <w:rFonts w:ascii="Arial" w:eastAsia="Arial Unicode MS" w:hAnsi="Arial" w:cs="Arial"/>
                <w:b/>
                <w:bCs/>
                <w:noProof/>
                <w:sz w:val="18"/>
                <w:szCs w:val="18"/>
                <w:lang w:val="fr-BE" w:eastAsia="en-US"/>
              </w:rPr>
              <w:t>1,019,954,926</w:t>
            </w:r>
          </w:p>
        </w:tc>
      </w:tr>
    </w:tbl>
    <w:p>
      <w:pPr>
        <w:widowControl/>
        <w:autoSpaceDE/>
        <w:autoSpaceDN/>
        <w:adjustRightInd/>
        <w:spacing w:after="200" w:line="276" w:lineRule="auto"/>
        <w:rPr>
          <w:noProof/>
          <w:sz w:val="24"/>
          <w:szCs w:val="24"/>
        </w:rPr>
      </w:pPr>
    </w:p>
    <w:p>
      <w:pPr>
        <w:widowControl/>
        <w:autoSpaceDE/>
        <w:autoSpaceDN/>
        <w:adjustRightInd/>
        <w:spacing w:after="200" w:line="276" w:lineRule="auto"/>
        <w:rPr>
          <w:noProof/>
          <w:sz w:val="24"/>
          <w:szCs w:val="24"/>
        </w:rPr>
      </w:pPr>
      <w:r>
        <w:rPr>
          <w:noProof/>
          <w:sz w:val="24"/>
          <w:szCs w:val="24"/>
        </w:rPr>
        <w:br w:type="page"/>
      </w:r>
    </w:p>
    <w:p>
      <w:pPr>
        <w:widowControl/>
        <w:autoSpaceDE/>
        <w:autoSpaceDN/>
        <w:adjustRightInd/>
        <w:spacing w:after="200" w:line="276" w:lineRule="auto"/>
        <w:rPr>
          <w:noProof/>
          <w:sz w:val="24"/>
          <w:szCs w:val="24"/>
        </w:rPr>
      </w:pPr>
      <w:r>
        <w:rPr>
          <w:noProof/>
          <w:sz w:val="24"/>
          <w:szCs w:val="24"/>
        </w:rPr>
        <w:t>Statement of financial performance for the year ended 31 December 2016</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2268"/>
      </w:tblGrid>
      <w:tr>
        <w:trPr>
          <w:trHeight w:hRule="exact" w:val="284"/>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p>
        </w:tc>
        <w:tc>
          <w:tcPr>
            <w:tcW w:w="2268" w:type="dxa"/>
            <w:shd w:val="clear" w:color="auto" w:fill="FFFFFF"/>
            <w:noWrap/>
            <w:vAlign w:val="center"/>
          </w:tcPr>
          <w:p>
            <w:pPr>
              <w:widowControl/>
              <w:autoSpaceDE/>
              <w:autoSpaceDN/>
              <w:adjustRightInd/>
              <w:spacing w:after="120" w:line="240" w:lineRule="atLeast"/>
              <w:jc w:val="center"/>
              <w:rPr>
                <w:rFonts w:ascii="Arial" w:hAnsi="Arial" w:cs="Arial"/>
                <w:b/>
                <w:bCs/>
                <w:noProof/>
                <w:lang w:eastAsia="en-US"/>
              </w:rPr>
            </w:pPr>
            <w:r>
              <w:rPr>
                <w:rFonts w:ascii="Arial" w:hAnsi="Arial" w:cs="Arial"/>
                <w:b/>
                <w:bCs/>
                <w:noProof/>
                <w:lang w:eastAsia="en-US"/>
              </w:rPr>
              <w:t>EUR</w:t>
            </w:r>
          </w:p>
        </w:tc>
      </w:tr>
      <w:tr>
        <w:trPr>
          <w:trHeight w:hRule="exact" w:val="284"/>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r>
              <w:rPr>
                <w:rFonts w:ascii="Arial" w:hAnsi="Arial" w:cs="Arial"/>
                <w:b/>
                <w:noProof/>
                <w:lang w:eastAsia="en-US"/>
              </w:rPr>
              <w:t>Revenue from operating activities</w:t>
            </w:r>
          </w:p>
        </w:tc>
        <w:tc>
          <w:tcPr>
            <w:tcW w:w="2268" w:type="dxa"/>
            <w:shd w:val="clear" w:color="auto" w:fill="FFFFFF"/>
            <w:noWrap/>
            <w:vAlign w:val="bottom"/>
          </w:tcPr>
          <w:p>
            <w:pPr>
              <w:widowControl/>
              <w:tabs>
                <w:tab w:val="left" w:pos="1558"/>
              </w:tabs>
              <w:autoSpaceDE/>
              <w:autoSpaceDN/>
              <w:adjustRightInd/>
              <w:spacing w:line="240" w:lineRule="atLeast"/>
              <w:ind w:right="143"/>
              <w:jc w:val="right"/>
              <w:rPr>
                <w:rFonts w:ascii="Arial" w:hAnsi="Arial" w:cs="Arial"/>
                <w:b/>
                <w:noProof/>
                <w:lang w:eastAsia="ko-KR"/>
              </w:rPr>
            </w:pPr>
            <w:r>
              <w:rPr>
                <w:rFonts w:ascii="Arial" w:hAnsi="Arial" w:cs="Arial"/>
                <w:b/>
                <w:noProof/>
                <w:lang w:eastAsia="en-US"/>
              </w:rPr>
              <w:t>968,645</w:t>
            </w:r>
          </w:p>
        </w:tc>
      </w:tr>
      <w:tr>
        <w:trPr>
          <w:trHeight w:hRule="exact" w:val="284"/>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r>
              <w:rPr>
                <w:rFonts w:ascii="Arial" w:hAnsi="Arial" w:cs="Arial"/>
                <w:noProof/>
                <w:lang w:eastAsia="en-US"/>
              </w:rPr>
              <w:t>Foreign exchange gains</w:t>
            </w:r>
          </w:p>
        </w:tc>
        <w:tc>
          <w:tcPr>
            <w:tcW w:w="2268" w:type="dxa"/>
            <w:shd w:val="clear" w:color="auto" w:fill="FFFFFF"/>
            <w:noWrap/>
            <w:vAlign w:val="bottom"/>
          </w:tcPr>
          <w:p>
            <w:pPr>
              <w:widowControl/>
              <w:tabs>
                <w:tab w:val="left" w:pos="1558"/>
              </w:tabs>
              <w:autoSpaceDE/>
              <w:autoSpaceDN/>
              <w:adjustRightInd/>
              <w:spacing w:after="120" w:line="240" w:lineRule="atLeast"/>
              <w:ind w:right="143"/>
              <w:jc w:val="right"/>
              <w:rPr>
                <w:rFonts w:ascii="Arial" w:hAnsi="Arial" w:cs="Arial"/>
                <w:noProof/>
                <w:lang w:eastAsia="en-US"/>
              </w:rPr>
            </w:pPr>
            <w:r>
              <w:rPr>
                <w:rFonts w:ascii="Arial" w:hAnsi="Arial" w:cs="Arial"/>
                <w:noProof/>
                <w:lang w:eastAsia="en-US"/>
              </w:rPr>
              <w:t>968,645</w:t>
            </w:r>
          </w:p>
        </w:tc>
      </w:tr>
      <w:tr>
        <w:trPr>
          <w:trHeight w:hRule="exact" w:val="150"/>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p>
        </w:tc>
        <w:tc>
          <w:tcPr>
            <w:tcW w:w="2268" w:type="dxa"/>
            <w:shd w:val="clear" w:color="auto" w:fill="FFFFFF"/>
            <w:noWrap/>
            <w:vAlign w:val="bottom"/>
          </w:tcPr>
          <w:p>
            <w:pPr>
              <w:widowControl/>
              <w:tabs>
                <w:tab w:val="left" w:pos="1558"/>
              </w:tabs>
              <w:autoSpaceDE/>
              <w:autoSpaceDN/>
              <w:adjustRightInd/>
              <w:spacing w:after="120" w:line="240" w:lineRule="atLeast"/>
              <w:ind w:right="143"/>
              <w:jc w:val="right"/>
              <w:rPr>
                <w:rFonts w:ascii="Arial" w:hAnsi="Arial" w:cs="Arial"/>
                <w:noProof/>
                <w:lang w:eastAsia="en-US"/>
              </w:rPr>
            </w:pPr>
          </w:p>
        </w:tc>
      </w:tr>
      <w:tr>
        <w:trPr>
          <w:trHeight w:hRule="exact" w:val="284"/>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r>
              <w:rPr>
                <w:rFonts w:ascii="Arial" w:hAnsi="Arial" w:cs="Arial"/>
                <w:b/>
                <w:noProof/>
                <w:lang w:eastAsia="en-US"/>
              </w:rPr>
              <w:t>Expenses from operating activities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en-US"/>
              </w:rPr>
            </w:pPr>
            <w:r>
              <w:rPr>
                <w:rFonts w:ascii="Arial" w:hAnsi="Arial" w:cs="Arial"/>
                <w:b/>
                <w:noProof/>
                <w:lang w:eastAsia="en-US"/>
              </w:rPr>
              <w:t>796,214</w:t>
            </w:r>
          </w:p>
          <w:p>
            <w:pPr>
              <w:widowControl/>
              <w:tabs>
                <w:tab w:val="left" w:pos="1558"/>
              </w:tabs>
              <w:autoSpaceDE/>
              <w:autoSpaceDN/>
              <w:adjustRightInd/>
              <w:spacing w:line="240" w:lineRule="atLeast"/>
              <w:ind w:right="143"/>
              <w:jc w:val="right"/>
              <w:rPr>
                <w:rFonts w:ascii="Arial" w:hAnsi="Arial" w:cs="Arial"/>
                <w:b/>
                <w:noProof/>
                <w:lang w:eastAsia="en-US"/>
              </w:rPr>
            </w:pPr>
          </w:p>
        </w:tc>
      </w:tr>
      <w:tr>
        <w:trPr>
          <w:trHeight w:hRule="exact" w:val="284"/>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r>
              <w:rPr>
                <w:rFonts w:ascii="Arial" w:hAnsi="Arial" w:cs="Arial"/>
                <w:noProof/>
                <w:lang w:eastAsia="en-US"/>
              </w:rPr>
              <w:t>Foreign exchange losses</w:t>
            </w:r>
          </w:p>
        </w:tc>
        <w:tc>
          <w:tcPr>
            <w:tcW w:w="2268" w:type="dxa"/>
            <w:shd w:val="clear" w:color="auto" w:fill="FFFFFF"/>
            <w:noWrap/>
            <w:vAlign w:val="bottom"/>
          </w:tcPr>
          <w:p>
            <w:pPr>
              <w:widowControl/>
              <w:tabs>
                <w:tab w:val="left" w:pos="1558"/>
              </w:tabs>
              <w:autoSpaceDE/>
              <w:autoSpaceDN/>
              <w:adjustRightInd/>
              <w:spacing w:after="120" w:line="240" w:lineRule="atLeast"/>
              <w:ind w:right="143"/>
              <w:jc w:val="right"/>
              <w:rPr>
                <w:rFonts w:ascii="Arial" w:hAnsi="Arial" w:cs="Arial"/>
                <w:noProof/>
                <w:lang w:eastAsia="en-US"/>
              </w:rPr>
            </w:pPr>
            <w:r>
              <w:rPr>
                <w:rFonts w:ascii="Arial" w:hAnsi="Arial" w:cs="Arial"/>
                <w:noProof/>
                <w:lang w:eastAsia="en-US"/>
              </w:rPr>
              <w:t>681,319</w:t>
            </w:r>
          </w:p>
        </w:tc>
      </w:tr>
      <w:tr>
        <w:trPr>
          <w:trHeight w:hRule="exact" w:val="146"/>
        </w:trPr>
        <w:tc>
          <w:tcPr>
            <w:tcW w:w="5387" w:type="dxa"/>
            <w:shd w:val="clear" w:color="auto" w:fill="FFFFFF"/>
            <w:noWrap/>
            <w:vAlign w:val="center"/>
          </w:tcPr>
          <w:p>
            <w:pPr>
              <w:widowControl/>
              <w:autoSpaceDE/>
              <w:autoSpaceDN/>
              <w:adjustRightInd/>
              <w:spacing w:after="120" w:line="240" w:lineRule="atLeast"/>
              <w:rPr>
                <w:rFonts w:ascii="Arial" w:hAnsi="Arial" w:cs="Arial"/>
                <w:noProof/>
                <w:lang w:eastAsia="en-US"/>
              </w:rPr>
            </w:pPr>
          </w:p>
        </w:tc>
        <w:tc>
          <w:tcPr>
            <w:tcW w:w="2268" w:type="dxa"/>
            <w:shd w:val="clear" w:color="auto" w:fill="FFFFFF"/>
            <w:noWrap/>
            <w:vAlign w:val="bottom"/>
          </w:tcPr>
          <w:p>
            <w:pPr>
              <w:widowControl/>
              <w:tabs>
                <w:tab w:val="left" w:pos="1558"/>
              </w:tabs>
              <w:autoSpaceDE/>
              <w:autoSpaceDN/>
              <w:adjustRightInd/>
              <w:spacing w:after="120" w:line="240" w:lineRule="atLeast"/>
              <w:ind w:right="143"/>
              <w:jc w:val="right"/>
              <w:rPr>
                <w:rFonts w:ascii="Arial" w:hAnsi="Arial" w:cs="Arial"/>
                <w:noProof/>
                <w:lang w:eastAsia="en-US"/>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r>
              <w:rPr>
                <w:rFonts w:ascii="Arial" w:hAnsi="Arial" w:cs="Arial"/>
                <w:bCs/>
                <w:noProof/>
                <w:lang w:eastAsia="en-US"/>
              </w:rPr>
              <w:t>Other expenses from operating activities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eastAsia="Arial Unicode MS" w:hAnsi="Arial" w:cs="Arial"/>
                <w:noProof/>
                <w:lang w:eastAsia="en-US"/>
              </w:rPr>
            </w:pPr>
            <w:r>
              <w:rPr>
                <w:rFonts w:ascii="Arial" w:eastAsia="Arial Unicode MS" w:hAnsi="Arial" w:cs="Arial"/>
                <w:noProof/>
                <w:lang w:eastAsia="en-US"/>
              </w:rPr>
              <w:t>114,895</w:t>
            </w:r>
          </w:p>
          <w:p>
            <w:pPr>
              <w:widowControl/>
              <w:tabs>
                <w:tab w:val="left" w:pos="1558"/>
              </w:tabs>
              <w:autoSpaceDE/>
              <w:autoSpaceDN/>
              <w:adjustRightInd/>
              <w:spacing w:line="240" w:lineRule="atLeast"/>
              <w:ind w:right="143"/>
              <w:jc w:val="right"/>
              <w:rPr>
                <w:rFonts w:ascii="Arial" w:eastAsia="Arial Unicode MS" w:hAnsi="Arial" w:cs="Arial"/>
                <w:b/>
                <w:noProof/>
                <w:lang w:eastAsia="en-US"/>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i/>
                <w:noProof/>
                <w:lang w:eastAsia="en-US"/>
              </w:rPr>
            </w:pPr>
            <w:r>
              <w:rPr>
                <w:rFonts w:ascii="Arial" w:hAnsi="Arial" w:cs="Arial"/>
                <w:i/>
                <w:noProof/>
                <w:lang w:eastAsia="en-US"/>
              </w:rPr>
              <w:t xml:space="preserve">     Audit fees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r>
              <w:rPr>
                <w:rFonts w:ascii="Arial" w:hAnsi="Arial" w:cs="Arial"/>
                <w:i/>
                <w:noProof/>
                <w:lang w:eastAsia="ko-KR"/>
              </w:rPr>
              <w:t>33,500</w:t>
            </w: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r>
              <w:rPr>
                <w:rFonts w:ascii="Arial" w:hAnsi="Arial" w:cs="Arial"/>
                <w:i/>
                <w:noProof/>
                <w:lang w:eastAsia="en-US"/>
              </w:rPr>
              <w:t xml:space="preserve">     IT cost</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r>
              <w:rPr>
                <w:rFonts w:ascii="Arial" w:hAnsi="Arial" w:cs="Arial"/>
                <w:i/>
                <w:noProof/>
                <w:lang w:eastAsia="ko-KR"/>
              </w:rPr>
              <w:t>42,379</w:t>
            </w:r>
          </w:p>
        </w:tc>
      </w:tr>
      <w:tr>
        <w:trPr>
          <w:trHeight w:hRule="exact" w:val="284"/>
        </w:trPr>
        <w:tc>
          <w:tcPr>
            <w:tcW w:w="5387" w:type="dxa"/>
            <w:shd w:val="clear" w:color="auto" w:fill="FFFFFF"/>
            <w:noWrap/>
            <w:vAlign w:val="center"/>
          </w:tcPr>
          <w:p>
            <w:pPr>
              <w:widowControl/>
              <w:autoSpaceDE/>
              <w:autoSpaceDN/>
              <w:adjustRightInd/>
              <w:spacing w:line="240" w:lineRule="atLeast"/>
              <w:ind w:firstLine="284"/>
              <w:rPr>
                <w:rFonts w:ascii="Arial" w:hAnsi="Arial" w:cs="Arial"/>
                <w:b/>
                <w:bCs/>
                <w:i/>
                <w:noProof/>
                <w:lang w:eastAsia="en-US"/>
              </w:rPr>
            </w:pPr>
            <w:r>
              <w:rPr>
                <w:rFonts w:ascii="Arial" w:hAnsi="Arial" w:cs="Arial"/>
                <w:bCs/>
                <w:i/>
                <w:noProof/>
                <w:lang w:eastAsia="en-US"/>
              </w:rPr>
              <w:t>Custody and bank fees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i/>
                <w:noProof/>
                <w:lang w:eastAsia="ko-KR"/>
              </w:rPr>
            </w:pPr>
            <w:r>
              <w:rPr>
                <w:rFonts w:ascii="Arial" w:hAnsi="Arial" w:cs="Arial"/>
                <w:i/>
                <w:noProof/>
                <w:lang w:eastAsia="ko-KR"/>
              </w:rPr>
              <w:t>39,016</w:t>
            </w:r>
          </w:p>
        </w:tc>
      </w:tr>
      <w:tr>
        <w:trPr>
          <w:trHeight w:hRule="exact" w:val="165"/>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r>
              <w:rPr>
                <w:rFonts w:ascii="Arial" w:hAnsi="Arial" w:cs="Arial"/>
                <w:b/>
                <w:bCs/>
                <w:noProof/>
                <w:lang w:eastAsia="en-US"/>
              </w:rPr>
              <w:t>RESULT FROM OPERATING ACTIVITIES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en-US"/>
              </w:rPr>
            </w:pPr>
            <w:r>
              <w:rPr>
                <w:rFonts w:ascii="Arial" w:hAnsi="Arial" w:cs="Arial"/>
                <w:b/>
                <w:noProof/>
                <w:lang w:eastAsia="en-US"/>
              </w:rPr>
              <w:t>172,431</w:t>
            </w:r>
          </w:p>
          <w:p>
            <w:pPr>
              <w:widowControl/>
              <w:tabs>
                <w:tab w:val="left" w:pos="1558"/>
              </w:tabs>
              <w:autoSpaceDE/>
              <w:autoSpaceDN/>
              <w:adjustRightInd/>
              <w:spacing w:line="240" w:lineRule="atLeast"/>
              <w:ind w:right="143"/>
              <w:jc w:val="right"/>
              <w:rPr>
                <w:rFonts w:ascii="Arial" w:hAnsi="Arial" w:cs="Arial"/>
                <w:b/>
                <w:noProof/>
                <w:lang w:eastAsia="en-US"/>
              </w:rPr>
            </w:pPr>
          </w:p>
        </w:tc>
      </w:tr>
      <w:tr>
        <w:trPr>
          <w:trHeight w:hRule="exact" w:val="129"/>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b/>
                <w:bCs/>
                <w:noProof/>
                <w:lang w:eastAsia="en-US"/>
              </w:rPr>
            </w:pPr>
            <w:r>
              <w:rPr>
                <w:rFonts w:ascii="Arial" w:hAnsi="Arial" w:cs="Arial"/>
                <w:b/>
                <w:bCs/>
                <w:noProof/>
                <w:lang w:eastAsia="en-US"/>
              </w:rPr>
              <w:t xml:space="preserve">Financial  revenue </w:t>
            </w:r>
          </w:p>
        </w:tc>
        <w:tc>
          <w:tcPr>
            <w:tcW w:w="2268" w:type="dxa"/>
            <w:shd w:val="clear" w:color="auto" w:fill="FFFFFF"/>
            <w:noWrap/>
            <w:vAlign w:val="center"/>
          </w:tcPr>
          <w:p>
            <w:pPr>
              <w:widowControl/>
              <w:autoSpaceDE/>
              <w:autoSpaceDN/>
              <w:adjustRightInd/>
              <w:spacing w:after="120" w:line="240" w:lineRule="atLeast"/>
              <w:ind w:right="143"/>
              <w:jc w:val="right"/>
              <w:rPr>
                <w:rFonts w:ascii="Arial" w:eastAsia="Arial Unicode MS" w:hAnsi="Arial" w:cs="Arial"/>
                <w:b/>
                <w:noProof/>
                <w:lang w:eastAsia="en-US"/>
              </w:rPr>
            </w:pPr>
            <w:r>
              <w:rPr>
                <w:rFonts w:ascii="Arial" w:eastAsia="Arial Unicode MS" w:hAnsi="Arial" w:cs="Arial"/>
                <w:b/>
                <w:noProof/>
                <w:lang w:eastAsia="en-US"/>
              </w:rPr>
              <w:t>1,666,328</w:t>
            </w:r>
          </w:p>
          <w:p>
            <w:pPr>
              <w:widowControl/>
              <w:tabs>
                <w:tab w:val="left" w:pos="1558"/>
              </w:tabs>
              <w:autoSpaceDE/>
              <w:autoSpaceDN/>
              <w:adjustRightInd/>
              <w:spacing w:line="240" w:lineRule="atLeast"/>
              <w:ind w:right="143"/>
              <w:jc w:val="right"/>
              <w:rPr>
                <w:rFonts w:ascii="Arial" w:eastAsia="Arial Unicode MS" w:hAnsi="Arial" w:cs="Arial"/>
                <w:b/>
                <w:noProof/>
                <w:lang w:eastAsia="en-US"/>
              </w:rPr>
            </w:pPr>
          </w:p>
        </w:tc>
      </w:tr>
      <w:tr>
        <w:trPr>
          <w:trHeight w:hRule="exact" w:val="135"/>
        </w:trPr>
        <w:tc>
          <w:tcPr>
            <w:tcW w:w="5387" w:type="dxa"/>
            <w:shd w:val="clear" w:color="auto" w:fill="FFFFFF"/>
            <w:noWrap/>
            <w:vAlign w:val="center"/>
          </w:tcPr>
          <w:p>
            <w:pPr>
              <w:widowControl/>
              <w:autoSpaceDE/>
              <w:autoSpaceDN/>
              <w:adjustRightInd/>
              <w:spacing w:line="240" w:lineRule="atLeast"/>
              <w:rPr>
                <w:rFonts w:ascii="Arial" w:hAnsi="Arial" w:cs="Arial"/>
                <w:b/>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noProof/>
                <w:lang w:eastAsia="en-US"/>
              </w:rPr>
            </w:pPr>
            <w:r>
              <w:rPr>
                <w:rFonts w:ascii="Arial" w:hAnsi="Arial" w:cs="Arial"/>
                <w:noProof/>
                <w:lang w:eastAsia="en-US"/>
              </w:rPr>
              <w:t>Interest revenue on:</w:t>
            </w:r>
          </w:p>
        </w:tc>
        <w:tc>
          <w:tcPr>
            <w:tcW w:w="2268" w:type="dxa"/>
            <w:shd w:val="clear" w:color="auto" w:fill="FFFFFF"/>
            <w:noWrap/>
            <w:vAlign w:val="center"/>
          </w:tcPr>
          <w:p>
            <w:pPr>
              <w:widowControl/>
              <w:autoSpaceDE/>
              <w:autoSpaceDN/>
              <w:adjustRightInd/>
              <w:spacing w:after="120" w:line="240" w:lineRule="atLeast"/>
              <w:ind w:right="143"/>
              <w:jc w:val="right"/>
              <w:rPr>
                <w:rFonts w:ascii="Arial" w:eastAsia="Arial Unicode MS" w:hAnsi="Arial" w:cs="Arial"/>
                <w:noProof/>
                <w:lang w:eastAsia="en-US"/>
              </w:rPr>
            </w:pPr>
            <w:r>
              <w:rPr>
                <w:rFonts w:ascii="Arial" w:eastAsia="Arial Unicode MS" w:hAnsi="Arial" w:cs="Arial"/>
                <w:noProof/>
                <w:lang w:eastAsia="en-US"/>
              </w:rPr>
              <w:t>329,309</w:t>
            </w:r>
          </w:p>
          <w:p>
            <w:pPr>
              <w:widowControl/>
              <w:tabs>
                <w:tab w:val="left" w:pos="1558"/>
              </w:tabs>
              <w:autoSpaceDE/>
              <w:autoSpaceDN/>
              <w:adjustRightInd/>
              <w:spacing w:line="240" w:lineRule="atLeast"/>
              <w:ind w:right="143"/>
              <w:jc w:val="right"/>
              <w:rPr>
                <w:rFonts w:ascii="Arial" w:eastAsia="Arial Unicode MS" w:hAnsi="Arial" w:cs="Arial"/>
                <w:noProof/>
                <w:lang w:eastAsia="en-US"/>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i/>
                <w:noProof/>
                <w:lang w:eastAsia="en-US"/>
              </w:rPr>
            </w:pPr>
            <w:r>
              <w:rPr>
                <w:rFonts w:ascii="Arial" w:hAnsi="Arial" w:cs="Arial"/>
                <w:i/>
                <w:noProof/>
                <w:lang w:eastAsia="en-US"/>
              </w:rPr>
              <w:t xml:space="preserve">     Cash and cash equivalents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r>
              <w:rPr>
                <w:rFonts w:ascii="Arial" w:hAnsi="Arial" w:cs="Arial"/>
                <w:i/>
                <w:noProof/>
                <w:lang w:eastAsia="ko-KR"/>
              </w:rPr>
              <w:t>1,389</w:t>
            </w:r>
          </w:p>
        </w:tc>
      </w:tr>
      <w:tr>
        <w:trPr>
          <w:trHeight w:hRule="exact" w:val="281"/>
        </w:trPr>
        <w:tc>
          <w:tcPr>
            <w:tcW w:w="5387" w:type="dxa"/>
            <w:shd w:val="clear" w:color="auto" w:fill="FFFFFF"/>
            <w:noWrap/>
            <w:vAlign w:val="center"/>
          </w:tcPr>
          <w:p>
            <w:pPr>
              <w:widowControl/>
              <w:autoSpaceDE/>
              <w:autoSpaceDN/>
              <w:adjustRightInd/>
              <w:spacing w:line="240" w:lineRule="atLeast"/>
              <w:rPr>
                <w:rFonts w:ascii="Arial" w:hAnsi="Arial" w:cs="Arial"/>
                <w:i/>
                <w:noProof/>
                <w:lang w:eastAsia="en-US"/>
              </w:rPr>
            </w:pPr>
            <w:r>
              <w:rPr>
                <w:rFonts w:ascii="Arial" w:hAnsi="Arial" w:cs="Arial"/>
                <w:i/>
                <w:noProof/>
                <w:lang w:eastAsia="en-US"/>
              </w:rPr>
              <w:t xml:space="preserve">     Available for sale assets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r>
              <w:rPr>
                <w:rFonts w:ascii="Arial" w:hAnsi="Arial" w:cs="Arial"/>
                <w:i/>
                <w:noProof/>
                <w:lang w:eastAsia="ko-KR"/>
              </w:rPr>
              <w:t>327,434</w:t>
            </w:r>
          </w:p>
        </w:tc>
      </w:tr>
      <w:tr>
        <w:trPr>
          <w:trHeight w:hRule="exact" w:val="281"/>
        </w:trPr>
        <w:tc>
          <w:tcPr>
            <w:tcW w:w="5387" w:type="dxa"/>
            <w:shd w:val="clear" w:color="auto" w:fill="FFFFFF"/>
            <w:noWrap/>
            <w:vAlign w:val="center"/>
          </w:tcPr>
          <w:p>
            <w:pPr>
              <w:widowControl/>
              <w:autoSpaceDE/>
              <w:autoSpaceDN/>
              <w:adjustRightInd/>
              <w:spacing w:line="240" w:lineRule="atLeast"/>
              <w:ind w:firstLine="284"/>
              <w:rPr>
                <w:rFonts w:ascii="Arial" w:hAnsi="Arial" w:cs="Arial"/>
                <w:i/>
                <w:noProof/>
                <w:lang w:eastAsia="en-US"/>
              </w:rPr>
            </w:pPr>
            <w:r>
              <w:rPr>
                <w:rFonts w:ascii="Arial" w:hAnsi="Arial" w:cs="Arial"/>
                <w:i/>
                <w:noProof/>
                <w:lang w:eastAsia="en-US"/>
              </w:rPr>
              <w:t>Other interest revenue</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r>
              <w:rPr>
                <w:rFonts w:ascii="Arial" w:hAnsi="Arial" w:cs="Arial"/>
                <w:i/>
                <w:noProof/>
                <w:lang w:eastAsia="ko-KR"/>
              </w:rPr>
              <w:t>486</w:t>
            </w:r>
          </w:p>
        </w:tc>
      </w:tr>
      <w:tr>
        <w:trPr>
          <w:trHeight w:hRule="exact" w:val="138"/>
        </w:trPr>
        <w:tc>
          <w:tcPr>
            <w:tcW w:w="5387" w:type="dxa"/>
            <w:shd w:val="clear" w:color="auto" w:fill="FFFFFF"/>
            <w:noWrap/>
            <w:vAlign w:val="center"/>
          </w:tcPr>
          <w:p>
            <w:pPr>
              <w:widowControl/>
              <w:autoSpaceDE/>
              <w:autoSpaceDN/>
              <w:adjustRightInd/>
              <w:spacing w:line="240" w:lineRule="atLeast"/>
              <w:rPr>
                <w:rFonts w:ascii="Arial" w:hAnsi="Arial" w:cs="Arial"/>
                <w:i/>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i/>
                <w:noProof/>
                <w:lang w:eastAsia="ko-KR"/>
              </w:rPr>
            </w:pPr>
          </w:p>
        </w:tc>
      </w:tr>
      <w:tr>
        <w:trPr>
          <w:trHeight w:hRule="exact" w:val="281"/>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r>
              <w:rPr>
                <w:rFonts w:ascii="Arial" w:hAnsi="Arial" w:cs="Arial"/>
                <w:noProof/>
                <w:lang w:eastAsia="en-US"/>
              </w:rPr>
              <w:t>Realised gains on sale of AFS assets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r>
              <w:rPr>
                <w:rFonts w:ascii="Arial" w:hAnsi="Arial" w:cs="Arial"/>
                <w:noProof/>
                <w:lang w:eastAsia="ko-KR"/>
              </w:rPr>
              <w:t>861,762</w:t>
            </w:r>
          </w:p>
        </w:tc>
      </w:tr>
      <w:tr>
        <w:trPr>
          <w:trHeight w:hRule="exact" w:val="144"/>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r>
              <w:rPr>
                <w:rFonts w:ascii="Arial" w:hAnsi="Arial" w:cs="Arial"/>
                <w:bCs/>
                <w:noProof/>
                <w:lang w:eastAsia="en-US"/>
              </w:rPr>
              <w:t>Other financial income - fair value changes of derivatives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r>
              <w:rPr>
                <w:rFonts w:ascii="Arial" w:hAnsi="Arial" w:cs="Arial"/>
                <w:noProof/>
                <w:lang w:eastAsia="ko-KR"/>
              </w:rPr>
              <w:t>475,241</w:t>
            </w:r>
          </w:p>
        </w:tc>
      </w:tr>
      <w:tr>
        <w:trPr>
          <w:trHeight w:hRule="exact" w:val="137"/>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r>
              <w:rPr>
                <w:rFonts w:ascii="Arial" w:hAnsi="Arial" w:cs="Arial"/>
                <w:bCs/>
                <w:noProof/>
                <w:lang w:eastAsia="en-US"/>
              </w:rPr>
              <w:t>Miscellaneous income</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r>
              <w:rPr>
                <w:rFonts w:ascii="Arial" w:hAnsi="Arial" w:cs="Arial"/>
                <w:noProof/>
                <w:lang w:eastAsia="ko-KR"/>
              </w:rPr>
              <w:t>16</w:t>
            </w:r>
          </w:p>
        </w:tc>
      </w:tr>
      <w:tr>
        <w:trPr>
          <w:trHeight w:hRule="exact" w:val="143"/>
        </w:trPr>
        <w:tc>
          <w:tcPr>
            <w:tcW w:w="5387" w:type="dxa"/>
            <w:shd w:val="clear" w:color="auto" w:fill="FFFFFF"/>
            <w:noWrap/>
            <w:vAlign w:val="center"/>
          </w:tcPr>
          <w:p>
            <w:pPr>
              <w:widowControl/>
              <w:autoSpaceDE/>
              <w:autoSpaceDN/>
              <w:adjustRightInd/>
              <w:spacing w:line="240" w:lineRule="atLeast"/>
              <w:rPr>
                <w:rFonts w:ascii="Arial" w:hAnsi="Arial" w:cs="Arial"/>
                <w:b/>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b/>
                <w:bCs/>
                <w:noProof/>
                <w:lang w:eastAsia="en-US"/>
              </w:rPr>
            </w:pPr>
            <w:r>
              <w:rPr>
                <w:rFonts w:ascii="Arial" w:hAnsi="Arial" w:cs="Arial"/>
                <w:b/>
                <w:bCs/>
                <w:noProof/>
                <w:lang w:eastAsia="en-US"/>
              </w:rPr>
              <w:t xml:space="preserve">Financial expenses </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eastAsia="Arial Unicode MS" w:hAnsi="Arial" w:cs="Arial"/>
                <w:b/>
                <w:noProof/>
                <w:lang w:eastAsia="en-US"/>
              </w:rPr>
            </w:pPr>
            <w:r>
              <w:rPr>
                <w:rFonts w:ascii="Arial" w:eastAsia="Arial Unicode MS" w:hAnsi="Arial" w:cs="Arial"/>
                <w:b/>
                <w:noProof/>
                <w:lang w:eastAsia="en-US"/>
              </w:rPr>
              <w:t>904,865</w:t>
            </w:r>
          </w:p>
          <w:p>
            <w:pPr>
              <w:widowControl/>
              <w:tabs>
                <w:tab w:val="left" w:pos="1558"/>
              </w:tabs>
              <w:autoSpaceDE/>
              <w:autoSpaceDN/>
              <w:adjustRightInd/>
              <w:spacing w:line="240" w:lineRule="atLeast"/>
              <w:ind w:right="143"/>
              <w:jc w:val="right"/>
              <w:rPr>
                <w:rFonts w:ascii="Arial" w:eastAsia="Arial Unicode MS" w:hAnsi="Arial" w:cs="Arial"/>
                <w:b/>
                <w:noProof/>
                <w:lang w:eastAsia="en-US"/>
              </w:rPr>
            </w:pPr>
          </w:p>
        </w:tc>
      </w:tr>
      <w:tr>
        <w:trPr>
          <w:trHeight w:hRule="exact" w:val="134"/>
        </w:trPr>
        <w:tc>
          <w:tcPr>
            <w:tcW w:w="5387" w:type="dxa"/>
            <w:shd w:val="clear" w:color="auto" w:fill="FFFFFF"/>
            <w:noWrap/>
            <w:vAlign w:val="center"/>
          </w:tcPr>
          <w:p>
            <w:pPr>
              <w:widowControl/>
              <w:autoSpaceDE/>
              <w:autoSpaceDN/>
              <w:adjustRightInd/>
              <w:spacing w:line="240" w:lineRule="atLeast"/>
              <w:rPr>
                <w:rFonts w:ascii="Arial" w:hAnsi="Arial" w:cs="Arial"/>
                <w:b/>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r>
              <w:rPr>
                <w:rFonts w:ascii="Arial" w:hAnsi="Arial" w:cs="Arial"/>
                <w:bCs/>
                <w:noProof/>
                <w:lang w:eastAsia="en-US"/>
              </w:rPr>
              <w:t xml:space="preserve">Interest expenses on </w:t>
            </w:r>
            <w:r>
              <w:rPr>
                <w:rFonts w:ascii="Arial" w:hAnsi="Arial" w:cs="Arial"/>
                <w:noProof/>
                <w:lang w:eastAsia="en-US"/>
              </w:rPr>
              <w:t>cash and cash equivalents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ko-KR"/>
              </w:rPr>
            </w:pPr>
            <w:r>
              <w:rPr>
                <w:rFonts w:ascii="Arial" w:hAnsi="Arial" w:cs="Arial"/>
                <w:noProof/>
                <w:lang w:eastAsia="ko-KR"/>
              </w:rPr>
              <w:t>2,039</w:t>
            </w:r>
          </w:p>
        </w:tc>
      </w:tr>
      <w:tr>
        <w:trPr>
          <w:trHeight w:hRule="exact" w:val="140"/>
        </w:trPr>
        <w:tc>
          <w:tcPr>
            <w:tcW w:w="5387" w:type="dxa"/>
            <w:shd w:val="clear" w:color="auto" w:fill="FFFFFF"/>
            <w:noWrap/>
            <w:vAlign w:val="center"/>
          </w:tcPr>
          <w:p>
            <w:pPr>
              <w:widowControl/>
              <w:autoSpaceDE/>
              <w:autoSpaceDN/>
              <w:adjustRightInd/>
              <w:spacing w:line="240" w:lineRule="atLeast"/>
              <w:rPr>
                <w:rFonts w:ascii="Arial" w:hAnsi="Arial" w:cs="Arial"/>
                <w:b/>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b/>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r>
              <w:rPr>
                <w:rFonts w:ascii="Arial" w:hAnsi="Arial" w:cs="Arial"/>
                <w:bCs/>
                <w:noProof/>
                <w:lang w:eastAsia="en-US"/>
              </w:rPr>
              <w:t>Other financial expenses - fair value changes of derivatives ddefderdderivatives</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r>
              <w:rPr>
                <w:rFonts w:ascii="Arial" w:hAnsi="Arial" w:cs="Arial"/>
                <w:noProof/>
                <w:lang w:eastAsia="ko-KR"/>
              </w:rPr>
              <w:t>902,827</w:t>
            </w:r>
          </w:p>
        </w:tc>
      </w:tr>
      <w:tr>
        <w:trPr>
          <w:trHeight w:hRule="exact" w:val="146"/>
        </w:trPr>
        <w:tc>
          <w:tcPr>
            <w:tcW w:w="5387" w:type="dxa"/>
            <w:shd w:val="clear" w:color="auto" w:fill="FFFFFF"/>
            <w:noWrap/>
            <w:vAlign w:val="center"/>
          </w:tcPr>
          <w:p>
            <w:pPr>
              <w:widowControl/>
              <w:autoSpaceDE/>
              <w:autoSpaceDN/>
              <w:adjustRightInd/>
              <w:spacing w:line="240" w:lineRule="atLeast"/>
              <w:rPr>
                <w:rFonts w:ascii="Arial" w:hAnsi="Arial" w:cs="Arial"/>
                <w:bCs/>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ko-KR"/>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hAnsi="Arial" w:cs="Arial"/>
                <w:b/>
                <w:bCs/>
                <w:noProof/>
                <w:lang w:eastAsia="en-US"/>
              </w:rPr>
            </w:pPr>
            <w:r>
              <w:rPr>
                <w:rFonts w:ascii="Arial" w:hAnsi="Arial" w:cs="Arial"/>
                <w:b/>
                <w:bCs/>
                <w:noProof/>
                <w:lang w:eastAsia="en-US"/>
              </w:rPr>
              <w:t>FINANCIAL RESULT</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eastAsia="Arial Unicode MS" w:hAnsi="Arial" w:cs="Arial"/>
                <w:b/>
                <w:noProof/>
                <w:lang w:eastAsia="en-US"/>
              </w:rPr>
            </w:pPr>
            <w:r>
              <w:rPr>
                <w:rFonts w:ascii="Arial" w:eastAsia="Arial Unicode MS" w:hAnsi="Arial" w:cs="Arial"/>
                <w:b/>
                <w:noProof/>
                <w:lang w:eastAsia="en-US"/>
              </w:rPr>
              <w:t>761,463</w:t>
            </w:r>
          </w:p>
          <w:p>
            <w:pPr>
              <w:widowControl/>
              <w:tabs>
                <w:tab w:val="left" w:pos="1558"/>
              </w:tabs>
              <w:autoSpaceDE/>
              <w:autoSpaceDN/>
              <w:adjustRightInd/>
              <w:spacing w:line="240" w:lineRule="atLeast"/>
              <w:ind w:right="143"/>
              <w:jc w:val="right"/>
              <w:rPr>
                <w:rFonts w:ascii="Arial" w:eastAsia="Arial Unicode MS" w:hAnsi="Arial" w:cs="Arial"/>
                <w:b/>
                <w:noProof/>
                <w:lang w:eastAsia="en-US"/>
              </w:rPr>
            </w:pPr>
          </w:p>
        </w:tc>
      </w:tr>
      <w:tr>
        <w:trPr>
          <w:trHeight w:hRule="exact" w:val="125"/>
        </w:trPr>
        <w:tc>
          <w:tcPr>
            <w:tcW w:w="5387" w:type="dxa"/>
            <w:shd w:val="clear" w:color="auto" w:fill="FFFFFF"/>
            <w:noWrap/>
            <w:vAlign w:val="center"/>
          </w:tcPr>
          <w:p>
            <w:pPr>
              <w:widowControl/>
              <w:autoSpaceDE/>
              <w:autoSpaceDN/>
              <w:adjustRightInd/>
              <w:spacing w:line="240" w:lineRule="atLeast"/>
              <w:rPr>
                <w:rFonts w:ascii="Arial" w:hAnsi="Arial" w:cs="Arial"/>
                <w:noProof/>
                <w:lang w:eastAsia="en-US"/>
              </w:rPr>
            </w:pP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hAnsi="Arial" w:cs="Arial"/>
                <w:noProof/>
                <w:lang w:eastAsia="en-US"/>
              </w:rPr>
            </w:pPr>
          </w:p>
        </w:tc>
      </w:tr>
      <w:tr>
        <w:trPr>
          <w:trHeight w:hRule="exact" w:val="284"/>
        </w:trPr>
        <w:tc>
          <w:tcPr>
            <w:tcW w:w="5387" w:type="dxa"/>
            <w:shd w:val="clear" w:color="auto" w:fill="FFFFFF"/>
            <w:noWrap/>
            <w:vAlign w:val="center"/>
          </w:tcPr>
          <w:p>
            <w:pPr>
              <w:widowControl/>
              <w:autoSpaceDE/>
              <w:autoSpaceDN/>
              <w:adjustRightInd/>
              <w:spacing w:line="240" w:lineRule="atLeast"/>
              <w:rPr>
                <w:rFonts w:ascii="Arial" w:eastAsia="Arial Unicode MS" w:hAnsi="Arial" w:cs="Arial"/>
                <w:b/>
                <w:bCs/>
                <w:noProof/>
                <w:lang w:eastAsia="en-US"/>
              </w:rPr>
            </w:pPr>
            <w:r>
              <w:rPr>
                <w:rFonts w:ascii="Arial" w:hAnsi="Arial" w:cs="Arial"/>
                <w:b/>
                <w:bCs/>
                <w:noProof/>
                <w:lang w:eastAsia="en-US"/>
              </w:rPr>
              <w:t>ECONOMIC RESULT OF THE YEAR</w:t>
            </w:r>
          </w:p>
        </w:tc>
        <w:tc>
          <w:tcPr>
            <w:tcW w:w="2268" w:type="dxa"/>
            <w:shd w:val="clear" w:color="auto" w:fill="FFFFFF"/>
            <w:noWrap/>
            <w:vAlign w:val="center"/>
          </w:tcPr>
          <w:p>
            <w:pPr>
              <w:widowControl/>
              <w:tabs>
                <w:tab w:val="left" w:pos="1558"/>
              </w:tabs>
              <w:autoSpaceDE/>
              <w:autoSpaceDN/>
              <w:adjustRightInd/>
              <w:spacing w:line="240" w:lineRule="atLeast"/>
              <w:ind w:right="143"/>
              <w:jc w:val="right"/>
              <w:rPr>
                <w:rFonts w:ascii="Arial" w:eastAsia="Arial Unicode MS" w:hAnsi="Arial" w:cs="Arial"/>
                <w:b/>
                <w:noProof/>
                <w:lang w:eastAsia="en-US"/>
              </w:rPr>
            </w:pPr>
            <w:r>
              <w:rPr>
                <w:rFonts w:ascii="Arial" w:eastAsia="Arial Unicode MS" w:hAnsi="Arial" w:cs="Arial"/>
                <w:b/>
                <w:noProof/>
                <w:lang w:eastAsia="en-US"/>
              </w:rPr>
              <w:t>933,894</w:t>
            </w:r>
          </w:p>
          <w:p>
            <w:pPr>
              <w:widowControl/>
              <w:tabs>
                <w:tab w:val="left" w:pos="1558"/>
              </w:tabs>
              <w:autoSpaceDE/>
              <w:autoSpaceDN/>
              <w:adjustRightInd/>
              <w:spacing w:line="240" w:lineRule="atLeast"/>
              <w:ind w:right="143"/>
              <w:jc w:val="right"/>
              <w:rPr>
                <w:rFonts w:ascii="Arial" w:hAnsi="Arial" w:cs="Arial"/>
                <w:b/>
                <w:noProof/>
                <w:highlight w:val="yellow"/>
                <w:lang w:eastAsia="ko-KR"/>
              </w:rPr>
            </w:pPr>
          </w:p>
        </w:tc>
      </w:tr>
    </w:tbl>
    <w:p>
      <w:pPr>
        <w:widowControl/>
        <w:autoSpaceDE/>
        <w:autoSpaceDN/>
        <w:adjustRightInd/>
        <w:spacing w:after="200" w:line="276" w:lineRule="auto"/>
        <w:rPr>
          <w:noProof/>
          <w:sz w:val="24"/>
          <w:szCs w:val="24"/>
        </w:rPr>
      </w:pPr>
    </w:p>
    <w:p>
      <w:pPr>
        <w:pStyle w:val="Heading1"/>
        <w:rPr>
          <w:noProof/>
        </w:rPr>
      </w:pPr>
      <w:bookmarkStart w:id="11" w:name="_Toc477531490"/>
      <w:bookmarkStart w:id="12" w:name="_Toc479335692"/>
      <w:r>
        <w:rPr>
          <w:noProof/>
        </w:rPr>
        <w:t>ASSET MANAGEMENT</w:t>
      </w:r>
      <w:bookmarkEnd w:id="11"/>
      <w:bookmarkEnd w:id="12"/>
    </w:p>
    <w:p>
      <w:pPr>
        <w:spacing w:before="240" w:after="240"/>
        <w:jc w:val="both"/>
        <w:rPr>
          <w:noProof/>
          <w:sz w:val="24"/>
          <w:szCs w:val="24"/>
        </w:rPr>
      </w:pPr>
      <w:r>
        <w:rPr>
          <w:noProof/>
          <w:sz w:val="24"/>
          <w:szCs w:val="24"/>
        </w:rPr>
        <w:t>The following sections provide some further details on the (a) composition of the portfolio and (b) key risk characteristics of the portfolio.</w:t>
      </w:r>
    </w:p>
    <w:p>
      <w:pPr>
        <w:pStyle w:val="Heading2"/>
        <w:numPr>
          <w:ilvl w:val="0"/>
          <w:numId w:val="24"/>
        </w:numPr>
        <w:ind w:left="1440" w:hanging="720"/>
        <w:rPr>
          <w:noProof/>
          <w:sz w:val="24"/>
          <w:szCs w:val="24"/>
        </w:rPr>
      </w:pPr>
      <w:bookmarkStart w:id="13" w:name="_Toc479335693"/>
      <w:r>
        <w:rPr>
          <w:noProof/>
        </w:rPr>
        <w:t>COMPOSITION OF THE PORTFOLIO</w:t>
      </w:r>
      <w:bookmarkEnd w:id="13"/>
    </w:p>
    <w:p>
      <w:pPr>
        <w:spacing w:before="240" w:after="240"/>
        <w:jc w:val="both"/>
        <w:rPr>
          <w:noProof/>
          <w:sz w:val="24"/>
          <w:szCs w:val="24"/>
        </w:rPr>
      </w:pPr>
      <w:r>
        <w:rPr>
          <w:noProof/>
          <w:sz w:val="24"/>
          <w:szCs w:val="24"/>
        </w:rPr>
        <w:t>The EFSI GF portfolio at the year-end is well diversified in terms of asset classes and rating categories. In addition, it is diversified in non-euro denominated securities (USD) in the form of an allocation to US Treasuries. The currency risk is hedged.</w:t>
      </w:r>
    </w:p>
    <w:p>
      <w:pPr>
        <w:spacing w:before="240" w:after="240"/>
        <w:jc w:val="both"/>
        <w:rPr>
          <w:noProof/>
          <w:sz w:val="24"/>
          <w:szCs w:val="24"/>
        </w:rPr>
      </w:pPr>
      <w:r>
        <w:rPr>
          <w:noProof/>
          <w:sz w:val="24"/>
          <w:szCs w:val="24"/>
        </w:rPr>
        <w:t xml:space="preserve">As shown in </w:t>
      </w:r>
      <w:r>
        <w:rPr>
          <w:noProof/>
          <w:sz w:val="24"/>
          <w:szCs w:val="24"/>
        </w:rPr>
        <w:fldChar w:fldCharType="begin"/>
      </w:r>
      <w:r>
        <w:rPr>
          <w:noProof/>
          <w:sz w:val="24"/>
          <w:szCs w:val="24"/>
        </w:rPr>
        <w:instrText xml:space="preserve"> REF _Ref475975179 \h  \* MERGEFORMAT </w:instrText>
      </w:r>
      <w:r>
        <w:rPr>
          <w:noProof/>
          <w:sz w:val="24"/>
          <w:szCs w:val="24"/>
        </w:rPr>
      </w:r>
      <w:r>
        <w:rPr>
          <w:noProof/>
          <w:sz w:val="24"/>
          <w:szCs w:val="24"/>
        </w:rPr>
        <w:fldChar w:fldCharType="separate"/>
      </w:r>
      <w:r>
        <w:rPr>
          <w:noProof/>
          <w:sz w:val="24"/>
          <w:szCs w:val="24"/>
        </w:rPr>
        <w:t>Figure</w:t>
      </w:r>
      <w:r>
        <w:rPr>
          <w:noProof/>
          <w:sz w:val="24"/>
          <w:szCs w:val="24"/>
        </w:rPr>
        <w:fldChar w:fldCharType="end"/>
      </w:r>
      <w:r>
        <w:rPr>
          <w:noProof/>
          <w:sz w:val="24"/>
          <w:szCs w:val="24"/>
        </w:rPr>
        <w:t xml:space="preserve">, over 40% of the market value of the portfolio is invested in AAA securities and only a minor percentage in the lower-rated assets. The AAA category includes for example securities issued by the US Government and covered bonds issued by several European financial institutions. </w:t>
      </w:r>
    </w:p>
    <w:p>
      <w:pPr>
        <w:spacing w:before="240" w:after="240"/>
        <w:jc w:val="both"/>
        <w:rPr>
          <w:noProof/>
          <w:sz w:val="24"/>
          <w:szCs w:val="24"/>
        </w:rPr>
      </w:pPr>
      <w:r>
        <w:rPr>
          <w:noProof/>
          <w:sz w:val="24"/>
          <w:szCs w:val="24"/>
        </w:rPr>
        <w:t>In terms of main asset classes, 42% of the portfolio is invested in Government securities, 23% in sub-sovereigns, supranationals and agencies (SSA) and 17% in covered bonds while only 7% in bonds issued by corporates and financial institutions (other than covered bonds).</w:t>
      </w:r>
    </w:p>
    <w:p>
      <w:pPr>
        <w:ind w:left="720"/>
        <w:rPr>
          <w:noProof/>
        </w:rPr>
      </w:pPr>
    </w:p>
    <w:p>
      <w:pPr>
        <w:pStyle w:val="Caption"/>
        <w:keepNext/>
        <w:rPr>
          <w:noProof/>
          <w:sz w:val="20"/>
          <w:szCs w:val="20"/>
        </w:rPr>
      </w:pPr>
      <w:bookmarkStart w:id="14" w:name="_Ref475975179"/>
      <w:r>
        <w:rPr>
          <w:noProof/>
          <w:sz w:val="20"/>
          <w:szCs w:val="20"/>
        </w:rPr>
        <w:t>Figure</w:t>
      </w:r>
      <w:bookmarkEnd w:id="14"/>
      <w:r>
        <w:rPr>
          <w:noProof/>
          <w:sz w:val="20"/>
          <w:szCs w:val="20"/>
        </w:rPr>
        <w:t>: Portfolio exposure by asset class and rating</w:t>
      </w:r>
    </w:p>
    <w:p>
      <w:pPr>
        <w:rPr>
          <w:noProof/>
          <w:sz w:val="24"/>
          <w:szCs w:val="24"/>
        </w:rPr>
      </w:pPr>
      <w:r>
        <w:rPr>
          <w:noProof/>
          <w:lang w:val="en-US" w:eastAsia="en-US"/>
        </w:rPr>
        <w:drawing>
          <wp:inline distT="0" distB="0" distL="0" distR="0">
            <wp:extent cx="5760720" cy="3548937"/>
            <wp:effectExtent l="0" t="0" r="1143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rPr>
      </w:pPr>
      <w:r>
        <w:rPr>
          <w:noProof/>
        </w:rPr>
        <w:t>(Note: The "Bucket 0" category includes all instruments with a maturity below 1 year. This includes also floating rate notes.)</w:t>
      </w:r>
    </w:p>
    <w:p>
      <w:pPr>
        <w:rPr>
          <w:noProof/>
        </w:rPr>
      </w:pPr>
    </w:p>
    <w:p>
      <w:pPr>
        <w:pStyle w:val="Heading2"/>
        <w:numPr>
          <w:ilvl w:val="0"/>
          <w:numId w:val="24"/>
        </w:numPr>
        <w:ind w:left="1440" w:hanging="720"/>
        <w:rPr>
          <w:noProof/>
        </w:rPr>
      </w:pPr>
      <w:bookmarkStart w:id="15" w:name="_Toc479335694"/>
      <w:r>
        <w:rPr>
          <w:noProof/>
        </w:rPr>
        <w:t>KEY RISK CHARACTERISTICS OF THE PORTFOLIO</w:t>
      </w:r>
      <w:bookmarkEnd w:id="15"/>
    </w:p>
    <w:p>
      <w:pPr>
        <w:spacing w:before="240" w:after="240"/>
        <w:jc w:val="both"/>
        <w:rPr>
          <w:i/>
          <w:noProof/>
          <w:sz w:val="24"/>
          <w:szCs w:val="24"/>
        </w:rPr>
      </w:pPr>
      <w:r>
        <w:rPr>
          <w:i/>
          <w:noProof/>
          <w:sz w:val="24"/>
          <w:szCs w:val="24"/>
        </w:rPr>
        <w:t>Market Risk</w:t>
      </w:r>
    </w:p>
    <w:p>
      <w:pPr>
        <w:spacing w:before="240" w:after="240"/>
        <w:jc w:val="both"/>
        <w:rPr>
          <w:noProof/>
          <w:sz w:val="24"/>
          <w:szCs w:val="24"/>
        </w:rPr>
      </w:pPr>
      <w:r>
        <w:rPr>
          <w:noProof/>
          <w:sz w:val="24"/>
          <w:szCs w:val="24"/>
        </w:rPr>
        <w:t>Market risk is, inter alia, assessed by way of calculating the duration</w:t>
      </w:r>
      <w:r>
        <w:rPr>
          <w:noProof/>
          <w:szCs w:val="24"/>
          <w:vertAlign w:val="superscript"/>
        </w:rPr>
        <w:footnoteReference w:id="2"/>
      </w:r>
      <w:r>
        <w:rPr>
          <w:noProof/>
          <w:sz w:val="24"/>
          <w:szCs w:val="24"/>
        </w:rPr>
        <w:t xml:space="preserve"> of the portfolio.</w:t>
      </w:r>
    </w:p>
    <w:p>
      <w:pPr>
        <w:spacing w:before="240" w:after="240"/>
        <w:jc w:val="both"/>
        <w:rPr>
          <w:noProof/>
          <w:sz w:val="24"/>
          <w:szCs w:val="24"/>
        </w:rPr>
      </w:pPr>
      <w:r>
        <w:rPr>
          <w:noProof/>
          <w:sz w:val="24"/>
          <w:szCs w:val="24"/>
        </w:rPr>
        <w:t xml:space="preserve">At the end of December 2016, the portfolio had a duration of 3.5 years. </w:t>
      </w:r>
    </w:p>
    <w:p>
      <w:pPr>
        <w:spacing w:before="240" w:after="240"/>
        <w:jc w:val="both"/>
        <w:rPr>
          <w:noProof/>
          <w:sz w:val="24"/>
          <w:szCs w:val="24"/>
        </w:rPr>
      </w:pPr>
      <w:r>
        <w:rPr>
          <w:noProof/>
          <w:sz w:val="24"/>
          <w:szCs w:val="24"/>
        </w:rPr>
        <w:t xml:space="preserve">Stresses to the term structure, in particular a parallel yield curve shift of +100 bps, would have a theoretical impact on the P&amp;L of -3.43% of the portfolio value. </w:t>
      </w:r>
    </w:p>
    <w:p>
      <w:pPr>
        <w:spacing w:before="240" w:after="240"/>
        <w:jc w:val="both"/>
        <w:rPr>
          <w:noProof/>
          <w:sz w:val="24"/>
          <w:szCs w:val="24"/>
        </w:rPr>
      </w:pPr>
      <w:r>
        <w:rPr>
          <w:noProof/>
          <w:sz w:val="24"/>
          <w:szCs w:val="24"/>
        </w:rPr>
        <w:t>Value-at-Risk (95% confidence level) for the month of December 2016 corresponded to 0.64% of the EFSI GF market value.</w:t>
      </w:r>
    </w:p>
    <w:p>
      <w:pPr>
        <w:spacing w:before="240" w:after="240"/>
        <w:jc w:val="both"/>
        <w:rPr>
          <w:i/>
          <w:noProof/>
          <w:sz w:val="24"/>
          <w:szCs w:val="24"/>
        </w:rPr>
      </w:pPr>
      <w:r>
        <w:rPr>
          <w:i/>
          <w:noProof/>
          <w:sz w:val="24"/>
          <w:szCs w:val="24"/>
        </w:rPr>
        <w:t>Currency risk and hedging activities</w:t>
      </w:r>
    </w:p>
    <w:p>
      <w:pPr>
        <w:spacing w:before="240" w:after="240"/>
        <w:jc w:val="both"/>
        <w:rPr>
          <w:noProof/>
          <w:sz w:val="24"/>
          <w:szCs w:val="24"/>
        </w:rPr>
      </w:pPr>
      <w:r>
        <w:rPr>
          <w:noProof/>
          <w:sz w:val="24"/>
          <w:szCs w:val="24"/>
        </w:rPr>
        <w:t xml:space="preserve">The first USD investments started on 13 December 2016 and are represented by US Treasuries given the liquidity and depth of this market. Such investments represented ca. 15% of the portfolio market value at the end of 2016. The currency risk of USD-denominated investments was hedged via forward contracts. </w:t>
      </w:r>
    </w:p>
    <w:p>
      <w:pPr>
        <w:spacing w:before="240" w:after="240"/>
        <w:jc w:val="both"/>
        <w:rPr>
          <w:i/>
          <w:noProof/>
          <w:sz w:val="24"/>
          <w:szCs w:val="24"/>
        </w:rPr>
      </w:pPr>
      <w:r>
        <w:rPr>
          <w:i/>
          <w:noProof/>
          <w:sz w:val="24"/>
          <w:szCs w:val="24"/>
        </w:rPr>
        <w:t>Credit Risk</w:t>
      </w:r>
    </w:p>
    <w:p>
      <w:pPr>
        <w:spacing w:before="240" w:after="240"/>
        <w:jc w:val="both"/>
        <w:rPr>
          <w:noProof/>
          <w:sz w:val="24"/>
          <w:szCs w:val="24"/>
        </w:rPr>
      </w:pPr>
      <w:r>
        <w:rPr>
          <w:noProof/>
          <w:sz w:val="24"/>
          <w:szCs w:val="24"/>
        </w:rPr>
        <w:t>The credit quality of the EFSI GF portfolio is high with an average rating of A, suggesting a low default probability.</w:t>
      </w:r>
    </w:p>
    <w:p>
      <w:pPr>
        <w:spacing w:before="240" w:after="240"/>
        <w:jc w:val="both"/>
        <w:rPr>
          <w:i/>
          <w:noProof/>
          <w:sz w:val="24"/>
          <w:szCs w:val="24"/>
        </w:rPr>
      </w:pPr>
      <w:r>
        <w:rPr>
          <w:i/>
          <w:noProof/>
          <w:sz w:val="24"/>
          <w:szCs w:val="24"/>
        </w:rPr>
        <w:t>Liquidity characteristics of the portfolio</w:t>
      </w:r>
    </w:p>
    <w:p>
      <w:pPr>
        <w:spacing w:before="240" w:after="240"/>
        <w:jc w:val="both"/>
        <w:rPr>
          <w:noProof/>
          <w:sz w:val="24"/>
          <w:szCs w:val="24"/>
        </w:rPr>
      </w:pPr>
      <w:r>
        <w:rPr>
          <w:noProof/>
          <w:sz w:val="24"/>
          <w:szCs w:val="24"/>
        </w:rPr>
        <w:t>About 23% of the portfolio consists of bonds, floating rate notes and short-term money market instruments which provide a further buffer for the portfolio.</w:t>
      </w:r>
    </w:p>
    <w:p>
      <w:pPr>
        <w:rPr>
          <w:noProof/>
          <w:sz w:val="24"/>
          <w:szCs w:val="24"/>
        </w:rPr>
      </w:pPr>
    </w:p>
    <w:sectPr>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8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082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Style w:val="FootnoteReference"/>
        </w:rPr>
        <w:footnoteRef/>
      </w:r>
      <w:r>
        <w:t xml:space="preserve"> </w:t>
      </w:r>
      <w:r>
        <w:tab/>
        <w:t>Duration figures refer to 'modified duration' which measures the price sensitivity of a bond to interest rate movements.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48"/>
    <w:multiLevelType w:val="multilevel"/>
    <w:tmpl w:val="550AD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844655"/>
    <w:multiLevelType w:val="hybridMultilevel"/>
    <w:tmpl w:val="CADE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E5458"/>
    <w:multiLevelType w:val="multilevel"/>
    <w:tmpl w:val="F076A3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E2800"/>
    <w:multiLevelType w:val="multilevel"/>
    <w:tmpl w:val="0890B8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98789C"/>
    <w:multiLevelType w:val="multilevel"/>
    <w:tmpl w:val="AC5CD59C"/>
    <w:lvl w:ilvl="0">
      <w:start w:val="4"/>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63604C"/>
    <w:multiLevelType w:val="hybridMultilevel"/>
    <w:tmpl w:val="5FFA50DC"/>
    <w:lvl w:ilvl="0" w:tplc="DE0284AC">
      <w:start w:val="1"/>
      <w:numFmt w:val="decimal"/>
      <w:pStyle w:val="Heading2"/>
      <w:lvlText w:val="2.%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0CD0BCA"/>
    <w:multiLevelType w:val="multilevel"/>
    <w:tmpl w:val="550AD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8219A8"/>
    <w:multiLevelType w:val="hybridMultilevel"/>
    <w:tmpl w:val="78467C6E"/>
    <w:lvl w:ilvl="0" w:tplc="F4F04442">
      <w:start w:val="1"/>
      <w:numFmt w:val="decimal"/>
      <w:lvlText w:val="4.%1"/>
      <w:lvlJc w:val="left"/>
      <w:pPr>
        <w:ind w:left="1080" w:hanging="360"/>
      </w:pPr>
      <w:rPr>
        <w:rFonts w:hint="default"/>
        <w:sz w:val="28"/>
        <w:szCs w:val="2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C221EF2"/>
    <w:multiLevelType w:val="multilevel"/>
    <w:tmpl w:val="FF889A66"/>
    <w:lvl w:ilvl="0">
      <w:start w:val="2"/>
      <w:numFmt w:val="decimal"/>
      <w:lvlText w:val="1.%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FA0C15"/>
    <w:multiLevelType w:val="hybridMultilevel"/>
    <w:tmpl w:val="48463BA2"/>
    <w:lvl w:ilvl="0" w:tplc="C73E09C8">
      <w:start w:val="1"/>
      <w:numFmt w:val="decimal"/>
      <w:pStyle w:val="Heading3"/>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B94C93"/>
    <w:multiLevelType w:val="multilevel"/>
    <w:tmpl w:val="5F3CF5B4"/>
    <w:lvl w:ilvl="0">
      <w:start w:val="1"/>
      <w:numFmt w:val="decimal"/>
      <w:lvlText w:val="1.%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6A6B88"/>
    <w:multiLevelType w:val="multilevel"/>
    <w:tmpl w:val="C02248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E554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0104AC6"/>
    <w:multiLevelType w:val="multilevel"/>
    <w:tmpl w:val="FD3EF44C"/>
    <w:lvl w:ilvl="0">
      <w:start w:val="1"/>
      <w:numFmt w:val="decimal"/>
      <w:pStyle w:val="Heading1"/>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BF3227"/>
    <w:multiLevelType w:val="hybridMultilevel"/>
    <w:tmpl w:val="877C0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5A732B"/>
    <w:multiLevelType w:val="hybridMultilevel"/>
    <w:tmpl w:val="6F52263C"/>
    <w:lvl w:ilvl="0" w:tplc="E91ED8A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D4A0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35501E"/>
    <w:multiLevelType w:val="multilevel"/>
    <w:tmpl w:val="D5A82D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686461A"/>
    <w:multiLevelType w:val="multilevel"/>
    <w:tmpl w:val="111245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3"/>
  </w:num>
  <w:num w:numId="3">
    <w:abstractNumId w:val="1"/>
  </w:num>
  <w:num w:numId="4">
    <w:abstractNumId w:val="11"/>
  </w:num>
  <w:num w:numId="5">
    <w:abstractNumId w:val="3"/>
  </w:num>
  <w:num w:numId="6">
    <w:abstractNumId w:val="14"/>
  </w:num>
  <w:num w:numId="7">
    <w:abstractNumId w:val="18"/>
  </w:num>
  <w:num w:numId="8">
    <w:abstractNumId w:val="6"/>
  </w:num>
  <w:num w:numId="9">
    <w:abstractNumId w:val="0"/>
  </w:num>
  <w:num w:numId="10">
    <w:abstractNumId w:val="12"/>
  </w:num>
  <w:num w:numId="11">
    <w:abstractNumId w:val="4"/>
  </w:num>
  <w:num w:numId="12">
    <w:abstractNumId w:val="17"/>
  </w:num>
  <w:num w:numId="13">
    <w:abstractNumId w:val="2"/>
  </w:num>
  <w:num w:numId="14">
    <w:abstractNumId w:val="10"/>
  </w:num>
  <w:num w:numId="15">
    <w:abstractNumId w:val="8"/>
  </w:num>
  <w:num w:numId="16">
    <w:abstractNumId w:val="15"/>
  </w:num>
  <w:num w:numId="17">
    <w:abstractNumId w:val="5"/>
  </w:num>
  <w:num w:numId="18">
    <w:abstractNumId w:val="5"/>
    <w:lvlOverride w:ilvl="0">
      <w:startOverride w:val="1"/>
    </w:lvlOverride>
  </w:num>
  <w:num w:numId="19">
    <w:abstractNumId w:val="9"/>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E44C74605394194900061A5CBD45018"/>
    <w:docVar w:name="LW_CROSSREFERENCE" w:val="{COM(2017) 326 final}"/>
    <w:docVar w:name="LW_DocType" w:val="NORMAL"/>
    <w:docVar w:name="LW_EMISSION" w:val="16.6.2017"/>
    <w:docVar w:name="LW_EMISSION_ISODATE" w:val="2017-06-1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MANAGEMENT OF THE GUARANTEE FUND OF THE EUROPEAN FUND FOR STRATEGIC INVESTMENTS IN 2016"/>
    <w:docVar w:name="LW_PART_NBR" w:val="1"/>
    <w:docVar w:name="LW_PART_NBR_TOTAL" w:val="1"/>
    <w:docVar w:name="LW_REF.INST.NEW" w:val="SWD"/>
    <w:docVar w:name="LW_REF.INST.NEW_ADOPTED" w:val="final"/>
    <w:docVar w:name="LW_REF.INST.NEW_TEXT" w:val="(2017) 235"/>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2"/>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numId w:val="17"/>
      </w:numPr>
      <w:spacing w:before="20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9"/>
    <w:unhideWhenUsed/>
    <w:qFormat/>
    <w:pPr>
      <w:keepNext/>
      <w:keepLines/>
      <w:numPr>
        <w:numId w:val="19"/>
      </w:numPr>
      <w:spacing w:before="200"/>
      <w:outlineLvl w:val="2"/>
    </w:pPr>
    <w:rPr>
      <w:rFonts w:asciiTheme="majorHAnsi" w:eastAsiaTheme="majorEastAsia" w:hAnsiTheme="majorHAnsi" w:cstheme="majorBidi"/>
      <w:b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Text1">
    <w:name w:val="Text 1"/>
    <w:basedOn w:val="Normal"/>
    <w:link w:val="Text1Char"/>
    <w:pPr>
      <w:widowControl/>
      <w:autoSpaceDE/>
      <w:autoSpaceDN/>
      <w:adjustRightInd/>
      <w:spacing w:after="240"/>
      <w:ind w:left="482"/>
      <w:jc w:val="both"/>
    </w:pPr>
    <w:rPr>
      <w:sz w:val="24"/>
      <w:lang w:eastAsia="en-US"/>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2">
    <w:name w:val="Text 2"/>
    <w:basedOn w:val="Normal"/>
    <w:pPr>
      <w:widowControl/>
      <w:tabs>
        <w:tab w:val="left" w:pos="2302"/>
      </w:tabs>
      <w:autoSpaceDE/>
      <w:autoSpaceDN/>
      <w:adjustRightInd/>
      <w:spacing w:after="240"/>
      <w:ind w:left="1202"/>
      <w:jc w:val="both"/>
    </w:pPr>
    <w:rPr>
      <w:sz w:val="24"/>
      <w:lang w:eastAsia="en-US"/>
    </w:rPr>
  </w:style>
  <w:style w:type="paragraph" w:styleId="Closing">
    <w:name w:val="Closing"/>
    <w:basedOn w:val="Normal"/>
    <w:next w:val="Signature"/>
    <w:link w:val="ClosingChar"/>
    <w:pPr>
      <w:widowControl/>
      <w:tabs>
        <w:tab w:val="left" w:pos="5103"/>
      </w:tabs>
      <w:autoSpaceDE/>
      <w:autoSpaceDN/>
      <w:adjustRightInd/>
      <w:spacing w:before="240" w:after="240"/>
      <w:ind w:left="5103"/>
    </w:pPr>
    <w:rPr>
      <w:sz w:val="24"/>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lang w:eastAsia="en-GB"/>
    </w:rPr>
  </w:style>
  <w:style w:type="paragraph" w:styleId="TOCHeading">
    <w:name w:val="TOC Heading"/>
    <w:basedOn w:val="Heading1"/>
    <w:next w:val="Normal"/>
    <w:uiPriority w:val="39"/>
    <w:unhideWhenUsed/>
    <w:qFormat/>
    <w:pPr>
      <w:widowControl/>
      <w:numPr>
        <w:numId w:val="0"/>
      </w:numPr>
      <w:autoSpaceDE/>
      <w:autoSpaceDN/>
      <w:adjustRightInd/>
      <w:spacing w:line="276" w:lineRule="auto"/>
      <w:outlineLvl w:val="9"/>
    </w:pPr>
    <w:rPr>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000000" w:themeColor="text1"/>
      <w:sz w:val="28"/>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Cs/>
      <w:smallCaps/>
      <w:sz w:val="28"/>
      <w:szCs w:val="20"/>
      <w:lang w:eastAsia="en-GB"/>
    </w:rPr>
  </w:style>
  <w:style w:type="paragraph" w:styleId="TOC2">
    <w:name w:val="toc 2"/>
    <w:basedOn w:val="Normal"/>
    <w:next w:val="Normal"/>
    <w:autoRedefine/>
    <w:uiPriority w:val="39"/>
    <w:unhideWhenUsed/>
    <w:pPr>
      <w:tabs>
        <w:tab w:val="left" w:pos="880"/>
        <w:tab w:val="right" w:leader="dot" w:pos="9060"/>
      </w:tabs>
      <w:spacing w:after="100"/>
      <w:ind w:left="200" w:firstLine="226"/>
    </w:pPr>
  </w:style>
  <w:style w:type="paragraph" w:styleId="TOC3">
    <w:name w:val="toc 3"/>
    <w:basedOn w:val="Normal"/>
    <w:next w:val="Normal"/>
    <w:autoRedefine/>
    <w:uiPriority w:val="39"/>
    <w:unhideWhenUsed/>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2"/>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numId w:val="17"/>
      </w:numPr>
      <w:spacing w:before="20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9"/>
    <w:unhideWhenUsed/>
    <w:qFormat/>
    <w:pPr>
      <w:keepNext/>
      <w:keepLines/>
      <w:numPr>
        <w:numId w:val="19"/>
      </w:numPr>
      <w:spacing w:before="200"/>
      <w:outlineLvl w:val="2"/>
    </w:pPr>
    <w:rPr>
      <w:rFonts w:asciiTheme="majorHAnsi" w:eastAsiaTheme="majorEastAsia" w:hAnsiTheme="majorHAnsi" w:cstheme="majorBidi"/>
      <w:b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Text1">
    <w:name w:val="Text 1"/>
    <w:basedOn w:val="Normal"/>
    <w:link w:val="Text1Char"/>
    <w:pPr>
      <w:widowControl/>
      <w:autoSpaceDE/>
      <w:autoSpaceDN/>
      <w:adjustRightInd/>
      <w:spacing w:after="240"/>
      <w:ind w:left="482"/>
      <w:jc w:val="both"/>
    </w:pPr>
    <w:rPr>
      <w:sz w:val="24"/>
      <w:lang w:eastAsia="en-US"/>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2">
    <w:name w:val="Text 2"/>
    <w:basedOn w:val="Normal"/>
    <w:pPr>
      <w:widowControl/>
      <w:tabs>
        <w:tab w:val="left" w:pos="2302"/>
      </w:tabs>
      <w:autoSpaceDE/>
      <w:autoSpaceDN/>
      <w:adjustRightInd/>
      <w:spacing w:after="240"/>
      <w:ind w:left="1202"/>
      <w:jc w:val="both"/>
    </w:pPr>
    <w:rPr>
      <w:sz w:val="24"/>
      <w:lang w:eastAsia="en-US"/>
    </w:rPr>
  </w:style>
  <w:style w:type="paragraph" w:styleId="Closing">
    <w:name w:val="Closing"/>
    <w:basedOn w:val="Normal"/>
    <w:next w:val="Signature"/>
    <w:link w:val="ClosingChar"/>
    <w:pPr>
      <w:widowControl/>
      <w:tabs>
        <w:tab w:val="left" w:pos="5103"/>
      </w:tabs>
      <w:autoSpaceDE/>
      <w:autoSpaceDN/>
      <w:adjustRightInd/>
      <w:spacing w:before="240" w:after="240"/>
      <w:ind w:left="5103"/>
    </w:pPr>
    <w:rPr>
      <w:sz w:val="24"/>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lang w:eastAsia="en-GB"/>
    </w:rPr>
  </w:style>
  <w:style w:type="paragraph" w:styleId="TOCHeading">
    <w:name w:val="TOC Heading"/>
    <w:basedOn w:val="Heading1"/>
    <w:next w:val="Normal"/>
    <w:uiPriority w:val="39"/>
    <w:unhideWhenUsed/>
    <w:qFormat/>
    <w:pPr>
      <w:widowControl/>
      <w:numPr>
        <w:numId w:val="0"/>
      </w:numPr>
      <w:autoSpaceDE/>
      <w:autoSpaceDN/>
      <w:adjustRightInd/>
      <w:spacing w:line="276" w:lineRule="auto"/>
      <w:outlineLvl w:val="9"/>
    </w:pPr>
    <w:rPr>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000000" w:themeColor="text1"/>
      <w:sz w:val="28"/>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Cs/>
      <w:smallCaps/>
      <w:sz w:val="28"/>
      <w:szCs w:val="20"/>
      <w:lang w:eastAsia="en-GB"/>
    </w:rPr>
  </w:style>
  <w:style w:type="paragraph" w:styleId="TOC2">
    <w:name w:val="toc 2"/>
    <w:basedOn w:val="Normal"/>
    <w:next w:val="Normal"/>
    <w:autoRedefine/>
    <w:uiPriority w:val="39"/>
    <w:unhideWhenUsed/>
    <w:pPr>
      <w:tabs>
        <w:tab w:val="left" w:pos="880"/>
        <w:tab w:val="right" w:leader="dot" w:pos="9060"/>
      </w:tabs>
      <w:spacing w:after="100"/>
      <w:ind w:left="200" w:firstLine="226"/>
    </w:pPr>
  </w:style>
  <w:style w:type="paragraph" w:styleId="TOC3">
    <w:name w:val="toc 3"/>
    <w:basedOn w:val="Normal"/>
    <w:next w:val="Normal"/>
    <w:autoRedefine/>
    <w:uiPriority w:val="39"/>
    <w:unhideWhenUs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3661">
      <w:bodyDiv w:val="1"/>
      <w:marLeft w:val="0"/>
      <w:marRight w:val="0"/>
      <w:marTop w:val="0"/>
      <w:marBottom w:val="0"/>
      <w:divBdr>
        <w:top w:val="none" w:sz="0" w:space="0" w:color="auto"/>
        <w:left w:val="none" w:sz="0" w:space="0" w:color="auto"/>
        <w:bottom w:val="none" w:sz="0" w:space="0" w:color="auto"/>
        <w:right w:val="none" w:sz="0" w:space="0" w:color="auto"/>
      </w:divBdr>
    </w:div>
    <w:div w:id="1163742039">
      <w:bodyDiv w:val="1"/>
      <w:marLeft w:val="0"/>
      <w:marRight w:val="0"/>
      <w:marTop w:val="0"/>
      <w:marBottom w:val="0"/>
      <w:divBdr>
        <w:top w:val="none" w:sz="0" w:space="0" w:color="auto"/>
        <w:left w:val="none" w:sz="0" w:space="0" w:color="auto"/>
        <w:bottom w:val="none" w:sz="0" w:space="0" w:color="auto"/>
        <w:right w:val="none" w:sz="0" w:space="0" w:color="auto"/>
      </w:divBdr>
    </w:div>
    <w:div w:id="1502503913">
      <w:bodyDiv w:val="1"/>
      <w:marLeft w:val="0"/>
      <w:marRight w:val="0"/>
      <w:marTop w:val="0"/>
      <w:marBottom w:val="0"/>
      <w:divBdr>
        <w:top w:val="none" w:sz="0" w:space="0" w:color="auto"/>
        <w:left w:val="none" w:sz="0" w:space="0" w:color="auto"/>
        <w:bottom w:val="none" w:sz="0" w:space="0" w:color="auto"/>
        <w:right w:val="none" w:sz="0" w:space="0" w:color="auto"/>
      </w:divBdr>
    </w:div>
    <w:div w:id="15947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1.xml"/><Relationship Id="rId30" Type="http://schemas.openxmlformats.org/officeDocument/2006/relationships/footer" Target="footer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9.3526153846153842E-2"/>
          <c:y val="0.12999837398373984"/>
          <c:w val="0.84478769230769235"/>
          <c:h val="0.776829539295393"/>
        </c:manualLayout>
      </c:layout>
      <c:barChart>
        <c:barDir val="bar"/>
        <c:grouping val="stacked"/>
        <c:varyColors val="0"/>
        <c:ser>
          <c:idx val="0"/>
          <c:order val="0"/>
          <c:tx>
            <c:strRef>
              <c:f>'EFSI Working'!$B$111</c:f>
              <c:strCache>
                <c:ptCount val="1"/>
                <c:pt idx="0">
                  <c:v>Bucket 0</c:v>
                </c:pt>
              </c:strCache>
            </c:strRef>
          </c:tx>
          <c:spPr>
            <a:solidFill>
              <a:schemeClr val="accent1"/>
            </a:solidFill>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Working'!$B$112:$B$121</c:f>
              <c:numCache>
                <c:formatCode>0.0%</c:formatCode>
                <c:ptCount val="10"/>
                <c:pt idx="0">
                  <c:v>0</c:v>
                </c:pt>
                <c:pt idx="1">
                  <c:v>3.9674651278163012E-2</c:v>
                </c:pt>
                <c:pt idx="2">
                  <c:v>9.8321027137239277E-3</c:v>
                </c:pt>
                <c:pt idx="3">
                  <c:v>2.4667759544287015E-3</c:v>
                </c:pt>
                <c:pt idx="4">
                  <c:v>4.9087451129832269E-3</c:v>
                </c:pt>
                <c:pt idx="5">
                  <c:v>0</c:v>
                </c:pt>
                <c:pt idx="6">
                  <c:v>1.97083086781344E-2</c:v>
                </c:pt>
                <c:pt idx="7">
                  <c:v>0.13523661879660673</c:v>
                </c:pt>
                <c:pt idx="8">
                  <c:v>0</c:v>
                </c:pt>
                <c:pt idx="9">
                  <c:v>1.8587956301697409E-2</c:v>
                </c:pt>
              </c:numCache>
            </c:numRef>
          </c:val>
        </c:ser>
        <c:ser>
          <c:idx val="1"/>
          <c:order val="1"/>
          <c:tx>
            <c:strRef>
              <c:f>'EFSI Working'!$C$111</c:f>
              <c:strCache>
                <c:ptCount val="1"/>
                <c:pt idx="0">
                  <c:v>Sovereign Core</c:v>
                </c:pt>
              </c:strCache>
            </c:strRef>
          </c:tx>
          <c:spPr>
            <a:solidFill>
              <a:schemeClr val="accent6">
                <a:lumMod val="75000"/>
              </a:schemeClr>
            </a:solidFill>
            <a:ln>
              <a:solidFill>
                <a:schemeClr val="bg1"/>
              </a:solidFill>
            </a:ln>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Working'!$C$112:$C$121</c:f>
              <c:numCache>
                <c:formatCode>0.0%</c:formatCode>
                <c:ptCount val="10"/>
                <c:pt idx="0">
                  <c:v>0</c:v>
                </c:pt>
                <c:pt idx="1">
                  <c:v>0</c:v>
                </c:pt>
                <c:pt idx="2">
                  <c:v>0</c:v>
                </c:pt>
                <c:pt idx="3">
                  <c:v>0</c:v>
                </c:pt>
                <c:pt idx="4">
                  <c:v>0</c:v>
                </c:pt>
                <c:pt idx="5">
                  <c:v>0</c:v>
                </c:pt>
                <c:pt idx="6">
                  <c:v>0</c:v>
                </c:pt>
                <c:pt idx="7">
                  <c:v>3.0365305592680823E-2</c:v>
                </c:pt>
                <c:pt idx="8">
                  <c:v>0</c:v>
                </c:pt>
                <c:pt idx="9">
                  <c:v>0</c:v>
                </c:pt>
              </c:numCache>
            </c:numRef>
          </c:val>
        </c:ser>
        <c:ser>
          <c:idx val="2"/>
          <c:order val="2"/>
          <c:tx>
            <c:strRef>
              <c:f>'EFSI Working'!$D$111</c:f>
              <c:strCache>
                <c:ptCount val="1"/>
                <c:pt idx="0">
                  <c:v>SSA</c:v>
                </c:pt>
              </c:strCache>
            </c:strRef>
          </c:tx>
          <c:spPr>
            <a:solidFill>
              <a:schemeClr val="accent3"/>
            </a:solidFill>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Working'!$D$112:$D$121</c:f>
              <c:numCache>
                <c:formatCode>0.0%</c:formatCode>
                <c:ptCount val="10"/>
                <c:pt idx="0">
                  <c:v>0</c:v>
                </c:pt>
                <c:pt idx="1">
                  <c:v>0</c:v>
                </c:pt>
                <c:pt idx="2">
                  <c:v>8.1144001561684036E-3</c:v>
                </c:pt>
                <c:pt idx="3">
                  <c:v>0</c:v>
                </c:pt>
                <c:pt idx="4">
                  <c:v>0</c:v>
                </c:pt>
                <c:pt idx="5">
                  <c:v>0</c:v>
                </c:pt>
                <c:pt idx="6">
                  <c:v>1.9750844272822917E-2</c:v>
                </c:pt>
                <c:pt idx="7">
                  <c:v>8.3104715973214352E-2</c:v>
                </c:pt>
                <c:pt idx="8">
                  <c:v>4.9492857170185004E-3</c:v>
                </c:pt>
                <c:pt idx="9">
                  <c:v>0.12147616567700179</c:v>
                </c:pt>
              </c:numCache>
            </c:numRef>
          </c:val>
        </c:ser>
        <c:ser>
          <c:idx val="3"/>
          <c:order val="3"/>
          <c:tx>
            <c:strRef>
              <c:f>'EFSI Working'!$E$111</c:f>
              <c:strCache>
                <c:ptCount val="1"/>
                <c:pt idx="0">
                  <c:v>Sovereign Periphery</c:v>
                </c:pt>
              </c:strCache>
            </c:strRef>
          </c:tx>
          <c:spPr>
            <a:solidFill>
              <a:schemeClr val="accent2">
                <a:lumMod val="40000"/>
                <a:lumOff val="60000"/>
              </a:schemeClr>
            </a:solidFill>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Working'!$E$112:$E$121</c:f>
              <c:numCache>
                <c:formatCode>0.0%</c:formatCode>
                <c:ptCount val="10"/>
                <c:pt idx="0">
                  <c:v>0</c:v>
                </c:pt>
                <c:pt idx="1">
                  <c:v>2.9832942951742557E-2</c:v>
                </c:pt>
                <c:pt idx="2">
                  <c:v>5.6362752420780933E-2</c:v>
                </c:pt>
                <c:pt idx="3">
                  <c:v>1.2760659709867854E-2</c:v>
                </c:pt>
                <c:pt idx="4">
                  <c:v>3.1050636001075011E-2</c:v>
                </c:pt>
                <c:pt idx="5">
                  <c:v>0</c:v>
                </c:pt>
                <c:pt idx="6">
                  <c:v>0</c:v>
                </c:pt>
                <c:pt idx="7">
                  <c:v>0</c:v>
                </c:pt>
                <c:pt idx="8">
                  <c:v>0</c:v>
                </c:pt>
                <c:pt idx="9">
                  <c:v>0</c:v>
                </c:pt>
              </c:numCache>
            </c:numRef>
          </c:val>
        </c:ser>
        <c:ser>
          <c:idx val="4"/>
          <c:order val="4"/>
          <c:tx>
            <c:strRef>
              <c:f>'EFSI Working'!$F$111</c:f>
              <c:strCache>
                <c:ptCount val="1"/>
                <c:pt idx="0">
                  <c:v>Covered</c:v>
                </c:pt>
              </c:strCache>
            </c:strRef>
          </c:tx>
          <c:spPr>
            <a:solidFill>
              <a:srgbClr val="FFC000"/>
            </a:solidFill>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Working'!$F$112:$F$121</c:f>
              <c:numCache>
                <c:formatCode>0.0%</c:formatCode>
                <c:ptCount val="10"/>
                <c:pt idx="0">
                  <c:v>0</c:v>
                </c:pt>
                <c:pt idx="1">
                  <c:v>0</c:v>
                </c:pt>
                <c:pt idx="2">
                  <c:v>0</c:v>
                </c:pt>
                <c:pt idx="3">
                  <c:v>0</c:v>
                </c:pt>
                <c:pt idx="4">
                  <c:v>0</c:v>
                </c:pt>
                <c:pt idx="5">
                  <c:v>1.1167546290838335E-2</c:v>
                </c:pt>
                <c:pt idx="6">
                  <c:v>0</c:v>
                </c:pt>
                <c:pt idx="7">
                  <c:v>0</c:v>
                </c:pt>
                <c:pt idx="8">
                  <c:v>4.9331680820344876E-3</c:v>
                </c:pt>
                <c:pt idx="9">
                  <c:v>0.15596478036047604</c:v>
                </c:pt>
              </c:numCache>
            </c:numRef>
          </c:val>
        </c:ser>
        <c:ser>
          <c:idx val="5"/>
          <c:order val="5"/>
          <c:tx>
            <c:strRef>
              <c:f>'EFSI Working'!$G$111</c:f>
              <c:strCache>
                <c:ptCount val="1"/>
                <c:pt idx="0">
                  <c:v>Corporates</c:v>
                </c:pt>
              </c:strCache>
            </c:strRef>
          </c:tx>
          <c:spPr>
            <a:solidFill>
              <a:schemeClr val="accent2"/>
            </a:solidFill>
          </c:spPr>
          <c:invertIfNegative val="0"/>
          <c:cat>
            <c:strRef>
              <c:f>'EFSI Working'!$A$112:$A$121</c:f>
              <c:strCache>
                <c:ptCount val="10"/>
                <c:pt idx="0">
                  <c:v>BBB-</c:v>
                </c:pt>
                <c:pt idx="1">
                  <c:v>BBB</c:v>
                </c:pt>
                <c:pt idx="2">
                  <c:v>BBB+</c:v>
                </c:pt>
                <c:pt idx="3">
                  <c:v>A-</c:v>
                </c:pt>
                <c:pt idx="4">
                  <c:v>A</c:v>
                </c:pt>
                <c:pt idx="5">
                  <c:v>A+</c:v>
                </c:pt>
                <c:pt idx="6">
                  <c:v>AA-</c:v>
                </c:pt>
                <c:pt idx="7">
                  <c:v>AA</c:v>
                </c:pt>
                <c:pt idx="8">
                  <c:v>AA+</c:v>
                </c:pt>
                <c:pt idx="9">
                  <c:v>AAA</c:v>
                </c:pt>
              </c:strCache>
            </c:strRef>
          </c:cat>
          <c:val>
            <c:numRef>
              <c:f>'EFSI Working'!$G$112:$G$121</c:f>
              <c:numCache>
                <c:formatCode>0.0%</c:formatCode>
                <c:ptCount val="10"/>
                <c:pt idx="0">
                  <c:v>0</c:v>
                </c:pt>
                <c:pt idx="1">
                  <c:v>0</c:v>
                </c:pt>
                <c:pt idx="2">
                  <c:v>0</c:v>
                </c:pt>
                <c:pt idx="3">
                  <c:v>9.286058778265667E-3</c:v>
                </c:pt>
                <c:pt idx="4">
                  <c:v>0</c:v>
                </c:pt>
                <c:pt idx="5">
                  <c:v>3.1512276498653388E-2</c:v>
                </c:pt>
                <c:pt idx="6">
                  <c:v>3.129283451474496E-2</c:v>
                </c:pt>
                <c:pt idx="7">
                  <c:v>0</c:v>
                </c:pt>
                <c:pt idx="8">
                  <c:v>0</c:v>
                </c:pt>
                <c:pt idx="9">
                  <c:v>0</c:v>
                </c:pt>
              </c:numCache>
            </c:numRef>
          </c:val>
        </c:ser>
        <c:ser>
          <c:idx val="7"/>
          <c:order val="6"/>
          <c:tx>
            <c:strRef>
              <c:f>'EFSI Working'!$H$111</c:f>
              <c:strCache>
                <c:ptCount val="1"/>
                <c:pt idx="0">
                  <c:v>Non-EUR exposures</c:v>
                </c:pt>
              </c:strCache>
            </c:strRef>
          </c:tx>
          <c:spPr>
            <a:solidFill>
              <a:schemeClr val="accent5"/>
            </a:solidFill>
          </c:spPr>
          <c:invertIfNegative val="0"/>
          <c:cat>
            <c:strRef>
              <c:f>'EFSI Working'!$A$98:$A$107</c:f>
              <c:strCache>
                <c:ptCount val="10"/>
                <c:pt idx="0">
                  <c:v>BBB-</c:v>
                </c:pt>
                <c:pt idx="1">
                  <c:v>BBB</c:v>
                </c:pt>
                <c:pt idx="2">
                  <c:v>BBB+</c:v>
                </c:pt>
                <c:pt idx="3">
                  <c:v>A-</c:v>
                </c:pt>
                <c:pt idx="4">
                  <c:v>A</c:v>
                </c:pt>
                <c:pt idx="5">
                  <c:v>A+</c:v>
                </c:pt>
                <c:pt idx="6">
                  <c:v>AA-</c:v>
                </c:pt>
                <c:pt idx="7">
                  <c:v>AA</c:v>
                </c:pt>
                <c:pt idx="8">
                  <c:v>AA+</c:v>
                </c:pt>
                <c:pt idx="9">
                  <c:v>AAA</c:v>
                </c:pt>
              </c:strCache>
            </c:strRef>
          </c:cat>
          <c:val>
            <c:numRef>
              <c:f>'EFSI Working'!$H$112:$H$121</c:f>
              <c:numCache>
                <c:formatCode>0.0%</c:formatCode>
                <c:ptCount val="10"/>
                <c:pt idx="0">
                  <c:v>0</c:v>
                </c:pt>
                <c:pt idx="1">
                  <c:v>0</c:v>
                </c:pt>
                <c:pt idx="2">
                  <c:v>0</c:v>
                </c:pt>
                <c:pt idx="3">
                  <c:v>0</c:v>
                </c:pt>
                <c:pt idx="4">
                  <c:v>0</c:v>
                </c:pt>
                <c:pt idx="5">
                  <c:v>0</c:v>
                </c:pt>
                <c:pt idx="6">
                  <c:v>0</c:v>
                </c:pt>
                <c:pt idx="7">
                  <c:v>-5.6974101170882599E-4</c:v>
                </c:pt>
                <c:pt idx="8">
                  <c:v>0</c:v>
                </c:pt>
                <c:pt idx="9">
                  <c:v>0.12823020917858538</c:v>
                </c:pt>
              </c:numCache>
            </c:numRef>
          </c:val>
        </c:ser>
        <c:dLbls>
          <c:showLegendKey val="0"/>
          <c:showVal val="0"/>
          <c:showCatName val="0"/>
          <c:showSerName val="0"/>
          <c:showPercent val="0"/>
          <c:showBubbleSize val="0"/>
        </c:dLbls>
        <c:gapWidth val="55"/>
        <c:overlap val="100"/>
        <c:axId val="9159424"/>
        <c:axId val="9160960"/>
      </c:barChart>
      <c:lineChart>
        <c:grouping val="stacked"/>
        <c:varyColors val="0"/>
        <c:ser>
          <c:idx val="6"/>
          <c:order val="7"/>
          <c:tx>
            <c:strRef>
              <c:f>'EFSI Working'!$I$111</c:f>
              <c:strCache>
                <c:ptCount val="1"/>
                <c:pt idx="0">
                  <c:v>Grand Total</c:v>
                </c:pt>
              </c:strCache>
            </c:strRef>
          </c:tx>
          <c:spPr>
            <a:ln w="47625">
              <a:noFill/>
            </a:ln>
          </c:spPr>
          <c:marker>
            <c:symbol val="none"/>
          </c:marker>
          <c:dLbls>
            <c:dLbl>
              <c:idx val="0"/>
              <c:layout>
                <c:manualLayout>
                  <c:x val="-4.1689391519620915E-2"/>
                  <c:y val="-3.9420742234437797E-2"/>
                </c:manualLayout>
              </c:layout>
              <c:showLegendKey val="0"/>
              <c:showVal val="1"/>
              <c:showCatName val="0"/>
              <c:showSerName val="0"/>
              <c:showPercent val="0"/>
              <c:showBubbleSize val="0"/>
            </c:dLbl>
            <c:dLbl>
              <c:idx val="1"/>
              <c:layout>
                <c:manualLayout>
                  <c:x val="-4.6596087882175303E-3"/>
                  <c:y val="2.472273248346063E-3"/>
                </c:manualLayout>
              </c:layout>
              <c:showLegendKey val="0"/>
              <c:showVal val="1"/>
              <c:showCatName val="0"/>
              <c:showSerName val="0"/>
              <c:showPercent val="0"/>
              <c:showBubbleSize val="0"/>
            </c:dLbl>
            <c:dLbl>
              <c:idx val="2"/>
              <c:layout>
                <c:manualLayout>
                  <c:x val="-8.8542777206477574E-2"/>
                  <c:y val="-6.7584492355289141E-2"/>
                </c:manualLayout>
              </c:layout>
              <c:showLegendKey val="0"/>
              <c:showVal val="1"/>
              <c:showCatName val="0"/>
              <c:showSerName val="0"/>
              <c:showPercent val="0"/>
              <c:showBubbleSize val="0"/>
            </c:dLbl>
            <c:dLbl>
              <c:idx val="3"/>
              <c:layout>
                <c:manualLayout>
                  <c:x val="-0.25152085635243948"/>
                  <c:y val="-0.23445326851097331"/>
                </c:manualLayout>
              </c:layout>
              <c:showLegendKey val="0"/>
              <c:showVal val="1"/>
              <c:showCatName val="0"/>
              <c:showSerName val="0"/>
              <c:showPercent val="0"/>
              <c:showBubbleSize val="0"/>
            </c:dLbl>
            <c:dLbl>
              <c:idx val="4"/>
              <c:layout>
                <c:manualLayout>
                  <c:x val="-0.30522241370185688"/>
                  <c:y val="-0.29245169399058046"/>
                </c:manualLayout>
              </c:layout>
              <c:showLegendKey val="0"/>
              <c:showVal val="1"/>
              <c:showCatName val="0"/>
              <c:showSerName val="0"/>
              <c:showPercent val="0"/>
              <c:showBubbleSize val="0"/>
            </c:dLbl>
            <c:dLbl>
              <c:idx val="5"/>
              <c:layout>
                <c:manualLayout>
                  <c:x val="-0.38510980847479748"/>
                  <c:y val="-0.34695606535640788"/>
                </c:manualLayout>
              </c:layout>
              <c:showLegendKey val="0"/>
              <c:showVal val="1"/>
              <c:showCatName val="0"/>
              <c:showSerName val="0"/>
              <c:showPercent val="0"/>
              <c:showBubbleSize val="0"/>
            </c:dLbl>
            <c:dLbl>
              <c:idx val="6"/>
              <c:layout>
                <c:manualLayout>
                  <c:x val="-0.43007855581056548"/>
                  <c:y val="-0.37679156941010733"/>
                </c:manualLayout>
              </c:layout>
              <c:showLegendKey val="0"/>
              <c:showVal val="1"/>
              <c:showCatName val="0"/>
              <c:showSerName val="0"/>
              <c:showPercent val="0"/>
              <c:showBubbleSize val="0"/>
            </c:dLbl>
            <c:dLbl>
              <c:idx val="7"/>
              <c:layout>
                <c:manualLayout>
                  <c:x val="-0.21130071697939176"/>
                  <c:y val="-0.15439277378009197"/>
                </c:manualLayout>
              </c:layout>
              <c:showLegendKey val="0"/>
              <c:showVal val="1"/>
              <c:showCatName val="0"/>
              <c:showSerName val="0"/>
              <c:showPercent val="0"/>
              <c:showBubbleSize val="0"/>
            </c:dLbl>
            <c:dLbl>
              <c:idx val="8"/>
              <c:layout>
                <c:manualLayout>
                  <c:x val="-0.69757450873051274"/>
                  <c:y val="-0.6408314572600583"/>
                </c:manualLayout>
              </c:layout>
              <c:showLegendKey val="0"/>
              <c:showVal val="1"/>
              <c:showCatName val="0"/>
              <c:showSerName val="0"/>
              <c:showPercent val="0"/>
              <c:showBubbleSize val="0"/>
            </c:dLbl>
            <c:dLbl>
              <c:idx val="9"/>
              <c:layout>
                <c:manualLayout>
                  <c:x val="-9.1303800512383765E-2"/>
                  <c:y val="4.2788669001119494E-5"/>
                </c:manualLayout>
              </c:layout>
              <c:showLegendKey val="0"/>
              <c:showVal val="1"/>
              <c:showCatName val="0"/>
              <c:showSerName val="0"/>
              <c:showPercent val="0"/>
              <c:showBubbleSize val="0"/>
            </c:dLbl>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'EFSI Working'!$A$98:$A$107</c:f>
              <c:strCache>
                <c:ptCount val="10"/>
                <c:pt idx="0">
                  <c:v>BBB-</c:v>
                </c:pt>
                <c:pt idx="1">
                  <c:v>BBB</c:v>
                </c:pt>
                <c:pt idx="2">
                  <c:v>BBB+</c:v>
                </c:pt>
                <c:pt idx="3">
                  <c:v>A-</c:v>
                </c:pt>
                <c:pt idx="4">
                  <c:v>A</c:v>
                </c:pt>
                <c:pt idx="5">
                  <c:v>A+</c:v>
                </c:pt>
                <c:pt idx="6">
                  <c:v>AA-</c:v>
                </c:pt>
                <c:pt idx="7">
                  <c:v>AA</c:v>
                </c:pt>
                <c:pt idx="8">
                  <c:v>AA+</c:v>
                </c:pt>
                <c:pt idx="9">
                  <c:v>AAA</c:v>
                </c:pt>
              </c:strCache>
            </c:strRef>
          </c:cat>
          <c:val>
            <c:numRef>
              <c:f>'EFSI Working'!$I$112:$I$121</c:f>
              <c:numCache>
                <c:formatCode>0.0%</c:formatCode>
                <c:ptCount val="10"/>
                <c:pt idx="0">
                  <c:v>0</c:v>
                </c:pt>
                <c:pt idx="1">
                  <c:v>6.9507594229905573E-2</c:v>
                </c:pt>
                <c:pt idx="2">
                  <c:v>7.4309255290673268E-2</c:v>
                </c:pt>
                <c:pt idx="3">
                  <c:v>2.451349444256222E-2</c:v>
                </c:pt>
                <c:pt idx="4">
                  <c:v>3.5959381114058234E-2</c:v>
                </c:pt>
                <c:pt idx="5">
                  <c:v>4.2679822789491714E-2</c:v>
                </c:pt>
                <c:pt idx="6">
                  <c:v>7.0751987465702285E-2</c:v>
                </c:pt>
                <c:pt idx="7">
                  <c:v>0.24813689935079311</c:v>
                </c:pt>
                <c:pt idx="8">
                  <c:v>9.8824537990529898E-3</c:v>
                </c:pt>
                <c:pt idx="9">
                  <c:v>0.42425911151776063</c:v>
                </c:pt>
              </c:numCache>
            </c:numRef>
          </c:val>
          <c:smooth val="0"/>
        </c:ser>
        <c:dLbls>
          <c:showLegendKey val="0"/>
          <c:showVal val="0"/>
          <c:showCatName val="0"/>
          <c:showSerName val="0"/>
          <c:showPercent val="0"/>
          <c:showBubbleSize val="0"/>
        </c:dLbls>
        <c:marker val="1"/>
        <c:smooth val="0"/>
        <c:axId val="9172480"/>
        <c:axId val="9170944"/>
      </c:lineChart>
      <c:catAx>
        <c:axId val="9159424"/>
        <c:scaling>
          <c:orientation val="minMax"/>
        </c:scaling>
        <c:delete val="0"/>
        <c:axPos val="l"/>
        <c:majorTickMark val="out"/>
        <c:minorTickMark val="none"/>
        <c:tickLblPos val="nextTo"/>
        <c:crossAx val="9160960"/>
        <c:crosses val="autoZero"/>
        <c:auto val="1"/>
        <c:lblAlgn val="ctr"/>
        <c:lblOffset val="100"/>
        <c:noMultiLvlLbl val="0"/>
      </c:catAx>
      <c:valAx>
        <c:axId val="9160960"/>
        <c:scaling>
          <c:orientation val="minMax"/>
          <c:max val="0.5"/>
          <c:min val="0"/>
        </c:scaling>
        <c:delete val="0"/>
        <c:axPos val="b"/>
        <c:majorGridlines>
          <c:spPr>
            <a:ln>
              <a:gradFill>
                <a:gsLst>
                  <a:gs pos="0">
                    <a:schemeClr val="accent1">
                      <a:tint val="66000"/>
                      <a:satMod val="160000"/>
                      <a:alpha val="71000"/>
                    </a:schemeClr>
                  </a:gs>
                  <a:gs pos="50000">
                    <a:schemeClr val="accent1">
                      <a:tint val="44500"/>
                      <a:satMod val="160000"/>
                    </a:schemeClr>
                  </a:gs>
                  <a:gs pos="100000">
                    <a:schemeClr val="accent1">
                      <a:tint val="23500"/>
                      <a:satMod val="160000"/>
                    </a:schemeClr>
                  </a:gs>
                </a:gsLst>
                <a:lin ang="5400000" scaled="0"/>
              </a:gradFill>
            </a:ln>
          </c:spPr>
        </c:majorGridlines>
        <c:numFmt formatCode="0.0%" sourceLinked="1"/>
        <c:majorTickMark val="out"/>
        <c:minorTickMark val="none"/>
        <c:tickLblPos val="nextTo"/>
        <c:crossAx val="9159424"/>
        <c:crosses val="autoZero"/>
        <c:crossBetween val="between"/>
        <c:majorUnit val="0.1"/>
      </c:valAx>
      <c:valAx>
        <c:axId val="9170944"/>
        <c:scaling>
          <c:orientation val="minMax"/>
        </c:scaling>
        <c:delete val="1"/>
        <c:axPos val="r"/>
        <c:numFmt formatCode="0.0%" sourceLinked="1"/>
        <c:majorTickMark val="out"/>
        <c:minorTickMark val="none"/>
        <c:tickLblPos val="nextTo"/>
        <c:crossAx val="9172480"/>
        <c:crosses val="max"/>
        <c:crossBetween val="between"/>
      </c:valAx>
      <c:catAx>
        <c:axId val="9172480"/>
        <c:scaling>
          <c:orientation val="minMax"/>
        </c:scaling>
        <c:delete val="1"/>
        <c:axPos val="b"/>
        <c:majorTickMark val="out"/>
        <c:minorTickMark val="none"/>
        <c:tickLblPos val="nextTo"/>
        <c:crossAx val="9170944"/>
        <c:crosses val="autoZero"/>
        <c:auto val="1"/>
        <c:lblAlgn val="ctr"/>
        <c:lblOffset val="100"/>
        <c:noMultiLvlLbl val="0"/>
      </c:catAx>
      <c:spPr>
        <a:ln>
          <a:solidFill>
            <a:schemeClr val="tx1">
              <a:lumMod val="50000"/>
              <a:lumOff val="50000"/>
            </a:schemeClr>
          </a:solidFill>
        </a:ln>
      </c:spPr>
    </c:plotArea>
    <c:legend>
      <c:legendPos val="r"/>
      <c:legendEntry>
        <c:idx val="7"/>
        <c:delete val="1"/>
      </c:legendEntry>
      <c:layout>
        <c:manualLayout>
          <c:xMode val="edge"/>
          <c:yMode val="edge"/>
          <c:x val="0.54789763699534022"/>
          <c:y val="0.44029915887463228"/>
          <c:w val="0.40356565067500683"/>
          <c:h val="0.3212770189080563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fffad64-2b1c-4b5e-a40f-ab8710552c1d">EN</EC_Collab_DocumentLanguage>
    <EC_Collab_Reference xmlns="4fffad64-2b1c-4b5e-a40f-ab8710552c1d" xsi:nil="true"/>
    <EC_Collab_Status xmlns="4fffad64-2b1c-4b5e-a40f-ab8710552c1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D2DEA7450172438556954F5A407042" ma:contentTypeVersion="1" ma:contentTypeDescription="Create a new document in this library." ma:contentTypeScope="" ma:versionID="b4fb018c27c71826b009eeca0d081a8f">
  <xsd:schema xmlns:xsd="http://www.w3.org/2001/XMLSchema" xmlns:xs="http://www.w3.org/2001/XMLSchema" xmlns:p="http://schemas.microsoft.com/office/2006/metadata/properties" xmlns:ns3="4fffad64-2b1c-4b5e-a40f-ab8710552c1d" targetNamespace="http://schemas.microsoft.com/office/2006/metadata/properties" ma:root="true" ma:fieldsID="2d47a27a48f0ebc2ca7d5f82c4aa7b2a" ns3:_="">
    <xsd:import namespace="4fffad64-2b1c-4b5e-a40f-ab8710552c1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ad64-2b1c-4b5e-a40f-ab8710552c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3112-1D22-4BAE-87C4-0846D351D5FA}">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4fffad64-2b1c-4b5e-a40f-ab8710552c1d"/>
    <ds:schemaRef ds:uri="http://schemas.microsoft.com/office/2006/metadata/properties"/>
  </ds:schemaRefs>
</ds:datastoreItem>
</file>

<file path=customXml/itemProps2.xml><?xml version="1.0" encoding="utf-8"?>
<ds:datastoreItem xmlns:ds="http://schemas.openxmlformats.org/officeDocument/2006/customXml" ds:itemID="{EEFDFD3B-07CB-4E79-B110-BC2AF1D3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ad64-2b1c-4b5e-a40f-ab871055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0680-8166-4E4A-923D-3BEC263CB6D6}">
  <ds:schemaRefs>
    <ds:schemaRef ds:uri="http://schemas.microsoft.com/sharepoint/v3/contenttype/forms"/>
  </ds:schemaRefs>
</ds:datastoreItem>
</file>

<file path=customXml/itemProps4.xml><?xml version="1.0" encoding="utf-8"?>
<ds:datastoreItem xmlns:ds="http://schemas.openxmlformats.org/officeDocument/2006/customXml" ds:itemID="{14813C5F-FE70-4970-8C10-A35D15F4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1117</Words>
  <Characters>6134</Characters>
  <Application>Microsoft Office Word</Application>
  <DocSecurity>0</DocSecurity>
  <Lines>292</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2017-04-10T07:58:00Z</cp:lastPrinted>
  <dcterms:created xsi:type="dcterms:W3CDTF">2017-05-18T10:57:00Z</dcterms:created>
  <dcterms:modified xsi:type="dcterms:W3CDTF">2017-06-16T08:59:00Z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0x010100258AA79CEB83498886A3A086811232500033D2DEA7450172438556954F5A407042</vt:lpwstr>
  </property>
  <property fmtid="{D5CDD505-2E9C-101B-9397-08002B2CF9AE}" pid="6" name="DocStatus">
    <vt:lpwstr>Green</vt:lpwstr>
  </property>
</Properties>
</file>