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88E8A6B4FC41E99944DC2B6A1D0B97" style="width:450.75pt;height:33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Corps"/>
        <w:tabs>
          <w:tab w:val="center" w:pos="6600"/>
        </w:tabs>
        <w:spacing w:after="240" w:line="240" w:lineRule="auto"/>
        <w:rPr>
          <w:rFonts w:ascii="Times New Roman" w:eastAsia="Times New Roman" w:hAnsi="Times New Roman" w:cs="Times New Roman"/>
          <w:b/>
          <w:bCs/>
          <w:noProof/>
          <w:sz w:val="24"/>
          <w:szCs w:val="24"/>
        </w:rPr>
      </w:pPr>
      <w:bookmarkStart w:id="1" w:name="_GoBack"/>
      <w:bookmarkEnd w:id="1"/>
    </w:p>
    <w:p>
      <w:pPr>
        <w:pStyle w:val="Corps"/>
        <w:spacing w:after="240" w:line="240" w:lineRule="auto"/>
        <w:jc w:val="center"/>
        <w:rPr>
          <w:rFonts w:ascii="Times New Roman" w:eastAsia="Times New Roman" w:hAnsi="Times New Roman" w:cs="Times New Roman"/>
          <w:b/>
          <w:bCs/>
          <w:noProof/>
          <w:sz w:val="24"/>
          <w:szCs w:val="24"/>
        </w:rPr>
      </w:pPr>
      <w:r>
        <w:rPr>
          <w:rFonts w:ascii="Times New Roman" w:hAnsi="Times New Roman" w:cs="Times New Roman"/>
          <w:b/>
          <w:noProof/>
          <w:sz w:val="24"/>
          <w:szCs w:val="24"/>
        </w:rPr>
        <w:t xml:space="preserve">Доклад за напредъка на изпълнението на мрежата ТЕМ-Т през периода 2014—2015 година </w:t>
      </w:r>
    </w:p>
    <w:p>
      <w:pPr>
        <w:pStyle w:val="Corps"/>
        <w:spacing w:after="240" w:line="240" w:lineRule="auto"/>
        <w:jc w:val="center"/>
        <w:rPr>
          <w:rFonts w:ascii="Times New Roman" w:eastAsia="Times New Roman" w:hAnsi="Times New Roman" w:cs="Times New Roman"/>
          <w:b/>
          <w:bCs/>
          <w:noProof/>
          <w:sz w:val="24"/>
          <w:szCs w:val="24"/>
        </w:rPr>
      </w:pPr>
      <w:r>
        <w:rPr>
          <w:rFonts w:ascii="Times New Roman" w:hAnsi="Times New Roman" w:cs="Times New Roman"/>
          <w:b/>
          <w:noProof/>
          <w:sz w:val="24"/>
          <w:szCs w:val="24"/>
        </w:rPr>
        <w:t>(текст от значение за ЕИП)</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szCs w:val="24"/>
        </w:rPr>
        <w:t>Въведение</w:t>
      </w:r>
    </w:p>
    <w:p>
      <w:pPr>
        <w:pStyle w:val="ManualHeading2"/>
        <w:numPr>
          <w:ilvl w:val="1"/>
          <w:numId w:val="2"/>
        </w:numPr>
        <w:rPr>
          <w:rFonts w:cs="Times New Roman"/>
          <w:noProof/>
        </w:rPr>
      </w:pPr>
      <w:r>
        <w:rPr>
          <w:rFonts w:cs="Times New Roman"/>
          <w:noProof/>
        </w:rPr>
        <w:t xml:space="preserve">Основни резултати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Въз основа на информационната система TENtec текущото състояние на изпълнението на транспортната инфраструктура на ТЕМ-Т по отношение на съответствието с изискванията на Регламента за ТЕМ-Т достига между 75 % и 100 % за половината от наличните към момента показатели, докато за останалата половина все още е под 75 %.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За мрежата на железопътната инфраструктура съответствието вече достигна добро равнище по отношение на електрификацията, междурелсието и скоростта по линията, докато по отношение на ERTMS, натоварването на колоос и дължината на влаковете постигането на съответствие все още е далече. Що се отнася до пътищата, спазването на критериите за високоскоростни пътища/автомагистрали също все още е под 75 %. Вътрешните водни пътища са почти изцяло в съответствие с изискванията на CEMT (Европейската конференция на министрите на транспорта) за клас IV, както и на добро равнище по отношение на изпълнението на речните информационни услуги (RIS), докато спазването на критериите за допустимо газене все още е под 75 %. Всички морски пристанища са свързани към железопътната мрежа, но по отношение на свързването на пристанища към вътрешните водни пътища от клас IV по CEMT постигането на съответствие все още е далече. И накрая, изпълнението на изискването за свързване на летищата към железопътната мрежа все още е под 75 %.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състоянието на техническото изпълнение на ТЕМ-Т в настоящия доклад се анализират също и усилията за финансови инвестиции, направени в ТЕМ-Т. През 2014 г. и 2015 г. общите инвестиции, направени от институциите на ЕС от собствени финансови източници (т.е. ТЕМ-Т/Механизъм за свързване на Европа (МСЕ), ЕФРР/КФ и заеми от ЕИБ) в инфраструктурата на основната и широкообхватната мрежа ТЕМ-Т, възлизат на 30,67 милиарда евро във всички 28 държави членки.</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дела на различните видове транспорт (модални дялове) най-високият обем инвестиции спрямо общата сума на безвъзмездните средства от ЕС (ТЕМ-Т/МСЕ и ЕФРР+КФ, които се равняват на 16,98 милиарда евро) е отчетен за железопътната мрежа, в която са вложени до 51,5 % от общите разходи на ЕС за мрежата ТЕМ-Т за периода 2014—2015 г. Делът на инвестициите в пътна инфраструктура достига 30,6 % от общите разходи, следван от 9,2 % за пристанища и морски магистрали, 5,5 % за летища (включително програмата SESAR), 2,1 % за мултимодална инфраструктура и 1,1 % за вътрешни водни пътища. </w:t>
      </w:r>
    </w:p>
    <w:p>
      <w:pPr>
        <w:pStyle w:val="ManualHeading2"/>
        <w:numPr>
          <w:ilvl w:val="1"/>
          <w:numId w:val="2"/>
        </w:numPr>
        <w:rPr>
          <w:rFonts w:cs="Times New Roman"/>
          <w:noProof/>
        </w:rPr>
      </w:pPr>
      <w:r>
        <w:rPr>
          <w:rFonts w:cs="Times New Roman"/>
          <w:noProof/>
        </w:rPr>
        <w:t xml:space="preserve">Контекст на политиката </w:t>
      </w:r>
    </w:p>
    <w:p>
      <w:pPr>
        <w:pStyle w:val="Corps"/>
        <w:tabs>
          <w:tab w:val="left" w:pos="850"/>
        </w:tab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Транспортът е крайъгълен камък на процеса на европейска интеграция и предоставя възможност за свързаност, конвергенция и сближаване в рамките на Съюза. Една интелигентна, устойчива и напълно свързана транспортна мрежа е ключово условие за изграждането и доброто функциониране на единния европейски пазар и за свързване на Европа със световните пазари. Така се допринася за европейската програма за икономически растеж, работни места и конкурентоспособност.</w:t>
      </w:r>
    </w:p>
    <w:p>
      <w:pPr>
        <w:pStyle w:val="Text1"/>
        <w:numPr>
          <w:ilvl w:val="0"/>
          <w:numId w:val="6"/>
        </w:numPr>
        <w:rPr>
          <w:rFonts w:eastAsia="Calibri"/>
          <w:noProof/>
          <w:color w:val="000000"/>
          <w:szCs w:val="24"/>
          <w:u w:color="000000"/>
        </w:rPr>
      </w:pPr>
      <w:r>
        <w:rPr>
          <w:noProof/>
          <w:color w:val="000000"/>
          <w:szCs w:val="24"/>
          <w:u w:color="000000"/>
          <w:bdr w:val="nil"/>
        </w:rPr>
        <w:t>Инвестициите в инфраструктура са от съществено значение за нарастването на БВП. Според Международния валутен фонд (МВФ) повишаването с 1 процент на разходите за инфраструктура води до нарастване с 0,4 процента на БВП през същата година и с 1,5 процента четири години след повишаването</w:t>
      </w:r>
      <w:r>
        <w:rPr>
          <w:rStyle w:val="FootnoteReference"/>
          <w:noProof/>
          <w:color w:val="000000"/>
          <w:szCs w:val="24"/>
          <w:u w:color="000000"/>
          <w:bdr w:val="nil"/>
        </w:rPr>
        <w:footnoteReference w:id="2"/>
      </w:r>
      <w:r>
        <w:rPr>
          <w:noProof/>
          <w:szCs w:val="24"/>
        </w:rPr>
        <w:t>. Ако държавите планират и изградят инфраструктурата по подходящ начин, възвръщаемостта е дори още по-голяма: 2,6 процентни пункта за четири години.  </w:t>
      </w:r>
    </w:p>
    <w:p>
      <w:pPr>
        <w:pStyle w:val="Corps"/>
        <w:numPr>
          <w:ilvl w:val="0"/>
          <w:numId w:val="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Несъответствия при инвестициите в транспорта: докато необходимостта от инвестиции в транспортна инфраструктура се оценява на около 1,3 билиона евро годишно на световно равнище</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и на около 130 милиарда евро годишно на европейско равнище, то средните нива на инвестиции в ЕС от началото на кризата са доста под 100 милиарда евро</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pPr>
        <w:pStyle w:val="Corps"/>
        <w:numPr>
          <w:ilvl w:val="0"/>
          <w:numId w:val="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Бялата книга от 2011 г. беше направена оценка, че за периода 2010—2030 г. в европейския транспорт са необходими инвестиции в размер на 1,5 </w:t>
      </w:r>
      <w:r>
        <w:rPr>
          <w:rFonts w:ascii="Times New Roman" w:hAnsi="Times New Roman" w:cs="Times New Roman"/>
          <w:i/>
          <w:noProof/>
          <w:sz w:val="24"/>
          <w:szCs w:val="24"/>
        </w:rPr>
        <w:t>билиона</w:t>
      </w:r>
      <w:r>
        <w:rPr>
          <w:rFonts w:ascii="Times New Roman" w:hAnsi="Times New Roman" w:cs="Times New Roman"/>
          <w:noProof/>
          <w:sz w:val="24"/>
          <w:szCs w:val="24"/>
        </w:rPr>
        <w:t xml:space="preserve"> евро, за да се отговори на очакваното повишаване на търсенето. Комисията счита, че нуждите от инвестиции само за завършването на коридорите на основната мрежа в периода 2014—2030 г. възлизат на повече от 700 милиарда евро</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за около 2500 транспортни инфраструктурни проекта на територията на държавите членки или пресичащи границите на няколко държави членки (трансгранични проекти)</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Още до 2020 г. за цялата мрежа ТЕМ-Т ще трябва да се инвестират 500 милиарда евро, от които се очаква 250 милиарда евро да бъдат за инфраструктурата на основната мрежа ТЕМ-Т.</w:t>
      </w:r>
    </w:p>
    <w:p>
      <w:pPr>
        <w:pStyle w:val="Corps"/>
        <w:numPr>
          <w:ilvl w:val="0"/>
          <w:numId w:val="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Транспортната инфраструктура дава възможност за услуги с добавена стойност, които взети заедно създават повече работни места и по-голяма икономическа дейност. Спре ли транспортът, спира цялата икономика. На наскоро проведената среща на транспортните министрите от Г-7 в Япония беше изразено ясно послание: при сегашното несъответствие в инвестициите няма да можем да се справим с предизвикателството, свързано с посрещане на значителните нужди от мобилност през следващите 30 години</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pStyle w:val="Corps"/>
        <w:numPr>
          <w:ilvl w:val="0"/>
          <w:numId w:val="6"/>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Транспортът е фактор за конкурентоспособността и глобалната лидерска позиция на ЕС. Ограничените инвестиции намират отражение в намаляващата конкурентоспособност на транспортната инфраструктура на ЕС според последната класация в доклада на Световния икономически форум за глобалната конкурентоспособност.</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края на 2013 г. беше изпълнен важен етап в европейската политика за транспорта. Съветът и Европейският парламент по предложение на Европейската комисия постигнаха съгласие по нова рамка за развитие на „гръбнака“ на транспортната инфраструктура на ЕС, като определиха насоките за развитието на трансевропейската транспортна мрежа (Регламент (ЕС) № 1315/2013, наричан по-нататък Регламентът за ТЕМ-Т</w:t>
      </w:r>
      <w:r>
        <w:rPr>
          <w:rFonts w:ascii="Times New Roman" w:hAnsi="Times New Roman" w:cs="Times New Roman"/>
          <w:noProof/>
          <w:sz w:val="24"/>
          <w:szCs w:val="24"/>
          <w:vertAlign w:val="superscript"/>
        </w:rPr>
        <w:footnoteReference w:id="8"/>
      </w:r>
      <w:r>
        <w:rPr>
          <w:rFonts w:ascii="Times New Roman" w:hAnsi="Times New Roman" w:cs="Times New Roman"/>
          <w:noProof/>
          <w:sz w:val="24"/>
          <w:szCs w:val="24"/>
        </w:rPr>
        <w:t>). Освен това достъпът до подкрепа от ЕС по линия на Кохезионния фонд (КФ) и на Европейския фонд за регионално развитие (ЕФРР) за инвестиции в мрежата ТЕМ-Т беше обвързан с наличието на цялостни планове за транспорта на регионално и/или национално равнище.</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Така през последните години „работният проект“ за нова транспортна инфраструктурна мрежа, която включва всички видове транспорт — железници, вътрешни водни пътища, автомобилни пътища, пристанища, летища и други транспортни системи, както и оборудване за иновационни алтернативни горива и интелигентни транспортни решения, беше значително укрепен.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насоките за ТЕМ-Т се поставя силен акцент върху основните „врати“ на Европа към света за морски и въздушен транспорт — за да се гарантира, че не се ограничават търговските потоци на Европа (като капацитет, технология или административни процедури).</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С политиката за ТЕМ-Т се създават </w:t>
      </w:r>
      <w:r>
        <w:rPr>
          <w:rFonts w:ascii="Times New Roman" w:hAnsi="Times New Roman" w:cs="Times New Roman"/>
          <w:b/>
          <w:noProof/>
          <w:sz w:val="24"/>
          <w:szCs w:val="24"/>
        </w:rPr>
        <w:t>широкообхватна</w:t>
      </w:r>
      <w:r>
        <w:rPr>
          <w:rFonts w:ascii="Times New Roman" w:hAnsi="Times New Roman" w:cs="Times New Roman"/>
          <w:noProof/>
          <w:sz w:val="24"/>
          <w:szCs w:val="24"/>
        </w:rPr>
        <w:t xml:space="preserve"> и </w:t>
      </w:r>
      <w:r>
        <w:rPr>
          <w:rFonts w:ascii="Times New Roman" w:hAnsi="Times New Roman" w:cs="Times New Roman"/>
          <w:b/>
          <w:noProof/>
          <w:sz w:val="24"/>
          <w:szCs w:val="24"/>
        </w:rPr>
        <w:t>основна</w:t>
      </w:r>
      <w:r>
        <w:rPr>
          <w:rFonts w:ascii="Times New Roman" w:hAnsi="Times New Roman" w:cs="Times New Roman"/>
          <w:noProof/>
          <w:sz w:val="24"/>
          <w:szCs w:val="24"/>
        </w:rPr>
        <w:t xml:space="preserve"> мрежа, за да се насърчи по-добрата достъпност на всички региони до европейските и световните пазари, от една страна, и да се постави по-силен акцент върху инфраструктурата от стратегическо значение, от друга. Акцентът както при основната, така и при широкообхватната мрежа е поставен върху  интегрирането, оперативната съвместимост на различните видове транспорт и върху координираното развитие на инфраструктурата, по-специално в трансграничните участъци, за да се изградят липсващите връзки и да се отстранят тесните места. С политиката за ТЕМ-Т също така се проправя пътят за бъдещето на транспортната система, по-специално чрез съоръжения, които насърчават решения с ниски емисии, концепции за услуги от ново поколение и други области на технологични иновации.</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Регламента за ТЕМ-Т се поставят ясни срокове за завършване на основната мрежа (до 2030 г.) и на широкообхватната мрежа (до 2050 г.).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За периода 2014—2020 г. е налична значителна финансова подкрепа от ЕС, особено за инвестиционни проекти в по-слабо развитите региони и държави — членки на ЕС, както и за инвестиционни проекти от общ интерес и с добавена стойност от ЕС.</w:t>
      </w:r>
    </w:p>
    <w:p>
      <w:pPr>
        <w:pStyle w:val="Corps"/>
        <w:numPr>
          <w:ilvl w:val="0"/>
          <w:numId w:val="5"/>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Механизмът за свързване на Европа (МСЕ) с бюджет от 24,05 милиарда евро, включително 11,3 милиарда евро, заделени за държавите членки, които отговарят на условията за подкрепа от Кохезионния фонд, е създаден за подпомагане на проекти от основната мрежа на ТЕМ-Т или свързани с хоризонтални приоритети, като например внедряването на ERTMS. </w:t>
      </w:r>
    </w:p>
    <w:p>
      <w:pPr>
        <w:pStyle w:val="Corps"/>
        <w:numPr>
          <w:ilvl w:val="0"/>
          <w:numId w:val="5"/>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допълнение са програмирани около 70 милиарда евро за съфинансиране от ЕС по линия на Кохезионния фонд (КФ) и на Европейския фонд за регионално развитие (ЕФРР). Това включва 34 милиарда евро за инфраструктура от ТЕМ-Т и 36 милиарда евро за транспортни инвестиционни проекти, които свързват към или допълват проектите за ТЕМ-Т.</w:t>
      </w:r>
    </w:p>
    <w:p>
      <w:pPr>
        <w:pStyle w:val="Corps"/>
        <w:numPr>
          <w:ilvl w:val="0"/>
          <w:numId w:val="5"/>
        </w:num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Сума в размер на 6,3 милиарда евро от „Хоризонт 2020“ е разпределена за финансиране на изследователски или иновационни проекти в транспортните сектори.</w:t>
      </w:r>
    </w:p>
    <w:p>
      <w:pPr>
        <w:pStyle w:val="Corps"/>
        <w:numPr>
          <w:ilvl w:val="0"/>
          <w:numId w:val="5"/>
        </w:num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И накрая, за преодоляване на недостига на инвестиции в транспорта е налична подкрепа от Европейския фонд за стратегически инвестиции (ЕФСИ), заедно с традиционните заеми от ЕИБ. Подкрепата от ЕФСИ може да се комбинира с безвъзмездна помощ от ЕС по линия на МСЕ, „Хоризонт 2020“, както и на европейските структурни и инвестиционни фондове (ЕСИ фондове).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С оглед да се докладва на европейските граждани и на създателите на политики относно ефективността на политиката за ТЕМ-Т </w:t>
      </w:r>
      <w:r>
        <w:rPr>
          <w:rFonts w:ascii="Times New Roman" w:hAnsi="Times New Roman" w:cs="Times New Roman"/>
          <w:b/>
          <w:noProof/>
          <w:sz w:val="24"/>
          <w:szCs w:val="24"/>
        </w:rPr>
        <w:t>е необходимо да бъдат измервани и докладвани</w:t>
      </w:r>
      <w:r>
        <w:rPr>
          <w:rFonts w:ascii="Times New Roman" w:hAnsi="Times New Roman" w:cs="Times New Roman"/>
          <w:noProof/>
          <w:sz w:val="24"/>
          <w:szCs w:val="24"/>
        </w:rPr>
        <w:t xml:space="preserve"> междинни </w:t>
      </w:r>
      <w:r>
        <w:rPr>
          <w:rFonts w:ascii="Times New Roman" w:hAnsi="Times New Roman" w:cs="Times New Roman"/>
          <w:b/>
          <w:noProof/>
          <w:sz w:val="24"/>
          <w:szCs w:val="24"/>
        </w:rPr>
        <w:t>резултати</w:t>
      </w:r>
      <w:r>
        <w:rPr>
          <w:rFonts w:ascii="Times New Roman" w:hAnsi="Times New Roman" w:cs="Times New Roman"/>
          <w:noProof/>
          <w:sz w:val="24"/>
          <w:szCs w:val="24"/>
        </w:rPr>
        <w:t xml:space="preserve">, за да се гарантира, че ТЕМ-Т се изгражда в съответствие с договорените срокове. За целта в член 49, параграф 3 от Регламента за ТЕМ-Т от Комисията се изисква веднъж на всеки две години да публикува доклад за напредъка относно изпълнението на трансевропейската транспортна мрежа и да го представя на Европейския парламент, Съвета, Европейския икономически и социален комитет и Комитета на регионите.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Настоящият доклад за напредъка е първият от поредицата двугодишни доклади, представяни от Комисията на институциите на ЕС, както се предвижда в Регламент (ЕС) № 1315/2013. Настоящият доклад е отправната точка за процес на редовно и цялостно докладване на най-високо равнище относно техническото и финансовото състояние на основната и широкообхватната трансевропейска транспортна мрежа. С това докладване ще се осигурява прозрачност, ще се насърчава координацията между всички участващи страни, ще се подпомага планирането и приоритизирането на инвестициите и ще се улесни мобилизирането на необходимите ресурси — както финансови, така и технически — за изграждането на ТЕМ-Т</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szCs w:val="24"/>
        </w:rPr>
        <w:t>Обхват и методика</w:t>
      </w:r>
      <w:r>
        <w:rPr>
          <w:rFonts w:ascii="Times New Roman" w:hAnsi="Times New Roman" w:cs="Times New Roman"/>
          <w:b/>
          <w:noProof/>
          <w:sz w:val="24"/>
          <w:szCs w:val="24"/>
        </w:rPr>
        <w:t xml:space="preserve">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член 49, параграф 3 от Регламента за ТЕМ-Т се определя обхватът на задължението на Комисията за докладване. Комисията следва да анализира развитието на трансевропейската транспортна мрежа въз основа на информация за напредъка по изпълнението на проекта, предавана от държавите членки, по-специално чрез интерактивната система за географска и техническа информация за трансевропейската транспортна мрежа (TENtec). Освен това от Комисията се изисква да предоставя информация за използването на различните форми на финансова помощ за всички видове транспорт, както и за други елементи на основната и широкообхватната мрежа във всяка държава членка. В доклада следва да се открои също така и координиращата роля на Комисията по отношение на всички форми на финансова помощ с оглед да се подкрепя съгласувано прилагане на Регламента за ТЕМ-Т в съответствие с неговите цели и приоритети.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настоящия доклад се представя оценка на съфинансирането от бюджета на ЕС за инвестициите, направени в инфраструктурата на мрежата ТЕМ-Т, и съответното изпълнение на мрежата в периода 2014—2015 г.</w:t>
      </w:r>
      <w:r>
        <w:rPr>
          <w:rFonts w:ascii="Times New Roman" w:hAnsi="Times New Roman" w:cs="Times New Roman"/>
          <w:noProof/>
          <w:sz w:val="24"/>
          <w:szCs w:val="24"/>
          <w:vertAlign w:val="superscript"/>
        </w:rPr>
        <w:footnoteReference w:id="10"/>
      </w:r>
      <w:r>
        <w:rPr>
          <w:rFonts w:ascii="Times New Roman" w:hAnsi="Times New Roman" w:cs="Times New Roman"/>
          <w:noProof/>
          <w:sz w:val="24"/>
          <w:szCs w:val="24"/>
        </w:rPr>
        <w:t xml:space="preserve"> Напредъкът при използването на финансовата помощ през докладвания период е измерен с посочване на източниците на финансиране, изброени в Регламента за ТЕМ-Т и Регламента за МСE</w:t>
      </w:r>
      <w:r>
        <w:rPr>
          <w:rFonts w:ascii="Times New Roman" w:hAnsi="Times New Roman" w:cs="Times New Roman"/>
          <w:noProof/>
          <w:sz w:val="24"/>
          <w:szCs w:val="24"/>
          <w:vertAlign w:val="superscript"/>
        </w:rPr>
        <w:footnoteReference w:id="11"/>
      </w:r>
      <w:r>
        <w:rPr>
          <w:rFonts w:ascii="Times New Roman" w:hAnsi="Times New Roman" w:cs="Times New Roman"/>
          <w:noProof/>
          <w:sz w:val="24"/>
          <w:szCs w:val="24"/>
        </w:rPr>
        <w:t>, както и други налични източници на финансиране за трансевропейската мрежа, а именно бюджетът по програмата ТЕМ-Т за периода 2007—2013 г., европейските структурни и инвестиционни фондове и подкрепата, предоставяна от Европейската инвестиционна банка</w:t>
      </w:r>
      <w:r>
        <w:rPr>
          <w:rFonts w:ascii="Times New Roman" w:hAnsi="Times New Roman" w:cs="Times New Roman"/>
          <w:noProof/>
          <w:sz w:val="24"/>
          <w:szCs w:val="24"/>
          <w:vertAlign w:val="superscript"/>
        </w:rPr>
        <w:footnoteReference w:id="12"/>
      </w:r>
      <w:r>
        <w:rPr>
          <w:rFonts w:ascii="Times New Roman" w:hAnsi="Times New Roman" w:cs="Times New Roman"/>
          <w:noProof/>
          <w:sz w:val="24"/>
          <w:szCs w:val="24"/>
        </w:rPr>
        <w:t xml:space="preserve">.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Що се отнася до националните бюджети на държавите членки, предоставените от тях индивидуални доклади за 2014 г. и 2015 г. за съжаление не бяха с достатъчно добро качество по отношение на сравнимост на резултатите и точност на данните. Това е причината в настоящия доклад все още да не са включени националните бюджети, инвестирани в ТЕМ-Т. Все пак в доклада бяха установени предизвикателствата пред докладването, свързани с националните бюджети. Въз основа на това бяха направени заключения за бъдещото докладване (вж. глава 5 относно стратегията на докладване).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Определени бяха ясен обхват и критерии за докладваните проекти, с цел докладването да бъде съсредоточено само върху инвестиции, които ефективно са допринесли за изграждането на мрежата ТЕМ-Т. Поради това в обхвата на настоящия доклад за напредъка са включени изключително проекти за строителство и/или смесени проекти(строителство и проучвания)</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които водят до развитието на нова инфраструктура или до модернизацията/рехабилитацията на съществуваща такава. Предвид горепосочените критерии финансовата помощ от „Хоризонт 2020“, в рамките на която финансиране като цяло се предоставя единствено за изследователски дейности, не е взета предвид, а само се посочва в обобщен вид в глава 4.2.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Докладът се основава, от една страна, на осъщественото от външни експерти проучване</w:t>
      </w:r>
      <w:r>
        <w:rPr>
          <w:rFonts w:ascii="Times New Roman" w:hAnsi="Times New Roman" w:cs="Times New Roman"/>
          <w:noProof/>
          <w:sz w:val="24"/>
          <w:szCs w:val="24"/>
          <w:vertAlign w:val="superscript"/>
        </w:rPr>
        <w:footnoteReference w:id="14"/>
      </w:r>
      <w:r>
        <w:rPr>
          <w:rFonts w:ascii="Times New Roman" w:hAnsi="Times New Roman" w:cs="Times New Roman"/>
          <w:noProof/>
          <w:sz w:val="24"/>
          <w:szCs w:val="24"/>
        </w:rPr>
        <w:t>, възложено от Комисията с цел да се улесни изготвянето на първия доклад за напредъка относно развитието и изпълнението на трансевропейската мрежа. Тъй като при изготвянето на настоящия доклад работата по разработването на базата данни TENtec и на проучванията за коридорите на основната мрежа все още продължаваше, проучването беше необходимо, за да се преодолеят оставащите непълноти в информацията и проблеми с качеството на данните. От друга страна, вече наличните в информационната система TENtec данни</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бяха използвани, доколкото е възможно, за анализа на техническото осъществяване на ТЕМ-Т. Данните от TENtec са основани главно на две продължаващи в момента проучвания за събиране на данни (лот 1 за железници, пътища и летища и лот 2 за пристанища и вътрешни водни пътища). Трябва обаче да се подчертае, че данните, събрани и въведени в базата данни TENtec чрез тези две проучвания, се очаква да бъдат валидирани от държавите членки до края на 2017 г.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В настоящото проучване се определят източниците на финансови и технически данни, необходими за оценка на равнището на изпълнение на мрежата ТЕМ-Т в края на 2015 г. По отношение на финансовите аспекти данните са събрани от Изпълнителната агенция за иновации и мрежи (INEA), Генерална дирекция „Регионална и селищна политика“ (ГД „Регионална и селищна политика“) и Европейската инвестиционна банка (ЕИБ).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Анализът на изпълнението на техническите параметри на ТЕМ-Т е направен чрез сравняване на информация и данни, съхранявани в информационната система TENtec, с набор от ключови показатели за ефективност (КПЕ), определени въз основа на изискванията за транспортната инфраструктура, предвидени в Регламента за ТЕМ-Т. Това даде възможност да се оцени текущото равнище на изпълнение на ТЕМ-Т по отношение на спазването на стандартите за ТЕМ-Т по вид мрежа и вид транспорт.</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И накрая, за да се оцени състоянието на изпълнението на мрежата ТЕМ-Т в края на 2015 г., равнището на докладваните инвестиции по вид транспорт беше сравнено с настоящото равнище на техническо изпълнение, показано от избраните КПЕ за оценка на мрежата на транспортната инфраструктура.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Настоящият първи доклад следва да се разглежда като работен процес и отправна точка за формулирането на стабилна, надеждна и прозрачна система за докладване относно TEN-Т в бъдеще, със засилено измерване на въздействието на финансираните инвестиции.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Докладваните резултати следва да се разглеждат като индикативни, тъй като изготвянето на карта и определянето на напредъка на изпълнението на ТЕМ-Т все още представлява предизвикателство за националните регулаторни органи и за Комисията. Понастоящем няма въведена обща система и процес за докладване, което би дало възможност на Комисията да получава пълни и хармонизирани набори от данни за проекти за ТЕМ-Т от различни източници на равнището на ЕС и на национално равнище.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Използването от органите на ЕС и от държавите членки на различни методики, методи на изчисляване, схеми на плащане и формати на данните поражда риск от пропускане или двойно отчитане на докладвани проекти и сериозно ограничава сравнимостта на данните. Различията в системите за докладване (напр. пряко и споделено управление на средствата) водят до значителни пропуски в информацията и допълнително намаляват надеждността на докладваните данни</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И накрая, макар информационната система TENtec да е най-подходящият източник за технически и географски данни за ТЕМ-Т, в момента е в ход процес на увеличаване на въвеждането на данни в нея и на тяхното качество. Тези фактори може да засегнат неблагоприятно надеждността на процеса на анализиране на данните за настоящия първи доклад.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този контекст е важно да се проучат възможни подобрения при прилагането на член 49, параграф 1 от Регламента за ТЕМ-Т, в който се определя, че държавите членки трябва да предоставят на Комисията на основата на редовност, изчерпателност и прозрачност информация за постигнатия напредък в изпълнението на проектите, включително годишни данни за всички проекти, получаващи финансиране от ЕС</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szCs w:val="24"/>
        </w:rPr>
        <w:t>Състояние на изпълнението на ТЕМ-Т: технически напредък</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noProof/>
        </w:rPr>
      </w:pPr>
      <w:r>
        <w:rPr>
          <w:noProof/>
        </w:rPr>
        <w:t>С Регламента за ТЕМ-Т се създават широкообхватна и основна мрежа на базата на методика, която се основава на обективни критерии и количествени прагове, използвани от Европейската комисия, Европейския парламент и Съвета в законодателната процедура</w:t>
      </w:r>
      <w:r>
        <w:rPr>
          <w:rStyle w:val="FootnoteReference"/>
          <w:noProof/>
        </w:rPr>
        <w:footnoteReference w:id="18"/>
      </w:r>
      <w:r>
        <w:rPr>
          <w:noProof/>
        </w:rPr>
        <w:t xml:space="preserve">. Основната и широкообхватната мрежа са свързани с определени технически изисквания и приоритетни цели.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Постигнатият напредък по отношение на осъществяването на ТЕМ-Т трябва да бъде съпоставен с тези технически стандарти с помощта на ключови показатели за ефективност. Редовната актуализация на определението за мрежата ТЕМ-Т и наблюдението на количествените прагове, които трябва да се изпълняват, също са неразделна част от докладването за напредъка. </w:t>
      </w:r>
    </w:p>
    <w:p>
      <w:pPr>
        <w:pStyle w:val="ManualHeading2"/>
        <w:numPr>
          <w:ilvl w:val="1"/>
          <w:numId w:val="2"/>
        </w:numPr>
        <w:rPr>
          <w:rFonts w:cs="Times New Roman"/>
          <w:b w:val="0"/>
          <w:bCs w:val="0"/>
          <w:noProof/>
        </w:rPr>
      </w:pPr>
      <w:r>
        <w:rPr>
          <w:rFonts w:cs="Times New Roman"/>
          <w:noProof/>
        </w:rPr>
        <w:t>Ключови показатели за ефективност в информационната система TENtec</w:t>
      </w:r>
    </w:p>
    <w:p>
      <w:pPr>
        <w:pStyle w:val="Corps"/>
        <w:spacing w:after="240" w:line="240" w:lineRule="auto"/>
        <w:jc w:val="both"/>
        <w:rPr>
          <w:rFonts w:ascii="Times New Roman" w:eastAsia="Times New Roman" w:hAnsi="Times New Roman" w:cs="Times New Roman"/>
          <w:b/>
          <w:noProof/>
          <w:sz w:val="24"/>
          <w:szCs w:val="24"/>
        </w:rPr>
      </w:pPr>
      <w:r>
        <w:rPr>
          <w:rFonts w:ascii="Times New Roman" w:hAnsi="Times New Roman" w:cs="Times New Roman"/>
          <w:noProof/>
          <w:sz w:val="24"/>
          <w:szCs w:val="24"/>
        </w:rPr>
        <w:t xml:space="preserve">В периода 2014—2016 г. чрез проучванията за коридорите на основната мрежа беше определен набор от ключови показатели за ефективност (КПЕ) в съответствие с тези технически изисквания, като тези КПЕ са общи за всичките девет коридора на основната мрежа. Целевите стойности за всеки КПЕ бяха определени въз основа на изискванията, посочени в Регламента за ТЕМ-Т, с позоваване по-специално на член 39. Първостепенната цел на КПЕ е да се измерва развитието на коридорите на ТЕМ-Т във времето и да се наблюдават техните равнища на съответствие със стандартите за качество на инфраструктурата, определени в Регламента за ТЕМ-Т. В таблицата в приложение I е представен списъкът на ключовите показатели за ефективност и методът за изчисляване, използван за измерване на постигнатия технически напредък във връзка с мрежата ТЕМ-Т.  Включени са също и различните стойности за 2015 г., които са били известни към момента на изготвяне на настоящия доклад.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Понастоящем TENtec свързва географска информация и данни за технически параметри на инфраструктурата на ТЕМ-Т и дава възможност на ползвателя лесно да събира информация и да изготвя своевременни доклади и карти, обхващащи основната и широкообхватната мрежа на ТЕМ-Т</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В тези бази данни са включени данните, събирани от държавите членки, като на Комисията се осигурява средство за установяване на критични проблеми, „тесни места“ в транспорта и въпроси, свързани с трансграничната оперативна съвместимост.  </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момента на изготвяне на настоящия доклад обаче значителна част от данните за различни участъци и видове транспорт все още липсва в TENtec поради проблеми с качеството на данните (напр. несъответствия) или все още се очаква валидиране от държавите членки, след като данните са били въведени след външните проучвания. Освен това качеството на информацията се различава значително за отделните параметри. Например степента на въвеждане на данни е 100 % само за един показател за пътищата и един за летищата. По отношение на железопътните линии степента на въвеждане е относително висока за някои основни параметри (напр. електрификация, междурелсие, натоварване на колоос), но за други остава ниска (напр. внедряване на ERTMS). Всъщност що се отнася до внедряването на ERTMS, в момента в TENtec има данни само за участъци от коридори на основната мрежа. За вътрешните водни пътища параметрите, за които понастоящем има налични данни, дават възможност да се изчислят само някои показатели (напр. в момента няма данни за такива КПЕ като допустима височина под мостовете). И накрая, наличието и качеството на информацията за пристанища и товарни терминали към момента остава относително слабо, така че докладваните резултати следва да се разглеждат само като индикативни.  </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 цел да се повиши качеството на данните и степента на въвеждането им в TENtec, през 2015 г. и 2016 г. бяха предприети специални проучвания за събиране на данни, резултати от които ще бъдат предоставени през 2017 г. и 2018 г. Освен това в проучвания относно морските магистрали и внедряването на ERTMS се съдържат елементи за събирането на данни, които заедно водят до цялостно обхващане на видовете транспорт.</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След като бъде повишена степента на въвеждане на данни в TENtec, изчисляването на пълния набор от показатели за ефективност ще позволи измерването на напредъка за техническото изпълнение на ТЕМ-Т по един всеобхватен и надежден начин.</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настоящия доклад за напредъка е представена само тази част от КПЕ, които могат да бъдат изчислени въз основа на наличните към момента данни в TENtec. В допълнение трябва да се подчертае, че са взети предвид пълните набори от данни, въведени понастоящем във основа на различните проучвания за TENtec, независимо дали данните са валидирани от държавите членки или все още не са. Това означава, че липсващите данни за някои участъци и компоненти на инфраструктурата и/или невалидираните данни може да засегнат надеждността на крайния резултат от данни. </w:t>
      </w:r>
    </w:p>
    <w:p>
      <w:pPr>
        <w:pStyle w:val="Corps"/>
        <w:spacing w:before="240" w:after="240" w:line="240" w:lineRule="auto"/>
        <w:jc w:val="both"/>
        <w:rPr>
          <w:rFonts w:ascii="Times New Roman" w:hAnsi="Times New Roman" w:cs="Times New Roman"/>
          <w:noProof/>
          <w:sz w:val="24"/>
          <w:szCs w:val="24"/>
        </w:rPr>
      </w:pPr>
    </w:p>
    <w:p>
      <w:pPr>
        <w:pStyle w:val="Corps"/>
        <w:spacing w:before="240" w:after="240" w:line="240" w:lineRule="auto"/>
        <w:jc w:val="both"/>
        <w:rPr>
          <w:rFonts w:ascii="Times New Roman" w:hAnsi="Times New Roman" w:cs="Times New Roman"/>
          <w:noProof/>
          <w:sz w:val="24"/>
          <w:szCs w:val="24"/>
        </w:rPr>
      </w:pPr>
    </w:p>
    <w:p>
      <w:pPr>
        <w:pStyle w:val="Corps"/>
        <w:spacing w:before="240" w:after="240" w:line="240" w:lineRule="auto"/>
        <w:jc w:val="both"/>
        <w:rPr>
          <w:rFonts w:ascii="Times New Roman" w:hAnsi="Times New Roman" w:cs="Times New Roman"/>
          <w:noProof/>
          <w:sz w:val="24"/>
          <w:szCs w:val="24"/>
        </w:rPr>
      </w:pPr>
    </w:p>
    <w:p>
      <w:pPr>
        <w:pStyle w:val="Corps"/>
        <w:spacing w:before="240" w:after="240" w:line="240" w:lineRule="auto"/>
        <w:jc w:val="both"/>
        <w:rPr>
          <w:rFonts w:ascii="Times New Roman" w:eastAsia="Times New Roman" w:hAnsi="Times New Roman" w:cs="Times New Roman"/>
          <w:noProof/>
          <w:sz w:val="24"/>
          <w:szCs w:val="24"/>
        </w:rPr>
      </w:pPr>
    </w:p>
    <w:p>
      <w:pPr>
        <w:pStyle w:val="ManualHeading2"/>
        <w:numPr>
          <w:ilvl w:val="1"/>
          <w:numId w:val="2"/>
        </w:numPr>
        <w:rPr>
          <w:rFonts w:cs="Times New Roman"/>
          <w:b w:val="0"/>
          <w:bCs w:val="0"/>
          <w:noProof/>
        </w:rPr>
      </w:pPr>
      <w:r>
        <w:rPr>
          <w:rFonts w:cs="Times New Roman"/>
          <w:noProof/>
        </w:rPr>
        <w:t>Техническо изпълнение на мрежата ТЕМ-Т, представено по КПЕ</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Въз основа на настоящата информационна система TENtec текущото състояние на изпълнението на транспортната инфраструктура на ТЕМ-Т по отношение на съответствието с Регламента за ТЕМ-Т достига между 75 % и 100 % за половината от наличните към момента показатели, докато за останалата половина все още е под 75 %.</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Железопътни линии</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железопътните линии наличните понастоящем данни показват, че стандартно междурелсие от 1435 mm е налице при 77 % от основната железопътна мрежа и в 76 % от широкообхватната железопътна мрежа. Що се отнася до електрификацията, около 81 % от мрежата ТЕМ-Т (81,3 % за основната и 80,6 % за широкообхватната) са в съответствие с изискванията на ТЕМ-Т. В края на 2015 г. ERTMS функционира само по 9,5 % от участъците на коридорите на основната мрежа (информацията за останалите участъци все още не е налична), което подсказва ясната необходимост от повече инвестиции. В съответствие с приетия наскоро Европейски план за внедряване (ЕПВ) на ERTMS изглежда, че по-голям напредък е постигнат средно за основната, отколкото за широкообхватната мрежа, което може да се приеме като добър знак за ефективното приоритизиране на инвестициите. В действителност в новия ЕПВ се поставят цели до 2023 г., когато оборудвани ще бъдат около 30—40 % от </w:t>
      </w:r>
      <w:hyperlink r:id="rId16">
        <w:r>
          <w:rPr>
            <w:rStyle w:val="Hyperlink"/>
            <w:rFonts w:ascii="Times New Roman" w:hAnsi="Times New Roman" w:cs="Times New Roman"/>
            <w:noProof/>
            <w:color w:val="auto"/>
            <w:sz w:val="24"/>
            <w:szCs w:val="24"/>
            <w:u w:val="none"/>
          </w:rPr>
          <w:t>коридорите на основната мрежа</w:t>
        </w:r>
      </w:hyperlink>
      <w:r>
        <w:rPr>
          <w:rFonts w:ascii="Times New Roman" w:hAnsi="Times New Roman" w:cs="Times New Roman"/>
          <w:noProof/>
          <w:sz w:val="24"/>
          <w:szCs w:val="24"/>
        </w:rPr>
        <w:t>. През 2023 г. Европейският план за внедряване на ERTMS ще бъде актуализиран отново, като в него ще бъдат определени точните дати за изпълнение на останалата част от коридорите в периода 2024—2030 г.</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Пътища</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За автомобилните пътища основният изчисляван показател е общият брой километри, при които е налице съответствие с изискванията за автомагистрали/високоскоростни пътища. Резултатите показват, че понастоящем 74,5 % от основната мрежа съответстват на стандарта, докато изискването е спазено само при 58,1 % от пътищата от широкообхватната мрежа. Към момента в TENtec няма информация относно предлагането на чисти горива, тъй като наличните данни са ограничени и липсва единен подход при държавите членки и при доставчиците. Все пак в контекста на Директивата за алтернативните горива (2014/94/ЕС) Комисията понастоящем анализира националните рамки за политиката за развитието на пазара на алтернативни горива и тяхната инфраструктура. Освен това Комисията финансира проучване относно „чиста енергия за разгръщане на транспортна инфраструктура“, резултатите от което бяха представени наскоро. Очаква се по-подробна информация да бъде представена във втория доклад за напредъка. </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Пристанища и вътрешни водни пътища</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При вътрешните водни пътища 95 % от основната мрежа вече изпълняват изискванията на CEMT за клас IV, 79,6 % отговарят на изискванията по отношение на изпълнението на речните информационни услуги (RIS), а 68 % — по отношение на допустимото газене от 2,5 m.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Що се отнася до морските пристанища, показателят за свързване с железопътната мрежа показва пълно спазване на изискванията на ТЕМ-Т. Този показател обаче ще бъде прецизиран, за да се включи и необходимостта от подобрения, с които да се повиши капацитетът за товарни превози. Степента на свързване към вътрешни водни пътища от клас IV по CEMT е 46 % за основната и 9 % за широкообхватната мрежа. Данните за вътрешните водни пътища и пристанищата следва обаче да се разглеждат предпазливо, тъй като информацията в базата данни TENtec или все още не е валидирана от държавите членки, или изобщо липсва. Поради това в последния случай стойностите за тези КПЕ се основават на резултатите от проучването съгласно член 49, параграф 3.</w:t>
      </w:r>
    </w:p>
    <w:p>
      <w:pPr>
        <w:pStyle w:val="Corps"/>
        <w:spacing w:after="240" w:line="240" w:lineRule="auto"/>
        <w:jc w:val="both"/>
        <w:rPr>
          <w:rFonts w:ascii="Times New Roman" w:eastAsia="Times New Roman" w:hAnsi="Times New Roman" w:cs="Times New Roman"/>
          <w:noProof/>
          <w:sz w:val="24"/>
          <w:szCs w:val="24"/>
        </w:rPr>
      </w:pP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Летища</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Когато става въпрос за летищата, в Регламент (ЕС) 1315/2013 се определя, че само основните летища, обозначени със звезда в приложение 2 към Регламента (т.е. 38) попадат в задължението по член 41, параграф 3 се отнася, т.е. да бъдат свързани с железопътната и пътнотранспортната инфраструктура на трансевропейската транспортна мрежа не по-късно от 2050 г. (освен при физическа невъзможност за такава връзка) и когато е възможно да бъдат интегрирани във високоскоростната железопътна мрежа, като се взема предвид потенциалният трафик. През 2015 г. 23 основни летища от общо 38 (60,5 %), които трябва да изпълняват това задължение, вече са свързани с железопътната мрежа. Тези данни се основават на много надеждна информация, при която е постигната степен на въвеждане на данните за този показател от 100 %.  </w:t>
      </w:r>
    </w:p>
    <w:p>
      <w:pPr>
        <w:pStyle w:val="ManualHeading2"/>
        <w:numPr>
          <w:ilvl w:val="1"/>
          <w:numId w:val="2"/>
        </w:numPr>
        <w:rPr>
          <w:rFonts w:cs="Times New Roman"/>
          <w:noProof/>
        </w:rPr>
      </w:pPr>
      <w:r>
        <w:rPr>
          <w:rFonts w:cs="Times New Roman"/>
          <w:noProof/>
        </w:rPr>
        <w:t>Техническа актуализация на определението за мрежата ТЕМ-Т</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Европейската комисия осигурява внимателно наблюдение на техническите параметри на компонентите на инфраструктурата на мрежата ТЕМ-Т. В член 49, параграф 4 от Регламента за ТЕМ-Т действително се предвижда възможност за приемане на делегирани актове с цел адаптиране на приложения I и II, за да бъдат взети под внимание евентуални промени, произтичащи от количествените прагове за установяване на инфраструктурните компоненти на широкообхватната мрежа. </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постави началото на процеса на актуализация на заседанието на комитета по ТЕМ-Т, проведено на 30 септември 2015 г., и проведе консултации с експерти от компетентните органи на държавите членки в присъствието на експерти на Европейския парламент по време на заседанията, проведени на 9 декември 2015 г. и на 16 март и 28 септември 2016 г. Това доведе до приемането на 7 декември 2016 г. на делегиран акт, който се очаква да влезе в сила след двумесечния срок за контрол от страна на Европейския парламент и на Съвета.</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Адаптирането на списъка и на картите за целите на този делегиран акт се основава на количествените прагове, определени в членове 14, 20, 24 и 27 от Регламента за ТЕМ-Т. Използвани са последните съответни налични статистически данни на Евростат и информация, предоставена от държавите членки и други подходящи източници, във връзка с постигнатия напредък при изграждането на мрежата. Процедурата доведе до представяне на 250 искания за промяна, от които 235 бяха одобрени и включени в съответствие с разпоредбите на член 49, параграф 4 от Регламента. </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Адаптирането доведе до включването на такива възли съгласно член 49, параграф 4, буква а) като вътрешноводни пристанища, морски пристанища, железопътно-автомобилни терминали, логистични платформи и летища. Това също така доведе и до корекции по отношение на железопътната, пътната и вътрешноводната мрежа въз основа на предоставена от съответните държави членки информация, така че да се отрази напредъкът, постигнат в завършването на мрежата съгласно член 49, параграф 4, буква в). Независимо от това адаптирането не включваше изключенията в съответствие с член 49, параграф 4, буква б), тъй като оценката би била валидна само ако е направена шест години след приемането на Регламента. Всъщност прилагането на праговете за изключване би показало случаи, в които определени инфраструктурни компоненти биха били както под първоначално приложимия праг, така и под новия праг за включване. Поради това на този етап тези елементи не са взети под внимание за процеса на актуализация. </w:t>
      </w:r>
    </w:p>
    <w:p>
      <w:pPr>
        <w:pStyle w:val="Corps"/>
        <w:spacing w:before="240" w:after="240" w:line="240" w:lineRule="auto"/>
        <w:jc w:val="both"/>
        <w:rPr>
          <w:rFonts w:ascii="Times New Roman" w:hAnsi="Times New Roman" w:cs="Times New Roman"/>
          <w:noProof/>
          <w:sz w:val="24"/>
          <w:szCs w:val="24"/>
        </w:rPr>
      </w:pP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szCs w:val="24"/>
        </w:rPr>
        <w:t xml:space="preserve"> Състояние на изпълнението на ТЕМ-Т: напредък по отношение на инвестициите, подкрепяни с финансиране и средства от ЕС </w:t>
      </w:r>
    </w:p>
    <w:p>
      <w:pPr>
        <w:pStyle w:val="ManualHeading2"/>
        <w:numPr>
          <w:ilvl w:val="1"/>
          <w:numId w:val="2"/>
        </w:numPr>
        <w:rPr>
          <w:rFonts w:cs="Times New Roman"/>
          <w:noProof/>
        </w:rPr>
      </w:pPr>
      <w:r>
        <w:rPr>
          <w:rFonts w:cs="Times New Roman"/>
          <w:noProof/>
        </w:rPr>
        <w:t>Използване на финансова помощ през 2014 г. и 2015 г.</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периода 2014—2015 г. общият размер на инвестициите, направени от институциите на ЕС от собствени финансови източници (т.е. ТЕМ-Т/МСЕ, ЕФРР/КФ и заеми от ЕИБ) в инфраструктура на основната и широкообхватната мрежа ТЕМ-Т, възлиза на </w:t>
      </w:r>
      <w:r>
        <w:rPr>
          <w:rFonts w:ascii="Times New Roman" w:hAnsi="Times New Roman" w:cs="Times New Roman"/>
          <w:b/>
          <w:noProof/>
          <w:sz w:val="24"/>
          <w:szCs w:val="24"/>
        </w:rPr>
        <w:t>30,67 милиарда евро</w:t>
      </w:r>
      <w:r>
        <w:rPr>
          <w:rFonts w:ascii="Times New Roman" w:hAnsi="Times New Roman" w:cs="Times New Roman"/>
          <w:noProof/>
          <w:sz w:val="24"/>
          <w:szCs w:val="24"/>
        </w:rPr>
        <w:t xml:space="preserve"> във всички 28 държави членки. В тази обща сума на инвестициите на ЕС се включват само инвестиции, свързани с проекти за строителство и смесени проекти за строителство/проучвания. В допълнение към това </w:t>
      </w:r>
      <w:r>
        <w:rPr>
          <w:rStyle w:val="FootnoteReference"/>
          <w:rFonts w:ascii="Times New Roman" w:hAnsi="Times New Roman" w:cs="Times New Roman"/>
          <w:noProof/>
          <w:color w:val="auto"/>
          <w:sz w:val="24"/>
          <w:szCs w:val="24"/>
          <w:vertAlign w:val="baseline"/>
        </w:rPr>
        <w:t>около 1,1 милиарда евро финансова помощ с</w:t>
      </w:r>
      <w:r>
        <w:rPr>
          <w:rFonts w:ascii="Times New Roman" w:hAnsi="Times New Roman" w:cs="Times New Roman"/>
          <w:noProof/>
          <w:color w:val="auto"/>
          <w:sz w:val="24"/>
          <w:szCs w:val="24"/>
        </w:rPr>
        <w:t>а</w:t>
      </w:r>
      <w:r>
        <w:rPr>
          <w:rStyle w:val="FootnoteReference"/>
          <w:rFonts w:ascii="Times New Roman" w:hAnsi="Times New Roman" w:cs="Times New Roman"/>
          <w:noProof/>
          <w:color w:val="auto"/>
          <w:sz w:val="24"/>
          <w:szCs w:val="24"/>
          <w:vertAlign w:val="baseline"/>
        </w:rPr>
        <w:t xml:space="preserve"> предоставени по споразумения за отпускане на безвъзмездни средства за проекти за проучвания през 2014 г. и 2015 г. От тях около 931,5 милиона евро са отпуснати по линия на МСЕ-Транспорт, а други 160,1 милиона евро </w:t>
      </w:r>
      <w:r>
        <w:rPr>
          <w:rFonts w:ascii="Times New Roman" w:hAnsi="Times New Roman" w:cs="Times New Roman"/>
          <w:noProof/>
          <w:color w:val="auto"/>
          <w:sz w:val="24"/>
          <w:szCs w:val="24"/>
        </w:rPr>
        <w:t xml:space="preserve">— </w:t>
      </w:r>
      <w:r>
        <w:rPr>
          <w:rStyle w:val="FootnoteReference"/>
          <w:rFonts w:ascii="Times New Roman" w:hAnsi="Times New Roman" w:cs="Times New Roman"/>
          <w:noProof/>
          <w:color w:val="auto"/>
          <w:sz w:val="24"/>
          <w:szCs w:val="24"/>
          <w:vertAlign w:val="baseline"/>
        </w:rPr>
        <w:t xml:space="preserve">по програмата ТЕМ-Т. </w:t>
      </w:r>
      <w:r>
        <w:rPr>
          <w:rFonts w:ascii="Times New Roman" w:hAnsi="Times New Roman" w:cs="Times New Roman"/>
          <w:noProof/>
          <w:sz w:val="24"/>
          <w:szCs w:val="24"/>
        </w:rPr>
        <w:t>Освен това през 2014 г. и 2015 г.</w:t>
      </w:r>
      <w:r>
        <w:rPr>
          <w:rFonts w:ascii="Times New Roman" w:hAnsi="Times New Roman" w:cs="Times New Roman"/>
          <w:noProof/>
          <w:color w:val="auto"/>
          <w:sz w:val="24"/>
          <w:szCs w:val="24"/>
        </w:rPr>
        <w:t xml:space="preserve"> </w:t>
      </w:r>
      <w:r>
        <w:rPr>
          <w:rStyle w:val="FootnoteReference"/>
          <w:rFonts w:ascii="Times New Roman" w:hAnsi="Times New Roman" w:cs="Times New Roman"/>
          <w:noProof/>
          <w:color w:val="auto"/>
          <w:sz w:val="24"/>
          <w:szCs w:val="24"/>
          <w:vertAlign w:val="baseline"/>
        </w:rPr>
        <w:t>512,9 милиона евро с</w:t>
      </w:r>
      <w:r>
        <w:rPr>
          <w:rFonts w:ascii="Times New Roman" w:hAnsi="Times New Roman" w:cs="Times New Roman"/>
          <w:noProof/>
          <w:color w:val="auto"/>
          <w:sz w:val="24"/>
          <w:szCs w:val="24"/>
        </w:rPr>
        <w:t>а</w:t>
      </w:r>
      <w:r>
        <w:rPr>
          <w:rStyle w:val="FootnoteReference"/>
          <w:rFonts w:ascii="Times New Roman" w:hAnsi="Times New Roman" w:cs="Times New Roman"/>
          <w:noProof/>
          <w:color w:val="auto"/>
          <w:sz w:val="24"/>
          <w:szCs w:val="24"/>
          <w:vertAlign w:val="baseline"/>
        </w:rPr>
        <w:t xml:space="preserve"> разпределени</w:t>
      </w:r>
      <w:r>
        <w:rPr>
          <w:rFonts w:ascii="Times New Roman" w:hAnsi="Times New Roman" w:cs="Times New Roman"/>
          <w:noProof/>
          <w:color w:val="auto"/>
          <w:sz w:val="24"/>
          <w:szCs w:val="24"/>
        </w:rPr>
        <w:t xml:space="preserve"> </w:t>
      </w:r>
      <w:r>
        <w:rPr>
          <w:rStyle w:val="FootnoteReference"/>
          <w:rFonts w:ascii="Times New Roman" w:hAnsi="Times New Roman" w:cs="Times New Roman"/>
          <w:noProof/>
          <w:color w:val="auto"/>
          <w:sz w:val="24"/>
          <w:szCs w:val="24"/>
          <w:vertAlign w:val="baseline"/>
        </w:rPr>
        <w:t>за проекти за научни изследвания в областта на транспорта по „Хоризонт 2020“</w:t>
      </w:r>
      <w:r>
        <w:rPr>
          <w:rFonts w:ascii="Times New Roman" w:hAnsi="Times New Roman" w:cs="Times New Roman"/>
          <w:noProof/>
          <w:sz w:val="24"/>
          <w:szCs w:val="24"/>
        </w:rPr>
        <w:t>.</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МСЕ</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разходите по предишната програма ТЕМ-Т и действащия Механизъм за свързване на Европа предоставените безвъзмездни средства възлизат на 7 % от общите инвестиции на ЕС в инфраструктура на ТЕМ-Т. Макар че за докладвания период разходите по МСЕ/ТЕМ-Т възлизат само на 2,1 милиарда евро</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заслужава да се отбележи, че около 12,7 милиарда евро са предвидени за 263 проекта, избрани в рамките на първата покана за представяне на предложения по МСЕ през 2014 г., и допълнително още 6,6 милиарда евро за 189 проекта, избрани в рамките на втората покана за представяне на предложения по МСЕ през 2015 г. (за които е поето правно задължение през 2016 г.). Освен това Комисията е подкрепила (чрез бюджета на МСЕ) действията за подкрепа в рамките на програмата, съсредоточени върху подготовката на проекти, изграждането на капацитет в националните администрации и подкрепа за създаването на коридорите на основната мрежа. Поради това може да се очаква, че делът на МСЕ в общите разходи на ЕС за мрежата ТЕМ-Т ще нарасне значително през следващите години, когато повече проекти ще бъдат във фазата на изпълнение.</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ЕСИ фондове</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Почти половината от подкрепата от ЕС за изпълнение в периода 2014—2015 г. е по линия на Европейския фонд за регионално развитие (ЕФРР) и на Кохезионния фонд (КФ), които взети заедно са осигурили около 48 % (равняващи се на 14,8 милиарда евро) от всички подкрепени от ЕС инвестиции в ТЕМ-Т. В докладвания дял от КФ не е взета предвид частта от предоставените от Кохезионния фонд средства, прехвърлени за подкрепа на транспортни проекти по основната мрежа по линия на МСЕ</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 xml:space="preserve">.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Следва да се отбележи, че горепосоченият дял от бюджета на европейските структурни и инвестиционни фондове (ЕСИ фондове) е приблизителен, тъй като в момента на изготвянето на доклада данните за действителните разходи през 2015 г. все още не бяха налични на равнище ЕС.</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допълнение към действителните разходи следва да се отбележи, че ангажиментите в рамките на ЕСИ фондовете към свързани с ТЕМ-Т проекти, поети в рамките на програмния период 2014—2020 г., се оценяват за 2014 г. и 2015 г. на около 8 милиарда евро.  </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ЕИБ и ЕФСИ</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Докладваният обем на заемите от ЕИБ, сключени през 2014 г. и 2015 г., се равнява на 13,7 милиарда евро, с които са подкрепени 69 транспортни операции по мрежата ТЕМ-Т в периода на докладване.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Началото на Европейския фонд за стратегически инвестиции (ЕФСИ) беше поставено през ноември 2014 г. Периодът 2014—2015 г. беше посветен основно на създаването на новите инструменти и различните инициативи и мерки, предвидени по трите стълба на Плана за инвестиции за Европа. </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 xml:space="preserve">Мобилизирани национални ресурси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Следва да се отбележи, че съфинансирането от ЕС на проекти за транспортна инфраструктура в размер от 20 % до 85 % изисква наличието на допълнителни средства, които често се осигуряват чрез национално финансиране от държавите членки. Поради това, за да се възползват от средства на ЕС, държавите членки разпределят значителни ресурси от националния бюджет за проекти, подкрепящи приоритетите на ЕС. В периода 2014—2015 г. инвестираните от бюджета на МСЕ/ТЕМ-Т 2,1 милиарда евро бяха съфинансирани с повече от 6 милиарда евро инвестиции от други източници, основно от националните бюджети на държавите членки. </w:t>
      </w:r>
    </w:p>
    <w:p>
      <w:pPr>
        <w:pStyle w:val="ManualHeading2"/>
        <w:numPr>
          <w:ilvl w:val="1"/>
          <w:numId w:val="2"/>
        </w:numPr>
        <w:rPr>
          <w:rFonts w:cs="Times New Roman"/>
          <w:noProof/>
        </w:rPr>
      </w:pPr>
      <w:r>
        <w:rPr>
          <w:rFonts w:cs="Times New Roman"/>
          <w:noProof/>
        </w:rPr>
        <w:t>Укрепване на стратегическата рамка за инвестиции в транспорта</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края на 2013 г., когато Европейският парламент и Съветът приеха преразгледаните насоки за мрежата ТЕМ-Т, беше договорен нов проект за развитие на „гръбнака“ на транспортната система на ЕС. Поет беше ангажимент за развитие на транспортната инфраструктура, чието практическо изпълнение ще отнеме десетилетия, ще изисква според оценката 1,5 билиона евро в инвестиции и ще включва голям брой частни и публични заинтересовани страни. Начинание с такъв мащаб, сложност и разходи изисква солидна основа за вземането на решения за политиката и инвестициите.</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периода 2014—2015 г. беше направено сериозно усилие да се укрепи стратегическата рамка за транспортни проекти в допълнение към разпоредбите на Регламента за ТЕМ-Т и по този начин да се повиши сигурността при планирането за инвеститорите.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Въз основа на направено от европейските координатори предложение, държавите членки се договориха за подробни работни планове за деветте коридора на основната мрежа на ТЕМ-Т. През декември 2016 г. беше приет Европейски план за внедряване на ERTMS и европейският координатор представи подробен план за изпълнение за морските магистрали</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Една значителна част от бюджета на МСЕ беше заделена за проекти за транспортна инфраструктура по ТЕМ-Т, като се предоставя финансова подкрепа по-специално за основната мрежа и хоризонтални проекти и дейности, посочени в част I от приложението към Регламента за МСЕ. За да се концентрират усилията в тази насока, приоритет се дава на проекти от общ интерес, както е определено в Регламента за ТЕМ-Т.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 подобен начин се предоставя и подкрепата от Кохезионния фонд и от ЕФРР за ТЕМ-Т и друга транспортна инфраструктура, определена като приоритет за развитието на ТЕМ-Т и/или съответните държава членка и регион.</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През 2014 г. и 2015 г. беше направено сериозно усилие да се завърши планирането за периода 2014—2020 г.: Кохезионният фонд и ЕФРР ще продължат да предоставят осезаема подкрепа за развитието на мрежата ТЕМ-Т (около 34 милиарда евро) през следващите години, особено в по-слабо развитите държави членки и региони, където все още са нужни значителни усилия, за да се създадат липсващите връзки и да се отстранят тесните места в транспортните мрежи. Допълнително чрез ЕСИ фондовете ще се подкрепят национални, регионални и местни проекти за транспортна инфраструктура, която не е част от мрежата ТЕМ-Т, както и доставката на подвижен състав.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Това е от решаващо значение за изграждането на безпрепятствена транспортна система от врата до врата, която обслужва нуждите от транспорт на дълги разстояния и от трансграничен транспорт, както и локалната мобилност. Във всички държави членки чрез политиката на сближаване ще се подкрепя преход към мултимодална, интелигентна и по-устойчива транспортна система.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Освен това, както се изисква от условията </w:t>
      </w:r>
      <w:r>
        <w:rPr>
          <w:rFonts w:ascii="Times New Roman" w:hAnsi="Times New Roman" w:cs="Times New Roman"/>
          <w:i/>
          <w:noProof/>
          <w:sz w:val="24"/>
          <w:szCs w:val="24"/>
        </w:rPr>
        <w:t>ex-ante</w:t>
      </w:r>
      <w:r>
        <w:rPr>
          <w:rFonts w:ascii="Times New Roman" w:hAnsi="Times New Roman" w:cs="Times New Roman"/>
          <w:noProof/>
          <w:sz w:val="24"/>
          <w:szCs w:val="24"/>
        </w:rPr>
        <w:t xml:space="preserve"> за получаване на финансова подкрепа от КФ и ЕФРР по тематична цел 7 (устойчив транспорт), в 20 държави членки са разработени цялостни национални и регионални планове за транспорта, включително концептуално изчистени портфейли от проекти и мерки за засилване на капацитета на администрациите и бенефициентите.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Разработването на тези цялостни транспортни планове беше важна стъпка напред: в тях подробно се определя как ще продължи развитието на ТЕМ-Т в 20-те държави членки и в редица региони на Съюза (в които се предоставя съфинансиране по КФ/МСЕ). Те освен това осигуряват основа за балансирано и допълващо развитие на инфраструктурата извън ТЕМ-Т на национално, регионално и местно равнище. Това е важна стъпка да се гарантира, че развитието на ТЕМ-Т не се осъществява изолирано, а като част от всеобхватно усилие за развитие на безпроблемна система от врата до врата, която осигурява транспорта на дълги разстояния и трансграничния транспорт, както и локалната мобилност.</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този контекст заслужава да се отбележи също така, че през 2013 г. Комисията представи нова концепция за разработването на планове за устойчива градска мобилност. През програмния период 2014—2020 г. редица градски зони на ЕС ще получат подкрепа от Кохезионния фонд и от ЕФРР при разработването и изпълнението на такива планове. Предвидени са около 12,5 милиарда евро в подкрепа на инфраструктура за чист градски транспорт и насърчаването му, плюс около 3,5 милиарда евро за интелигентни транспортни системи и екологосъобразна мобилност. Тези инвестиции ще спомогнат за повишаване на ефективността на градските възли, за намаляване на задръстванията и за премахване на тесните места в ТЕМ-Т, както и ще подобрят свързаността на крайната отсечка.</w:t>
      </w:r>
    </w:p>
    <w:p>
      <w:pPr>
        <w:pStyle w:val="ManualHeading2"/>
        <w:numPr>
          <w:ilvl w:val="1"/>
          <w:numId w:val="2"/>
        </w:numPr>
        <w:spacing w:after="240"/>
        <w:rPr>
          <w:rFonts w:cs="Times New Roman"/>
          <w:noProof/>
        </w:rPr>
      </w:pPr>
      <w:r>
        <w:rPr>
          <w:rFonts w:cs="Times New Roman"/>
          <w:noProof/>
        </w:rPr>
        <w:t>Мобилизиране на частен капитал за изпълнението на ТЕМ-Т</w:t>
      </w:r>
    </w:p>
    <w:p>
      <w:pPr>
        <w:pStyle w:val="Corps"/>
        <w:tabs>
          <w:tab w:val="left" w:pos="0"/>
        </w:tab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Независимо от високата степен на финансов принос от ЕС за транспортна инфраструктура по мрежата ТЕМ-Т основното финансово предизвикателство все още е за държавите членки. Развитието на устойчиви и достатъчни източници на финансиране (както публични, така и частни) е от ключово значение за преодоляване на настоящия дефицит при финансирането.</w:t>
      </w:r>
    </w:p>
    <w:p>
      <w:pPr>
        <w:pStyle w:val="Corps"/>
        <w:tabs>
          <w:tab w:val="left" w:pos="0"/>
        </w:tab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Подкрепата от Кохезионния фонд, ЕФРР и МСЕ, макар и осезаема (около 60 милиарда евро за инвестиции в ТЕМ-Т за периода 2014—2020 г.), е относително скромна в сравнение с установените нужди от инвестиции за основната и за широкообхватната мрежа. Поради това за гарантиране на максимален ефект от средствата от ЕС се изисква координирано и целенасочено използване както на безвъзмездна помощ, така и на финансови инструменти, когато те могат да катализират частните инвестиции.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Вследствие на условията </w:t>
      </w:r>
      <w:r>
        <w:rPr>
          <w:rFonts w:ascii="Times New Roman" w:hAnsi="Times New Roman" w:cs="Times New Roman"/>
          <w:i/>
          <w:noProof/>
          <w:sz w:val="24"/>
          <w:szCs w:val="24"/>
        </w:rPr>
        <w:t>ex-ante</w:t>
      </w:r>
      <w:r>
        <w:rPr>
          <w:rFonts w:ascii="Times New Roman" w:hAnsi="Times New Roman" w:cs="Times New Roman"/>
          <w:noProof/>
          <w:sz w:val="24"/>
          <w:szCs w:val="24"/>
        </w:rPr>
        <w:t xml:space="preserve"> за транспорта за инвестициите от ЕСИ фондовете в транспортния сектор са въведени ефективни рамкови условия (цялостни национални или регионални планове и достатъчно административен капацитет). Така се подкрепя планирането на инвестициите в транспорта — както частни, така и публични. Реалистичен и концептуално изчистен портфейл от подкрепяни по линия на КФ/ЕФРР проекти, разработен в контекста на настоящия преглед, предоставя основа за координация, полезни взаимодействия и допълване с МСЕ и ЕФСИ.</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Частното финансиране често се основава на схеми за публично-частно партньорство (ПЧП). Средства от ЕС (например МСЕ) могат да се използват за подобряване на рисковите профили и за укрепване на договорните споразумения за ПЧП, като по този начин се повиши възможността за пазарната им реализация. Това дава възможност на изпълнителите на отговарящи на условията инфраструктурни проекти да привличат допълнително частно финансиране от такива институционални инвеститори като застрахователни компании и пенсионни фондове. ЕСИ фондовете може да се използват за подкрепа на стратегически инфраструктурни проекти, при които се набират други финансови ресурси, било под формата на национално публично и частно съфинансиране, на предоставено от ЕИБ финансиране или — напоследък — на финансиране, предоставено по линия на капацитета за поемане на риск на ЕФСИ</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С цел — където е възможно — да се засили ефектът на привличане с ресурсите на ЕС (КФ, ЕФРР, МСЕ) върху другите източници на финансиране, Комисията използва иновационни решения за финансиране, които могат да се разработят под формата на много различни видове инструменти за подкрепа, като например чрез инструменти за споделяне на риска, въведени съвместно с Европейската инвестиционна банка. С такива инструменти може да се мобилизират инвестиции в обеми, които са от шест (дялово участие) до петнадесет (инструменти за споделяне на риска като облигации за проекти) пъти повече от компонента на безвъзмездната помощ. Предложените от Комисията иновационни решения за финансиране се основават на опита от предишни инструменти, и по-специално фондът „Marguerite“ и Инструментът за гарантиране на заеми за проекти по ТЕМ-Т (LGTT).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Най-показателният пример за такъв инструмент е пилотната фаза на инициативата за облигации за проекти (ИОП), която беше прехвърлена към програмата на МСЕ и обхваща три сектора: транспорт, енергетика и ИКТ. С този механизъм се привлича допълнително финансиране, което дава възможност на изпълнителя на проекта или на потенциалния бенефициер да набере дългово финансиране на капиталовия пазар (под формата на облигации), за да се финансират паневропейски инфраструктурни проекти с висока добавена стойност от ЕС.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През 2014 г. и 2015 г. такава подкрепа от механизма на ИОП е одобрена за разширяването на автомагистрала А7 в Германия</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 строителството на новата връзка на автомагистрала A11 в Белгия</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и разширяването на пристанище Кале във Франция. Последното е също и пръв пример за комбинираното използване на иновационни финансови инструменти (ИОП) и безвъзмездни средства от МСЕ</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Целта на дълговия инструмент на МСЕ, разработен с Европейската инвестиционна банка, който функционира от юли 2015 г., е да се подкрепят проекти от общ интерес, като инструментът може да улесни достъпа до дългов капитал от предоставящи заеми търговски институции и институционални инвеститори или първостепенни заеми от Европейската инвестиционна банка.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предприема допълнителни действия, за да гарантира, че полезните взаимодействия между средствата от ЕС и подкрепата от Европейския фонд за стратегически инвестиции (ЕФСИ) се оползотворяват ефективно за мобилизиране на частно финансиране за стратегически инвестиции в транспорта в ЕС. Комисията вече е публикувала практически насоки</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как да се съчетават и използват като допълващи се ЕСИ фондовете и ЕФСИ и продължава да опростява общата рамка за развитие на такава диверсификация на източниците на средства и финансиране. През 2015 г. бяха подписани четири транспортни проекта по линия на ЕФСИ, а други три бяха одобрени, като са изтеглени общо повече от 1,5 милиарда евро под формата на заеми от ЕС</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Пример за съчетаване на безвъзмездни средства по линията на МСЕ с отпуснати от ЕФСИ средства е проектът „Инфраструктура за достъпност на пристанищата“ в Испания. Гаранция от ЕФСИ даде възможност на ЕИБ и на ICO (националната насърчителна банка) да подкрепят със заеми група проекти за достъпност на пристанищата в Испания с цел в периода 2015—2020 г. да бъдат свързани 13 предварително определени пристанища от трансевропейската транспортна мрежа. Общата инвестиция (свързана с частта от ЕФСИ по проекта) възлиза на 425 милиона евро. За някои от проектите тези заеми от ЕИБ и ICO бяха допълнени от съфинансиране по линия на МСЕ</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разработва иновационен механизъм за съчетаване, т.е. комбиниране на безвъзмездна помощ по програмата на Механизма за свързване на Европа с налични инструменти по ЕФСИ и частно финансиране. На 8 февруари 2017 г. Комисията публикува работна програма и покана за представяне на предложения с цел съчетаване на 1 милиард евро безвъзмездни средства по линия на МСЕ с финансиране от ЕФСИ или други източници на частен капитал. </w:t>
      </w:r>
    </w:p>
    <w:p>
      <w:pPr>
        <w:pStyle w:val="ListParagraph"/>
        <w:keepNext/>
        <w:numPr>
          <w:ilvl w:val="0"/>
          <w:numId w:val="3"/>
        </w:numPr>
        <w:spacing w:before="120" w:after="120" w:line="240" w:lineRule="auto"/>
        <w:ind w:left="357" w:hanging="357"/>
        <w:jc w:val="both"/>
        <w:outlineLvl w:val="0"/>
        <w:rPr>
          <w:rFonts w:ascii="Times New Roman" w:hAnsi="Times New Roman" w:cs="Times New Roman"/>
          <w:smallCaps/>
          <w:noProof/>
          <w:sz w:val="24"/>
          <w:szCs w:val="24"/>
        </w:rPr>
      </w:pPr>
      <w:r>
        <w:rPr>
          <w:rFonts w:ascii="Times New Roman" w:hAnsi="Times New Roman" w:cs="Times New Roman"/>
          <w:b/>
          <w:smallCaps/>
          <w:noProof/>
          <w:sz w:val="24"/>
          <w:szCs w:val="24"/>
        </w:rPr>
        <w:t xml:space="preserve">Определяне на стратегия за докладване </w:t>
      </w:r>
    </w:p>
    <w:p>
      <w:pPr>
        <w:pStyle w:val="Corps"/>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първия доклад за напредъка следва да се предложи също и механизъм за наблюдение и докладване, който да даде възможност на Комисията да изпълнява задълженията си за докладване, определени в член 49, параграф 3 от Регламента за ТЕМ-Т. Това, по-специално означава да се укрепи стратегията, използвана за докладването от държавите членки съгласно член 49, параграфи 1 и 2 от насоките за ТЕМ-Т. С цел създаването на стабилни и съгласувани механизми за наблюдение и докладване в стратегията се вземат предвид всички налични източници на информация и данни и тя се съгласува с прилагането на Регламента за ТЕМ-Т в съответствие със заложените в него цели и приоритети.</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Констатираните в настоящия доклад слабости показват, че качеството на информацията и използваните за събиране и обработка на данните методики се нуждаят от по-нататъшно подобряване на равнище ЕС. За да се гарантира необходимата хармонизация на данните, в бъдеще Комисията ще използва като част от стратегията си за докладване единен предварително попълнен образец за събирането на данни относно финансовите източници на ЕС. Това следва да даде възможност за създаването на обща и хармонизирана база данни, в която се събира цялата необходима информация за проекти за ТЕМ-Т, включващи финансиране от ЕС, предоставена от съответните органи на държавата членка. В тази връзка следва да се отбележи, че Евростат не събира данни за разходите за транспортна инфраструктура, и по-специално за ТЕМ-Т, тъй като това не е предвидено в съответното правно основание.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това механизмът за докладване следва да дава възможност на Комисията да посочва как различният принос (напр. средства от ЕС, финансиране от ЕИБ, частни фондове, привличане на частни средства) дава възможност за постигането на резултати (напр. изградена инфраструктура, въведени интелигентни транспортни системи (ИТС) и в крайна сметка спомага за измерване на резултатите (напр. ефективност на транспорта, капацитет за превоз на пътници/товари, безопасност, декарбонизация) и на очакваното въздействие (напр. растеж, работни места). Този анализ ще се основава на оценката, направена в контекста на работните планове за коридорите на основната мрежа.</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Друга съществена бариера пред развитието на мрежата ТЕМ-Т е липсата на общ източник на надеждна информация относно текущото състояние на мрежата, нейното развитие и осъществяваните в момента проекти и инвестиции. Това изискване следва да се изпълни чрез информационната система TENtec. С TENtec вече е създадена хармонизирана информационна система за транспортната инфраструктура, подкрепена със стабилно правно основание</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Тъй като развитието на ТЕМ-Т се осъществява чрез изпълнението на основната и на широкообхватната мрежа, е необходимо да се гарантира наличието и пълнотата на информацията чрез своевременно въвеждане в TENtec на качествени данни. Общата нужда от подобряване, констатирана в настоящия доклад, се изразява по-специално в повишаване на степента на въвеждане на данни в системата. Необходимо е да се повиши съдържанието на информацията и да се засили нейната точност, пълнота и съгласуваност в сътрудничество с държавите членки и в рамките на съответните институции и органи на ЕС.</w:t>
      </w:r>
    </w:p>
    <w:p>
      <w:pPr>
        <w:pStyle w:val="Corps"/>
        <w:spacing w:before="240" w:after="240" w:line="240" w:lineRule="auto"/>
        <w:jc w:val="both"/>
        <w:rPr>
          <w:rFonts w:ascii="Times New Roman" w:hAnsi="Times New Roman" w:cs="Times New Roman"/>
          <w:noProof/>
          <w:sz w:val="24"/>
          <w:szCs w:val="24"/>
          <w:shd w:val="clear" w:color="auto" w:fill="FFFF00"/>
        </w:rPr>
      </w:pPr>
      <w:r>
        <w:rPr>
          <w:rFonts w:ascii="Times New Roman" w:hAnsi="Times New Roman" w:cs="Times New Roman"/>
          <w:noProof/>
          <w:sz w:val="24"/>
          <w:szCs w:val="24"/>
        </w:rPr>
        <w:t>Започнатото от Комисията проучване има за цел да се гарантира, че в TENtec е наличен висококачествен и с достатъчен обхват набор от данни относно текущото състояние на инфраструктурата на ТЕМ-Т. С продължаващия процес на събиране на данни в TENtec понастоящем се цели да се оценят и да се проверят наличните в TENtec данни по отношение на тяхното качество и съгласуваност. Проучванията следват също така и предварително определен план за събиране на данни, за да се установят всички съответни източници на данни по отделни държави и технически параметри. Данните се събират по географски участъци и възли на мрежата и осигуряват висока степен на подробност. Първата фаза от процеса на събиране на данни почти приключва и ще даде възможност на държавите членки да валидират новите въведени данни. Проучванията ще завършат до края на 2017 г., като ще доведат до актуализация на данните в TENtec от 2014 г. и 2015 г. В следващия доклад за напредъка показателите за техническите параметри ще бъдат преизчислени, тъй като се очаква данните да бъдат с по-високо качество.</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В дългосрочен план необходимостта държавите членки редовно да попълват на годишна база информацията относно инфраструктурата на ТЕМ-Т е от решаващо значение.</w:t>
      </w:r>
      <w:r>
        <w:rPr>
          <w:rFonts w:ascii="Times New Roman" w:hAnsi="Times New Roman" w:cs="Times New Roman"/>
          <w:noProof/>
          <w:sz w:val="24"/>
          <w:szCs w:val="24"/>
        </w:rPr>
        <w:t xml:space="preserve"> Проучванията за TENtec ще предоставят на Комисията документация за източниците на данни и използваната методика за определяне на всеки параметър, което ще даде възможност за лесна актуализация на базата данни. Това следва да улесни въвеждането в бъдеще от държавите членки на данните с изискваната информация. Нещо повече, сегашният процес на докладване показва, че следва да се разработи автоматична актуализация. </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Докато техническите данни в TENtec не бъдат окончателно завършени, всички участъци и компоненти на инфраструктурата, които не са актуализирани в системата, следва да се разглеждат като неизпълняващи изискванията на ТЕМ-Т. По този начин ще се премахнат случаите, в които показателят отчита пълно спазване на стандартите на ТЕМ-Т поради ниската степен на въвеждане на данни за даден компонент на инфраструктурата. </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От полза за двугодишното докладване относно напредъка на изпълнението на ТЕМ-Т може да бъде и определянето на ясен график за представянето на бъдещите доклади за напредъка. За събирането, обработката и анализа на финансовите и техническите данни от 2-годишния период на изпълнение на ТЕМ-Т се изискват значително време и ресурси. Голяма част от финансовата информация е на разположение в края на втората или третата година след предоставянето на средствата. По същия начин докладването на технически данни за новопостроена или модернизирана инфраструктура често се забавя и може да включва непълна или грешна информация. Следователно, за да се изготви надежден, сравнителен и обобщен анализ (сравняване с предходни периоди на докладване) за двугодишния напредък в изпълнението на ТЕМ-Т, Комисията се стреми да прилага правилото „n+2“, така че да може да издава докладите за напредъка две години след края на всеки период на докладване.</w:t>
      </w:r>
    </w:p>
    <w:p>
      <w:pPr>
        <w:pStyle w:val="Corps"/>
        <w:spacing w:before="240"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И накрая, оценката на съществуващите данни в системата TENtec даде възможност на Комисията да формулира някои първоначални идеи как да се подобри и да се продължи развитието на методиката за анализ на данните в TENtec. В контекста на текущите проучвания на коридорите на основната мрежа понастоящем Комисията анализира въздействието на инфраструктурата на TEN-Т върху околната среда и изменението на климата, както и върху растежа и работните места. Допълнително ще бъде проведено проучване относно цялостното въздействие върху растежа и работните места, които биха могли да се постигнат посредством изпълнението на основната мрежа ТЕМ-Т. Този анализ ще доведе до определянето на нови КПЕ за проектите, които може да се добавят към съществуващите технически изисквания в бъдещите доклади за напредъка. Това ще трябва да се проучи допълнително в следващия доклад за напредъка, когато степента на въвеждане на данни и качеството им в системата TENtec ще бъдат значително повишени. </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bCs/>
          <w:smallCaps/>
          <w:noProof/>
          <w:sz w:val="24"/>
          <w:szCs w:val="24"/>
        </w:rPr>
      </w:pPr>
      <w:r>
        <w:rPr>
          <w:rFonts w:ascii="Times New Roman" w:hAnsi="Times New Roman" w:cs="Times New Roman"/>
          <w:b/>
          <w:smallCaps/>
          <w:noProof/>
          <w:sz w:val="24"/>
          <w:szCs w:val="24"/>
        </w:rPr>
        <w:t>Заключение</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Като последен елемент от доклада за напредъка на ТЕМ-Т, в член 49, параграф 3 от Регламента за ТЕМ-Т от Комисията се изисква да анализира развитието на трансевропейската транспортна мрежа. Съответно в настоящия последен раздел се прави сравнение на равнището на инвестициите при изпълнението на проекта, докладвано в глава 4, със състоянието на техническото изпълнение, описано в глава 3, за да се представи оценка на постигнатия общ напредък в развитието на мрежата ТЕМ-Т в периода 2014—2015 г. В анализа се представят заключения за основната и за широкообхватната мрежа чрез оценка на осъществяването на мрежата и се извеждат заключения относно равнищата на инвестиции и постигнатия резултат по отношение на съответствието на инфраструктурата.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Ако безвъзмездната финансова помощ от ЕС за развитието на мрежата ТЕМ-Т се разбие по  дял на вида транспорт, най-висок обем инвестиции е докладван за железопътната мрежа, в която са направени до 51,5 % от общите разходи в периода 2014—2015 г. Делът на инвестициите в пътна инфраструктура достига 30,6 % от общите разходи, следван от 9,2 % за пристанища и морски магистрали, 5,5 % за летища (включително проекта SESAR), 2,1 % за мултимодална инфраструктура и 1,1 % за вътрешни водни пътища.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Докладваното най-високо равнище на инвестиции в железопътната мрежа (51,5 % от всички инвестиции) е в съответствие с по-ниската степен на спазване за половината от свързаните с железниците показатели (под 75 % за ERTMS, натоварване на колоос и дължина на влаковете), както и с общата цел на политиката на ТЕМ-Т за подкрепа за нисковъглеродни устойчиви видове транспорт. Това се доказва и от подкрепата, предоставена по линия на ТЕМ-Т и Механизма за свързване на Европа, където общата подкрепа за железопътни проекти в периода 2014—2015 г. е била повече от два пъти по-голяма от размера на финансирането, предоставено общо за всички останали видове транспорт (70 % от общите разходи по ТЕМ-Т/МСЕ).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По отношение на пътищата показателите за техническо съответствие са изпълнени само на 75 % за основната мрежа и на 58 % за широкообхватната мрежа. В тази връзка равнището на инвестициите е относително високо, като се равнява на 30,6 % от общите разходи. Най-много инвестиции в пътна инфраструктура средно са направени в държавите членки, за които се прилага политиката на сближаване, както се доказва от сравнително голямата финансова помощ, предоставена по линия на ЕФРР и Кохезионния фонд. За сметка на това делът на разходите по линия на ТЕМ-Т/МСЕ, предназначени за пътна инфраструктура, възлиза едва на 3 % през 2014 г. и 2015 г.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Що се отнася до вътрешните водни пътища, равнището на инвестиции е много ниско и възлиза едва на 1,1 % от общите инвестиции, направени за ТЕМ-Т (макар да се очаква стойността да нарасне с оглед на поетите ангажименти по линия на МСЕ през 2014 и 2015 г.). Въпреки че вече е постигнато съответствие на 79 % при изпълнението на речните информационни услуги и 95 % за клас IV по CEMT, при допустимото газене постигането на съответствие все още е сравнително далече (68 %), което може да означава, че са необходими повече инвестиции в бъдеще за инфраструктура, свързана с вътрешните водни пътища. В тази връзка следва да се обмисли повишаване на финансирането от ЕС.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Според данните в TENtec при свързването на морските пристанища с железниците вече изцяло е постигнато съответствие както за основната, така и за широкообхватната мрежа. В много случаи обаче все още съществуват проблеми във връзка с капацитета на железопътни участъци, водещи към пристанища. При дял от 9,2 % на равнището на инвестиции не е решен проблемът с връзките към вътрешни водни пътища от клас IV по CEMT, където степента на съответствие е 46 % за основната и едва 9 % за широкообхватната мрежа.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Що се отнася до летищата, равнището на инвестиции остава сравнително ниско (5,5 %), като дори степента на съответствие по отношение на връзките с железниците както при основната (35,5 %), така и при широкообхватната (12,2 %) мрежа е много ниска.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Като цяло може да се приеме, че в повечето случаи все още се изискват значителни подобрения и са необходими значителни инвестиции, за да се постигнат целите на Регламента за ТЕМ-Т.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Без да се забравя това, в настоящия доклад се очертава по-скоро положителна картина на вече постигнатия напредък по основната и широкообхватната мрежа ТЕМ-Т. В действителност в големи участъци от ТЕМ-Т вече е налице високо равнище на съответствие с изискванията на Регламента за ТЕМ-Т. Равнището на разходи за различните компоненти на инфраструктурата на ТЕМ-Т, които са от източници от ЕС, по принцип отговаря на нуждите от инвестиции и отразява такива цели на транспортната политика за ТЕМ-Т като повишена достъпност, модално интегриране, оперативна съвместимост, устойчивост, намаляване на емисиите, защита на околната среда и насърчаване на иновационни решения за мобилност. В бъдещите доклади равнището на инвестиции на равнище държави членки трябва да се анализира подробно, за да се допълни горепосочената картина по отношение на инвестиционните приоритети и финансовите нужди, свързани с техническото съответствие на мрежата. </w:t>
      </w:r>
    </w:p>
    <w:p>
      <w:pPr>
        <w:pStyle w:val="Corps"/>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В обобщение, първите две години от прилагането на новия подход на политиката показват, че за реализирането на ТЕМ-Т успешно е въведен широк набор от различни инструменти. Постигнатият напредък при изпълнението на насочените към тази цел проекти сега трябва да бъде внимателно и непрекъснато наблюдаван, за да се гарантира, че основната мрежа, включително нейните основни коридори, ще бъде завършена до 2030 г., а широкообхватната мрежа — до 2050 г. </w:t>
      </w:r>
    </w:p>
    <w:p>
      <w:pPr>
        <w:pStyle w:val="Corps"/>
        <w:spacing w:after="240" w:line="240" w:lineRule="auto"/>
        <w:jc w:val="both"/>
        <w:rPr>
          <w:rFonts w:ascii="Times New Roman" w:hAnsi="Times New Roman" w:cs="Times New Roman"/>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cols w:space="720"/>
        </w:sectPr>
      </w:pPr>
    </w:p>
    <w:p>
      <w:pPr>
        <w:pStyle w:val="Corps"/>
        <w:spacing w:after="240" w:line="240" w:lineRule="auto"/>
        <w:jc w:val="both"/>
        <w:rPr>
          <w:rFonts w:ascii="Times New Roman" w:eastAsia="Times New Roman" w:hAnsi="Times New Roman" w:cs="Times New Roman"/>
          <w:b/>
          <w:noProof/>
          <w:sz w:val="24"/>
          <w:szCs w:val="24"/>
        </w:rPr>
      </w:pPr>
      <w:r>
        <w:rPr>
          <w:rFonts w:ascii="Times New Roman" w:hAnsi="Times New Roman" w:cs="Times New Roman"/>
          <w:b/>
          <w:noProof/>
          <w:sz w:val="24"/>
        </w:rPr>
        <w:t>Приложение 1 — КПЕ и метод на изчисляване, използвани за измерване на техническото изпълнение на мрежата ТЕМ-Т</w:t>
      </w:r>
    </w:p>
    <w:tbl>
      <w:tblPr>
        <w:tblW w:w="16296" w:type="dxa"/>
        <w:jc w:val="center"/>
        <w:tblInd w:w="110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1446"/>
        <w:gridCol w:w="1417"/>
        <w:gridCol w:w="851"/>
        <w:gridCol w:w="2001"/>
        <w:gridCol w:w="1701"/>
        <w:gridCol w:w="2251"/>
        <w:gridCol w:w="2410"/>
        <w:gridCol w:w="2835"/>
      </w:tblGrid>
      <w:tr>
        <w:trPr>
          <w:trHeight w:val="442"/>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cs="Times New Roman"/>
                <w:b/>
                <w:i/>
                <w:noProof/>
                <w:sz w:val="20"/>
                <w:szCs w:val="20"/>
              </w:rPr>
              <w:t>Вид транспорт</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cs="Times New Roman"/>
                <w:b/>
                <w:i/>
                <w:noProof/>
                <w:sz w:val="20"/>
                <w:szCs w:val="20"/>
              </w:rPr>
              <w:t>Показател</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bCs/>
                <w:i/>
                <w:noProof/>
                <w:sz w:val="20"/>
                <w:szCs w:val="20"/>
              </w:rPr>
            </w:pPr>
            <w:r>
              <w:rPr>
                <w:rFonts w:ascii="Times New Roman" w:hAnsi="Times New Roman" w:cs="Times New Roman"/>
                <w:b/>
                <w:i/>
                <w:noProof/>
                <w:sz w:val="20"/>
                <w:szCs w:val="20"/>
              </w:rPr>
              <w:t xml:space="preserve">Пътнически (П) </w:t>
            </w:r>
            <w:r>
              <w:rPr>
                <w:rFonts w:ascii="Times New Roman" w:hAnsi="Times New Roman" w:cs="Times New Roman"/>
                <w:b/>
                <w:bCs/>
                <w:i/>
                <w:noProof/>
                <w:sz w:val="20"/>
                <w:szCs w:val="20"/>
              </w:rPr>
              <w:br/>
            </w:r>
            <w:r>
              <w:rPr>
                <w:rFonts w:ascii="Times New Roman" w:hAnsi="Times New Roman" w:cs="Times New Roman"/>
                <w:b/>
                <w:i/>
                <w:noProof/>
                <w:sz w:val="20"/>
                <w:szCs w:val="20"/>
              </w:rPr>
              <w:t xml:space="preserve">Товарен </w:t>
            </w:r>
            <w:r>
              <w:rPr>
                <w:rFonts w:ascii="Times New Roman" w:hAnsi="Times New Roman" w:cs="Times New Roman"/>
                <w:b/>
                <w:bCs/>
                <w:i/>
                <w:noProof/>
                <w:sz w:val="20"/>
                <w:szCs w:val="20"/>
              </w:rPr>
              <w:br/>
            </w:r>
            <w:r>
              <w:rPr>
                <w:rFonts w:ascii="Times New Roman" w:hAnsi="Times New Roman" w:cs="Times New Roman"/>
                <w:b/>
                <w:i/>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cs="Times New Roman"/>
                <w:b/>
                <w:i/>
                <w:noProof/>
                <w:sz w:val="20"/>
                <w:szCs w:val="20"/>
              </w:rPr>
              <w:t>Единица</w:t>
            </w:r>
          </w:p>
        </w:tc>
        <w:tc>
          <w:tcPr>
            <w:tcW w:w="20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cs="Times New Roman"/>
                <w:b/>
                <w:i/>
                <w:noProof/>
                <w:sz w:val="20"/>
                <w:szCs w:val="20"/>
              </w:rPr>
              <w:t>Изчисляване</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cs="Times New Roman"/>
                <w:b/>
                <w:i/>
                <w:noProof/>
                <w:sz w:val="20"/>
                <w:szCs w:val="20"/>
              </w:rPr>
              <w:t xml:space="preserve">Цел </w:t>
            </w:r>
          </w:p>
          <w:p>
            <w:pPr>
              <w:pStyle w:val="Corps"/>
              <w:spacing w:after="0" w:line="240" w:lineRule="auto"/>
              <w:jc w:val="center"/>
              <w:rPr>
                <w:rFonts w:ascii="Times New Roman" w:hAnsi="Times New Roman" w:cs="Times New Roman"/>
                <w:bCs/>
                <w:i/>
                <w:noProof/>
                <w:color w:val="auto"/>
                <w:sz w:val="20"/>
                <w:szCs w:val="20"/>
              </w:rPr>
            </w:pPr>
            <w:r>
              <w:rPr>
                <w:rFonts w:ascii="Times New Roman" w:hAnsi="Times New Roman" w:cs="Times New Roman"/>
                <w:i/>
                <w:noProof/>
                <w:sz w:val="20"/>
                <w:szCs w:val="20"/>
              </w:rPr>
              <w:t>(за 2030 г. за основната мрежа)</w:t>
            </w: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cs="Times New Roman"/>
                <w:i/>
                <w:noProof/>
                <w:sz w:val="20"/>
                <w:szCs w:val="20"/>
              </w:rPr>
              <w:t>(за 2050 г. за широкообхватната мрежа)</w:t>
            </w:r>
          </w:p>
        </w:tc>
        <w:tc>
          <w:tcPr>
            <w:tcW w:w="22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cs="Times New Roman"/>
                <w:b/>
                <w:i/>
                <w:noProof/>
                <w:color w:val="auto"/>
                <w:sz w:val="20"/>
                <w:szCs w:val="20"/>
              </w:rPr>
              <w:t>Стойност през 2015 г.</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cs="Times New Roman"/>
                <w:b/>
                <w:i/>
                <w:noProof/>
                <w:color w:val="auto"/>
                <w:sz w:val="20"/>
                <w:szCs w:val="20"/>
              </w:rPr>
              <w:t>Степен на въвеждане на данни</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ind w:right="99"/>
              <w:jc w:val="center"/>
              <w:rPr>
                <w:rFonts w:ascii="Times New Roman" w:hAnsi="Times New Roman" w:cs="Times New Roman"/>
                <w:b/>
                <w:bCs/>
                <w:i/>
                <w:noProof/>
                <w:color w:val="auto"/>
                <w:sz w:val="20"/>
                <w:szCs w:val="20"/>
              </w:rPr>
            </w:pPr>
          </w:p>
          <w:p>
            <w:pPr>
              <w:pStyle w:val="Corps"/>
              <w:spacing w:after="0" w:line="240" w:lineRule="auto"/>
              <w:ind w:right="99"/>
              <w:jc w:val="center"/>
              <w:rPr>
                <w:rFonts w:ascii="Times New Roman" w:hAnsi="Times New Roman" w:cs="Times New Roman"/>
                <w:b/>
                <w:bCs/>
                <w:i/>
                <w:noProof/>
                <w:color w:val="auto"/>
                <w:sz w:val="20"/>
                <w:szCs w:val="20"/>
              </w:rPr>
            </w:pPr>
            <w:r>
              <w:rPr>
                <w:rFonts w:ascii="Times New Roman" w:hAnsi="Times New Roman" w:cs="Times New Roman"/>
                <w:b/>
                <w:i/>
                <w:noProof/>
                <w:color w:val="auto"/>
                <w:sz w:val="20"/>
                <w:szCs w:val="20"/>
              </w:rPr>
              <w:t>Бележки</w:t>
            </w:r>
          </w:p>
        </w:tc>
      </w:tr>
      <w:tr>
        <w:trPr>
          <w:trHeight w:val="44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Железопътен</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Електрификация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Електрифицирани километри железопътна мрежа като дял от съответните километри железопътна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81,3 % (основна мрежа)</w:t>
            </w:r>
          </w:p>
          <w:p>
            <w:pPr>
              <w:jc w:val="center"/>
              <w:rPr>
                <w:noProof/>
                <w:sz w:val="20"/>
                <w:szCs w:val="20"/>
              </w:rPr>
            </w:pPr>
            <w:r>
              <w:rPr>
                <w:noProof/>
                <w:sz w:val="20"/>
                <w:szCs w:val="20"/>
              </w:rPr>
              <w:t>80,6 % (широкообхватна мрежа)</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95,9 %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96,2 % (широкообхватна мрежа)</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Въз основа на данни от TENtec, въведени чрез проучване на TENtec (лот 1), валидирани предварително от ERA, но </w:t>
            </w:r>
            <w:r>
              <w:rPr>
                <w:rFonts w:ascii="Times New Roman" w:hAnsi="Times New Roman" w:cs="Times New Roman"/>
                <w:noProof/>
                <w:color w:val="auto"/>
                <w:sz w:val="20"/>
                <w:szCs w:val="20"/>
              </w:rPr>
              <w:br/>
              <w:t>все още невалидирани от държавите членки</w:t>
            </w:r>
          </w:p>
        </w:tc>
      </w:tr>
      <w:tr>
        <w:trPr>
          <w:trHeight w:val="505"/>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Междурелсие 1435 mm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Стандартно (1435 mm) междурелсие като дял (%) от съответните километри железопътна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jc w:val="center"/>
              <w:rPr>
                <w:noProof/>
                <w:sz w:val="20"/>
                <w:szCs w:val="20"/>
              </w:rPr>
            </w:pPr>
          </w:p>
          <w:p>
            <w:pPr>
              <w:jc w:val="center"/>
              <w:rPr>
                <w:noProof/>
                <w:sz w:val="20"/>
                <w:szCs w:val="20"/>
              </w:rPr>
            </w:pPr>
            <w:r>
              <w:rPr>
                <w:noProof/>
                <w:sz w:val="20"/>
                <w:szCs w:val="20"/>
              </w:rPr>
              <w:t>77 %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75,8 % (широкообхватна мрежа)</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98,2 %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98,7 % (широкообхватна мрежа)</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Въз основа на данни от TENtec, въведени чрез проучване на TENtec (лот 1), валидирани предварително от ERA, но </w:t>
            </w:r>
            <w:r>
              <w:rPr>
                <w:rFonts w:ascii="Times New Roman" w:hAnsi="Times New Roman" w:cs="Times New Roman"/>
                <w:noProof/>
                <w:color w:val="auto"/>
                <w:sz w:val="20"/>
                <w:szCs w:val="20"/>
              </w:rPr>
              <w:br/>
              <w:t>все още невалидирани от държавите членки</w:t>
            </w:r>
          </w:p>
        </w:tc>
      </w:tr>
      <w:tr>
        <w:trPr>
          <w:trHeight w:val="717"/>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Внедряване на ERTMS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Продължителност на постоянната работа на ERTMS и на Глобалната система за мобилна комуникация на железниците (GSM-R) по отношение на железопътната мрежа като дял от съответните километри железопътна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 xml:space="preserve">9,5 % от участъците по коридорите на основната мрежа </w:t>
            </w:r>
            <w:r>
              <w:rPr>
                <w:noProof/>
                <w:sz w:val="20"/>
                <w:szCs w:val="20"/>
              </w:rPr>
              <w:br/>
            </w:r>
          </w:p>
          <w:p>
            <w:pPr>
              <w:pStyle w:val="Default"/>
              <w:jc w:val="center"/>
              <w:rPr>
                <w:rFonts w:ascii="Times New Roman" w:hAnsi="Times New Roman" w:cs="Times New Roman"/>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96,5 % (коридори на основната мрежа)</w:t>
            </w:r>
          </w:p>
          <w:p>
            <w:pPr>
              <w:pStyle w:val="Default"/>
              <w:jc w:val="center"/>
              <w:rPr>
                <w:rFonts w:ascii="Times New Roman" w:hAnsi="Times New Roman" w:cs="Times New Roman"/>
                <w:noProof/>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sz w:val="20"/>
                <w:szCs w:val="20"/>
              </w:rPr>
              <w:t>Въз основа на данни от TENtec, въведени чрез екипа за управление на внедряването на ERTMS, валидирани предварително от ERA, но все още невалидирани от държавите членки. Данните са ограничени до участъци по коридорите на основната мрежа.</w:t>
            </w: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Продължава по-нататъшното събиране на данни чрез проучване </w:t>
            </w:r>
            <w:r>
              <w:rPr>
                <w:rFonts w:ascii="Times New Roman" w:hAnsi="Times New Roman" w:cs="Times New Roman"/>
                <w:noProof/>
                <w:sz w:val="20"/>
                <w:szCs w:val="20"/>
              </w:rPr>
              <w:t xml:space="preserve">за ERTMS </w:t>
            </w:r>
          </w:p>
        </w:tc>
      </w:tr>
      <w:tr>
        <w:trPr>
          <w:trHeight w:val="336"/>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Скорост по линията (≥ 100 km/h)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Дължина на товарна и комбинирана линия, която позволява максимална работна скорост по-голяма или равна на 100 km/h, като дял от съответните километри железопътна мрежа без ограничение на натоварването.</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86,8 %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86,6 % (широкообхватна мрежа)</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89,4 %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86,9 % (широкообхватна мрежа)</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Въз основа на данни от TENtec, въведени чрез проучване на TENtec (лот 1), валидирани предварително от ERA, но </w:t>
            </w:r>
            <w:r>
              <w:rPr>
                <w:rFonts w:ascii="Times New Roman" w:hAnsi="Times New Roman" w:cs="Times New Roman"/>
                <w:noProof/>
                <w:color w:val="auto"/>
                <w:sz w:val="20"/>
                <w:szCs w:val="20"/>
              </w:rPr>
              <w:br/>
              <w:t>все още невалидирани от държавите членки</w:t>
            </w:r>
          </w:p>
        </w:tc>
      </w:tr>
      <w:tr>
        <w:trPr>
          <w:trHeight w:val="88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Натоварване на колоос (≥ 22,5 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Дължина на товарна и комбинирана линия с разрешено натоварване на колоос по-голямо или равно на 22,5 тона като дял от съответните километри железопътна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66,8 %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66,6 % (широкообхватна мрежа)</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97,5 %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97,5 % (широкообхватна мрежа)</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Въз основа на данни от TENtec, въведени чрез проучване на TENtec (лот 1), валидирани предварително от ERA, но </w:t>
            </w:r>
            <w:r>
              <w:rPr>
                <w:rFonts w:ascii="Times New Roman" w:hAnsi="Times New Roman" w:cs="Times New Roman"/>
                <w:noProof/>
                <w:color w:val="auto"/>
                <w:sz w:val="20"/>
                <w:szCs w:val="20"/>
              </w:rPr>
              <w:br/>
              <w:t>все още невалидирани от държавите членки</w:t>
            </w:r>
          </w:p>
        </w:tc>
      </w:tr>
      <w:tr>
        <w:trPr>
          <w:trHeight w:val="88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Дължина на влака (≥ 740 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Дължина на товарна и комбинирана линия с разрешена дължина на влака по-голяма или равна на 740 m като дял от съответните километри железопътна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46,5 %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46,6 % (широкообхватна мрежа)</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79,9 %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76,2 % (широкообхватна мрежа)</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Въз основа на данни от TENtec, въведени чрез проучване на TENtec (лот 1), валидирани предварително от ERA, но </w:t>
            </w:r>
            <w:r>
              <w:rPr>
                <w:rFonts w:ascii="Times New Roman" w:hAnsi="Times New Roman" w:cs="Times New Roman"/>
                <w:noProof/>
                <w:color w:val="auto"/>
                <w:sz w:val="20"/>
                <w:szCs w:val="20"/>
              </w:rPr>
              <w:br/>
              <w:t>все още невалидирани от държавите членки</w:t>
            </w:r>
          </w:p>
        </w:tc>
      </w:tr>
      <w:tr>
        <w:trPr>
          <w:trHeight w:val="66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Автомобилен</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Високоскоростни пътища/автомагистрали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Километри пътна мрежа, класифицирани като автомагистрали или високоскоростни пътища, като дял (%) от километрите на пътния участък.</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74,5 %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58,1 % (широкообхватна мрежа)</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jc w:val="center"/>
              <w:rPr>
                <w:noProof/>
                <w:sz w:val="20"/>
                <w:szCs w:val="20"/>
              </w:rPr>
            </w:pPr>
            <w:r>
              <w:rPr>
                <w:noProof/>
                <w:sz w:val="20"/>
                <w:szCs w:val="20"/>
              </w:rPr>
              <w:t>100 % (основна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 (широкообхватна мрежа)</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Въз основа на данни от TENtec, въведени чрез проучване на TENtec (лот 1), </w:t>
            </w:r>
            <w:r>
              <w:rPr>
                <w:rFonts w:ascii="Times New Roman" w:hAnsi="Times New Roman" w:cs="Times New Roman"/>
                <w:noProof/>
                <w:color w:val="auto"/>
                <w:sz w:val="20"/>
                <w:szCs w:val="20"/>
              </w:rPr>
              <w:br/>
              <w:t xml:space="preserve">валидирани предварително от ERA, но </w:t>
            </w:r>
            <w:r>
              <w:rPr>
                <w:rFonts w:ascii="Times New Roman" w:hAnsi="Times New Roman" w:cs="Times New Roman"/>
                <w:noProof/>
                <w:color w:val="auto"/>
                <w:sz w:val="20"/>
                <w:szCs w:val="20"/>
              </w:rPr>
              <w:br/>
              <w:t>все още невалидирани от държавите членки</w:t>
            </w:r>
          </w:p>
        </w:tc>
      </w:tr>
      <w:tr>
        <w:trPr>
          <w:trHeight w:val="11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Предлагане на чисти горива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rPr>
                <w:noProof/>
                <w:sz w:val="20"/>
                <w:szCs w:val="20"/>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Брой станции за гориво, които предлагат електрозахранване, водород, течни биогорива, втечнен природен газ/компресиран природен газ (LNG/CNG), биометан или втечнен нефтен газ (LPG) по протежение на пътните участъци или на разстояние до 10 km от кръстовищата им (единици в абсолютни числа, не в %).</w:t>
            </w:r>
          </w:p>
          <w:p>
            <w:pPr>
              <w:pStyle w:val="Default"/>
              <w:jc w:val="center"/>
              <w:rPr>
                <w:rFonts w:ascii="Times New Roman" w:hAnsi="Times New Roman" w:cs="Times New Roman"/>
                <w:i/>
                <w:noProof/>
                <w:sz w:val="20"/>
                <w:szCs w:val="20"/>
              </w:rPr>
            </w:pP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Наличните данни в момента са ограничени. Държавите членки трябва да изготвят годишните си планове за разгръщане на инфраструктура за чисти горива. Процесът все още продължава.</w:t>
            </w:r>
          </w:p>
          <w:p>
            <w:pPr>
              <w:pStyle w:val="Default"/>
              <w:ind w:right="99"/>
              <w:jc w:val="center"/>
              <w:rPr>
                <w:rFonts w:ascii="Times New Roman" w:hAnsi="Times New Roman" w:cs="Times New Roman"/>
                <w:noProof/>
                <w:color w:val="auto"/>
                <w:sz w:val="20"/>
                <w:szCs w:val="20"/>
              </w:rPr>
            </w:pPr>
          </w:p>
        </w:tc>
      </w:tr>
      <w:tr>
        <w:trPr>
          <w:trHeight w:val="66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Вътрешни водни пътища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Изисквания на CEMT за вътрешни водни пътища от клас IV</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Дължина на вътрешни водни пътища, класифицирани поне като клас IV по CEMT, като дял (%) от километрите мрежа от водни пътища.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95,4 %</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Въз основа на данни от TENtec, събрани чрез проучване на TENtec (лот 2), валидирани предварително и все още невалидирани от държавите членки.</w:t>
            </w:r>
          </w:p>
        </w:tc>
      </w:tr>
      <w:tr>
        <w:trPr>
          <w:trHeight w:val="66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Допустимо газене (мин. 2,5 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Километри мрежа от вътрешни водни пътища, по които може да се движи плавателен съд с дълбочина на газене 2,5 m , като дял (%) от километрите на участъка от водния път.</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68 % </w:t>
            </w:r>
          </w:p>
          <w:p>
            <w:pPr>
              <w:pStyle w:val="Default"/>
              <w:jc w:val="center"/>
              <w:rPr>
                <w:rFonts w:ascii="Times New Roman" w:hAnsi="Times New Roman" w:cs="Times New Roman"/>
                <w:strike/>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Данни въз основа на </w:t>
            </w:r>
            <w:r>
              <w:rPr>
                <w:rFonts w:ascii="Times New Roman" w:hAnsi="Times New Roman" w:cs="Times New Roman"/>
                <w:noProof/>
                <w:color w:val="auto"/>
                <w:sz w:val="20"/>
                <w:szCs w:val="20"/>
              </w:rPr>
              <w:br/>
              <w:t>проучване от 2016 г. съгласно член 49, параграф 3;</w:t>
            </w: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Събирането на по-точни данни продължава чрез проучване </w:t>
            </w:r>
            <w:r>
              <w:rPr>
                <w:rFonts w:ascii="Times New Roman" w:hAnsi="Times New Roman" w:cs="Times New Roman"/>
                <w:noProof/>
                <w:sz w:val="20"/>
                <w:szCs w:val="20"/>
              </w:rPr>
              <w:t xml:space="preserve">за TENtec (лот 2) </w:t>
            </w:r>
          </w:p>
        </w:tc>
      </w:tr>
      <w:tr>
        <w:trPr>
          <w:trHeight w:val="9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 xml:space="preserve">Допустима височина под мостовете (мин. 5,25 m)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Километри мрежа от вътрешни водни пътища с вертикално свободно пространство под мостовете от поне 5,25 m като дял (%) от километрите на участъка от водния път.</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Събирането на данни продължава чрез проучване </w:t>
            </w:r>
            <w:r>
              <w:rPr>
                <w:rFonts w:ascii="Times New Roman" w:hAnsi="Times New Roman" w:cs="Times New Roman"/>
                <w:noProof/>
                <w:sz w:val="20"/>
                <w:szCs w:val="20"/>
              </w:rPr>
              <w:t>за TENtec (лот 2)</w:t>
            </w:r>
          </w:p>
        </w:tc>
      </w:tr>
      <w:tr>
        <w:trPr>
          <w:trHeight w:val="11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 xml:space="preserve">Изпълнение на речни информационни услуги (% километри, по отношение на които са изпълнени минималните изисквания, определени в Директивата за речните информационни услуги)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Километри мрежа от вътрешни водни пътища, по отношение на които са изпълнени минималните технически изисквания от Директивата за речните информационни услуги, като дял (%) от километрите на участъка от водния път.</w:t>
            </w: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p>
            <w:pPr>
              <w:pStyle w:val="Default"/>
              <w:jc w:val="center"/>
              <w:rPr>
                <w:rFonts w:ascii="Times New Roman" w:hAnsi="Times New Roman" w:cs="Times New Roman"/>
                <w:i/>
                <w:noProof/>
                <w:sz w:val="20"/>
                <w:szCs w:val="20"/>
              </w:rPr>
            </w:pP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79,6 % </w:t>
            </w:r>
          </w:p>
          <w:p>
            <w:pPr>
              <w:pStyle w:val="Default"/>
              <w:jc w:val="center"/>
              <w:rPr>
                <w:rFonts w:ascii="Times New Roman" w:hAnsi="Times New Roman" w:cs="Times New Roman"/>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Въз основа на данни от TENtec, събрани чрез проучване на TENtec (лот 2), валидирани предварително и все още невалидирани от държавите членки.</w:t>
            </w:r>
          </w:p>
        </w:tc>
      </w:tr>
      <w:tr>
        <w:trPr>
          <w:trHeight w:val="682"/>
          <w:jc w:val="center"/>
        </w:trPr>
        <w:tc>
          <w:tcPr>
            <w:tcW w:w="138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пристанища;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 xml:space="preserve">Свързване към железопътни линии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Брой пристанища с железопътна връзка като дял (%) от броя съответни пристанища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p>
            <w:pPr>
              <w:pStyle w:val="Default"/>
              <w:jc w:val="center"/>
              <w:rPr>
                <w:rFonts w:ascii="Times New Roman" w:hAnsi="Times New Roman" w:cs="Times New Roman"/>
                <w:noProof/>
                <w:color w:val="auto"/>
                <w:sz w:val="20"/>
                <w:szCs w:val="20"/>
              </w:rPr>
            </w:pPr>
          </w:p>
          <w:p>
            <w:pPr>
              <w:jc w:val="center"/>
              <w:rPr>
                <w:noProof/>
                <w:sz w:val="20"/>
                <w:szCs w:val="20"/>
              </w:rPr>
            </w:pPr>
          </w:p>
        </w:tc>
        <w:tc>
          <w:tcPr>
            <w:tcW w:w="2251" w:type="dxa"/>
            <w:tcBorders>
              <w:top w:val="single" w:sz="4" w:space="0" w:color="000000"/>
              <w:left w:val="single" w:sz="4" w:space="0" w:color="000000"/>
              <w:bottom w:val="single" w:sz="4" w:space="0" w:color="000000"/>
              <w:right w:val="single" w:sz="4" w:space="0" w:color="000000"/>
            </w:tcBorders>
          </w:tcPr>
          <w:p>
            <w:pPr>
              <w:jc w:val="center"/>
              <w:rPr>
                <w:noProof/>
                <w:sz w:val="20"/>
                <w:szCs w:val="20"/>
              </w:rPr>
            </w:pPr>
          </w:p>
          <w:p>
            <w:pPr>
              <w:jc w:val="center"/>
              <w:rPr>
                <w:noProof/>
                <w:sz w:val="20"/>
                <w:szCs w:val="20"/>
              </w:rPr>
            </w:pPr>
            <w:r>
              <w:rPr>
                <w:noProof/>
                <w:sz w:val="20"/>
                <w:szCs w:val="20"/>
              </w:rPr>
              <w:t>100 % за морските пристанища</w:t>
            </w:r>
          </w:p>
          <w:p>
            <w:pPr>
              <w:jc w:val="center"/>
              <w:rPr>
                <w:noProof/>
                <w:sz w:val="20"/>
                <w:szCs w:val="20"/>
              </w:rPr>
            </w:pPr>
          </w:p>
          <w:p>
            <w:pPr>
              <w:pStyle w:val="Default"/>
              <w:jc w:val="center"/>
              <w:rPr>
                <w:rFonts w:ascii="Times New Roman" w:hAnsi="Times New Roman" w:cs="Times New Roman"/>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Данни въз основа на </w:t>
            </w:r>
            <w:r>
              <w:rPr>
                <w:rFonts w:ascii="Times New Roman" w:hAnsi="Times New Roman" w:cs="Times New Roman"/>
                <w:noProof/>
                <w:color w:val="auto"/>
                <w:sz w:val="20"/>
                <w:szCs w:val="20"/>
              </w:rPr>
              <w:br/>
              <w:t>проучване от 2016 г. съгласно член 49, параграф 3;</w:t>
            </w: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Събирането на по-точни данни продължава чрез проучване на морските магистрали</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Свързване към вътрешни водни пътища от клас IV по CEMT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rPr>
            </w:pPr>
            <w:r>
              <w:rPr>
                <w:rFonts w:ascii="Times New Roman" w:hAnsi="Times New Roman" w:cs="Times New Roman"/>
                <w:i/>
                <w:noProof/>
                <w:sz w:val="20"/>
                <w:szCs w:val="20"/>
              </w:rPr>
              <w:t>Брой пристанища с връзка към (вътрешността на страната) вътрешни водни пътища поне от клас IV по CEMT като дял (%) от броя съответни пристанища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w:t>
            </w:r>
          </w:p>
          <w:p>
            <w:pPr>
              <w:pStyle w:val="Default"/>
              <w:jc w:val="center"/>
              <w:rPr>
                <w:rFonts w:ascii="Times New Roman" w:hAnsi="Times New Roman" w:cs="Times New Roman"/>
                <w:noProof/>
                <w:color w:val="auto"/>
                <w:sz w:val="20"/>
                <w:szCs w:val="20"/>
              </w:rPr>
            </w:pP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46 % (от основната мрежа)</w:t>
            </w:r>
          </w:p>
          <w:p>
            <w:pPr>
              <w:pStyle w:val="Default"/>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9 % (от широкообхватната мрежа)</w:t>
            </w: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strike/>
                <w:noProof/>
                <w:color w:val="auto"/>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rPr>
            </w:pP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Данни въз основа на </w:t>
            </w:r>
            <w:r>
              <w:rPr>
                <w:rFonts w:ascii="Times New Roman" w:hAnsi="Times New Roman" w:cs="Times New Roman"/>
                <w:noProof/>
                <w:color w:val="auto"/>
                <w:sz w:val="20"/>
                <w:szCs w:val="20"/>
              </w:rPr>
              <w:br/>
              <w:t>проучване от 2016 г. съгласно член 49, параграф 3;</w:t>
            </w:r>
          </w:p>
          <w:p>
            <w:pPr>
              <w:pStyle w:val="Default"/>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Събирането на по-точни данни продължава чрез проучване на морските магистрали</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Предлагане на чисти горива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пристанища, предлагащи (поне едно от) LPG, LNG, течни биогорива или синтетични горива, като дял (%) от общия брой пристанища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Събирането на данни продължава чрез проучване на TENtec (лот 2) </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Наличие на поне един товарен терминал, който да е отворен за всички оператори по недискриминиращ начин, и прилагане на прозрачни такси;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пристанища с най-малко един терминал с отворен достъп като дял (%) от общия брой пристанища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В момента няма налични данни. Данни ще бъдат събрани в рамките на предстояща кампания за събиране на данни.</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Съоръжения за отпадъци от експлоатацията на кораби (само за морски пристанища)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П/Т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морски пристанища, предлагащи съоръжения за приемане на задължителни за приемни съоръжения за отпадъци (приложения I, IV и V към Международна конвенция за предотвратяване на замърсяването от кораби (MARPOL13) категории отпадъци от експлоатацията на кораби, като дял (%) от общия брой пристанища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Събирането на данни продължава чрез проучване </w:t>
            </w:r>
            <w:r>
              <w:rPr>
                <w:rFonts w:ascii="Times New Roman" w:hAnsi="Times New Roman" w:cs="Times New Roman"/>
                <w:noProof/>
                <w:sz w:val="20"/>
                <w:szCs w:val="20"/>
              </w:rPr>
              <w:t>за TENtec (лот 2)</w:t>
            </w:r>
          </w:p>
        </w:tc>
      </w:tr>
      <w:tr>
        <w:trPr>
          <w:trHeight w:val="882"/>
          <w:jc w:val="center"/>
        </w:trPr>
        <w:tc>
          <w:tcPr>
            <w:tcW w:w="1384" w:type="dxa"/>
            <w:vMerge w:val="restart"/>
            <w:tcBorders>
              <w:top w:val="single" w:sz="4" w:space="0" w:color="000000"/>
              <w:left w:val="single" w:sz="4" w:space="0" w:color="000000"/>
              <w:right w:val="single" w:sz="4" w:space="0" w:color="000000"/>
            </w:tcBorders>
            <w:shd w:val="clear" w:color="auto" w:fill="auto"/>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Летища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Свързване към железопътни линии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П/Т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летища с железопътна връзка като дял (%) от броя съответни летища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spacing w:after="120"/>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(т.е. всички 38 летища от основната мрежа)</w:t>
            </w:r>
          </w:p>
        </w:tc>
        <w:tc>
          <w:tcPr>
            <w:tcW w:w="225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auto"/>
                <w:sz w:val="20"/>
                <w:szCs w:val="20"/>
              </w:rPr>
            </w:pPr>
          </w:p>
          <w:p>
            <w:pPr>
              <w:jc w:val="center"/>
              <w:rPr>
                <w:noProof/>
                <w:sz w:val="20"/>
                <w:szCs w:val="20"/>
              </w:rPr>
            </w:pPr>
            <w:r>
              <w:rPr>
                <w:noProof/>
                <w:sz w:val="20"/>
                <w:szCs w:val="20"/>
              </w:rPr>
              <w:t>23 от 38 летища от основната мрежа, които попадат в обхвата на този критерий за съответствие (60,5 %)</w:t>
            </w:r>
          </w:p>
          <w:p>
            <w:pPr>
              <w:jc w:val="center"/>
              <w:rPr>
                <w:noProof/>
                <w:sz w:val="20"/>
                <w:szCs w:val="20"/>
              </w:rPr>
            </w:pPr>
            <w:r>
              <w:rPr>
                <w:i/>
                <w:noProof/>
                <w:sz w:val="20"/>
                <w:szCs w:val="20"/>
              </w:rPr>
              <w:t>(За информация: 35,5 % от всички летища от основната мрежа и 12,2 % от всички летища от широкообхватната мрежа)</w:t>
            </w:r>
          </w:p>
        </w:tc>
        <w:tc>
          <w:tcPr>
            <w:tcW w:w="2410"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auto"/>
                <w:sz w:val="20"/>
                <w:szCs w:val="20"/>
              </w:rPr>
            </w:pPr>
          </w:p>
          <w:p>
            <w:pPr>
              <w:jc w:val="center"/>
              <w:rPr>
                <w:noProof/>
                <w:sz w:val="20"/>
                <w:szCs w:val="20"/>
              </w:rPr>
            </w:pPr>
            <w:r>
              <w:rPr>
                <w:noProof/>
                <w:sz w:val="20"/>
                <w:szCs w:val="20"/>
              </w:rPr>
              <w:t>100 % (основна мрежа)</w:t>
            </w:r>
          </w:p>
          <w:p>
            <w:pPr>
              <w:pStyle w:val="Default"/>
              <w:spacing w:after="120"/>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100 % (широкообхватна мрежа)</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 xml:space="preserve">Въз основа на данни от TENtec, събрани чрез проучване </w:t>
            </w:r>
            <w:r>
              <w:rPr>
                <w:rFonts w:ascii="Times New Roman" w:hAnsi="Times New Roman" w:cs="Times New Roman"/>
                <w:noProof/>
                <w:sz w:val="20"/>
                <w:szCs w:val="20"/>
              </w:rPr>
              <w:t>за TENtec (лот 1), все още невалидирани от държавите членки</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Наличие на най-малко един терминал, който да е отворен за всички оператори по недискриминиращ начин, и прилагане на прозрачни, подходящи и справедливи такси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П/Т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летища, предлагащи течни биогорива или синтетични горива за самолети, като дял (%) от общия брой летища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В момента няма налични данни. Данни ще бъдат събрани в рамките на предстояща кампания за събиране на данни.</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Предлагане на чисти горива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П/Т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летища с най-малко един терминал с отворен достъп като дял (%) от общия брой летища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Corps"/>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В момента няма налични данни. Данни ще бъдат събрани в рамките на предстояща кампания за събиране на данни.</w:t>
            </w:r>
          </w:p>
        </w:tc>
      </w:tr>
      <w:tr>
        <w:trPr>
          <w:trHeight w:val="882"/>
          <w:jc w:val="center"/>
        </w:trPr>
        <w:tc>
          <w:tcPr>
            <w:tcW w:w="1384" w:type="dxa"/>
            <w:vMerge w:val="restart"/>
            <w:tcBorders>
              <w:top w:val="single" w:sz="4" w:space="0" w:color="000000"/>
              <w:left w:val="single" w:sz="4" w:space="0" w:color="000000"/>
              <w:right w:val="single" w:sz="4" w:space="0" w:color="000000"/>
            </w:tcBorders>
            <w:shd w:val="clear" w:color="auto" w:fill="auto"/>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Железопътни-пътни терминали (ЖПТ)</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Възможност за интермодално (с транспортни единици) претоварване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железопътни-пътни терминали с възможност за обработка на интермодални единици като дял (%) от общия брой ЖПТ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В момента няма налични данни. Данни ще бъдат събрани в рамките на предстояща кампания за събиране на данни.</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Достъп до терминал за влакове с дължина 740 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железопътни-пътни терминали с възможност за обработка на влакове с дължина 740 m (без разкачване) като дял (%) от общия брой ЖПТ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В момента няма налични данни. Данни ще бъдат събрани в рамките на предстояща кампания за събиране на данни.</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Достъп до терминал за електрифицирани влакове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железопътни-пътни терминали с възможност за обработка на електрифицирани влакове като дял (%) от общия брой ЖПТ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p>
          <w:p>
            <w:pPr>
              <w:pStyle w:val="Default"/>
              <w:jc w:val="center"/>
              <w:rPr>
                <w:rFonts w:ascii="Times New Roman" w:hAnsi="Times New Roman" w:cs="Times New Roman"/>
                <w:noProof/>
                <w:color w:val="auto"/>
                <w:sz w:val="20"/>
                <w:szCs w:val="20"/>
              </w:rPr>
            </w:pPr>
            <w:r>
              <w:rPr>
                <w:rFonts w:ascii="Times New Roman" w:hAnsi="Times New Roman" w:cs="Times New Roman"/>
                <w:noProof/>
                <w:sz w:val="20"/>
                <w:szCs w:val="20"/>
              </w:rPr>
              <w:t>няма данни</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В момента няма налични данни. Данни ще бъдат събрани в рамките на предстояща кампания за събиране на данни.</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Наличие на най-малко един товарен терминал, който да е отворен за всички оператори по недискриминиращ начин, както и прилагане на прозрачни такси;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rPr>
            </w:pPr>
            <w:r>
              <w:rPr>
                <w:rFonts w:ascii="Times New Roman" w:hAnsi="Times New Roman" w:cs="Times New Roman"/>
                <w:i/>
                <w:noProof/>
                <w:sz w:val="20"/>
                <w:szCs w:val="20"/>
              </w:rPr>
              <w:t>Брой ЖПТ с най-малко един терминал с отворен достъп като дял (%) от общия брой ЖПТ от основната и от широкообхватната мрежа.</w:t>
            </w:r>
          </w:p>
        </w:tc>
        <w:tc>
          <w:tcPr>
            <w:tcW w:w="170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rPr>
            </w:pPr>
          </w:p>
        </w:tc>
        <w:tc>
          <w:tcPr>
            <w:tcW w:w="225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FF0000"/>
                <w:sz w:val="20"/>
                <w:szCs w:val="20"/>
              </w:rPr>
            </w:pPr>
            <w:r>
              <w:rPr>
                <w:rFonts w:ascii="Times New Roman" w:hAnsi="Times New Roman" w:cs="Times New Roman"/>
                <w:noProof/>
                <w:color w:val="auto"/>
                <w:sz w:val="20"/>
                <w:szCs w:val="20"/>
              </w:rPr>
              <w:t>В момента няма налични данни. Данни ще бъдат събрани в рамките на предстояща кампания за събиране на данни.</w:t>
            </w:r>
          </w:p>
        </w:tc>
      </w:tr>
    </w:tbl>
    <w:p>
      <w:pPr>
        <w:pStyle w:val="Corps"/>
        <w:spacing w:after="240" w:line="240" w:lineRule="auto"/>
        <w:jc w:val="both"/>
        <w:rPr>
          <w:rFonts w:ascii="Times New Roman" w:eastAsia="Times New Roman" w:hAnsi="Times New Roman" w:cs="Times New Roman"/>
          <w:b/>
          <w:noProof/>
          <w:sz w:val="24"/>
          <w:szCs w:val="24"/>
        </w:rPr>
      </w:pPr>
    </w:p>
    <w:p>
      <w:pPr>
        <w:pStyle w:val="Corps"/>
        <w:spacing w:after="240" w:line="240" w:lineRule="auto"/>
        <w:jc w:val="both"/>
        <w:rPr>
          <w:rFonts w:ascii="Times New Roman" w:hAnsi="Times New Roman"/>
          <w:b/>
          <w:bCs/>
          <w:noProof/>
          <w:sz w:val="20"/>
          <w:szCs w:val="20"/>
        </w:rPr>
      </w:pPr>
    </w:p>
    <w:p>
      <w:pPr>
        <w:rPr>
          <w:rFonts w:eastAsia="Times New Roman"/>
          <w:b/>
          <w:noProof/>
          <w:color w:val="000000"/>
          <w:u w:color="000000"/>
        </w:rPr>
        <w:sectPr>
          <w:headerReference w:type="even" r:id="rId23"/>
          <w:headerReference w:type="default" r:id="rId24"/>
          <w:footerReference w:type="even" r:id="rId25"/>
          <w:footerReference w:type="default" r:id="rId26"/>
          <w:headerReference w:type="first" r:id="rId27"/>
          <w:footerReference w:type="first" r:id="rId28"/>
          <w:pgSz w:w="16840" w:h="11900" w:orient="landscape"/>
          <w:pgMar w:top="1417" w:right="1417" w:bottom="1417" w:left="1417" w:header="708" w:footer="708" w:gutter="0"/>
          <w:cols w:space="720"/>
          <w:docGrid w:linePitch="326"/>
        </w:sectPr>
      </w:pPr>
    </w:p>
    <w:p>
      <w:pPr>
        <w:pStyle w:val="Corps"/>
        <w:spacing w:after="0" w:line="240" w:lineRule="auto"/>
        <w:jc w:val="both"/>
        <w:rPr>
          <w:rFonts w:ascii="Times New Roman" w:eastAsia="Times New Roman" w:hAnsi="Times New Roman" w:cs="Times New Roman"/>
          <w:b/>
          <w:noProof/>
        </w:rPr>
      </w:pPr>
      <w:r>
        <w:rPr>
          <w:rFonts w:ascii="Times New Roman" w:hAnsi="Times New Roman" w:cs="Times New Roman"/>
          <w:b/>
          <w:noProof/>
        </w:rPr>
        <w:t>Таблица 1 — Разходи на ЕС за ТЕМ-Т по източник на финансиране за вид транспорт в периода 2014—2015 г. (в милиони евро)</w:t>
      </w:r>
    </w:p>
    <w:p>
      <w:pPr>
        <w:pStyle w:val="Corps"/>
        <w:spacing w:after="0" w:line="240" w:lineRule="auto"/>
        <w:jc w:val="both"/>
        <w:rPr>
          <w:rFonts w:ascii="Times New Roman" w:eastAsia="Times New Roman" w:hAnsi="Times New Roman" w:cs="Times New Roman"/>
          <w:b/>
          <w:noProof/>
        </w:rPr>
      </w:pPr>
    </w:p>
    <w:tbl>
      <w:tblPr>
        <w:tblStyle w:val="TableGrid"/>
        <w:tblW w:w="8613" w:type="dxa"/>
        <w:tblLook w:val="04A0" w:firstRow="1" w:lastRow="0" w:firstColumn="1" w:lastColumn="0" w:noHBand="0" w:noVBand="1"/>
      </w:tblPr>
      <w:tblGrid>
        <w:gridCol w:w="2320"/>
        <w:gridCol w:w="1899"/>
        <w:gridCol w:w="2158"/>
        <w:gridCol w:w="2236"/>
      </w:tblGrid>
      <w:tr>
        <w:tc>
          <w:tcPr>
            <w:tcW w:w="232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noProof/>
              </w:rPr>
            </w:pPr>
            <w:r>
              <w:rPr>
                <w:rFonts w:ascii="Times New Roman" w:hAnsi="Times New Roman" w:cs="Times New Roman"/>
                <w:b/>
                <w:noProof/>
              </w:rPr>
              <w:t>Вид транспорт</w:t>
            </w:r>
          </w:p>
        </w:tc>
        <w:tc>
          <w:tcPr>
            <w:tcW w:w="1899"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highlight w:val="yellow"/>
              </w:rPr>
            </w:pPr>
            <w:r>
              <w:rPr>
                <w:rFonts w:ascii="Times New Roman" w:hAnsi="Times New Roman" w:cs="Times New Roman"/>
                <w:b/>
                <w:noProof/>
              </w:rPr>
              <w:t>ТЕМ-Т/МСЕ</w:t>
            </w:r>
          </w:p>
        </w:tc>
        <w:tc>
          <w:tcPr>
            <w:tcW w:w="2158"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rPr>
            </w:pPr>
            <w:r>
              <w:rPr>
                <w:rFonts w:ascii="Times New Roman" w:hAnsi="Times New Roman" w:cs="Times New Roman"/>
                <w:b/>
                <w:noProof/>
              </w:rPr>
              <w:t>Разходи по линия на ЕФРР + КФ</w:t>
            </w:r>
          </w:p>
        </w:tc>
        <w:tc>
          <w:tcPr>
            <w:tcW w:w="223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highlight w:val="yellow"/>
              </w:rPr>
            </w:pPr>
            <w:r>
              <w:rPr>
                <w:rFonts w:ascii="Times New Roman" w:hAnsi="Times New Roman" w:cs="Times New Roman"/>
                <w:b/>
                <w:noProof/>
              </w:rPr>
              <w:t>Общо</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cs="Times New Roman"/>
                <w:noProof/>
              </w:rPr>
              <w:t>Въздушен</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167,4</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cs="Times New Roman"/>
                <w:noProof/>
              </w:rPr>
              <w:t>764,4</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bdr w:val="none" w:sz="0" w:space="0" w:color="auto"/>
              </w:rPr>
              <w:t>931,8</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cs="Times New Roman"/>
                <w:noProof/>
              </w:rPr>
              <w:t>Вътрешни водни пътища</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115,9</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cs="Times New Roman"/>
                <w:noProof/>
              </w:rPr>
              <w:t>72,8</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bdr w:val="none" w:sz="0" w:space="0" w:color="auto"/>
              </w:rPr>
              <w:t>188,7</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cs="Times New Roman"/>
                <w:noProof/>
              </w:rPr>
              <w:t>Мултимодален</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72,8</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cs="Times New Roman"/>
                <w:noProof/>
              </w:rPr>
              <w:t>284,1</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bdr w:val="none" w:sz="0" w:space="0" w:color="auto"/>
              </w:rPr>
              <w:t>356,9</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cs="Times New Roman"/>
                <w:noProof/>
              </w:rPr>
              <w:t>Морски</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202,8</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cs="Times New Roman"/>
                <w:noProof/>
              </w:rPr>
              <w:t>1 352,2</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bdr w:val="none" w:sz="0" w:space="0" w:color="auto"/>
              </w:rPr>
              <w:t>1 555,0</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cs="Times New Roman"/>
                <w:noProof/>
              </w:rPr>
              <w:t>Железопътен</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1 506,0</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cs="Times New Roman"/>
                <w:noProof/>
              </w:rPr>
              <w:t>7 244,7</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bdr w:val="none" w:sz="0" w:space="0" w:color="auto"/>
              </w:rPr>
              <w:t>8 750,7</w:t>
            </w:r>
          </w:p>
        </w:tc>
      </w:tr>
      <w:tr>
        <w:tc>
          <w:tcPr>
            <w:tcW w:w="2320"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hAnsi="Times New Roman" w:cs="Times New Roman"/>
                <w:noProof/>
              </w:rPr>
              <w:t>Автомобилен</w:t>
            </w:r>
          </w:p>
        </w:tc>
        <w:tc>
          <w:tcPr>
            <w:tcW w:w="1899"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75,5</w:t>
            </w:r>
          </w:p>
        </w:tc>
        <w:tc>
          <w:tcPr>
            <w:tcW w:w="2158"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hAnsi="Times New Roman" w:cs="Times New Roman"/>
                <w:noProof/>
              </w:rPr>
              <w:t>5 121,4</w:t>
            </w:r>
          </w:p>
        </w:tc>
        <w:tc>
          <w:tcPr>
            <w:tcW w:w="2236"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bdr w:val="none" w:sz="0" w:space="0" w:color="auto"/>
              </w:rPr>
              <w:t>5 196,9</w:t>
            </w:r>
          </w:p>
        </w:tc>
      </w:tr>
      <w:tr>
        <w:tc>
          <w:tcPr>
            <w:tcW w:w="232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noProof/>
              </w:rPr>
            </w:pPr>
            <w:r>
              <w:rPr>
                <w:rFonts w:ascii="Times New Roman" w:hAnsi="Times New Roman" w:cs="Times New Roman"/>
                <w:b/>
                <w:noProof/>
              </w:rPr>
              <w:t>Общо</w:t>
            </w:r>
          </w:p>
        </w:tc>
        <w:tc>
          <w:tcPr>
            <w:tcW w:w="1899"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highlight w:val="yellow"/>
              </w:rPr>
            </w:pPr>
            <w:r>
              <w:rPr>
                <w:rFonts w:ascii="Times New Roman" w:hAnsi="Times New Roman" w:cs="Times New Roman"/>
                <w:b/>
                <w:noProof/>
              </w:rPr>
              <w:t>2 140,4</w:t>
            </w:r>
          </w:p>
        </w:tc>
        <w:tc>
          <w:tcPr>
            <w:tcW w:w="2158"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rPr>
            </w:pPr>
            <w:r>
              <w:rPr>
                <w:rFonts w:ascii="Times New Roman" w:hAnsi="Times New Roman" w:cs="Times New Roman"/>
                <w:b/>
                <w:noProof/>
              </w:rPr>
              <w:t>14 839,6</w:t>
            </w:r>
          </w:p>
        </w:tc>
        <w:tc>
          <w:tcPr>
            <w:tcW w:w="223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highlight w:val="yellow"/>
              </w:rPr>
            </w:pPr>
            <w:r>
              <w:rPr>
                <w:rFonts w:ascii="Times New Roman" w:hAnsi="Times New Roman" w:cs="Times New Roman"/>
                <w:b/>
                <w:noProof/>
                <w:bdr w:val="none" w:sz="0" w:space="0" w:color="auto"/>
              </w:rPr>
              <w:t>16 980,00</w:t>
            </w:r>
          </w:p>
        </w:tc>
      </w:tr>
    </w:tbl>
    <w:p>
      <w:pPr>
        <w:pStyle w:val="Corps"/>
        <w:spacing w:after="0" w:line="240" w:lineRule="auto"/>
        <w:jc w:val="both"/>
        <w:rPr>
          <w:rFonts w:ascii="Times New Roman" w:eastAsia="Times New Roman" w:hAnsi="Times New Roman" w:cs="Times New Roman"/>
          <w:b/>
          <w:noProof/>
        </w:rPr>
      </w:pPr>
    </w:p>
    <w:p>
      <w:pPr>
        <w:pStyle w:val="Corps"/>
        <w:spacing w:after="0" w:line="240" w:lineRule="auto"/>
        <w:jc w:val="both"/>
        <w:rPr>
          <w:rFonts w:ascii="Times New Roman" w:eastAsia="Times New Roman" w:hAnsi="Times New Roman" w:cs="Times New Roman"/>
          <w:b/>
          <w:noProof/>
        </w:rPr>
      </w:pPr>
      <w:r>
        <w:rPr>
          <w:rFonts w:ascii="Times New Roman" w:hAnsi="Times New Roman" w:cs="Times New Roman"/>
          <w:b/>
          <w:noProof/>
        </w:rPr>
        <w:t xml:space="preserve">Таблица 2 — Общо разходи и поети задължения за ТЕМ-Т с финансиране по линия на ТЕМ-Т/МСЕ (2014—2015 г.) </w:t>
      </w:r>
    </w:p>
    <w:p>
      <w:pPr>
        <w:pStyle w:val="Corps"/>
        <w:spacing w:after="0" w:line="240" w:lineRule="auto"/>
        <w:jc w:val="both"/>
        <w:rPr>
          <w:rFonts w:ascii="Times New Roman" w:eastAsia="Times New Roman" w:hAnsi="Times New Roman" w:cs="Times New Roman"/>
          <w:b/>
          <w:noProof/>
        </w:rPr>
      </w:pPr>
    </w:p>
    <w:tbl>
      <w:tblPr>
        <w:tblW w:w="7953" w:type="dxa"/>
        <w:tblInd w:w="93" w:type="dxa"/>
        <w:tblCellMar>
          <w:left w:w="0" w:type="dxa"/>
          <w:right w:w="0" w:type="dxa"/>
        </w:tblCellMar>
        <w:tblLook w:val="04A0" w:firstRow="1" w:lastRow="0" w:firstColumn="1" w:lastColumn="0" w:noHBand="0" w:noVBand="1"/>
      </w:tblPr>
      <w:tblGrid>
        <w:gridCol w:w="1469"/>
        <w:gridCol w:w="3828"/>
        <w:gridCol w:w="2976"/>
      </w:tblGrid>
      <w:tr>
        <w:trPr>
          <w:trHeight w:val="300"/>
        </w:trPr>
        <w:tc>
          <w:tcPr>
            <w:tcW w:w="1149"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pPr>
              <w:rPr>
                <w:rFonts w:eastAsiaTheme="minorHAnsi"/>
                <w:b/>
                <w:bCs/>
                <w:noProof/>
                <w:color w:val="000000"/>
                <w:sz w:val="22"/>
                <w:szCs w:val="22"/>
              </w:rPr>
            </w:pPr>
            <w:r>
              <w:rPr>
                <w:b/>
                <w:noProof/>
                <w:color w:val="000000"/>
                <w:sz w:val="22"/>
                <w:szCs w:val="22"/>
              </w:rPr>
              <w:t>Държава членка</w:t>
            </w:r>
          </w:p>
        </w:tc>
        <w:tc>
          <w:tcPr>
            <w:tcW w:w="3828"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noProof/>
                <w:sz w:val="22"/>
                <w:szCs w:val="22"/>
              </w:rPr>
              <w:t xml:space="preserve">Разходи/финансиране по линия на </w:t>
            </w:r>
            <w:r>
              <w:rPr>
                <w:b/>
                <w:noProof/>
                <w:color w:val="000000"/>
                <w:sz w:val="22"/>
                <w:szCs w:val="22"/>
              </w:rPr>
              <w:t>ТЕМ-Т/МСЕ</w:t>
            </w:r>
            <w:r>
              <w:rPr>
                <w:b/>
                <w:noProof/>
                <w:color w:val="000000"/>
                <w:sz w:val="22"/>
                <w:szCs w:val="22"/>
                <w:vertAlign w:val="superscript"/>
              </w:rPr>
              <w:t>1</w:t>
            </w:r>
          </w:p>
        </w:tc>
        <w:tc>
          <w:tcPr>
            <w:tcW w:w="297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noProof/>
                <w:color w:val="000000"/>
                <w:sz w:val="22"/>
                <w:szCs w:val="22"/>
              </w:rPr>
              <w:t>Правни задължения по линия на МСЕ</w:t>
            </w:r>
            <w:r>
              <w:rPr>
                <w:b/>
                <w:noProof/>
                <w:color w:val="000000"/>
                <w:sz w:val="22"/>
                <w:szCs w:val="22"/>
                <w:vertAlign w:val="superscript"/>
              </w:rPr>
              <w:t>2</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Австрия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112 027 519,51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697 274 954,59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Белгия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88 085 709,40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386 862 982,77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България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8 500,00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140 422 446,31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Кипър</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368 532,87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4 336 455,50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Чешка република</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12 262 375,63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254 446 954,59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Германия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426 535 582,47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1 721 544 112,62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Дания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99 229 178,19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635 659 951,00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Естония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2 671 586,00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189 711 553,40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Гърция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123 134 381,62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474 031 499,81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Испания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344 978 468,26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820 887 241,21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Финландия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70 715 369,04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67 814 357,90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Франция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311 926 281,40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1 765 036 319,72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Хърватия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1 235 228,27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43 863 508,40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Унгария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4 429 232,31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270 460 015,70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Ирландия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9 438 294,65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58 014 678,96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Италия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209 908 600,09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1 218 439 960,01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Литва</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22 498 300,67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175 075 057,01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Люксембург</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8 343 133,27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71 505 392,50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Латвия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3 258 467,49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252 335 764,20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Малта</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606 607,66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38 854 793,70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Нидерландия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55 335 308,50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157 303 009,76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Полша</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14 330 082,76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1 943 289 051,14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Португалия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5 929 072,92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151 238 125,46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Румъния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638 311,19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708 169 133,80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Швеция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97 125 195,54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82 055 838,05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Словения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19 426 804,80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47 042 258,50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Словакия</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492 371,11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51 669 290,65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Обединено кралство</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95 478 632,90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203 630 057,00 EUR</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Други</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0,00 EUR</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63 547 883,46 EUR</w:t>
            </w:r>
          </w:p>
        </w:tc>
      </w:tr>
      <w:tr>
        <w:trPr>
          <w:trHeight w:val="300"/>
        </w:trPr>
        <w:tc>
          <w:tcPr>
            <w:tcW w:w="114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noProof/>
                <w:color w:val="000000"/>
                <w:sz w:val="22"/>
                <w:szCs w:val="22"/>
              </w:rPr>
              <w:t>Общо</w:t>
            </w:r>
          </w:p>
        </w:tc>
        <w:tc>
          <w:tcPr>
            <w:tcW w:w="382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jc w:val="right"/>
              <w:rPr>
                <w:rFonts w:eastAsiaTheme="minorHAnsi"/>
                <w:b/>
                <w:bCs/>
                <w:noProof/>
                <w:color w:val="000000"/>
                <w:sz w:val="22"/>
                <w:szCs w:val="22"/>
              </w:rPr>
            </w:pPr>
            <w:r>
              <w:rPr>
                <w:b/>
                <w:noProof/>
                <w:color w:val="000000"/>
                <w:sz w:val="22"/>
                <w:szCs w:val="22"/>
              </w:rPr>
              <w:t>2 140 417 128,53 EUR</w:t>
            </w:r>
          </w:p>
        </w:tc>
        <w:tc>
          <w:tcPr>
            <w:tcW w:w="297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jc w:val="right"/>
              <w:rPr>
                <w:rFonts w:eastAsiaTheme="minorHAnsi"/>
                <w:b/>
                <w:bCs/>
                <w:noProof/>
                <w:color w:val="000000"/>
                <w:sz w:val="22"/>
                <w:szCs w:val="22"/>
              </w:rPr>
            </w:pPr>
            <w:r>
              <w:rPr>
                <w:b/>
                <w:noProof/>
                <w:color w:val="000000"/>
                <w:sz w:val="22"/>
                <w:szCs w:val="22"/>
              </w:rPr>
              <w:t>12 694 522 647,71 EUR</w:t>
            </w:r>
          </w:p>
        </w:tc>
      </w:tr>
    </w:tbl>
    <w:p>
      <w:pPr>
        <w:spacing w:before="120"/>
        <w:rPr>
          <w:rFonts w:eastAsia="Times New Roman"/>
          <w:b/>
          <w:noProof/>
          <w:sz w:val="22"/>
          <w:szCs w:val="22"/>
        </w:rPr>
      </w:pPr>
    </w:p>
    <w:p>
      <w:pPr>
        <w:pStyle w:val="Corps"/>
        <w:spacing w:after="240" w:line="240" w:lineRule="auto"/>
        <w:jc w:val="both"/>
        <w:rPr>
          <w:rFonts w:ascii="Times New Roman" w:hAnsi="Times New Roman" w:cs="Times New Roman"/>
          <w:noProof/>
        </w:rPr>
      </w:pPr>
      <w:r>
        <w:rPr>
          <w:rFonts w:ascii="Times New Roman" w:hAnsi="Times New Roman" w:cs="Times New Roman"/>
          <w:noProof/>
        </w:rPr>
        <w:t xml:space="preserve">1 </w:t>
      </w:r>
      <w:r>
        <w:rPr>
          <w:rFonts w:ascii="Times New Roman" w:hAnsi="Times New Roman" w:cs="Times New Roman"/>
          <w:noProof/>
        </w:rPr>
        <w:tab/>
        <w:t xml:space="preserve">Дял от разходите по линия на ТЕМ-Т за проекти за строителство и смесени проекти за строителство/проучвания. Разходи въз основа на декларирани суми в докладите за напредъка на дейностите и исканията за окончателно плащане. Дял на разходите/финансирането по линия на МСЕ въз основа на декларираните разходи/искания за плащане, когато е приложимо, или за очакваното усвояване на финансирането от проекта, въз основа на последната налична информация (като се взема предвид разбивката на бюджета в споразуменията за отпускане на безвъзмездни средства). </w:t>
      </w:r>
    </w:p>
    <w:p>
      <w:pPr>
        <w:pStyle w:val="Corps"/>
        <w:spacing w:after="240" w:line="240" w:lineRule="auto"/>
        <w:jc w:val="both"/>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rPr>
        <w:tab/>
        <w:t xml:space="preserve">Финансиране от ЕС, понастоящем разпределено чрез последното споразумение за отпускане на безвъзмездни средства (за продължаващи действия) или окончателно финансиране за завършени/приключени действия. При тази променлива се взема предвид намаляването на финансирането чрез изменения. </w:t>
      </w:r>
    </w:p>
    <w:p>
      <w:pPr>
        <w:pStyle w:val="Corps"/>
        <w:spacing w:after="0" w:line="240" w:lineRule="auto"/>
        <w:jc w:val="both"/>
        <w:rPr>
          <w:rFonts w:ascii="Times New Roman" w:hAnsi="Times New Roman" w:cs="Times New Roman"/>
          <w:noProof/>
        </w:rPr>
      </w:pPr>
      <w:r>
        <w:rPr>
          <w:rFonts w:ascii="Times New Roman" w:hAnsi="Times New Roman" w:cs="Times New Roman"/>
          <w:b/>
          <w:noProof/>
        </w:rPr>
        <w:t>Таблица 3 — Общо разходи и поети задължения за ТЕМ-Т със средства по линия на ЕФРР/Кохезионния фонд в периода 2014—2015 г.</w:t>
      </w:r>
      <w:r>
        <w:rPr>
          <w:rFonts w:ascii="Times New Roman" w:eastAsia="Times New Roman" w:hAnsi="Times New Roman" w:cs="Times New Roman"/>
          <w:b/>
          <w:noProof/>
        </w:rPr>
        <w:br/>
      </w:r>
    </w:p>
    <w:tbl>
      <w:tblPr>
        <w:tblW w:w="7528" w:type="dxa"/>
        <w:tblInd w:w="93" w:type="dxa"/>
        <w:tblLook w:val="04A0" w:firstRow="1" w:lastRow="0" w:firstColumn="1" w:lastColumn="0" w:noHBand="0" w:noVBand="1"/>
      </w:tblPr>
      <w:tblGrid>
        <w:gridCol w:w="1563"/>
        <w:gridCol w:w="2910"/>
        <w:gridCol w:w="3055"/>
      </w:tblGrid>
      <w:tr>
        <w:trPr>
          <w:trHeight w:val="1590"/>
        </w:trPr>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rPr>
            </w:pPr>
            <w:r>
              <w:rPr>
                <w:b/>
                <w:noProof/>
                <w:color w:val="000000"/>
                <w:sz w:val="22"/>
                <w:szCs w:val="22"/>
              </w:rPr>
              <w:t>Държава членка</w:t>
            </w:r>
          </w:p>
        </w:tc>
        <w:tc>
          <w:tcPr>
            <w:tcW w:w="2910" w:type="dxa"/>
            <w:tcBorders>
              <w:top w:val="single" w:sz="4" w:space="0" w:color="auto"/>
              <w:left w:val="nil"/>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rPr>
            </w:pPr>
            <w:r>
              <w:rPr>
                <w:b/>
                <w:noProof/>
                <w:sz w:val="22"/>
                <w:szCs w:val="22"/>
              </w:rPr>
              <w:t xml:space="preserve">Разходи по линия на </w:t>
            </w:r>
            <w:r>
              <w:rPr>
                <w:b/>
                <w:noProof/>
                <w:color w:val="000000"/>
                <w:sz w:val="22"/>
                <w:szCs w:val="22"/>
              </w:rPr>
              <w:t>ЕФРР + КФ (2014—2015 г.) за периода 2007—2013 г.</w:t>
            </w:r>
            <w:r>
              <w:rPr>
                <w:b/>
                <w:noProof/>
                <w:color w:val="000000"/>
                <w:sz w:val="22"/>
                <w:szCs w:val="22"/>
                <w:vertAlign w:val="superscript"/>
              </w:rPr>
              <w:t>1</w:t>
            </w:r>
          </w:p>
        </w:tc>
        <w:tc>
          <w:tcPr>
            <w:tcW w:w="3118" w:type="dxa"/>
            <w:tcBorders>
              <w:top w:val="single" w:sz="4" w:space="0" w:color="auto"/>
              <w:left w:val="nil"/>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u w:val="single"/>
              </w:rPr>
            </w:pPr>
            <w:r>
              <w:rPr>
                <w:b/>
                <w:noProof/>
                <w:sz w:val="22"/>
                <w:szCs w:val="22"/>
              </w:rPr>
              <w:t xml:space="preserve">Очаквана сума на ангажиментите по линия на </w:t>
            </w:r>
            <w:r>
              <w:rPr>
                <w:b/>
                <w:noProof/>
                <w:color w:val="000000"/>
                <w:sz w:val="22"/>
                <w:szCs w:val="22"/>
              </w:rPr>
              <w:t>ЕФРР + КФ (2014—2015 г.) за периода 2014—2020 г.</w:t>
            </w:r>
            <w:r>
              <w:rPr>
                <w:b/>
                <w:noProof/>
                <w:color w:val="000000"/>
                <w:sz w:val="22"/>
                <w:szCs w:val="22"/>
                <w:vertAlign w:val="superscript"/>
              </w:rPr>
              <w:t>2</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Австрия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2 934 472,00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Белгия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46 136,00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България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568 041 108,00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283 168 179,00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Кипър</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8 616 572,00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10 867 022,00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Чешка република</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875 526 552,00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638 315 795,00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Германия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368 407 819,00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550 138,00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Естония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129 279 226,00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100 579 525,00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Испания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582 659 100,00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388 654 854,00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Финландия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3 403 446,00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Франция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95 387 637,00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11 952 785,00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Гърция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1 088 333 130,00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349 050 764,00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Хърватия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80 655 785,00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213 936 269,00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Унгария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990 951 073,00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381 435 124,00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Италия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591 732 086,00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338 966 553,00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Литва</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456 818 713,00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173 677 344,00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Латвия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261 879 728,00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221 134 278,00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Малта</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1 309 272,00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18 565 514,00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Нидерландия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250 000,00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Полша</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4 924 498 892,00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3 258 444 121,00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Португалия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174 551 330,00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138 470 240,00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Румъния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2 250 442 506,00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923 420 160,00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Швеция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2 102 460,00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8 221 453,00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Словения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480 243 393,00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56 681 911,00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Словакия</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616 618 969,00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512 834 678,00 EUR</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TC/CB*</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161 326 899,00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15 360 141,00 EUR</w:t>
            </w:r>
          </w:p>
        </w:tc>
      </w:tr>
      <w:tr>
        <w:trPr>
          <w:trHeight w:val="315"/>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rPr>
            </w:pPr>
            <w:r>
              <w:rPr>
                <w:b/>
                <w:noProof/>
                <w:color w:val="000000"/>
                <w:sz w:val="22"/>
                <w:szCs w:val="22"/>
              </w:rPr>
              <w:t>Обединено кралство</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rPr>
            </w:pPr>
            <w:r>
              <w:rPr>
                <w:noProof/>
                <w:color w:val="000000"/>
                <w:sz w:val="22"/>
                <w:szCs w:val="22"/>
              </w:rPr>
              <w:t>123 611 227,00 EUR</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rPr>
            </w:pPr>
            <w:r>
              <w:rPr>
                <w:noProof/>
                <w:color w:val="000000"/>
                <w:sz w:val="22"/>
                <w:szCs w:val="22"/>
              </w:rPr>
              <w:t>40 004 023,00 EUR</w:t>
            </w:r>
          </w:p>
        </w:tc>
      </w:tr>
      <w:tr>
        <w:trPr>
          <w:trHeight w:val="300"/>
        </w:trPr>
        <w:tc>
          <w:tcPr>
            <w:tcW w:w="1500" w:type="dxa"/>
            <w:tcBorders>
              <w:top w:val="nil"/>
              <w:left w:val="single" w:sz="4" w:space="0" w:color="auto"/>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rPr>
            </w:pPr>
            <w:r>
              <w:rPr>
                <w:b/>
                <w:noProof/>
                <w:color w:val="000000"/>
                <w:sz w:val="22"/>
                <w:szCs w:val="22"/>
              </w:rPr>
              <w:t>Общо</w:t>
            </w:r>
          </w:p>
        </w:tc>
        <w:tc>
          <w:tcPr>
            <w:tcW w:w="2910" w:type="dxa"/>
            <w:tcBorders>
              <w:top w:val="nil"/>
              <w:left w:val="nil"/>
              <w:bottom w:val="single" w:sz="4" w:space="0" w:color="auto"/>
              <w:right w:val="single" w:sz="4" w:space="0" w:color="auto"/>
            </w:tcBorders>
            <w:shd w:val="clear" w:color="auto" w:fill="BFBFBF"/>
            <w:noWrap/>
            <w:vAlign w:val="center"/>
            <w:hideMark/>
          </w:tcPr>
          <w:p>
            <w:pPr>
              <w:jc w:val="right"/>
              <w:rPr>
                <w:rFonts w:eastAsia="Times New Roman"/>
                <w:b/>
                <w:bCs/>
                <w:noProof/>
                <w:color w:val="000000"/>
                <w:sz w:val="22"/>
                <w:szCs w:val="22"/>
              </w:rPr>
            </w:pPr>
            <w:r>
              <w:rPr>
                <w:b/>
                <w:noProof/>
                <w:color w:val="000000"/>
                <w:sz w:val="22"/>
                <w:szCs w:val="22"/>
              </w:rPr>
              <w:t>14 839 627 531,00 EUR</w:t>
            </w:r>
          </w:p>
        </w:tc>
        <w:tc>
          <w:tcPr>
            <w:tcW w:w="3118" w:type="dxa"/>
            <w:tcBorders>
              <w:top w:val="nil"/>
              <w:left w:val="nil"/>
              <w:bottom w:val="single" w:sz="4" w:space="0" w:color="auto"/>
              <w:right w:val="single" w:sz="4" w:space="0" w:color="auto"/>
            </w:tcBorders>
            <w:shd w:val="clear" w:color="auto" w:fill="BFBFBF"/>
            <w:vAlign w:val="center"/>
            <w:hideMark/>
          </w:tcPr>
          <w:p>
            <w:pPr>
              <w:jc w:val="right"/>
              <w:rPr>
                <w:rFonts w:eastAsia="Times New Roman"/>
                <w:b/>
                <w:bCs/>
                <w:noProof/>
                <w:color w:val="000000"/>
                <w:sz w:val="22"/>
                <w:szCs w:val="22"/>
              </w:rPr>
            </w:pPr>
            <w:r>
              <w:rPr>
                <w:b/>
                <w:noProof/>
                <w:color w:val="000000"/>
                <w:sz w:val="22"/>
                <w:szCs w:val="22"/>
              </w:rPr>
              <w:t>8 084 290 869,00 EUR</w:t>
            </w:r>
          </w:p>
        </w:tc>
      </w:tr>
    </w:tbl>
    <w:p>
      <w:pPr>
        <w:pStyle w:val="Corps"/>
        <w:spacing w:after="0" w:line="240" w:lineRule="auto"/>
        <w:jc w:val="both"/>
        <w:rPr>
          <w:rFonts w:ascii="Times New Roman" w:hAnsi="Times New Roman" w:cs="Times New Roman"/>
          <w:noProof/>
        </w:rPr>
      </w:pPr>
    </w:p>
    <w:p>
      <w:pPr>
        <w:pStyle w:val="Corps"/>
        <w:spacing w:after="0" w:line="240" w:lineRule="auto"/>
        <w:jc w:val="both"/>
        <w:rPr>
          <w:rFonts w:ascii="Times New Roman" w:hAnsi="Times New Roman" w:cs="Times New Roman"/>
          <w:noProof/>
        </w:rPr>
      </w:pPr>
      <w:r>
        <w:rPr>
          <w:rFonts w:ascii="Times New Roman" w:hAnsi="Times New Roman" w:cs="Times New Roman"/>
          <w:noProof/>
        </w:rPr>
        <w:t xml:space="preserve">*TC/CB означава програми, изпълнени по цел „Европейско териториално сътрудничество“, при които не е могъл да бъде използван Кохезионният фонд и които са обхващали региони от различни държави членки </w:t>
      </w:r>
    </w:p>
    <w:p>
      <w:pPr>
        <w:pStyle w:val="Corps"/>
        <w:spacing w:after="0" w:line="240" w:lineRule="auto"/>
        <w:jc w:val="both"/>
        <w:rPr>
          <w:rFonts w:ascii="Times New Roman" w:hAnsi="Times New Roman" w:cs="Times New Roman"/>
          <w:noProof/>
        </w:rPr>
      </w:pPr>
    </w:p>
    <w:p>
      <w:pPr>
        <w:pStyle w:val="Corps"/>
        <w:spacing w:after="240" w:line="240" w:lineRule="auto"/>
        <w:jc w:val="both"/>
        <w:rPr>
          <w:rFonts w:ascii="Times New Roman" w:hAnsi="Times New Roman" w:cs="Times New Roman"/>
          <w:noProof/>
        </w:rPr>
      </w:pPr>
      <w:r>
        <w:rPr>
          <w:rFonts w:ascii="Times New Roman" w:hAnsi="Times New Roman" w:cs="Times New Roman"/>
          <w:noProof/>
        </w:rPr>
        <w:t>1</w:t>
      </w:r>
      <w:r>
        <w:rPr>
          <w:rFonts w:ascii="Times New Roman" w:hAnsi="Times New Roman" w:cs="Times New Roman"/>
          <w:noProof/>
        </w:rPr>
        <w:tab/>
        <w:t xml:space="preserve">Предварителните оценки, представени в тези таблици, се основават на данни, събрани в рамките на оценката </w:t>
      </w:r>
      <w:r>
        <w:rPr>
          <w:rFonts w:ascii="Times New Roman" w:hAnsi="Times New Roman" w:cs="Times New Roman"/>
          <w:i/>
          <w:noProof/>
        </w:rPr>
        <w:t>ex-post</w:t>
      </w:r>
      <w:r>
        <w:rPr>
          <w:rFonts w:ascii="Times New Roman" w:hAnsi="Times New Roman" w:cs="Times New Roman"/>
          <w:noProof/>
        </w:rPr>
        <w:t xml:space="preserve"> на програмите по политиката на сближаване за периода 2007—2013 г., като акцентът е върху Европейския фонд за регионално развитие (ЕФРР) и Кохезионния фонд (КФ), работен пакет 13, и последните приети версии на програмите през октомври 2016 г.</w:t>
      </w:r>
    </w:p>
    <w:p>
      <w:pPr>
        <w:pStyle w:val="Corps"/>
        <w:spacing w:after="240" w:line="240" w:lineRule="auto"/>
        <w:jc w:val="both"/>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rPr>
        <w:tab/>
        <w:t xml:space="preserve">На базата на данни от приетите програми, взети през октомври 2016 г. , и включват само ресурси от ЕФРР или Кохезионния фонд, без националния принос. </w:t>
      </w:r>
    </w:p>
    <w:p>
      <w:pPr>
        <w:pStyle w:val="Corps"/>
        <w:spacing w:after="0" w:line="240" w:lineRule="auto"/>
        <w:jc w:val="both"/>
        <w:rPr>
          <w:rFonts w:ascii="Times New Roman" w:eastAsia="Times New Roman" w:hAnsi="Times New Roman" w:cs="Times New Roman"/>
          <w:b/>
          <w:noProof/>
        </w:rPr>
      </w:pPr>
    </w:p>
    <w:p>
      <w:pPr>
        <w:pStyle w:val="Corps"/>
        <w:spacing w:after="0" w:line="240" w:lineRule="auto"/>
        <w:jc w:val="both"/>
        <w:rPr>
          <w:rFonts w:ascii="Times New Roman" w:eastAsia="Times New Roman" w:hAnsi="Times New Roman" w:cs="Times New Roman"/>
          <w:b/>
          <w:noProof/>
        </w:rPr>
      </w:pPr>
      <w:r>
        <w:rPr>
          <w:rFonts w:ascii="Times New Roman" w:hAnsi="Times New Roman" w:cs="Times New Roman"/>
          <w:b/>
          <w:noProof/>
        </w:rPr>
        <w:t xml:space="preserve">Таблица 4 – Заеми от ЕИБ, сключени в периода 2014—2015 г. по проекти за ТЕМ-Т </w:t>
      </w:r>
    </w:p>
    <w:p>
      <w:pPr>
        <w:pStyle w:val="Corps"/>
        <w:spacing w:after="0" w:line="240" w:lineRule="auto"/>
        <w:jc w:val="both"/>
        <w:rPr>
          <w:rFonts w:ascii="Times New Roman" w:hAnsi="Times New Roman" w:cs="Times New Roman"/>
          <w:noProof/>
        </w:rPr>
      </w:pPr>
    </w:p>
    <w:tbl>
      <w:tblPr>
        <w:tblW w:w="4268" w:type="dxa"/>
        <w:tblInd w:w="93" w:type="dxa"/>
        <w:tblLook w:val="04A0" w:firstRow="1" w:lastRow="0" w:firstColumn="1" w:lastColumn="0" w:noHBand="0" w:noVBand="1"/>
      </w:tblPr>
      <w:tblGrid>
        <w:gridCol w:w="1469"/>
        <w:gridCol w:w="3308"/>
      </w:tblGrid>
      <w:tr>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rPr>
            </w:pPr>
            <w:r>
              <w:rPr>
                <w:b/>
                <w:noProof/>
                <w:color w:val="000000"/>
                <w:sz w:val="22"/>
                <w:szCs w:val="22"/>
              </w:rPr>
              <w:t>Държава членка</w:t>
            </w:r>
          </w:p>
        </w:tc>
        <w:tc>
          <w:tcPr>
            <w:tcW w:w="3308" w:type="dxa"/>
            <w:tcBorders>
              <w:top w:val="single" w:sz="4" w:space="0" w:color="auto"/>
              <w:left w:val="nil"/>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rPr>
            </w:pPr>
            <w:r>
              <w:rPr>
                <w:b/>
                <w:noProof/>
                <w:sz w:val="22"/>
                <w:szCs w:val="22"/>
              </w:rPr>
              <w:t>Сключени заеми от ЕИБ</w:t>
            </w:r>
            <w:r>
              <w:rPr>
                <w:b/>
                <w:noProof/>
                <w:color w:val="000000"/>
                <w:sz w:val="22"/>
                <w:szCs w:val="22"/>
                <w:vertAlign w:val="superscript"/>
              </w:rPr>
              <w:t>1</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Австрия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990 000 000,00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Белгия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340 000 000,00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България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180 000 000,00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Кипър</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4 000 000,00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Чешка република</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Германия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407 000 000,00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Дания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Естония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Гърция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325 000 000,00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Испания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2 439 000 000,00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Финландия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102 000 000,00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Франция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973 000 000,00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Хърватия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47 000 000,00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Унгария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296 000 000,00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Ирландия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319 000 000,00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Италия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1 819 000 000,00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Литва</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62 000 000,00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Латвия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Нидерландия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402 000 000,00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Полша</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3 761 000 000,00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Швеция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132 000 000,00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Словения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181 000 000,00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Словакия</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322 000 000,00 EUR</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rPr>
            </w:pPr>
            <w:r>
              <w:rPr>
                <w:noProof/>
                <w:color w:val="000000"/>
                <w:sz w:val="22"/>
                <w:szCs w:val="22"/>
              </w:rPr>
              <w:t>Обединено кралство</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rPr>
            </w:pPr>
            <w:r>
              <w:rPr>
                <w:noProof/>
                <w:color w:val="000000"/>
                <w:sz w:val="22"/>
                <w:szCs w:val="22"/>
              </w:rPr>
              <w:t>591 000 000,00 EUR</w:t>
            </w:r>
          </w:p>
        </w:tc>
      </w:tr>
      <w:tr>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rPr>
            </w:pPr>
            <w:r>
              <w:rPr>
                <w:b/>
                <w:noProof/>
                <w:color w:val="000000"/>
                <w:sz w:val="22"/>
                <w:szCs w:val="22"/>
              </w:rPr>
              <w:t>Общо</w:t>
            </w:r>
          </w:p>
        </w:tc>
        <w:tc>
          <w:tcPr>
            <w:tcW w:w="3308" w:type="dxa"/>
            <w:tcBorders>
              <w:top w:val="nil"/>
              <w:left w:val="nil"/>
              <w:bottom w:val="single" w:sz="4" w:space="0" w:color="auto"/>
              <w:right w:val="single" w:sz="4" w:space="0" w:color="auto"/>
            </w:tcBorders>
            <w:shd w:val="clear" w:color="000000" w:fill="D9D9D9"/>
            <w:noWrap/>
            <w:vAlign w:val="bottom"/>
            <w:hideMark/>
          </w:tcPr>
          <w:p>
            <w:pPr>
              <w:jc w:val="right"/>
              <w:rPr>
                <w:rFonts w:eastAsia="Times New Roman"/>
                <w:b/>
                <w:bCs/>
                <w:noProof/>
                <w:color w:val="000000"/>
                <w:sz w:val="22"/>
                <w:szCs w:val="22"/>
              </w:rPr>
            </w:pPr>
            <w:r>
              <w:rPr>
                <w:b/>
                <w:noProof/>
                <w:color w:val="000000"/>
                <w:sz w:val="22"/>
                <w:szCs w:val="22"/>
              </w:rPr>
              <w:t>13 692 000 000,00 EUR</w:t>
            </w:r>
          </w:p>
        </w:tc>
      </w:tr>
    </w:tbl>
    <w:p>
      <w:pPr>
        <w:rPr>
          <w:noProof/>
          <w:sz w:val="22"/>
          <w:szCs w:val="22"/>
        </w:rPr>
      </w:pPr>
    </w:p>
    <w:p>
      <w:pPr>
        <w:pStyle w:val="Corps"/>
        <w:spacing w:after="240" w:line="240" w:lineRule="auto"/>
        <w:jc w:val="both"/>
        <w:rPr>
          <w:rFonts w:ascii="Times New Roman" w:hAnsi="Times New Roman" w:cs="Times New Roman"/>
          <w:noProof/>
        </w:rPr>
      </w:pPr>
      <w:r>
        <w:rPr>
          <w:rFonts w:ascii="Times New Roman" w:hAnsi="Times New Roman" w:cs="Times New Roman"/>
          <w:noProof/>
        </w:rPr>
        <w:t>1</w:t>
      </w:r>
      <w:r>
        <w:rPr>
          <w:rFonts w:ascii="Times New Roman" w:hAnsi="Times New Roman" w:cs="Times New Roman"/>
          <w:noProof/>
        </w:rPr>
        <w:tab/>
        <w:t>Заеми от ЕИБ/операции по ТЕМ-Т, сключени през 2014 г. и 2015 г.</w:t>
      </w:r>
    </w:p>
    <w:sectPr>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659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2391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9429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МВФ Световни икономически перспективи (IMF World Economic Outlook), октомври 2014 г. </w:t>
      </w:r>
    </w:p>
  </w:footnote>
  <w:footnote w:id="3">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0"/>
          <w:szCs w:val="20"/>
        </w:rPr>
      </w:pPr>
      <w:r>
        <w:rPr>
          <w:rStyle w:val="FootnoteReference"/>
          <w:color w:val="000000"/>
          <w:sz w:val="20"/>
          <w:szCs w:val="20"/>
          <w:u w:color="000000"/>
        </w:rPr>
        <w:footnoteRef/>
      </w:r>
      <w:r>
        <w:rPr>
          <w:rStyle w:val="FootnoteReference"/>
          <w:sz w:val="20"/>
          <w:szCs w:val="20"/>
        </w:rPr>
        <w:t xml:space="preserve"> </w:t>
      </w:r>
      <w:r>
        <w:rPr>
          <w:rStyle w:val="FootnoteReference"/>
          <w:color w:val="000000"/>
          <w:sz w:val="20"/>
          <w:szCs w:val="20"/>
          <w:u w:color="000000"/>
        </w:rPr>
        <w:t xml:space="preserve"> </w:t>
      </w:r>
      <w:r>
        <w:rPr>
          <w:sz w:val="20"/>
          <w:szCs w:val="20"/>
        </w:rPr>
        <w:t xml:space="preserve">Бяла книга за транспорта (2011 г.). Пътна карта за постигането на единно европейско транспортно пространство — към конкурентоспособна транспортна система с ефективно използване на ресурсите. COM(2011)144 окончателен.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ITF (МТФ — Международен транспортен форум) (2015 г.),  МТФ Транспортни перспективи 2015 г., Публикации на ОИСР, Париж (ITF Transport Outlook 2015, OECD Publishing, Paris).</w:t>
      </w:r>
    </w:p>
  </w:footnote>
  <w:footnote w:id="5">
    <w:p>
      <w:pPr>
        <w:pStyle w:val="FootnoteText"/>
        <w:spacing w:before="30" w:after="3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Комисията събира данни за инвестиционните нужди, установени от държавите членки, местните и регионалните органи и управителите на инфраструктура в контекста на работните планове за коридорите на основната мрежа.</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Проучвания за коридорите от основната мрежа 2016 г. https://ec.europa.eu/transport/themes/infrastructure/ten-t-guidelines/corridors/corridor-studies_en</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Декларация на министрите от Г-7. Нагано. Септември 2016 г. </w:t>
      </w:r>
    </w:p>
  </w:footnote>
  <w:footnote w:id="8">
    <w:p>
      <w:pPr>
        <w:pStyle w:val="FootnoteText"/>
        <w:spacing w:before="30" w:after="30"/>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L 348, 20.12.2013 г.)</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Що се отнася до финансирането по линия на МСЕ, Европейският парламент и държавите членки биват информирани непрекъснато за напредъка в изпълнението, по-специално в контекста на поканите за представяне на предложения по МСЕ. </w:t>
      </w:r>
    </w:p>
  </w:footnote>
  <w:footnote w:id="10">
    <w:p>
      <w:pPr>
        <w:pStyle w:val="FootnoteText"/>
        <w:spacing w:before="30" w:after="3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В доклада са включени проектите, които са изпълнявани или приключени през 2014 г. и 2015 г., независимо от началната им дата.</w:t>
      </w:r>
    </w:p>
  </w:footnote>
  <w:footnote w:id="11">
    <w:p>
      <w:pPr>
        <w:pStyle w:val="Corps"/>
        <w:spacing w:before="30" w:after="3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rPr>
        <w:t>Формите на финансова помощ, за които трябва да се докладва, различни от предвидените съгласно насоките за ТЕМ-Т (МСЕ), са определени в член 49, параграф 1 и включват Кохезионния фонд, Европейския фонд за регионално развитие, „Хоризонт 2020“, както и заеми и финансови инструменти, създадени от Европейската инвестиционна банка.</w:t>
      </w:r>
    </w:p>
  </w:footnote>
  <w:footnote w:id="12">
    <w:p>
      <w:pPr>
        <w:pStyle w:val="FootnoteText"/>
        <w:spacing w:before="30" w:after="3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Включването на бюджета по програмата за ТЕМ-Т при изчисляването беше необходимо, тъй като редица проекти, за които е предоставена финансова помощ в рамките на периода на финансиране 2007—2013 г., все още продължаваха да се изпълняват през 2014 г. и 2015 г.  </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Следователно проучванията не са включени в обхвата на настоящия доклад, тъй като те не водят пряко до напредък в изпълнението на мрежата ТЕМ-Т.</w:t>
      </w:r>
    </w:p>
  </w:footnote>
  <w:footnote w:id="14">
    <w:p>
      <w:pPr>
        <w:pStyle w:val="FootnoteText"/>
        <w:spacing w:before="30" w:after="3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Проучване по член 49, параграф 3: Преглед на съществуващи източници на информация/данни и подкрепа за изготвяне на доклада за напредъка относно изпълнението на мрежата ТЕМ-Т, Panteia, предаден през 2016 г.</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 информационната система TENtec на Комисията се съхраняват технически, географски и финансови данни за анализа, управлението и вземането на политически решения, свързани с ТЕМ-Т и основната програма за финансиране (МСЕ).</w:t>
      </w:r>
    </w:p>
  </w:footnote>
  <w:footnote w:id="16">
    <w:p>
      <w:pPr>
        <w:pStyle w:val="FootnoteText"/>
        <w:spacing w:before="30" w:after="3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Що се отнася до Европейския фонд за регионално развитие и на Кохезионния фонд, в момента на изготвяне на настоящия доклад на равнището на ЕС все още липсваше точна информация за докладвания период за част от разходите, свързани с ТЕМ-Т,   и за нея трябваше да се направи преценка.</w:t>
      </w:r>
    </w:p>
  </w:footnote>
  <w:footnote w:id="17">
    <w:p>
      <w:pPr>
        <w:pStyle w:val="FootnoteText"/>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 тази връзка заслужава да се припомни, че Европейският фонд за регионално развитие и Кохезионният фонд се изпълняват посредством споделено управление на Комисията и държавите членки.</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Методика на планиране за трансевропейската транспортна мрежа (ТЕМ-Т), работен документ на службите на Комисията, COM(2013) 940 final.</w:t>
      </w:r>
    </w:p>
  </w:footnote>
  <w:footnote w:id="19">
    <w:p>
      <w:pPr>
        <w:pStyle w:val="Corps"/>
        <w:spacing w:before="240" w:after="24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Понастоящем в TENtec се съдържат осем категории данни: летища; мостове; шлюзове на язовирни стени; вътрешни водни пътища; пристанища; железопътни линии; пътища и железопътно-автомобилни терминали. Понастоящем има повече от 300 технически параметъра общо за всички тези категории.</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През докладвания период общо 298 проекта са подкрепени с 2,1 милиарда евро от бюджета на МСЕ/ТЕМ-Т.</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За да се подобри изпълнението на транспортните проекти — по-специално на трансграничните такива — с висока добавена стойност от Европа, част от средствата по Кохезионния фонд (11 305 500 000 EUR) бяха прехвърлени за финансиране по линия на МСЕ на транспортни проекти в рамките на основната транспортна мрежа или на транспортни проекти във връзка с хоризонталните приоритети в държавите членки, които отговарят на условията за финансиране от Кохезионния фонд.</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http://ec.europa.eu/transport/node/4876</w:t>
      </w:r>
    </w:p>
  </w:footnote>
  <w:footnote w:id="23">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Финансиране от ЕИБ с подкрепата на ЕФСИ не може обаче да се разглежда като национално съфинансиране.</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http://www.eib.org/infocentre/press/releases/all/2014/2014-182-a7-extension-first-financing-operation-in-germany-with-eu-project-bonds.htm  </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Hyperlink"/>
          <w:rFonts w:ascii="Times New Roman" w:hAnsi="Times New Roman" w:cs="Times New Roman"/>
          <w:u w:val="none"/>
        </w:rPr>
        <w:t>http://www.eib.org/infocentre/press/releases/all/2014/2014-066-eib-backs-a11-belgian-motorway-link.htm</w:t>
      </w:r>
      <w:r>
        <w:rPr>
          <w:rFonts w:ascii="Times New Roman" w:hAnsi="Times New Roman" w:cs="Times New Roman"/>
        </w:rPr>
        <w:t xml:space="preserve"> </w:t>
      </w:r>
    </w:p>
  </w:footnote>
  <w:footnote w:id="2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 xml:space="preserve">Механизмът на облигациите за проекти е използван за намаляване на цената на дълга и следователно намаляване на нуждата от публична подкрепа, докато безвъзмездните средства от МСЕ са използвани за покриване на останалите допустими разходи за дейности с голяма добавена стойност от ЕС. </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http://ec.europa.eu/regional_policy/sources/thefunds/fin_inst/pdf/efsi_esif_compl_en.pdf</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Style w:val="FootnoteReference"/>
          <w:rFonts w:ascii="Times New Roman" w:hAnsi="Times New Roman" w:cs="Times New Roman"/>
          <w:vertAlign w:val="baseline"/>
        </w:rPr>
        <w:t>http://www.eib.org/efsi/efsi-projects/?c=&amp;se=5</w:t>
      </w:r>
      <w:r>
        <w:rPr>
          <w:rFonts w:ascii="Times New Roman" w:hAnsi="Times New Roman" w:cs="Times New Roman"/>
        </w:rPr>
        <w:t xml:space="preserve"> </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http://www.eib.org/projects/pipelines/pipeline/20150115 </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 член 49 от Регламента за ТЕМ-Т (№ 1315/2013) се определят изисквания за държавите членки да предават към TENtec годишни данни, а за Комисията — да гарантира, че TENtec е леснодостъпна.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E0"/>
    <w:multiLevelType w:val="multilevel"/>
    <w:tmpl w:val="054CA020"/>
    <w:numStyleLink w:val="Style1import"/>
  </w:abstractNum>
  <w:abstractNum w:abstractNumId="1">
    <w:nsid w:val="0919290C"/>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E1A3010"/>
    <w:multiLevelType w:val="hybridMultilevel"/>
    <w:tmpl w:val="EC8E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E32216C"/>
    <w:multiLevelType w:val="hybridMultilevel"/>
    <w:tmpl w:val="3EBAE5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B06425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61636FA1"/>
    <w:multiLevelType w:val="hybridMultilevel"/>
    <w:tmpl w:val="6C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EC3CE2"/>
    <w:multiLevelType w:val="hybridMultilevel"/>
    <w:tmpl w:val="C646EB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8">
    <w:nsid w:val="64D87D7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7C454222"/>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7E100A68"/>
    <w:multiLevelType w:val="hybridMultilevel"/>
    <w:tmpl w:val="832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lvlOverride w:ilvl="0">
      <w:startOverride w:val="5"/>
    </w:lvlOverride>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4"/>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8188E8A6B4FC41E99944DC2B6A1D0B97"/>
    <w:docVar w:name="LW_CROSSREFERENCE" w:val="&lt;UNUSED&gt;"/>
    <w:docVar w:name="LW_DocType" w:val="NORMAL"/>
    <w:docVar w:name="LW_EMISSION" w:val="19.6.2017"/>
    <w:docVar w:name="LW_EMISSION_ISODATE" w:val="2017-06-19"/>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27"/>
    <w:docVar w:name="LW_REF.INTERNE" w:val="&lt;UNUSED&gt;"/>
    <w:docVar w:name="LW_SOUS.TITRE.OBJ.CP" w:val="&lt;UNUSED&gt;"/>
    <w:docVar w:name="LW_SUPERTITRE" w:val="&lt;UNUSED&gt;"/>
    <w:docVar w:name="LW_TITRE.OBJ.CP" w:val="\u1044?\u1086?\u1082?\u1083?\u1072?\u1076? \u1079?\u1072? \u1085?\u1072?\u1087?\u1088?\u1077?\u1076?\u1098?\u1082?\u1072? \u1085?\u1072? \u1080?\u1079?\u1087?\u1098?\u1083?\u1085?\u1077?\u1085?\u1080?\u1077?\u1090?\u1086? \u1085?\u1072? \u1084?\u1088?\u1077?\u1078?\u1072?\u1090?\u1072? \u1058?\u1045?\u1052?-\u1058? \u1087?\u1088?\u1077?\u1079? \u1087?\u1077?\u1088?\u1080?\u1086?\u1076?\u1072? 2014\u8212?2015 \u1075?\u1086?\u1076?\u1080?\u1085?\u1072?"/>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Times New Roman" w:hAnsi="Calibri" w:cs="Calibri"/>
      <w:bCs/>
      <w:color w:val="000000"/>
      <w:sz w:val="24"/>
      <w:szCs w:val="24"/>
      <w:u w:color="000000"/>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bg-BG"/>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bg-BG"/>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bg-BG"/>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Times New Roman" w:hAnsi="Calibri" w:cs="Calibri"/>
      <w:bCs/>
      <w:color w:val="000000"/>
      <w:sz w:val="24"/>
      <w:szCs w:val="24"/>
      <w:u w:color="000000"/>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rPr>
  </w:style>
  <w:style w:type="character" w:customStyle="1" w:styleId="BriefingtextChar">
    <w:name w:val="Briefing text Char"/>
    <w:link w:val="Briefingtext"/>
    <w:rPr>
      <w:rFonts w:ascii="Arial" w:eastAsia="Times New Roman" w:hAnsi="Arial" w:cs="Arial"/>
      <w:sz w:val="22"/>
      <w:szCs w:val="24"/>
      <w:bdr w:val="none" w:sz="0" w:space="0" w:color="auto"/>
      <w:lang w:eastAsia="bg-BG"/>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bg-BG"/>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bg-BG"/>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90748019">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587346484">
      <w:bodyDiv w:val="1"/>
      <w:marLeft w:val="0"/>
      <w:marRight w:val="0"/>
      <w:marTop w:val="0"/>
      <w:marBottom w:val="0"/>
      <w:divBdr>
        <w:top w:val="none" w:sz="0" w:space="0" w:color="auto"/>
        <w:left w:val="none" w:sz="0" w:space="0" w:color="auto"/>
        <w:bottom w:val="none" w:sz="0" w:space="0" w:color="auto"/>
        <w:right w:val="none" w:sz="0" w:space="0" w:color="auto"/>
      </w:divBdr>
    </w:div>
    <w:div w:id="601037829">
      <w:bodyDiv w:val="1"/>
      <w:marLeft w:val="0"/>
      <w:marRight w:val="0"/>
      <w:marTop w:val="0"/>
      <w:marBottom w:val="0"/>
      <w:divBdr>
        <w:top w:val="none" w:sz="0" w:space="0" w:color="auto"/>
        <w:left w:val="none" w:sz="0" w:space="0" w:color="auto"/>
        <w:bottom w:val="none" w:sz="0" w:space="0" w:color="auto"/>
        <w:right w:val="none" w:sz="0" w:space="0" w:color="auto"/>
      </w:divBdr>
    </w:div>
    <w:div w:id="602148836">
      <w:bodyDiv w:val="1"/>
      <w:marLeft w:val="0"/>
      <w:marRight w:val="0"/>
      <w:marTop w:val="0"/>
      <w:marBottom w:val="0"/>
      <w:divBdr>
        <w:top w:val="none" w:sz="0" w:space="0" w:color="auto"/>
        <w:left w:val="none" w:sz="0" w:space="0" w:color="auto"/>
        <w:bottom w:val="none" w:sz="0" w:space="0" w:color="auto"/>
        <w:right w:val="none" w:sz="0" w:space="0" w:color="auto"/>
      </w:divBdr>
    </w:div>
    <w:div w:id="737359134">
      <w:bodyDiv w:val="1"/>
      <w:marLeft w:val="0"/>
      <w:marRight w:val="0"/>
      <w:marTop w:val="0"/>
      <w:marBottom w:val="0"/>
      <w:divBdr>
        <w:top w:val="none" w:sz="0" w:space="0" w:color="auto"/>
        <w:left w:val="none" w:sz="0" w:space="0" w:color="auto"/>
        <w:bottom w:val="none" w:sz="0" w:space="0" w:color="auto"/>
        <w:right w:val="none" w:sz="0" w:space="0" w:color="auto"/>
      </w:divBdr>
    </w:div>
    <w:div w:id="784424621">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13019808">
      <w:bodyDiv w:val="1"/>
      <w:marLeft w:val="0"/>
      <w:marRight w:val="0"/>
      <w:marTop w:val="0"/>
      <w:marBottom w:val="0"/>
      <w:divBdr>
        <w:top w:val="none" w:sz="0" w:space="0" w:color="auto"/>
        <w:left w:val="none" w:sz="0" w:space="0" w:color="auto"/>
        <w:bottom w:val="none" w:sz="0" w:space="0" w:color="auto"/>
        <w:right w:val="none" w:sz="0" w:space="0" w:color="auto"/>
      </w:divBdr>
    </w:div>
    <w:div w:id="1143810283">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431241505">
      <w:bodyDiv w:val="1"/>
      <w:marLeft w:val="0"/>
      <w:marRight w:val="0"/>
      <w:marTop w:val="0"/>
      <w:marBottom w:val="0"/>
      <w:divBdr>
        <w:top w:val="none" w:sz="0" w:space="0" w:color="auto"/>
        <w:left w:val="none" w:sz="0" w:space="0" w:color="auto"/>
        <w:bottom w:val="none" w:sz="0" w:space="0" w:color="auto"/>
        <w:right w:val="none" w:sz="0" w:space="0" w:color="auto"/>
      </w:divBdr>
    </w:div>
    <w:div w:id="1676689452">
      <w:bodyDiv w:val="1"/>
      <w:marLeft w:val="0"/>
      <w:marRight w:val="0"/>
      <w:marTop w:val="0"/>
      <w:marBottom w:val="0"/>
      <w:divBdr>
        <w:top w:val="none" w:sz="0" w:space="0" w:color="auto"/>
        <w:left w:val="none" w:sz="0" w:space="0" w:color="auto"/>
        <w:bottom w:val="none" w:sz="0" w:space="0" w:color="auto"/>
        <w:right w:val="none" w:sz="0" w:space="0" w:color="auto"/>
      </w:divBdr>
    </w:div>
    <w:div w:id="1959411611">
      <w:bodyDiv w:val="1"/>
      <w:marLeft w:val="0"/>
      <w:marRight w:val="0"/>
      <w:marTop w:val="0"/>
      <w:marBottom w:val="0"/>
      <w:divBdr>
        <w:top w:val="none" w:sz="0" w:space="0" w:color="auto"/>
        <w:left w:val="none" w:sz="0" w:space="0" w:color="auto"/>
        <w:bottom w:val="none" w:sz="0" w:space="0" w:color="auto"/>
        <w:right w:val="none" w:sz="0" w:space="0" w:color="auto"/>
      </w:divBdr>
    </w:div>
    <w:div w:id="1963227106">
      <w:bodyDiv w:val="1"/>
      <w:marLeft w:val="0"/>
      <w:marRight w:val="0"/>
      <w:marTop w:val="0"/>
      <w:marBottom w:val="0"/>
      <w:divBdr>
        <w:top w:val="none" w:sz="0" w:space="0" w:color="auto"/>
        <w:left w:val="none" w:sz="0" w:space="0" w:color="auto"/>
        <w:bottom w:val="none" w:sz="0" w:space="0" w:color="auto"/>
        <w:right w:val="none" w:sz="0" w:space="0" w:color="auto"/>
      </w:divBdr>
    </w:div>
    <w:div w:id="2047487343">
      <w:bodyDiv w:val="1"/>
      <w:marLeft w:val="0"/>
      <w:marRight w:val="0"/>
      <w:marTop w:val="0"/>
      <w:marBottom w:val="0"/>
      <w:divBdr>
        <w:top w:val="none" w:sz="0" w:space="0" w:color="auto"/>
        <w:left w:val="none" w:sz="0" w:space="0" w:color="auto"/>
        <w:bottom w:val="none" w:sz="0" w:space="0" w:color="auto"/>
        <w:right w:val="none" w:sz="0" w:space="0" w:color="auto"/>
      </w:divBdr>
    </w:div>
    <w:div w:id="212954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c.europa.eu/transport/node/2443"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83E8-BCDB-4D2B-90A0-7323415D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34</Pages>
  <Words>11263</Words>
  <Characters>62062</Characters>
  <Application>Microsoft Office Word</Application>
  <DocSecurity>0</DocSecurity>
  <Lines>2068</Lines>
  <Paragraphs>733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cp:lastPrinted>2017-04-26T07:32:00Z</cp:lastPrinted>
  <dcterms:created xsi:type="dcterms:W3CDTF">2017-05-05T14:08:00Z</dcterms:created>
  <dcterms:modified xsi:type="dcterms:W3CDTF">2017-06-12T08:45:00Z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