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DB9BC9B980D45D984BC526834789CAE" style="width:450.65pt;height:35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1 февруари 2017 г. Финландия подаде заявление EGF/2017/002 FI/Microsoft 2 за предоставяне на финансово участие от ЕФПГ във връзка с извършени съкращения</w:t>
      </w:r>
      <w:r>
        <w:rPr>
          <w:rStyle w:val="FootnoteReference"/>
          <w:noProof/>
        </w:rPr>
        <w:footnoteReference w:id="2"/>
      </w:r>
      <w:r>
        <w:rPr>
          <w:noProof/>
        </w:rPr>
        <w:t xml:space="preserve"> в Microsoft (Microsoft Mobile Oy) и при 11 доставчици и производители надолу по веригата (наричани по-долу „съкращенията“). </w:t>
      </w:r>
    </w:p>
    <w:p>
      <w:pPr>
        <w:pStyle w:val="ManualNumPar1"/>
        <w:rPr>
          <w:noProof/>
        </w:rPr>
      </w:pPr>
      <w:r>
        <w:t>3.</w:t>
      </w:r>
      <w:r>
        <w:tab/>
      </w:r>
      <w:r>
        <w:rPr>
          <w:noProof/>
        </w:rPr>
        <w:t xml:space="preserve">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 </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86"/>
        <w:gridCol w:w="4501"/>
      </w:tblGrid>
      <w:tr>
        <w:tc>
          <w:tcPr>
            <w:tcW w:w="4786" w:type="dxa"/>
            <w:shd w:val="clear" w:color="auto" w:fill="auto"/>
          </w:tcPr>
          <w:p>
            <w:pPr>
              <w:spacing w:before="60" w:after="60"/>
              <w:jc w:val="left"/>
              <w:rPr>
                <w:rFonts w:eastAsia="Calibri"/>
                <w:noProof/>
              </w:rPr>
            </w:pPr>
            <w:r>
              <w:rPr>
                <w:noProof/>
              </w:rPr>
              <w:t>Заявление по ЕФПГ</w:t>
            </w:r>
          </w:p>
        </w:tc>
        <w:tc>
          <w:tcPr>
            <w:tcW w:w="4501" w:type="dxa"/>
            <w:shd w:val="clear" w:color="auto" w:fill="auto"/>
          </w:tcPr>
          <w:p>
            <w:pPr>
              <w:spacing w:before="60" w:after="60"/>
              <w:ind w:rightChars="192" w:right="461"/>
              <w:jc w:val="left"/>
              <w:rPr>
                <w:rFonts w:eastAsia="Calibri"/>
                <w:noProof/>
              </w:rPr>
            </w:pPr>
            <w:r>
              <w:rPr>
                <w:noProof/>
              </w:rPr>
              <w:t>EGF/2017/002 FI/Microsoft 2</w:t>
            </w:r>
          </w:p>
        </w:tc>
      </w:tr>
      <w:tr>
        <w:tc>
          <w:tcPr>
            <w:tcW w:w="4786" w:type="dxa"/>
            <w:shd w:val="clear" w:color="auto" w:fill="auto"/>
          </w:tcPr>
          <w:p>
            <w:pPr>
              <w:spacing w:before="60" w:after="60"/>
              <w:jc w:val="left"/>
              <w:rPr>
                <w:rFonts w:eastAsia="Calibri"/>
                <w:noProof/>
              </w:rPr>
            </w:pPr>
            <w:r>
              <w:rPr>
                <w:noProof/>
              </w:rPr>
              <w:t>Държава членка</w:t>
            </w:r>
          </w:p>
        </w:tc>
        <w:tc>
          <w:tcPr>
            <w:tcW w:w="4501" w:type="dxa"/>
            <w:shd w:val="clear" w:color="auto" w:fill="auto"/>
          </w:tcPr>
          <w:p>
            <w:pPr>
              <w:spacing w:before="60" w:after="60"/>
              <w:ind w:rightChars="192" w:right="461"/>
              <w:jc w:val="left"/>
              <w:rPr>
                <w:rFonts w:eastAsia="Calibri"/>
                <w:noProof/>
              </w:rPr>
            </w:pPr>
            <w:r>
              <w:rPr>
                <w:noProof/>
              </w:rPr>
              <w:t>Финландия</w:t>
            </w:r>
          </w:p>
        </w:tc>
      </w:tr>
      <w:tr>
        <w:tc>
          <w:tcPr>
            <w:tcW w:w="4786" w:type="dxa"/>
            <w:tcBorders>
              <w:bottom w:val="single" w:sz="4" w:space="0" w:color="auto"/>
            </w:tcBorders>
            <w:shd w:val="clear" w:color="auto" w:fill="auto"/>
          </w:tcPr>
          <w:p>
            <w:pPr>
              <w:spacing w:before="60" w:after="60"/>
              <w:jc w:val="left"/>
              <w:rPr>
                <w:rFonts w:eastAsia="Calibri"/>
                <w:noProof/>
              </w:rPr>
            </w:pPr>
            <w:r>
              <w:rPr>
                <w:noProof/>
              </w:rPr>
              <w:t>Засегнат(и) регион(и) (ниво 2 по NUTS</w:t>
            </w:r>
            <w:r>
              <w:rPr>
                <w:rStyle w:val="FootnoteReference"/>
                <w:noProof/>
              </w:rPr>
              <w:footnoteReference w:id="3"/>
            </w:r>
            <w:r>
              <w:rPr>
                <w:noProof/>
              </w:rPr>
              <w:t>)</w:t>
            </w:r>
          </w:p>
        </w:tc>
        <w:tc>
          <w:tcPr>
            <w:tcW w:w="4501" w:type="dxa"/>
            <w:tcBorders>
              <w:bottom w:val="single" w:sz="4" w:space="0" w:color="auto"/>
            </w:tcBorders>
            <w:shd w:val="clear" w:color="auto" w:fill="auto"/>
          </w:tcPr>
          <w:p>
            <w:pPr>
              <w:spacing w:before="60" w:after="60"/>
              <w:ind w:rightChars="192" w:right="461"/>
              <w:jc w:val="left"/>
              <w:rPr>
                <w:noProof/>
              </w:rPr>
            </w:pPr>
            <w:r>
              <w:rPr>
                <w:noProof/>
              </w:rPr>
              <w:t>Helsinki-Uusimaa (Uusimaa, FI1B1)</w:t>
            </w:r>
          </w:p>
          <w:p>
            <w:pPr>
              <w:spacing w:before="60" w:after="60"/>
              <w:ind w:rightChars="192" w:right="461"/>
              <w:jc w:val="left"/>
              <w:rPr>
                <w:noProof/>
              </w:rPr>
            </w:pPr>
            <w:r>
              <w:rPr>
                <w:noProof/>
              </w:rPr>
              <w:t>Länsi-Suomi (Pirkanmaa, FI197)</w:t>
            </w:r>
          </w:p>
          <w:p>
            <w:pPr>
              <w:spacing w:before="60" w:after="60"/>
              <w:ind w:rightChars="192" w:right="461"/>
              <w:jc w:val="left"/>
              <w:rPr>
                <w:noProof/>
              </w:rPr>
            </w:pPr>
            <w:r>
              <w:rPr>
                <w:noProof/>
              </w:rPr>
              <w:t>Etelä-Suomi (Varsinais-Suomi, FI1C1)</w:t>
            </w:r>
          </w:p>
        </w:tc>
      </w:tr>
      <w:tr>
        <w:tc>
          <w:tcPr>
            <w:tcW w:w="4786"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501" w:type="dxa"/>
            <w:tcBorders>
              <w:bottom w:val="dotted" w:sz="4" w:space="0" w:color="auto"/>
            </w:tcBorders>
            <w:shd w:val="clear" w:color="auto" w:fill="auto"/>
          </w:tcPr>
          <w:p>
            <w:pPr>
              <w:spacing w:before="60" w:after="60"/>
              <w:ind w:rightChars="192" w:right="461"/>
              <w:jc w:val="left"/>
              <w:rPr>
                <w:rFonts w:eastAsia="Calibri"/>
                <w:noProof/>
              </w:rPr>
            </w:pPr>
            <w:r>
              <w:rPr>
                <w:noProof/>
              </w:rPr>
              <w:t>1 февруари 2017 г.</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февруари 2017 г.</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15 февруари 2017 г.</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29 март 2017 г.</w:t>
            </w:r>
          </w:p>
        </w:tc>
      </w:tr>
      <w:tr>
        <w:tc>
          <w:tcPr>
            <w:tcW w:w="4786"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501" w:type="dxa"/>
            <w:tcBorders>
              <w:top w:val="dotted" w:sz="4" w:space="0" w:color="auto"/>
            </w:tcBorders>
            <w:shd w:val="clear" w:color="auto" w:fill="auto"/>
          </w:tcPr>
          <w:p>
            <w:pPr>
              <w:spacing w:before="60" w:after="60"/>
              <w:ind w:rightChars="192" w:right="461"/>
              <w:jc w:val="left"/>
              <w:rPr>
                <w:rFonts w:eastAsia="Calibri"/>
                <w:noProof/>
              </w:rPr>
            </w:pPr>
            <w:r>
              <w:rPr>
                <w:noProof/>
              </w:rPr>
              <w:t>21 юни 2017 г.</w:t>
            </w:r>
          </w:p>
        </w:tc>
      </w:tr>
      <w:tr>
        <w:tc>
          <w:tcPr>
            <w:tcW w:w="4786" w:type="dxa"/>
            <w:shd w:val="clear" w:color="auto" w:fill="auto"/>
          </w:tcPr>
          <w:p>
            <w:pPr>
              <w:spacing w:before="60" w:after="60"/>
              <w:jc w:val="left"/>
              <w:rPr>
                <w:rFonts w:eastAsia="Calibri"/>
                <w:noProof/>
              </w:rPr>
            </w:pPr>
            <w:r>
              <w:rPr>
                <w:noProof/>
              </w:rPr>
              <w:t>Критерий за намеса</w:t>
            </w:r>
          </w:p>
        </w:tc>
        <w:tc>
          <w:tcPr>
            <w:tcW w:w="4501" w:type="dxa"/>
            <w:shd w:val="clear" w:color="auto" w:fill="auto"/>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78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501"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Microsoft (Microsoft Mobile Oy)</w:t>
            </w:r>
            <w:r>
              <w:rPr>
                <w:noProof/>
                <w:color w:val="FFFFFF" w:themeColor="background1"/>
                <w:u w:val="single"/>
              </w:rPr>
              <w:t>)</w:t>
            </w:r>
          </w:p>
        </w:tc>
      </w:tr>
      <w:tr>
        <w:tc>
          <w:tcPr>
            <w:tcW w:w="4786"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501"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 xml:space="preserve">12 </w:t>
            </w:r>
          </w:p>
        </w:tc>
      </w:tr>
      <w:tr>
        <w:tc>
          <w:tcPr>
            <w:tcW w:w="4786"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lastRenderedPageBreak/>
              <w:t>(разделение по NACE Rev. 2)</w:t>
            </w:r>
            <w:r>
              <w:rPr>
                <w:rStyle w:val="FootnoteReference"/>
                <w:noProof/>
              </w:rPr>
              <w:footnoteReference w:id="4"/>
            </w:r>
          </w:p>
        </w:tc>
        <w:tc>
          <w:tcPr>
            <w:tcW w:w="4501" w:type="dxa"/>
            <w:shd w:val="clear" w:color="auto" w:fill="auto"/>
          </w:tcPr>
          <w:p>
            <w:pPr>
              <w:spacing w:before="60" w:after="60"/>
              <w:ind w:rightChars="192" w:right="461"/>
              <w:jc w:val="left"/>
              <w:rPr>
                <w:rFonts w:eastAsia="Calibri"/>
                <w:noProof/>
              </w:rPr>
            </w:pPr>
            <w:r>
              <w:rPr>
                <w:noProof/>
              </w:rPr>
              <w:lastRenderedPageBreak/>
              <w:t xml:space="preserve">62 „Дейности в областта на </w:t>
            </w:r>
            <w:r>
              <w:rPr>
                <w:noProof/>
              </w:rPr>
              <w:lastRenderedPageBreak/>
              <w:t xml:space="preserve">компютърното програмиране, консултантски и други дейности“ </w:t>
            </w:r>
          </w:p>
        </w:tc>
      </w:tr>
      <w:tr>
        <w:tc>
          <w:tcPr>
            <w:tcW w:w="4786" w:type="dxa"/>
            <w:shd w:val="clear" w:color="auto" w:fill="auto"/>
          </w:tcPr>
          <w:p>
            <w:pPr>
              <w:spacing w:before="60" w:after="60"/>
              <w:jc w:val="left"/>
              <w:rPr>
                <w:rFonts w:eastAsia="Calibri"/>
                <w:noProof/>
              </w:rPr>
            </w:pPr>
            <w:r>
              <w:rPr>
                <w:noProof/>
              </w:rPr>
              <w:lastRenderedPageBreak/>
              <w:br w:type="page"/>
              <w:t>Брой дъщерни предприятия, доставчици и производители надолу по веригата</w:t>
            </w:r>
          </w:p>
        </w:tc>
        <w:tc>
          <w:tcPr>
            <w:tcW w:w="4501" w:type="dxa"/>
            <w:shd w:val="clear" w:color="auto" w:fill="auto"/>
          </w:tcPr>
          <w:p>
            <w:pPr>
              <w:spacing w:before="60" w:after="60"/>
              <w:ind w:rightChars="192" w:right="461"/>
              <w:jc w:val="left"/>
              <w:rPr>
                <w:rFonts w:eastAsia="Calibri"/>
                <w:noProof/>
              </w:rPr>
            </w:pPr>
            <w:r>
              <w:rPr>
                <w:noProof/>
              </w:rPr>
              <w:t>11</w:t>
            </w:r>
          </w:p>
        </w:tc>
      </w:tr>
      <w:tr>
        <w:tc>
          <w:tcPr>
            <w:tcW w:w="4786" w:type="dxa"/>
            <w:tcBorders>
              <w:bottom w:val="single" w:sz="4" w:space="0" w:color="auto"/>
            </w:tcBorders>
            <w:shd w:val="clear" w:color="auto" w:fill="auto"/>
          </w:tcPr>
          <w:p>
            <w:pPr>
              <w:spacing w:before="60" w:after="60"/>
              <w:jc w:val="left"/>
              <w:rPr>
                <w:rFonts w:eastAsia="Calibri"/>
                <w:noProof/>
              </w:rPr>
            </w:pPr>
            <w:r>
              <w:rPr>
                <w:noProof/>
              </w:rPr>
              <w:t>Референтен период (четири месеца):</w:t>
            </w:r>
          </w:p>
        </w:tc>
        <w:tc>
          <w:tcPr>
            <w:tcW w:w="4501" w:type="dxa"/>
            <w:tcBorders>
              <w:bottom w:val="single" w:sz="4" w:space="0" w:color="auto"/>
            </w:tcBorders>
            <w:shd w:val="clear" w:color="auto" w:fill="auto"/>
          </w:tcPr>
          <w:p>
            <w:pPr>
              <w:spacing w:before="60" w:after="60"/>
              <w:ind w:rightChars="192" w:right="461"/>
              <w:jc w:val="left"/>
              <w:rPr>
                <w:rFonts w:eastAsia="Calibri"/>
                <w:noProof/>
              </w:rPr>
            </w:pPr>
            <w:r>
              <w:rPr>
                <w:noProof/>
              </w:rPr>
              <w:t xml:space="preserve">12 юли 2016 г. — 12 ноември 2016 г. </w:t>
            </w:r>
          </w:p>
        </w:tc>
      </w:tr>
      <w:tr>
        <w:tc>
          <w:tcPr>
            <w:tcW w:w="4786"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по време на референтния период (</w:t>
            </w:r>
            <w:r>
              <w:rPr>
                <w:i/>
                <w:noProof/>
              </w:rPr>
              <w:t>а</w:t>
            </w:r>
            <w:r>
              <w:rPr>
                <w:noProof/>
              </w:rPr>
              <w:t>)</w:t>
            </w:r>
          </w:p>
        </w:tc>
        <w:tc>
          <w:tcPr>
            <w:tcW w:w="4501"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1248</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преди или след референтния период (</w:t>
            </w:r>
            <w:r>
              <w:rPr>
                <w:i/>
                <w:noProof/>
              </w:rPr>
              <w:t>б</w:t>
            </w:r>
            <w:r>
              <w:rPr>
                <w:noProof/>
              </w:rPr>
              <w:t>)</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0</w:t>
            </w:r>
          </w:p>
        </w:tc>
      </w:tr>
      <w:tr>
        <w:tc>
          <w:tcPr>
            <w:tcW w:w="4786" w:type="dxa"/>
            <w:tcBorders>
              <w:top w:val="dotted" w:sz="4" w:space="0" w:color="auto"/>
              <w:bottom w:val="single" w:sz="4" w:space="0" w:color="auto"/>
            </w:tcBorders>
            <w:shd w:val="clear" w:color="auto" w:fill="auto"/>
          </w:tcPr>
          <w:p>
            <w:pPr>
              <w:spacing w:before="60" w:after="60"/>
              <w:jc w:val="left"/>
              <w:rPr>
                <w:rFonts w:eastAsia="Calibri"/>
                <w:noProof/>
              </w:rPr>
            </w:pPr>
            <w:r>
              <w:rPr>
                <w:noProof/>
              </w:rPr>
              <w:t xml:space="preserve">Общ брой на съкращенията </w:t>
            </w:r>
          </w:p>
        </w:tc>
        <w:tc>
          <w:tcPr>
            <w:tcW w:w="4501"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1248</w:t>
            </w:r>
          </w:p>
        </w:tc>
      </w:tr>
      <w:tr>
        <w:tc>
          <w:tcPr>
            <w:tcW w:w="4786"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501" w:type="dxa"/>
            <w:tcBorders>
              <w:bottom w:val="dotted" w:sz="4" w:space="0" w:color="auto"/>
            </w:tcBorders>
            <w:shd w:val="clear" w:color="auto" w:fill="auto"/>
          </w:tcPr>
          <w:p>
            <w:pPr>
              <w:spacing w:before="60" w:after="60"/>
              <w:ind w:rightChars="192" w:right="461"/>
              <w:jc w:val="left"/>
              <w:rPr>
                <w:rFonts w:eastAsia="Calibri"/>
                <w:noProof/>
              </w:rPr>
            </w:pPr>
            <w:r>
              <w:rPr>
                <w:noProof/>
              </w:rPr>
              <w:t>1248</w:t>
            </w:r>
          </w:p>
        </w:tc>
      </w:tr>
      <w:tr>
        <w:tc>
          <w:tcPr>
            <w:tcW w:w="4786" w:type="dxa"/>
            <w:tcBorders>
              <w:top w:val="dotted" w:sz="4" w:space="0" w:color="auto"/>
              <w:bottom w:val="dotted" w:sz="4" w:space="0" w:color="auto"/>
            </w:tcBorders>
            <w:shd w:val="clear" w:color="auto" w:fill="auto"/>
          </w:tcPr>
          <w:p>
            <w:pPr>
              <w:spacing w:before="60" w:after="60"/>
              <w:jc w:val="left"/>
              <w:rPr>
                <w:rFonts w:eastAsia="Calibri"/>
                <w:noProof/>
                <w:spacing w:val="-6"/>
              </w:rPr>
            </w:pPr>
            <w:r>
              <w:rPr>
                <w:noProof/>
                <w:spacing w:val="-6"/>
              </w:rPr>
              <w:t>Общ брой на бенефициерите от целевата група</w:t>
            </w:r>
          </w:p>
        </w:tc>
        <w:tc>
          <w:tcPr>
            <w:tcW w:w="4501"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1000</w:t>
            </w:r>
          </w:p>
        </w:tc>
      </w:tr>
      <w:tr>
        <w:tc>
          <w:tcPr>
            <w:tcW w:w="4786" w:type="dxa"/>
            <w:tcBorders>
              <w:top w:val="dotted" w:sz="4" w:space="0" w:color="auto"/>
              <w:bottom w:val="single" w:sz="4" w:space="0" w:color="auto"/>
            </w:tcBorders>
            <w:shd w:val="clear" w:color="auto" w:fill="auto"/>
          </w:tcPr>
          <w:p>
            <w:pPr>
              <w:spacing w:before="60" w:after="60"/>
              <w:jc w:val="left"/>
              <w:rPr>
                <w:rFonts w:eastAsia="Calibri"/>
                <w:noProof/>
                <w:spacing w:val="-4"/>
              </w:rPr>
            </w:pPr>
            <w:r>
              <w:rPr>
                <w:noProof/>
                <w:spacing w:val="-4"/>
              </w:rPr>
              <w:t>Брой на младите хора от целевата група, които не работят и не са ангажирани в никаква форма на образование или обучение</w:t>
            </w:r>
          </w:p>
        </w:tc>
        <w:tc>
          <w:tcPr>
            <w:tcW w:w="4501"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786"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4501" w:type="dxa"/>
            <w:tcBorders>
              <w:bottom w:val="dotted" w:sz="4" w:space="0" w:color="auto"/>
            </w:tcBorders>
            <w:shd w:val="clear" w:color="auto" w:fill="auto"/>
            <w:vAlign w:val="center"/>
          </w:tcPr>
          <w:p>
            <w:pPr>
              <w:spacing w:before="0" w:after="0"/>
              <w:ind w:rightChars="192" w:right="461"/>
              <w:jc w:val="left"/>
              <w:rPr>
                <w:noProof/>
              </w:rPr>
            </w:pPr>
            <w:r>
              <w:rPr>
                <w:noProof/>
              </w:rPr>
              <w:t>5 559 300</w:t>
            </w:r>
          </w:p>
        </w:tc>
      </w:tr>
      <w:tr>
        <w:tc>
          <w:tcPr>
            <w:tcW w:w="4786"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5"/>
            </w:r>
            <w:r>
              <w:rPr>
                <w:noProof/>
              </w:rPr>
              <w:t xml:space="preserve"> (EUR)</w:t>
            </w:r>
          </w:p>
        </w:tc>
        <w:tc>
          <w:tcPr>
            <w:tcW w:w="4501"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   307 500</w:t>
            </w:r>
          </w:p>
        </w:tc>
      </w:tr>
      <w:tr>
        <w:tc>
          <w:tcPr>
            <w:tcW w:w="4786"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4501"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5 866 800</w:t>
            </w:r>
          </w:p>
        </w:tc>
      </w:tr>
      <w:tr>
        <w:tc>
          <w:tcPr>
            <w:tcW w:w="4786"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(EUR)</w:t>
            </w:r>
          </w:p>
        </w:tc>
        <w:tc>
          <w:tcPr>
            <w:tcW w:w="4501" w:type="dxa"/>
            <w:tcBorders>
              <w:top w:val="dotted" w:sz="4" w:space="0" w:color="auto"/>
            </w:tcBorders>
            <w:shd w:val="clear" w:color="auto" w:fill="auto"/>
            <w:vAlign w:val="center"/>
          </w:tcPr>
          <w:p>
            <w:pPr>
              <w:spacing w:before="0" w:after="0"/>
              <w:ind w:rightChars="192" w:right="461"/>
              <w:jc w:val="left"/>
              <w:rPr>
                <w:noProof/>
              </w:rPr>
            </w:pPr>
            <w:r>
              <w:rPr>
                <w:noProof/>
              </w:rPr>
              <w:t>3 520 080</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Финландия подаде заявление EGF/2017/002 FI/Microsoft 2 на 1 февруари 2017 г., в срок от 12 седмици от датата, на която са изпълнени критериите за намеса, определени в член 4 от Регламента за ЕФПГ. Комисията потвърди в същия ден получаването на заявлението, а на 15 февруари 2017 г. поиска допълнителна информация от Финландия.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ще изтече на 21 юни 2017 г.</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rPr>
      </w:pPr>
      <w:r>
        <w:t>5.</w:t>
      </w:r>
      <w:r>
        <w:tab/>
      </w:r>
      <w:r>
        <w:rPr>
          <w:noProof/>
        </w:rPr>
        <w:t>Заявлението се отнася до 1248 работници, съкратени от Microsoft (Microsoft Mobile Oy) и при 11 доставчици и производители надолу по веригата. Основното предприятие осъществява дейност в икономическия отрасъл от разделение 62 по NACE Rev. 2 „Дейности в областта на компютърното програмиране, консултантски и други дейности“. Съкращенията, направени от Microsoft Mobile Oy, са основно в Helsinki-Uusimaa, Länsi-Suomi и Etelä-Suomi, които са региони на ниво 2 по NUTS.</w:t>
      </w:r>
    </w:p>
    <w:p>
      <w:pPr>
        <w:pStyle w:val="Text1"/>
        <w:rPr>
          <w:noProof/>
        </w:rPr>
      </w:pP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Предприятия и брой на съкратените лица през референтния период</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Microsoft Mobile Oy</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rPr>
              <w:t>1191</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Manpower Group Solutions</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rPr>
              <w:t>14</w:t>
            </w:r>
          </w:p>
        </w:tc>
      </w:tr>
      <w:tr>
        <w:trPr>
          <w:trHeight w:val="138"/>
        </w:trPr>
        <w:tc>
          <w:tcPr>
            <w:tcW w:w="3360" w:type="dxa"/>
            <w:tcBorders>
              <w:top w:val="nil"/>
              <w:bottom w:val="nil"/>
              <w:right w:val="nil"/>
            </w:tcBorders>
            <w:shd w:val="clear" w:color="auto" w:fill="auto"/>
            <w:vAlign w:val="center"/>
          </w:tcPr>
          <w:p>
            <w:pPr>
              <w:spacing w:before="0" w:after="0"/>
              <w:jc w:val="left"/>
              <w:rPr>
                <w:noProof/>
                <w:sz w:val="20"/>
              </w:rPr>
            </w:pPr>
            <w:r>
              <w:rPr>
                <w:noProof/>
                <w:sz w:val="20"/>
              </w:rPr>
              <w:t>Accenture Oy</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5</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Sale Nordic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HCL Technologies Ltd</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3</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Spellpoint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1</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ISS Palvelut OyManpower</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20</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Symbio Finland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3</w:t>
            </w:r>
          </w:p>
        </w:tc>
      </w:tr>
      <w:tr>
        <w:tc>
          <w:tcPr>
            <w:tcW w:w="3360" w:type="dxa"/>
            <w:tcBorders>
              <w:top w:val="nil"/>
              <w:bottom w:val="nil"/>
              <w:right w:val="nil"/>
            </w:tcBorders>
            <w:shd w:val="clear" w:color="auto" w:fill="auto"/>
            <w:vAlign w:val="center"/>
          </w:tcPr>
          <w:p>
            <w:pPr>
              <w:spacing w:before="0" w:after="0"/>
              <w:jc w:val="left"/>
              <w:rPr>
                <w:noProof/>
                <w:sz w:val="20"/>
              </w:rPr>
            </w:pPr>
            <w:r>
              <w:rPr>
                <w:noProof/>
                <w:sz w:val="20"/>
              </w:rPr>
              <w:t>JOT Automation Oy</w:t>
            </w:r>
          </w:p>
        </w:tc>
        <w:tc>
          <w:tcPr>
            <w:tcW w:w="840" w:type="dxa"/>
            <w:gridSpan w:val="2"/>
            <w:tcBorders>
              <w:top w:val="nil"/>
              <w:left w:val="nil"/>
              <w:bottom w:val="nil"/>
            </w:tcBorders>
            <w:shd w:val="clear" w:color="auto" w:fill="auto"/>
            <w:vAlign w:val="center"/>
          </w:tcPr>
          <w:p>
            <w:pPr>
              <w:spacing w:before="0" w:after="0"/>
              <w:ind w:left="-828"/>
              <w:jc w:val="right"/>
              <w:rPr>
                <w:noProof/>
                <w:sz w:val="20"/>
              </w:rPr>
            </w:pPr>
            <w:r>
              <w:rPr>
                <w:noProof/>
                <w:sz w:val="20"/>
              </w:rPr>
              <w:t>1</w:t>
            </w:r>
          </w:p>
        </w:tc>
        <w:tc>
          <w:tcPr>
            <w:tcW w:w="3540" w:type="dxa"/>
            <w:gridSpan w:val="2"/>
            <w:tcBorders>
              <w:top w:val="nil"/>
              <w:bottom w:val="nil"/>
              <w:right w:val="nil"/>
            </w:tcBorders>
            <w:shd w:val="clear" w:color="auto" w:fill="auto"/>
            <w:vAlign w:val="center"/>
          </w:tcPr>
          <w:p>
            <w:pPr>
              <w:spacing w:before="0" w:after="0"/>
              <w:jc w:val="left"/>
              <w:rPr>
                <w:noProof/>
                <w:sz w:val="20"/>
              </w:rPr>
            </w:pPr>
            <w:r>
              <w:rPr>
                <w:noProof/>
                <w:sz w:val="20"/>
              </w:rPr>
              <w:t>Tieto Oy</w:t>
            </w:r>
          </w:p>
        </w:tc>
        <w:tc>
          <w:tcPr>
            <w:tcW w:w="600" w:type="dxa"/>
            <w:tcBorders>
              <w:top w:val="nil"/>
              <w:left w:val="nil"/>
              <w:bottom w:val="nil"/>
            </w:tcBorders>
            <w:shd w:val="clear" w:color="auto" w:fill="auto"/>
            <w:vAlign w:val="center"/>
          </w:tcPr>
          <w:p>
            <w:pPr>
              <w:spacing w:before="0" w:after="0"/>
              <w:ind w:left="-828"/>
              <w:jc w:val="right"/>
              <w:rPr>
                <w:noProof/>
                <w:sz w:val="20"/>
              </w:rPr>
            </w:pPr>
            <w:r>
              <w:rPr>
                <w:noProof/>
                <w:sz w:val="20"/>
              </w:rPr>
              <w:t>2</w:t>
            </w:r>
          </w:p>
        </w:tc>
      </w:tr>
      <w:tr>
        <w:tc>
          <w:tcPr>
            <w:tcW w:w="3360" w:type="dxa"/>
            <w:tcBorders>
              <w:top w:val="nil"/>
              <w:bottom w:val="single" w:sz="4" w:space="0" w:color="auto"/>
              <w:right w:val="nil"/>
            </w:tcBorders>
            <w:shd w:val="clear" w:color="auto" w:fill="auto"/>
            <w:vAlign w:val="center"/>
          </w:tcPr>
          <w:p>
            <w:pPr>
              <w:spacing w:before="0" w:after="0"/>
              <w:jc w:val="left"/>
              <w:rPr>
                <w:noProof/>
                <w:sz w:val="20"/>
              </w:rPr>
            </w:pPr>
            <w:r>
              <w:rPr>
                <w:noProof/>
                <w:sz w:val="20"/>
              </w:rPr>
              <w:t>Lionbridge Oy</w:t>
            </w:r>
          </w:p>
        </w:tc>
        <w:tc>
          <w:tcPr>
            <w:tcW w:w="840" w:type="dxa"/>
            <w:gridSpan w:val="2"/>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6</w:t>
            </w: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0"/>
              </w:rPr>
            </w:pPr>
            <w:r>
              <w:rPr>
                <w:noProof/>
                <w:sz w:val="20"/>
              </w:rPr>
              <w:t>Varamiespalvelu-Group Oy</w:t>
            </w:r>
          </w:p>
        </w:tc>
        <w:tc>
          <w:tcPr>
            <w:tcW w:w="600" w:type="dxa"/>
            <w:tcBorders>
              <w:top w:val="nil"/>
              <w:left w:val="nil"/>
              <w:bottom w:val="single" w:sz="4" w:space="0" w:color="auto"/>
            </w:tcBorders>
            <w:shd w:val="clear" w:color="auto" w:fill="auto"/>
            <w:vAlign w:val="center"/>
          </w:tcPr>
          <w:p>
            <w:pPr>
              <w:spacing w:before="0" w:after="0"/>
              <w:ind w:left="-828"/>
              <w:jc w:val="right"/>
              <w:rPr>
                <w:noProof/>
                <w:sz w:val="20"/>
              </w:rPr>
            </w:pPr>
            <w:r>
              <w:rPr>
                <w:noProof/>
                <w:sz w:val="20"/>
              </w:rPr>
              <w:t>1</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Общ брой на предприятията:</w:t>
            </w:r>
            <w:r>
              <w:rPr>
                <w:b/>
                <w:noProof/>
                <w:sz w:val="22"/>
              </w:rPr>
              <w:t xml:space="preserve"> 12</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pacing w:val="-6"/>
                <w:szCs w:val="24"/>
              </w:rPr>
            </w:pPr>
            <w:r>
              <w:rPr>
                <w:b/>
                <w:noProof/>
                <w:spacing w:val="-6"/>
              </w:rPr>
              <w:t>Общ брой на съкратените лица:</w:t>
            </w:r>
            <w:r>
              <w:rPr>
                <w:b/>
                <w:noProof/>
                <w:spacing w:val="-6"/>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248</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 брой на самостоятелно заетите лица, чиято дейност е прекратена:</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Общ брой на отговарящите на критериите работници и самостоятелно заети лица: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1</w:t>
            </w:r>
            <w:r>
              <w:rPr>
                <w:noProof/>
              </w:rPr>
              <w:t> </w:t>
            </w:r>
            <w:r>
              <w:rPr>
                <w:b/>
                <w:noProof/>
              </w:rPr>
              <w:t>248</w:t>
            </w:r>
          </w:p>
        </w:tc>
      </w:tr>
    </w:tbl>
    <w:p>
      <w:pPr>
        <w:pStyle w:val="ManualHeading3"/>
        <w:rPr>
          <w:noProof/>
        </w:rPr>
      </w:pPr>
      <w:r>
        <w:rPr>
          <w:noProof/>
        </w:rPr>
        <w:t>Критерии за намеса</w:t>
      </w:r>
    </w:p>
    <w:p>
      <w:pPr>
        <w:pStyle w:val="ManualNumPar1"/>
        <w:rPr>
          <w:noProof/>
        </w:rPr>
      </w:pPr>
      <w:r>
        <w:t>6.</w:t>
      </w:r>
      <w:r>
        <w:tab/>
      </w:r>
      <w:r>
        <w:rPr>
          <w:noProof/>
        </w:rPr>
        <w:t>Финландия е подала заявлението в съответствие с критериите за намеса по член 4, параграф 1, буква а) от Регламента за ЕФПГ, съгласно който в дадена държава членка за референтен период от четири месеца следва да са били съкратени най-малко 500 работника, включително доставчици и п</w:t>
      </w:r>
      <w:bookmarkStart w:id="1" w:name="_Ref372189348"/>
      <w:r>
        <w:rPr>
          <w:noProof/>
        </w:rPr>
        <w:t>роизводители надолу по веригата.</w:t>
      </w:r>
      <w:r>
        <w:rPr>
          <w:noProof/>
          <w:color w:val="FFFFFF" w:themeColor="background1"/>
        </w:rPr>
        <w:t xml:space="preserve">. </w:t>
      </w:r>
    </w:p>
    <w:p>
      <w:pPr>
        <w:pStyle w:val="ManualNumPar1"/>
        <w:rPr>
          <w:noProof/>
        </w:rPr>
      </w:pPr>
      <w:r>
        <w:t>7.</w:t>
      </w:r>
      <w:r>
        <w:tab/>
      </w:r>
      <w:r>
        <w:rPr>
          <w:noProof/>
        </w:rPr>
        <w:t xml:space="preserve">Четиримесечният референтен период за заявлението обхваща периода от 12 юли 2016 г. до 12 ноември 2016 г. </w:t>
      </w:r>
      <w:bookmarkEnd w:id="1"/>
    </w:p>
    <w:p>
      <w:pPr>
        <w:pStyle w:val="ManualNumPar1"/>
        <w:rPr>
          <w:noProof/>
        </w:rPr>
      </w:pPr>
      <w:r>
        <w:t>8.</w:t>
      </w:r>
      <w:r>
        <w:tab/>
      </w:r>
      <w:r>
        <w:rPr>
          <w:noProof/>
        </w:rPr>
        <w:t>Съкращенията по време на референтния период са, както следва:</w:t>
      </w:r>
    </w:p>
    <w:p>
      <w:pPr>
        <w:pStyle w:val="Tiret1"/>
        <w:numPr>
          <w:ilvl w:val="0"/>
          <w:numId w:val="1"/>
        </w:numPr>
        <w:rPr>
          <w:noProof/>
        </w:rPr>
      </w:pPr>
      <w:r>
        <w:rPr>
          <w:noProof/>
        </w:rPr>
        <w:t>1191 съкратени работници от Microsoft,</w:t>
      </w:r>
    </w:p>
    <w:p>
      <w:pPr>
        <w:pStyle w:val="Tiret1"/>
        <w:numPr>
          <w:ilvl w:val="0"/>
          <w:numId w:val="1"/>
        </w:numPr>
        <w:rPr>
          <w:noProof/>
        </w:rPr>
      </w:pPr>
      <w:r>
        <w:rPr>
          <w:noProof/>
        </w:rPr>
        <w:t>57 работници, съкратени при 11 доставчици и производители надолу по веригата на Microsoft.</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9.</w:t>
      </w:r>
      <w:r>
        <w:tab/>
      </w:r>
      <w:r>
        <w:rPr>
          <w:noProof/>
        </w:rPr>
        <w:t>Съкращенията през референтния период са изчислени, както следва:</w:t>
      </w:r>
    </w:p>
    <w:p>
      <w:pPr>
        <w:pStyle w:val="Tiret1"/>
        <w:numPr>
          <w:ilvl w:val="0"/>
          <w:numId w:val="1"/>
        </w:numPr>
        <w:rPr>
          <w:noProof/>
        </w:rPr>
      </w:pPr>
      <w:r>
        <w:rPr>
          <w:noProof/>
        </w:rPr>
        <w:t>1248, считано от датата на индивидуалното предизвестие от работодателя за съкращаване или за прекратяване на трудовия договор на работника.</w:t>
      </w:r>
    </w:p>
    <w:p>
      <w:pPr>
        <w:pStyle w:val="ManualHeading3"/>
        <w:rPr>
          <w:noProof/>
        </w:rPr>
      </w:pPr>
      <w:r>
        <w:rPr>
          <w:noProof/>
        </w:rPr>
        <w:t>Отговарящи на критериите бенефициери</w:t>
      </w:r>
    </w:p>
    <w:p>
      <w:pPr>
        <w:pStyle w:val="ManualNumPar1"/>
        <w:rPr>
          <w:noProof/>
        </w:rPr>
      </w:pPr>
      <w:r>
        <w:t>10.</w:t>
      </w:r>
      <w:r>
        <w:tab/>
      </w:r>
      <w:r>
        <w:rPr>
          <w:noProof/>
        </w:rPr>
        <w:t>Общият брой на отговарящите на критериите бенефициери е 1248.</w:t>
      </w:r>
    </w:p>
    <w:p>
      <w:pPr>
        <w:pStyle w:val="ManualHeading3"/>
        <w:tabs>
          <w:tab w:val="clear" w:pos="850"/>
          <w:tab w:val="left" w:pos="0"/>
        </w:tabs>
        <w:ind w:left="0" w:firstLine="0"/>
        <w:rPr>
          <w:b/>
          <w:i w:val="0"/>
          <w:noProof/>
        </w:rPr>
      </w:pPr>
      <w:r>
        <w:rPr>
          <w:b/>
          <w:i w:val="0"/>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11.</w:t>
      </w:r>
      <w:r>
        <w:tab/>
      </w:r>
      <w:r>
        <w:rPr>
          <w:noProof/>
        </w:rPr>
        <w:t xml:space="preserve">С цел да се установи връзката между съкращенията и големите структурни промени в моделите на световната търговия, произтичащи от глобализацията, Финландия посочва, че основната причина за съкращенията на работна ръка е световната конкуренция в сектора на мобилните телефони и произтичащата от това загуба на пазарен дял от Microsoft Mobile Oy (и операционната му система, функционираща с Windows). </w:t>
      </w:r>
    </w:p>
    <w:p>
      <w:pPr>
        <w:pStyle w:val="ManualNumPar1"/>
        <w:rPr>
          <w:noProof/>
        </w:rPr>
      </w:pPr>
      <w:r>
        <w:t>12.</w:t>
      </w:r>
      <w:r>
        <w:tab/>
      </w:r>
      <w:r>
        <w:rPr>
          <w:noProof/>
        </w:rPr>
        <w:t>Microsoft Mobile Oy, със седалище в Espoo, Финландия, бе създадена през 2014 г., след като Microsoft (САЩ) придоби бизнеса с мобилни телефони на Nokia. Около 4700 служители на Nokia бяха прехвърлени към Microsoft Mobile Oy във Финландия.</w:t>
      </w:r>
    </w:p>
    <w:p>
      <w:pPr>
        <w:pStyle w:val="ManualNumPar1"/>
        <w:rPr>
          <w:noProof/>
        </w:rPr>
      </w:pPr>
      <w:r>
        <w:t>13.</w:t>
      </w:r>
      <w:r>
        <w:tab/>
      </w:r>
      <w:r>
        <w:rPr>
          <w:noProof/>
        </w:rPr>
        <w:t>Nokia използваше изключително единствено операционна система на Microsoft Windows — практика, продължена от дружеството Microsoft Mobile Oy. В средата на 2013 г. тази операционна система имаше общ пазарен дял от 3,3 %, който спадна на 0,8 % през 2016 г. Операционните системи на конкурентите, като Android, увеличиха пазарния си дял на 82,2 %, а iOS (Apple) увеличи дела си на 14,6 % в началото на 2016 г.</w:t>
      </w:r>
      <w:r>
        <w:rPr>
          <w:rStyle w:val="FootnoteReference"/>
          <w:noProof/>
        </w:rPr>
        <w:footnoteReference w:id="6"/>
      </w:r>
      <w:r>
        <w:rPr>
          <w:rStyle w:val="FootnoteReference"/>
          <w:noProof/>
        </w:rPr>
        <w:footnoteReference w:id="7"/>
      </w:r>
    </w:p>
    <w:p>
      <w:pPr>
        <w:pStyle w:val="ManualNumPar1"/>
        <w:rPr>
          <w:noProof/>
        </w:rPr>
      </w:pPr>
      <w:r>
        <w:t>14.</w:t>
      </w:r>
      <w:r>
        <w:tab/>
      </w:r>
      <w:r>
        <w:rPr>
          <w:noProof/>
        </w:rPr>
        <w:t>Тази загуба на пазарен дял се случи въпреки факта, че Microsoft Mobile Oy стартира нови мобилни устройства и инвестира в дизайн, компоненти и предлагане на пазара</w:t>
      </w:r>
      <w:r>
        <w:rPr>
          <w:rStyle w:val="FootnoteReference"/>
          <w:noProof/>
        </w:rPr>
        <w:footnoteReference w:id="8"/>
      </w:r>
      <w:r>
        <w:rPr>
          <w:rStyle w:val="FootnoteReference"/>
          <w:noProof/>
        </w:rPr>
        <w:t>.</w:t>
      </w:r>
      <w:r>
        <w:rPr>
          <w:noProof/>
        </w:rPr>
        <w:t>. Конкурентите предлагат по-евтини хардуерни продукти и операционни системи, много привлекателни за новите клиенти както на нововъзникващите пазари, така и в Европа.</w:t>
      </w:r>
    </w:p>
    <w:p>
      <w:pPr>
        <w:pStyle w:val="ManualNumPar1"/>
        <w:rPr>
          <w:noProof/>
        </w:rPr>
      </w:pPr>
      <w:r>
        <w:t>15.</w:t>
      </w:r>
      <w:r>
        <w:tab/>
      </w:r>
      <w:r>
        <w:rPr>
          <w:noProof/>
        </w:rPr>
        <w:t>Настоящото заявление е продължение на поредицата предишни заявления, подадени от Финландия, свързани със загубите на Nokia (EGF/2007/003 FI/Perlos, EGF/2012/006 FI/Nokia Salo, EGF/2013/001 FI/Nokia, EGF/2015/001 FI/Broadcom, EGF/2015/005 FI/Computer Programming, EGF/2016/001 FI/Microsoft и EGF/2016/008 FI/Nokia Network Systems).</w:t>
      </w:r>
    </w:p>
    <w:p>
      <w:pPr>
        <w:pStyle w:val="ManualHeading3"/>
        <w:tabs>
          <w:tab w:val="clear" w:pos="850"/>
          <w:tab w:val="left" w:pos="0"/>
        </w:tabs>
        <w:ind w:left="0" w:firstLine="0"/>
        <w:rPr>
          <w:noProof/>
        </w:rPr>
      </w:pPr>
      <w:r>
        <w:rPr>
          <w:noProof/>
        </w:rPr>
        <w:t>Събития, довели до съкращенията и до прекратяването на дейността</w:t>
      </w:r>
    </w:p>
    <w:p>
      <w:pPr>
        <w:pStyle w:val="ManualNumPar1"/>
        <w:rPr>
          <w:noProof/>
        </w:rPr>
      </w:pPr>
      <w:r>
        <w:t>16.</w:t>
      </w:r>
      <w:r>
        <w:tab/>
      </w:r>
      <w:r>
        <w:rPr>
          <w:noProof/>
        </w:rPr>
        <w:t>Производството на мобилни устройства се измества непрестанно към държави с по-ниско заплащане, където условията за работа често са незадоволителни</w:t>
      </w:r>
      <w:r>
        <w:rPr>
          <w:rStyle w:val="FootnoteReference"/>
          <w:noProof/>
        </w:rPr>
        <w:footnoteReference w:id="9"/>
      </w:r>
      <w:r>
        <w:rPr>
          <w:noProof/>
        </w:rPr>
        <w:t>. Ниските заплати са част от икономическата ефективност</w:t>
      </w:r>
      <w:r>
        <w:rPr>
          <w:rStyle w:val="FootnoteReference"/>
          <w:noProof/>
        </w:rPr>
        <w:footnoteReference w:id="10"/>
      </w:r>
      <w:r>
        <w:rPr>
          <w:noProof/>
        </w:rPr>
        <w:t>. Евтините мобилни устройства са много търсени на нововъзникващите пазари, а вносът им в Европа също се увеличава</w:t>
      </w:r>
      <w:r>
        <w:rPr>
          <w:rStyle w:val="FootnoteReference"/>
          <w:noProof/>
        </w:rPr>
        <w:footnoteReference w:id="11"/>
      </w:r>
      <w:r>
        <w:rPr>
          <w:rStyle w:val="FootnoteReference"/>
          <w:noProof/>
        </w:rPr>
        <w:t>.</w:t>
      </w:r>
      <w:r>
        <w:rPr>
          <w:noProof/>
        </w:rPr>
        <w:t>.</w:t>
      </w:r>
    </w:p>
    <w:p>
      <w:pPr>
        <w:pStyle w:val="ManualNumPar1"/>
        <w:rPr>
          <w:noProof/>
        </w:rPr>
      </w:pPr>
      <w:r>
        <w:t>17.</w:t>
      </w:r>
      <w:r>
        <w:tab/>
      </w:r>
      <w:r>
        <w:rPr>
          <w:noProof/>
        </w:rPr>
        <w:t>Загубата на пазарния дял на Nokia се дължи на агресивното навлизане на пазара на голям брой производители на смартфони от Източна Азия, които се възползват от ниски разходи за труд и ниски производствени разходи.</w:t>
      </w:r>
    </w:p>
    <w:p>
      <w:pPr>
        <w:pStyle w:val="ManualNumPar1"/>
        <w:rPr>
          <w:noProof/>
        </w:rPr>
      </w:pPr>
      <w:r>
        <w:t>18.</w:t>
      </w:r>
      <w:r>
        <w:tab/>
      </w:r>
      <w:r>
        <w:rPr>
          <w:noProof/>
        </w:rPr>
        <w:t>Победителите в пазарната надпревара са производители, установени в САЩ и Азия, които използват оперативен софтуер на Android и iOS.</w:t>
      </w:r>
    </w:p>
    <w:p>
      <w:pPr>
        <w:pStyle w:val="ManualNumPar1"/>
        <w:rPr>
          <w:noProof/>
        </w:rPr>
      </w:pPr>
      <w:r>
        <w:t>19.</w:t>
      </w:r>
      <w:r>
        <w:tab/>
      </w:r>
      <w:r>
        <w:rPr>
          <w:noProof/>
        </w:rPr>
        <w:t>Android има стотици партньори, особено в Азия, и всяка година пуска на пазара нови телефони. Съществуват множество продукти на Android в диапазона от средновисоки до ниски цени, което е от решаващо значение на пазари като Индия, Африка и Близкия изток.</w:t>
      </w:r>
    </w:p>
    <w:p>
      <w:pPr>
        <w:pStyle w:val="ManualNumPar1"/>
        <w:rPr>
          <w:noProof/>
        </w:rPr>
      </w:pPr>
      <w:r>
        <w:t>20.</w:t>
      </w:r>
      <w:r>
        <w:tab/>
      </w:r>
      <w:r>
        <w:rPr>
          <w:noProof/>
        </w:rPr>
        <w:t>Производството на мобилни устройства се прехвърли от Южна Корея към Китай, а напоследък дори към страни с още по-ниски разходи, например Виетнам</w:t>
      </w:r>
      <w:r>
        <w:rPr>
          <w:rStyle w:val="FootnoteReference"/>
          <w:noProof/>
          <w:spacing w:val="-6"/>
        </w:rPr>
        <w:footnoteReference w:id="12"/>
      </w:r>
      <w:r>
        <w:rPr>
          <w:noProof/>
        </w:rPr>
        <w:t>.</w:t>
      </w:r>
    </w:p>
    <w:p>
      <w:pPr>
        <w:pStyle w:val="ManualNumPar1"/>
        <w:rPr>
          <w:noProof/>
        </w:rPr>
      </w:pPr>
      <w:r>
        <w:t>21.</w:t>
      </w:r>
      <w:r>
        <w:tab/>
      </w:r>
      <w:r>
        <w:rPr>
          <w:noProof/>
        </w:rPr>
        <w:t xml:space="preserve">През май 2016 г. Microsoft обяви съкращения на до 1350 работни места в Microsoft Mobile Oy във Финландия. Всички дейности на предприятието Microsoft Mobile Oy се закриват. 550 служители изгубиха работа си в региона Helsinki-Uusimaa, 500 — в област Pirkanmaa (региона Länsi-Suomi) и 300 — в Salo (региона Etelä-Suomi) </w:t>
      </w:r>
    </w:p>
    <w:p>
      <w:pPr>
        <w:pStyle w:val="ManualNumPar1"/>
        <w:rPr>
          <w:noProof/>
        </w:rPr>
      </w:pPr>
      <w:r>
        <w:t>22.</w:t>
      </w:r>
      <w:r>
        <w:tab/>
      </w:r>
      <w:r>
        <w:rPr>
          <w:noProof/>
        </w:rPr>
        <w:t>ЕФПГ вече оказва подкрепа (EGF/2016/001 FI/Microsoft) на служителите от Microsoft, съкратени в миналото. Бенефициерите от целевата група на настоящото предложение са различни от бенефициерите по това дело.</w:t>
      </w:r>
    </w:p>
    <w:p>
      <w:pPr>
        <w:pStyle w:val="ManualHeading3"/>
        <w:tabs>
          <w:tab w:val="clear" w:pos="850"/>
          <w:tab w:val="left" w:pos="0"/>
        </w:tabs>
        <w:ind w:left="0" w:firstLine="0"/>
        <w:rPr>
          <w:noProof/>
        </w:rPr>
      </w:pPr>
      <w:r>
        <w:rPr>
          <w:noProof/>
        </w:rPr>
        <w:t>Предполагаемо въздействие на съкращенията върху местната, регионалната или националната икономика и заетост</w:t>
      </w:r>
    </w:p>
    <w:p>
      <w:pPr>
        <w:autoSpaceDE w:val="0"/>
        <w:autoSpaceDN w:val="0"/>
        <w:adjustRightInd w:val="0"/>
        <w:spacing w:before="0" w:after="0"/>
        <w:jc w:val="left"/>
        <w:rPr>
          <w:noProof/>
          <w:szCs w:val="24"/>
        </w:rPr>
      </w:pPr>
      <w:r>
        <w:rPr>
          <w:noProof/>
        </w:rPr>
        <w:t>Засегнатите региони на ниво NUTS 2 са Helsinki-Uusimaa, Etelä-Suomi и Länsi-Suomi.</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Helsinki-Uusimaa</w:t>
      </w:r>
    </w:p>
    <w:p>
      <w:pPr>
        <w:pStyle w:val="ManualNumPar1"/>
        <w:rPr>
          <w:noProof/>
        </w:rPr>
      </w:pPr>
      <w:r>
        <w:t>23.</w:t>
      </w:r>
      <w:r>
        <w:tab/>
      </w:r>
      <w:r>
        <w:rPr>
          <w:noProof/>
        </w:rPr>
        <w:t>През периода 2012—2016 г. мащабните съкращения засегнаха основно електронната и софтуерната промишленост. През есента на 2016 се наложиха съкращения в различни производствени сектори и в строителството.</w:t>
      </w:r>
    </w:p>
    <w:p>
      <w:pPr>
        <w:pStyle w:val="ManualNumPar1"/>
        <w:rPr>
          <w:noProof/>
        </w:rPr>
      </w:pPr>
      <w:r>
        <w:t>24.</w:t>
      </w:r>
      <w:r>
        <w:tab/>
      </w:r>
      <w:r>
        <w:rPr>
          <w:noProof/>
        </w:rPr>
        <w:t>Броят на лицата, заети в сектора на информационните и комуникационните технологии в Uusimaa през третото тримесечие на 2016 г., е бил с 6000 по-нисък от предходната година. Безработицата сред високообразованите групи и специалисти в областта на ИКТ продължава да расте</w:t>
      </w:r>
      <w:r>
        <w:rPr>
          <w:rStyle w:val="FootnoteReference"/>
          <w:noProof/>
        </w:rPr>
        <w:footnoteReference w:id="13"/>
      </w:r>
      <w:r>
        <w:rPr>
          <w:noProof/>
        </w:rPr>
        <w:t>.</w:t>
      </w:r>
    </w:p>
    <w:p>
      <w:pPr>
        <w:pStyle w:val="ManualNumPar1"/>
        <w:rPr>
          <w:noProof/>
        </w:rPr>
      </w:pPr>
      <w:r>
        <w:t>25.</w:t>
      </w:r>
      <w:r>
        <w:tab/>
      </w:r>
      <w:r>
        <w:rPr>
          <w:noProof/>
        </w:rPr>
        <w:t xml:space="preserve">През периода 2012—2016 г. мащабните съкращения в градовете Helsinki, Espoo и Vantaa засегнаха основно електронната и софтуерната промишленост. Тези дружества съкратиха над 5000 работници през 2012—2016 г. </w:t>
      </w:r>
    </w:p>
    <w:p>
      <w:pPr>
        <w:pStyle w:val="ManualNumPar1"/>
        <w:rPr>
          <w:noProof/>
        </w:rPr>
      </w:pPr>
      <w:r>
        <w:t>26.</w:t>
      </w:r>
      <w:r>
        <w:tab/>
      </w:r>
      <w:r>
        <w:rPr>
          <w:noProof/>
        </w:rPr>
        <w:t>Около 72 % от хората, съкратени от Microsoft в региона, са високообразовани.</w:t>
      </w:r>
    </w:p>
    <w:p>
      <w:pPr>
        <w:autoSpaceDE w:val="0"/>
        <w:autoSpaceDN w:val="0"/>
        <w:adjustRightInd w:val="0"/>
        <w:spacing w:before="0" w:after="0"/>
        <w:jc w:val="left"/>
        <w:rPr>
          <w:b/>
          <w:bCs/>
          <w:noProof/>
          <w:szCs w:val="24"/>
        </w:rPr>
      </w:pPr>
      <w:r>
        <w:rPr>
          <w:b/>
          <w:noProof/>
        </w:rPr>
        <w:t xml:space="preserve">Länsi-Suomi </w:t>
      </w:r>
    </w:p>
    <w:p>
      <w:pPr>
        <w:pStyle w:val="ManualNumPar1"/>
        <w:rPr>
          <w:noProof/>
        </w:rPr>
      </w:pPr>
      <w:r>
        <w:t>27.</w:t>
      </w:r>
      <w:r>
        <w:tab/>
      </w:r>
      <w:r>
        <w:rPr>
          <w:noProof/>
        </w:rPr>
        <w:t xml:space="preserve">Областта Pirkanmaa е засегната в най-голяма степен от съкращенията в Microsoft Mobile Oy в този регион. </w:t>
      </w:r>
    </w:p>
    <w:p>
      <w:pPr>
        <w:pStyle w:val="ManualNumPar1"/>
        <w:rPr>
          <w:noProof/>
        </w:rPr>
      </w:pPr>
      <w:r>
        <w:t>28.</w:t>
      </w:r>
      <w:r>
        <w:tab/>
      </w:r>
      <w:r>
        <w:rPr>
          <w:noProof/>
        </w:rPr>
        <w:t>През 2016 г. в службата по заетостта и икономическото развитие на Pirkanmaa (TE Office) са били регистрирани общо 38 077 търсещи работа безработни лица, което представлява 14,6 % от работната сила</w:t>
      </w:r>
      <w:r>
        <w:rPr>
          <w:rStyle w:val="FootnoteReference"/>
          <w:noProof/>
        </w:rPr>
        <w:footnoteReference w:id="14"/>
      </w:r>
      <w:r>
        <w:rPr>
          <w:noProof/>
        </w:rPr>
        <w:t xml:space="preserve">. </w:t>
      </w:r>
    </w:p>
    <w:p>
      <w:pPr>
        <w:pStyle w:val="ManualNumPar1"/>
        <w:rPr>
          <w:noProof/>
        </w:rPr>
      </w:pPr>
      <w:r>
        <w:t>29.</w:t>
      </w:r>
      <w:r>
        <w:tab/>
      </w:r>
      <w:r>
        <w:rPr>
          <w:noProof/>
        </w:rPr>
        <w:t xml:space="preserve">В момента в TE Office в Pirkanmaa са регистрирани около 1700 безработни, търсещи работа в сектора на ИКТ. Трайно безработните лица през 2016 г. са представлявали 40 % от всички регистрирани безработни, търсещи работа в сектора на ИКТ в Pirkanmaa. </w:t>
      </w:r>
    </w:p>
    <w:p>
      <w:pPr>
        <w:pStyle w:val="ManualNumPar1"/>
        <w:rPr>
          <w:noProof/>
        </w:rPr>
      </w:pPr>
      <w:r>
        <w:t>30.</w:t>
      </w:r>
      <w:r>
        <w:tab/>
      </w:r>
      <w:r>
        <w:rPr>
          <w:noProof/>
        </w:rPr>
        <w:t>Специалистите с висше образование са професионалната група, изправена пред най-голямо увеличаване на безработицата. През септември 2016 г. в региона общо 6084 лица с висше образование са били регистрирани като безработни, търсещи работа. Процентът на безработицата сред високообразованите работници от сектора на технологиите през последната година в региона е нараснал с 8,1 процентни пункта.</w:t>
      </w:r>
    </w:p>
    <w:p>
      <w:pPr>
        <w:autoSpaceDE w:val="0"/>
        <w:autoSpaceDN w:val="0"/>
        <w:adjustRightInd w:val="0"/>
        <w:spacing w:before="0" w:after="0"/>
        <w:jc w:val="left"/>
        <w:rPr>
          <w:b/>
          <w:bCs/>
          <w:noProof/>
          <w:szCs w:val="24"/>
        </w:rPr>
      </w:pPr>
      <w:r>
        <w:rPr>
          <w:b/>
          <w:noProof/>
        </w:rPr>
        <w:t xml:space="preserve">Etelä-Suomi </w:t>
      </w:r>
    </w:p>
    <w:p>
      <w:pPr>
        <w:pStyle w:val="ManualNumPar1"/>
        <w:rPr>
          <w:noProof/>
        </w:rPr>
      </w:pPr>
      <w:r>
        <w:t>31.</w:t>
      </w:r>
      <w:r>
        <w:tab/>
      </w:r>
      <w:r>
        <w:rPr>
          <w:noProof/>
        </w:rPr>
        <w:t xml:space="preserve">В този регион най-засегнат от съкращенията в Microsoft Mobile Oy е град Salo. По данни на TE office 300 служители ще загубят работата си в Microsoft в този град. </w:t>
      </w:r>
    </w:p>
    <w:p>
      <w:pPr>
        <w:pStyle w:val="ManualNumPar1"/>
        <w:rPr>
          <w:noProof/>
        </w:rPr>
      </w:pPr>
      <w:r>
        <w:t>32.</w:t>
      </w:r>
      <w:r>
        <w:tab/>
      </w:r>
      <w:r>
        <w:rPr>
          <w:noProof/>
        </w:rPr>
        <w:t xml:space="preserve">В периода между 2007 и 2014 г. в Salo са изгубени общо 6900 работни места, което представлява спад с 26 процентни пункта в работни места. В резултат на спирането на производството на мобилни телефони Nokia и икономическия спад безработицата в региона се е увеличила над два пъти между 2008 г. и 2016 г.  </w:t>
      </w:r>
    </w:p>
    <w:p>
      <w:pPr>
        <w:pStyle w:val="ManualNumPar1"/>
        <w:rPr>
          <w:rStyle w:val="FootnoteReference"/>
          <w:noProof/>
          <w:vertAlign w:val="baseline"/>
        </w:rPr>
      </w:pPr>
      <w:r>
        <w:rPr>
          <w:rStyle w:val="FootnoteReference"/>
        </w:rPr>
        <w:t>33.</w:t>
      </w:r>
      <w:r>
        <w:rPr>
          <w:rStyle w:val="FootnoteReference"/>
        </w:rPr>
        <w:tab/>
      </w:r>
      <w:r>
        <w:rPr>
          <w:noProof/>
        </w:rPr>
        <w:t>Процентът на безработицата в региона е нараснал с над десет процентни пункта, от 7,0 на 17,5 %. Тази промяна е изключително голяма в сравнение дори с други финландски общини с присъствие на Nokia/Microsoft</w:t>
      </w:r>
      <w:r>
        <w:rPr>
          <w:rStyle w:val="FootnoteReference"/>
          <w:noProof/>
        </w:rPr>
        <w:footnoteReference w:id="15"/>
      </w:r>
      <w:r>
        <w:rPr>
          <w:rStyle w:val="FootnoteReference"/>
          <w:noProof/>
        </w:rPr>
        <w:t>.</w:t>
      </w:r>
    </w:p>
    <w:p>
      <w:pPr>
        <w:pStyle w:val="ManualNumPar1"/>
        <w:rPr>
          <w:noProof/>
        </w:rPr>
      </w:pPr>
      <w:r>
        <w:t>34.</w:t>
      </w:r>
      <w:r>
        <w:tab/>
      </w:r>
      <w:r>
        <w:rPr>
          <w:noProof/>
        </w:rPr>
        <w:t xml:space="preserve">Делът на високообразованите хора сред безработните в Salo също се е увеличил. </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35.</w:t>
      </w:r>
      <w:r>
        <w:tab/>
      </w:r>
      <w:r>
        <w:rPr>
          <w:noProof/>
        </w:rPr>
        <w:t>Прогнозният брой на съкратените работници, които се очаква да вземат участие в мерките, е 1000. По-долу е представена разбивката на тези работници по пол, гражданство и възрастова група:</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на </w:t>
            </w:r>
            <w:r>
              <w:rPr>
                <w:noProof/>
              </w:rPr>
              <w:br/>
              <w:t>бенефициерите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740</w:t>
            </w:r>
          </w:p>
        </w:tc>
        <w:tc>
          <w:tcPr>
            <w:tcW w:w="1176" w:type="dxa"/>
            <w:tcBorders>
              <w:top w:val="single" w:sz="4" w:space="0" w:color="auto"/>
              <w:left w:val="nil"/>
              <w:right w:val="nil"/>
            </w:tcBorders>
            <w:hideMark/>
          </w:tcPr>
          <w:p>
            <w:pPr>
              <w:spacing w:before="60" w:after="60"/>
              <w:jc w:val="right"/>
              <w:rPr>
                <w:noProof/>
              </w:rPr>
            </w:pPr>
            <w:r>
              <w:rPr>
                <w:noProof/>
              </w:rPr>
              <w:t>(74,0 %)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tcBorders>
              <w:bottom w:val="single" w:sz="4" w:space="0" w:color="auto"/>
            </w:tcBorders>
            <w:hideMark/>
          </w:tcPr>
          <w:p>
            <w:pPr>
              <w:spacing w:before="60" w:after="60"/>
              <w:jc w:val="right"/>
              <w:rPr>
                <w:noProof/>
              </w:rPr>
            </w:pPr>
            <w:r>
              <w:rPr>
                <w:noProof/>
              </w:rPr>
              <w:t>260</w:t>
            </w:r>
          </w:p>
        </w:tc>
        <w:tc>
          <w:tcPr>
            <w:tcW w:w="1176" w:type="dxa"/>
            <w:tcBorders>
              <w:bottom w:val="single" w:sz="4" w:space="0" w:color="auto"/>
            </w:tcBorders>
            <w:hideMark/>
          </w:tcPr>
          <w:p>
            <w:pPr>
              <w:spacing w:before="60" w:after="60"/>
              <w:jc w:val="right"/>
              <w:rPr>
                <w:noProof/>
              </w:rPr>
            </w:pPr>
            <w:r>
              <w:rPr>
                <w:noProof/>
              </w:rPr>
              <w:t>(26,0 %)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tcBorders>
              <w:top w:val="single" w:sz="4" w:space="0" w:color="auto"/>
            </w:tcBorders>
            <w:hideMark/>
          </w:tcPr>
          <w:p>
            <w:pPr>
              <w:spacing w:before="60" w:after="60"/>
              <w:jc w:val="right"/>
              <w:rPr>
                <w:noProof/>
              </w:rPr>
            </w:pPr>
            <w:r>
              <w:rPr>
                <w:noProof/>
              </w:rPr>
              <w:t>955</w:t>
            </w:r>
          </w:p>
        </w:tc>
        <w:tc>
          <w:tcPr>
            <w:tcW w:w="1176" w:type="dxa"/>
            <w:tcBorders>
              <w:top w:val="single" w:sz="4" w:space="0" w:color="auto"/>
            </w:tcBorders>
            <w:hideMark/>
          </w:tcPr>
          <w:p>
            <w:pPr>
              <w:spacing w:before="60" w:after="60"/>
              <w:jc w:val="right"/>
              <w:rPr>
                <w:noProof/>
              </w:rPr>
            </w:pPr>
            <w:r>
              <w:rPr>
                <w:noProof/>
              </w:rPr>
              <w:t>(95,5 %)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трети държави:</w:t>
            </w:r>
          </w:p>
        </w:tc>
        <w:tc>
          <w:tcPr>
            <w:tcW w:w="1176" w:type="dxa"/>
            <w:tcBorders>
              <w:bottom w:val="single" w:sz="4" w:space="0" w:color="auto"/>
            </w:tcBorders>
            <w:hideMark/>
          </w:tcPr>
          <w:p>
            <w:pPr>
              <w:spacing w:before="60" w:after="60"/>
              <w:jc w:val="right"/>
              <w:rPr>
                <w:noProof/>
              </w:rPr>
            </w:pPr>
            <w:r>
              <w:rPr>
                <w:noProof/>
              </w:rPr>
              <w:t>45</w:t>
            </w:r>
          </w:p>
        </w:tc>
        <w:tc>
          <w:tcPr>
            <w:tcW w:w="1176" w:type="dxa"/>
            <w:tcBorders>
              <w:bottom w:val="single" w:sz="4" w:space="0" w:color="auto"/>
            </w:tcBorders>
            <w:hideMark/>
          </w:tcPr>
          <w:p>
            <w:pPr>
              <w:spacing w:before="60" w:after="60"/>
              <w:jc w:val="right"/>
              <w:rPr>
                <w:noProof/>
              </w:rPr>
            </w:pPr>
            <w:r>
              <w:rPr>
                <w:noProof/>
              </w:rPr>
              <w:t>(4,5 %)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25</w:t>
            </w:r>
          </w:p>
        </w:tc>
        <w:tc>
          <w:tcPr>
            <w:tcW w:w="1176" w:type="dxa"/>
            <w:hideMark/>
          </w:tcPr>
          <w:p>
            <w:pPr>
              <w:spacing w:before="60" w:after="60"/>
              <w:jc w:val="right"/>
              <w:rPr>
                <w:noProof/>
              </w:rPr>
            </w:pPr>
            <w:r>
              <w:rPr>
                <w:noProof/>
              </w:rPr>
              <w:t>(2,5 %)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925</w:t>
            </w:r>
          </w:p>
        </w:tc>
        <w:tc>
          <w:tcPr>
            <w:tcW w:w="1176" w:type="dxa"/>
            <w:hideMark/>
          </w:tcPr>
          <w:p>
            <w:pPr>
              <w:spacing w:before="60" w:after="60"/>
              <w:jc w:val="right"/>
              <w:rPr>
                <w:noProof/>
              </w:rPr>
            </w:pPr>
            <w:r>
              <w:rPr>
                <w:noProof/>
              </w:rPr>
              <w:t>(92,5 %)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 — 64-годишни</w:t>
            </w:r>
          </w:p>
        </w:tc>
        <w:tc>
          <w:tcPr>
            <w:tcW w:w="1176" w:type="dxa"/>
            <w:hideMark/>
          </w:tcPr>
          <w:p>
            <w:pPr>
              <w:spacing w:before="60" w:after="60"/>
              <w:jc w:val="right"/>
              <w:rPr>
                <w:noProof/>
              </w:rPr>
            </w:pPr>
            <w:r>
              <w:rPr>
                <w:noProof/>
              </w:rPr>
              <w:t>50</w:t>
            </w:r>
          </w:p>
        </w:tc>
        <w:tc>
          <w:tcPr>
            <w:tcW w:w="1176" w:type="dxa"/>
            <w:hideMark/>
          </w:tcPr>
          <w:p>
            <w:pPr>
              <w:spacing w:before="60" w:after="60"/>
              <w:jc w:val="right"/>
              <w:rPr>
                <w:noProof/>
              </w:rPr>
            </w:pPr>
            <w:r>
              <w:rPr>
                <w:noProof/>
              </w:rPr>
              <w:t>(5,0 %)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(0 %)</w:t>
            </w:r>
          </w:p>
        </w:tc>
      </w:tr>
    </w:tbl>
    <w:p>
      <w:pPr>
        <w:pStyle w:val="ManualHeading3"/>
        <w:rPr>
          <w:noProof/>
          <w:u w:val="single"/>
        </w:rPr>
      </w:pPr>
      <w:r>
        <w:rPr>
          <w:noProof/>
        </w:rPr>
        <w:t>Допустимост на предложените действия</w:t>
      </w:r>
    </w:p>
    <w:p>
      <w:pPr>
        <w:pStyle w:val="ManualNumPar1"/>
        <w:rPr>
          <w:noProof/>
        </w:rPr>
      </w:pPr>
      <w:bookmarkStart w:id="2" w:name="_Ref372214239"/>
      <w:r>
        <w:t>36.</w:t>
      </w:r>
      <w:r>
        <w:tab/>
      </w:r>
      <w:r>
        <w:rPr>
          <w:noProof/>
        </w:rPr>
        <w:t xml:space="preserve">Персонализираните услуги, които се предвижда да бъдат предоставени на съкратените работници, включват следните действия: </w:t>
      </w:r>
      <w:bookmarkEnd w:id="2"/>
    </w:p>
    <w:p>
      <w:pPr>
        <w:pStyle w:val="Tiret1"/>
        <w:rPr>
          <w:noProof/>
          <w:spacing w:val="-2"/>
        </w:rPr>
      </w:pPr>
      <w:r>
        <w:rPr>
          <w:noProof/>
          <w:spacing w:val="-2"/>
          <w:u w:val="single"/>
        </w:rPr>
        <w:t>Предоставяне на съвети и други подготвителни мерки</w:t>
      </w:r>
      <w:r>
        <w:rPr>
          <w:noProof/>
          <w:spacing w:val="-2"/>
        </w:rPr>
        <w:t>: тези мерки ще включват обучение за търсене на работа, подкрепа за трудова мобилност (със съдействието на EURES), индивидуални насоки (напр. професионални напътствия), професионално обучение и експертни оценки.</w:t>
      </w:r>
    </w:p>
    <w:p>
      <w:pPr>
        <w:pStyle w:val="Tiret1"/>
        <w:rPr>
          <w:noProof/>
          <w:u w:val="single"/>
        </w:rPr>
      </w:pPr>
      <w:r>
        <w:rPr>
          <w:noProof/>
          <w:u w:val="single"/>
        </w:rPr>
        <w:t>Услуги по наемане на работа и бизнес услуги:</w:t>
      </w:r>
      <w:r>
        <w:rPr>
          <w:noProof/>
        </w:rPr>
        <w:t xml:space="preserve"> тези мерки ще включват подкрепа за независими лица, търсещи работа, оценка на компетентности, работа за пробен период и събития за наемане на работа.</w:t>
      </w:r>
    </w:p>
    <w:p>
      <w:pPr>
        <w:pStyle w:val="Tiret1"/>
        <w:rPr>
          <w:noProof/>
          <w:u w:val="single"/>
        </w:rPr>
      </w:pPr>
      <w:r>
        <w:rPr>
          <w:noProof/>
          <w:u w:val="single"/>
        </w:rPr>
        <w:t>Обучение</w:t>
      </w:r>
      <w:r>
        <w:rPr>
          <w:noProof/>
        </w:rPr>
        <w:t>: тази мярка ще включва професионално и продължаващо обучение, обучение за промяна, повторно обучение, както и обучения, свързани с предприемачеството и трудовата мобилност.</w:t>
      </w:r>
      <w:r>
        <w:rPr>
          <w:noProof/>
          <w:u w:val="single"/>
        </w:rPr>
        <w:t xml:space="preserve"> </w:t>
      </w:r>
    </w:p>
    <w:p>
      <w:pPr>
        <w:pStyle w:val="Tiret1"/>
        <w:rPr>
          <w:noProof/>
        </w:rPr>
      </w:pPr>
      <w:r>
        <w:rPr>
          <w:noProof/>
          <w:u w:val="single"/>
        </w:rPr>
        <w:t xml:space="preserve">Безвъзмездни средства за създаване на ново предприятие: </w:t>
      </w:r>
      <w:r>
        <w:rPr>
          <w:noProof/>
        </w:rPr>
        <w:t>тази мярка ще предостави безвъзмездни средства за започване на нова стопанска дейност, насърчаване на такава дейност и установяване на стопанската дейност на пълно работно време, в областта на ИКТ или други сектори.</w:t>
      </w:r>
    </w:p>
    <w:p>
      <w:pPr>
        <w:pStyle w:val="Tiret1"/>
        <w:rPr>
          <w:noProof/>
        </w:rPr>
      </w:pPr>
      <w:r>
        <w:rPr>
          <w:noProof/>
          <w:u w:val="single"/>
        </w:rPr>
        <w:t>Субсидии за изплащане на възнаграждения</w:t>
      </w:r>
      <w:r>
        <w:rPr>
          <w:noProof/>
        </w:rPr>
        <w:t>: тази мярка е в подкрепа на заетостта при започване на нова работа чрез намаляване на разходите за заплати. Субсидията за изплащане на възнаграждения е между 30 и 50 % от разходите за заплати на работника.</w:t>
      </w:r>
    </w:p>
    <w:p>
      <w:pPr>
        <w:pStyle w:val="Tiret1"/>
        <w:rPr>
          <w:noProof/>
        </w:rPr>
      </w:pPr>
      <w:r>
        <w:rPr>
          <w:noProof/>
          <w:u w:val="single"/>
        </w:rPr>
        <w:t xml:space="preserve">Надбавки за път и настаняване: </w:t>
      </w:r>
      <w:r>
        <w:rPr>
          <w:noProof/>
        </w:rPr>
        <w:t>тази мярка цели покриване на разходите, направени от лицето, търсещо работа, по време на обучение.</w:t>
      </w:r>
    </w:p>
    <w:p>
      <w:pPr>
        <w:pStyle w:val="ManualNumPar1"/>
        <w:rPr>
          <w:noProof/>
        </w:rPr>
      </w:pPr>
      <w:bookmarkStart w:id="3" w:name="_Ref372214242"/>
      <w:r>
        <w:t>37.</w:t>
      </w:r>
      <w:r>
        <w:tab/>
      </w:r>
      <w:r>
        <w:rPr>
          <w:noProof/>
        </w:rPr>
        <w:t>Предложените действия, описани в настоящия документ, представляват активни мерки за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38.</w:t>
      </w:r>
      <w:r>
        <w:tab/>
      </w:r>
      <w:r>
        <w:rPr>
          <w:noProof/>
        </w:rPr>
        <w:t>Финландия предостави поисканата информация относно действията, които са задължителни за засегнатото предприятие по силата на националното право или на колективни споразумения. Потвърдено беше, че финансовото участие от страна на ЕФПГ няма да замени тези действия.</w:t>
      </w:r>
      <w:bookmarkEnd w:id="3"/>
    </w:p>
    <w:p>
      <w:pPr>
        <w:pStyle w:val="ManualHeading3"/>
        <w:rPr>
          <w:noProof/>
        </w:rPr>
      </w:pPr>
      <w:r>
        <w:rPr>
          <w:noProof/>
        </w:rPr>
        <w:t>Прогнозен бюджет</w:t>
      </w:r>
    </w:p>
    <w:p>
      <w:pPr>
        <w:pStyle w:val="ManualNumPar1"/>
        <w:rPr>
          <w:noProof/>
        </w:rPr>
      </w:pPr>
      <w:r>
        <w:t>39.</w:t>
      </w:r>
      <w:r>
        <w:tab/>
      </w:r>
      <w:r>
        <w:rPr>
          <w:noProof/>
        </w:rPr>
        <w:t>Общите прогнозни разходи са в размер на 5 866 800 EUR, като в тях се включват разходи за персонализирани услуги в размер на 5 559 300 EUR и разходи за дейности по подготовка, управление, информиране и популяризиране, контрол и докладване в размер на 307 500 EUR.</w:t>
      </w:r>
    </w:p>
    <w:p>
      <w:pPr>
        <w:pStyle w:val="ManualNumPar1"/>
        <w:rPr>
          <w:noProof/>
        </w:rPr>
      </w:pPr>
      <w:bookmarkStart w:id="4" w:name="_Ref372550770"/>
      <w:r>
        <w:t>40.</w:t>
      </w:r>
      <w:r>
        <w:tab/>
      </w:r>
      <w:r>
        <w:rPr>
          <w:noProof/>
        </w:rPr>
        <w:t>Общият размер на заявеното финансово участие от ЕФПГ възлиза на 3 520 080 EUR (60 % от общия размер на разходите).</w:t>
      </w:r>
      <w:bookmarkEnd w:id="4"/>
    </w:p>
    <w:p>
      <w:pPr>
        <w:pStyle w:val="Text1"/>
        <w:rPr>
          <w:noProof/>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rFonts w:eastAsia="Times New Roman"/>
                <w:noProof/>
                <w:sz w:val="22"/>
              </w:rPr>
              <w:br/>
            </w:r>
            <w:r>
              <w:rPr>
                <w:i/>
                <w:noProof/>
                <w:sz w:val="22"/>
              </w:rPr>
              <w:t>(EUR)</w:t>
            </w:r>
          </w:p>
        </w:tc>
        <w:tc>
          <w:tcPr>
            <w:tcW w:w="1548" w:type="dxa"/>
            <w:shd w:val="clear" w:color="auto" w:fill="auto"/>
            <w:vAlign w:val="center"/>
          </w:tcPr>
          <w:p>
            <w:pPr>
              <w:spacing w:before="60" w:after="60"/>
              <w:jc w:val="center"/>
              <w:rPr>
                <w:rFonts w:eastAsia="Times New Roman"/>
                <w:noProof/>
                <w:sz w:val="22"/>
              </w:rPr>
            </w:pPr>
            <w:r>
              <w:rPr>
                <w:noProof/>
                <w:sz w:val="22"/>
              </w:rPr>
              <w:t>Общо прогнозни разходи*</w:t>
            </w:r>
          </w:p>
          <w:p>
            <w:pPr>
              <w:spacing w:before="60" w:after="60"/>
              <w:jc w:val="center"/>
              <w:rPr>
                <w:rFonts w:eastAsia="Times New Roman"/>
                <w:noProof/>
                <w:sz w:val="22"/>
              </w:rPr>
            </w:pPr>
            <w:r>
              <w:rPr>
                <w:i/>
                <w:noProof/>
                <w:sz w:val="22"/>
              </w:rPr>
              <w:t xml:space="preserve">(EUR) </w:t>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Предоставяне на съвети и други подготвителни мерки (</w:t>
            </w:r>
            <w:r>
              <w:rPr>
                <w:i/>
                <w:noProof/>
                <w:color w:val="000000" w:themeColor="text1"/>
              </w:rPr>
              <w:t>Valmennukset ja muut valmentavat toimenpiteet</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234 000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Услуги по наемане на работа и бизнес услуги (</w:t>
            </w:r>
            <w:r>
              <w:rPr>
                <w:i/>
                <w:noProof/>
                <w:color w:val="000000" w:themeColor="text1"/>
              </w:rPr>
              <w:t>Työllisyys- ja yrityspalvelut</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484 800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Обучение (</w:t>
            </w:r>
            <w:r>
              <w:rPr>
                <w:i/>
                <w:noProof/>
                <w:color w:val="000000" w:themeColor="text1"/>
              </w:rPr>
              <w:t>Koulutus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535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3 210 000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Безвъзмездни средства за започване на стопанска дейност (</w:t>
            </w:r>
            <w:r>
              <w:rPr>
                <w:i/>
                <w:noProof/>
                <w:color w:val="000000" w:themeColor="text1"/>
              </w:rPr>
              <w:t>Starttiraha</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18</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144 000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t xml:space="preserve">Процент от пакета от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4 072 800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(73,26</w:t>
            </w:r>
            <w:r>
              <w:rPr>
                <w:noProof/>
              </w:rPr>
              <w:t>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Субсидии за изплащане на възнаграждения (</w:t>
            </w:r>
            <w:r>
              <w:rPr>
                <w:i/>
                <w:noProof/>
                <w:color w:val="000000" w:themeColor="text1"/>
              </w:rPr>
              <w:t>Palkkatuki</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163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1 467 000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Надбавки за път и настаняване (</w:t>
            </w:r>
            <w:r>
              <w:rPr>
                <w:i/>
                <w:noProof/>
                <w:color w:val="000000" w:themeColor="text1"/>
              </w:rPr>
              <w:t>Liikkuvuusavustus</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19 500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от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1 486 500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(26,74</w:t>
            </w:r>
            <w:r>
              <w:rPr>
                <w:noProof/>
              </w:rPr>
              <w:t>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 w:val="22"/>
              </w:rPr>
            </w:pPr>
            <w:r>
              <w:rPr>
                <w:noProof/>
                <w:sz w:val="22"/>
              </w:rPr>
              <w:t>1. Подготвителни действия</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9000</w:t>
            </w:r>
          </w:p>
        </w:tc>
      </w:tr>
      <w:tr>
        <w:tc>
          <w:tcPr>
            <w:tcW w:w="4644" w:type="dxa"/>
            <w:shd w:val="clear" w:color="auto" w:fill="auto"/>
          </w:tcPr>
          <w:p>
            <w:pPr>
              <w:spacing w:before="60" w:after="60"/>
              <w:ind w:left="284"/>
              <w:jc w:val="left"/>
              <w:rPr>
                <w:rFonts w:eastAsia="Times New Roman"/>
                <w:noProof/>
                <w:sz w:val="22"/>
              </w:rPr>
            </w:pPr>
            <w:r>
              <w:rPr>
                <w:noProof/>
                <w:sz w:val="22"/>
              </w:rPr>
              <w:t>2. Управление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143 000</w:t>
            </w:r>
          </w:p>
        </w:tc>
      </w:tr>
      <w:tr>
        <w:tc>
          <w:tcPr>
            <w:tcW w:w="4644" w:type="dxa"/>
            <w:shd w:val="clear" w:color="auto" w:fill="auto"/>
          </w:tcPr>
          <w:p>
            <w:pPr>
              <w:spacing w:before="60" w:after="60"/>
              <w:ind w:left="284"/>
              <w:jc w:val="left"/>
              <w:rPr>
                <w:rFonts w:eastAsia="Times New Roman"/>
                <w:noProof/>
                <w:sz w:val="22"/>
              </w:rPr>
            </w:pPr>
            <w:r>
              <w:rPr>
                <w:noProof/>
                <w:sz w:val="22"/>
              </w:rPr>
              <w:t>3. Информиране и популяризиране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115 500</w:t>
            </w:r>
          </w:p>
        </w:tc>
      </w:tr>
      <w:tr>
        <w:tc>
          <w:tcPr>
            <w:tcW w:w="4644"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noProof/>
              </w:rPr>
            </w:pPr>
            <w:r>
              <w:rPr>
                <w:noProof/>
              </w:rPr>
              <w:t> 40 000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noProof/>
              </w:rPr>
            </w:pPr>
            <w:r>
              <w:rPr>
                <w:noProof/>
              </w:rPr>
              <w:t>307 500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noProof/>
              </w:rPr>
            </w:pPr>
            <w:r>
              <w:rPr>
                <w:noProof/>
              </w:rPr>
              <w:t>(5,24 %)</w:t>
            </w:r>
          </w:p>
        </w:tc>
      </w:tr>
      <w:tr>
        <w:tc>
          <w:tcPr>
            <w:tcW w:w="4644" w:type="dxa"/>
            <w:shd w:val="clear" w:color="auto" w:fill="auto"/>
          </w:tcPr>
          <w:p>
            <w:pPr>
              <w:spacing w:before="60" w:after="60"/>
              <w:jc w:val="left"/>
              <w:rPr>
                <w:rFonts w:eastAsia="Times New Roman"/>
                <w:noProof/>
                <w:sz w:val="22"/>
              </w:rPr>
            </w:pPr>
            <w:r>
              <w:rPr>
                <w:noProof/>
                <w:sz w:val="22"/>
              </w:rPr>
              <w:t>Общо разходи (а + б + в):</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5 866 800</w:t>
            </w:r>
          </w:p>
        </w:tc>
      </w:tr>
      <w:tr>
        <w:tc>
          <w:tcPr>
            <w:tcW w:w="4644"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rPr>
            </w:pPr>
            <w:r>
              <w:rPr>
                <w:noProof/>
              </w:rPr>
              <w:t>3 520 080</w:t>
            </w:r>
          </w:p>
        </w:tc>
      </w:tr>
    </w:tbl>
    <w:p>
      <w:pPr>
        <w:pStyle w:val="Text1"/>
        <w:rPr>
          <w:i/>
          <w:noProof/>
        </w:rPr>
      </w:pPr>
      <w:r>
        <w:rPr>
          <w:i/>
          <w:noProof/>
        </w:rPr>
        <w:t>*: % са закръглени, останалите цифри — не</w:t>
      </w:r>
    </w:p>
    <w:p>
      <w:pPr>
        <w:pStyle w:val="ManualNumPar1"/>
        <w:rPr>
          <w:noProof/>
          <w:szCs w:val="20"/>
        </w:rPr>
      </w:pPr>
      <w:r>
        <w:t>41.</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Финландия потвърди, че тези действия са обвързани с активното участие на бенефициерите от целевата група в търсенето на работа или дейностите по обучение.</w:t>
      </w:r>
    </w:p>
    <w:p>
      <w:pPr>
        <w:pStyle w:val="ManualNumPar1"/>
        <w:rPr>
          <w:noProof/>
        </w:rPr>
      </w:pPr>
      <w:r>
        <w:t>42.</w:t>
      </w:r>
      <w:r>
        <w:tab/>
      </w:r>
      <w:r>
        <w:rPr>
          <w:noProof/>
        </w:rPr>
        <w:t xml:space="preserve">Финландия потвърди, че разходите за инвестиции за самостоятелна заетост, започване на стопанска дейност и придобиване от служителите няма да надхвърлят сумата от 15 000 EUR на бенефициер. </w:t>
      </w:r>
    </w:p>
    <w:p>
      <w:pPr>
        <w:pStyle w:val="ManualHeading3"/>
        <w:rPr>
          <w:noProof/>
        </w:rPr>
      </w:pPr>
      <w:r>
        <w:rPr>
          <w:noProof/>
        </w:rPr>
        <w:t>Период на допустимост на разходите</w:t>
      </w:r>
    </w:p>
    <w:p>
      <w:pPr>
        <w:pStyle w:val="ManualNumPar1"/>
        <w:rPr>
          <w:noProof/>
        </w:rPr>
      </w:pPr>
      <w:r>
        <w:t>43.</w:t>
      </w:r>
      <w:r>
        <w:tab/>
      </w:r>
      <w:r>
        <w:rPr>
          <w:noProof/>
        </w:rPr>
        <w:t>На 12 юли 2016 г. Финландия започна да предоставя персонализирани услуги на бенефициерите от целевата група. По тази причина разходите за действията са допустими за предоставяне на финансово участие от ЕФПГ в периода от 12 юли 2016 г. до 1 февруари 2019 г.</w:t>
      </w:r>
    </w:p>
    <w:p>
      <w:pPr>
        <w:pStyle w:val="ManualNumPar1"/>
        <w:rPr>
          <w:noProof/>
        </w:rPr>
      </w:pPr>
      <w:r>
        <w:t>44.</w:t>
      </w:r>
      <w:r>
        <w:tab/>
      </w:r>
      <w:r>
        <w:rPr>
          <w:noProof/>
        </w:rPr>
        <w:t xml:space="preserve">На 12 юли 2016 г. Финландия започна да покрива административните разходи, свързани с изпълнението на ЕФПГ. По тази причина разходите за дейности по подготовка, управление, информация и популяризиране, контрол и докладване ще бъдат допустими за финансово участие от ЕФПГ в периода от 12 юли 2016 г. до 1 август 2019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noProof/>
        </w:rPr>
      </w:pPr>
      <w:r>
        <w:t>45.</w:t>
      </w:r>
      <w:r>
        <w:tab/>
      </w:r>
      <w:r>
        <w:rPr>
          <w:noProof/>
        </w:rPr>
        <w:t>Източниците на предварително национално финансиране или съфинансиране са обществените ведомства по труда от административния клон на Министерството на икономиката и заетостта (МИЕ). Някои услуги ще бъдат финансирани и от оперативните разходи на центровете за икономическо развитие, транспорт и околна среда (центрове ELY) и на TE Office.</w:t>
      </w:r>
    </w:p>
    <w:p>
      <w:pPr>
        <w:pStyle w:val="ManualNumPar1"/>
        <w:rPr>
          <w:noProof/>
        </w:rPr>
      </w:pPr>
      <w:r>
        <w:t>46.</w:t>
      </w:r>
      <w:r>
        <w:tab/>
      </w:r>
      <w:r>
        <w:rPr>
          <w:noProof/>
        </w:rPr>
        <w:t>Финландия потвърди, че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tabs>
          <w:tab w:val="clear" w:pos="850"/>
          <w:tab w:val="left" w:pos="0"/>
        </w:tabs>
        <w:ind w:left="0" w:firstLine="0"/>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 органите на местно и регионално равнище</w:t>
      </w:r>
    </w:p>
    <w:p>
      <w:pPr>
        <w:pStyle w:val="ManualNumPar1"/>
        <w:rPr>
          <w:noProof/>
        </w:rPr>
      </w:pPr>
      <w:r>
        <w:t>47.</w:t>
      </w:r>
      <w:r>
        <w:tab/>
      </w:r>
      <w:r>
        <w:rPr>
          <w:noProof/>
        </w:rPr>
        <w:t xml:space="preserve">Финландия посочи, че координираният пакет от персонализирани услуги е бил изготвен в консултация с работна група, която включва представители на центровете ELY и TE offices за съответните региони, на Microsoft, на технологичните сектори на Финландия, на синдикалната организация Pro, на Съюза на професионалните инженери във Финландия и на финландската Агенция за финансиране на иновациите. </w:t>
      </w:r>
    </w:p>
    <w:p>
      <w:pPr>
        <w:pStyle w:val="ManualHeading2"/>
        <w:rPr>
          <w:noProof/>
        </w:rPr>
      </w:pPr>
      <w:r>
        <w:rPr>
          <w:noProof/>
        </w:rPr>
        <w:t>Системи за управление и контрол</w:t>
      </w:r>
    </w:p>
    <w:p>
      <w:pPr>
        <w:pStyle w:val="ManualNumPar1"/>
        <w:rPr>
          <w:noProof/>
        </w:rPr>
      </w:pPr>
      <w:r>
        <w:t>48.</w:t>
      </w:r>
      <w:r>
        <w:tab/>
      </w:r>
      <w:r>
        <w:rPr>
          <w:noProof/>
        </w:rPr>
        <w:t xml:space="preserve">В заявлението е описана системата за управление и контрол, в която са определени отговорностите на съответните органи. Финландия нотифицира Комисията, че финансовото участие ще бъде управлявано от МИЕ, което действа като управляващ и сертифициращ орган за ЕФПГ и като междинен орган, разпределящ средствата от ЕФПГ. Функциите по управлението във връзка с ЕФПГ са възложени на департамента по заетостта и предприемачеството. </w:t>
      </w:r>
    </w:p>
    <w:p>
      <w:pPr>
        <w:pStyle w:val="ManualNumPar1"/>
        <w:rPr>
          <w:noProof/>
        </w:rPr>
      </w:pPr>
      <w:r>
        <w:t>49.</w:t>
      </w:r>
      <w:r>
        <w:tab/>
      </w:r>
      <w:r>
        <w:rPr>
          <w:noProof/>
        </w:rPr>
        <w:t xml:space="preserve">Функциите по сертифицирането са възложени на отдела по човешки ресурси и администрация. Плащанията на бенефициерите се извършват чрез регионалните центрове ELY и TE Offices. </w:t>
      </w:r>
    </w:p>
    <w:p>
      <w:pPr>
        <w:pStyle w:val="ManualNumPar1"/>
        <w:rPr>
          <w:noProof/>
        </w:rPr>
      </w:pPr>
      <w:r>
        <w:t>50.</w:t>
      </w:r>
      <w:r>
        <w:tab/>
      </w:r>
      <w:r>
        <w:rPr>
          <w:noProof/>
        </w:rPr>
        <w:t>По отношение на одитирането отговорният орган е независимият отдел за вътрешен одит, който работи под ръководството на постоянния секретар на МИЕ.</w:t>
      </w:r>
    </w:p>
    <w:p>
      <w:pPr>
        <w:pStyle w:val="ManualHeading2"/>
        <w:rPr>
          <w:noProof/>
        </w:rPr>
      </w:pPr>
      <w:r>
        <w:rPr>
          <w:noProof/>
        </w:rPr>
        <w:t>Ангажименти, поети от засегнатата държава членка</w:t>
      </w:r>
    </w:p>
    <w:p>
      <w:pPr>
        <w:pStyle w:val="ManualNumPar1"/>
        <w:rPr>
          <w:noProof/>
        </w:rPr>
      </w:pPr>
      <w:r>
        <w:t>51.</w:t>
      </w:r>
      <w:r>
        <w:tab/>
      </w:r>
      <w:r>
        <w:rPr>
          <w:noProof/>
        </w:rPr>
        <w:t xml:space="preserve">Финландия е предоставила всички необходими гаранции за това, че: </w:t>
      </w:r>
    </w:p>
    <w:p>
      <w:pPr>
        <w:pStyle w:val="Tiret1"/>
        <w:numPr>
          <w:ilvl w:val="0"/>
          <w:numId w:val="12"/>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2"/>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2"/>
        </w:numPr>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2"/>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2"/>
        </w:numPr>
        <w:rPr>
          <w:noProof/>
        </w:rPr>
      </w:pPr>
      <w:r>
        <w:rPr>
          <w:noProof/>
        </w:rPr>
        <w:t>предложените действия ще допълват действия, финансирани от структурните фондове;</w:t>
      </w:r>
    </w:p>
    <w:p>
      <w:pPr>
        <w:pStyle w:val="Tiret1"/>
        <w:numPr>
          <w:ilvl w:val="0"/>
          <w:numId w:val="12"/>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52.</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16"/>
      </w:r>
      <w:r>
        <w:rPr>
          <w:noProof/>
        </w:rPr>
        <w:t xml:space="preserve"> ЕФПГ не може да надхвърля максимален годишен размер от 150 милиона евро (по цени от 2011 г.).</w:t>
      </w:r>
    </w:p>
    <w:p>
      <w:pPr>
        <w:pStyle w:val="ManualNumPar1"/>
        <w:rPr>
          <w:rFonts w:eastAsia="Calibri"/>
          <w:noProof/>
        </w:rPr>
      </w:pPr>
      <w:r>
        <w:t>53.</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3 520 080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54.</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spacing w:val="-4"/>
        </w:rPr>
        <w:footnoteReference w:id="17"/>
      </w:r>
      <w:r>
        <w:rPr>
          <w:noProof/>
        </w:rPr>
        <w:t>.</w:t>
      </w:r>
    </w:p>
    <w:p>
      <w:pPr>
        <w:pStyle w:val="ManualHeading2"/>
        <w:rPr>
          <w:noProof/>
        </w:rPr>
      </w:pPr>
      <w:r>
        <w:rPr>
          <w:noProof/>
        </w:rPr>
        <w:t>Свързани актове</w:t>
      </w:r>
    </w:p>
    <w:p>
      <w:pPr>
        <w:pStyle w:val="ManualNumPar1"/>
        <w:rPr>
          <w:noProof/>
        </w:rPr>
      </w:pPr>
      <w:r>
        <w:t>55.</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на сумата от 3 520 080 EUR към съответните бюджетни редове.</w:t>
      </w:r>
    </w:p>
    <w:p>
      <w:pPr>
        <w:pStyle w:val="ManualNumPar1"/>
        <w:rPr>
          <w:noProof/>
        </w:rPr>
      </w:pPr>
      <w:r>
        <w:t>56.</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w:t>
      </w:r>
      <w:r>
        <w:rPr>
          <w:noProof/>
        </w:rPr>
        <w:br/>
        <w:t>заявление от Финландия — EGF/2017/002 FI/Microsoft 2</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8"/>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9"/>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20"/>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1 февруари 2017 г. Финландия подаде заявление за мобилизиране на средства от ЕФПГ във връзка със съкращения в Microsoft (Microsoft Mobile Oy) и при 11 доставчици и производители надолу по веригата и случаи на прекратяване на дейност. Към него беше предоставена допълнителна информация, както е предвидено в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Поради това, за да бъде удовлетворено подаденото от Финландия заявление, следва да бъдат мобилизирани средства за предоставяне на финансово участие от ЕФПГ в размер на 3 520 080 EUR.</w:t>
      </w:r>
    </w:p>
    <w:p>
      <w:pPr>
        <w:pStyle w:val="ManualConsidrant"/>
        <w:rPr>
          <w:noProof/>
        </w:rPr>
      </w:pPr>
      <w:r>
        <w:t>(5)</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Съюза за финансовата 2017 година от Европейския фонд за приспособяване към глобализацията се мобилизират средства за предоставяне на сумата от 3 520 080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Той се прилага от </w:t>
      </w:r>
      <w:r>
        <w:rPr>
          <w:noProof/>
          <w:color w:val="FF0000"/>
        </w:rPr>
        <w:t>[</w:t>
      </w:r>
      <w:r>
        <w:rPr>
          <w:i/>
          <w:noProof/>
          <w:color w:val="FF0000"/>
        </w:rPr>
        <w:t>датата на приемането му</w:t>
      </w:r>
      <w:r>
        <w:rPr>
          <w:noProof/>
          <w:color w:val="FF0000"/>
        </w:rPr>
        <w:t>]</w:t>
      </w:r>
      <w:r>
        <w:rPr>
          <w:rStyle w:val="FootnoteReference"/>
        </w:rPr>
        <w:sym w:font="Symbol" w:char="F02A"/>
      </w:r>
      <w:r>
        <w:rPr>
          <w:noProof/>
        </w:rPr>
        <w:t>.</w:t>
      </w:r>
    </w:p>
    <w:p>
      <w:pPr>
        <w:pStyle w:val="Fait"/>
        <w:rPr>
          <w:noProof/>
        </w:rPr>
      </w:pPr>
      <w:r>
        <w:rPr>
          <w:noProof/>
        </w:rPr>
        <w:footnoteReference w:customMarkFollows="1" w:id="21"/>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4">
    <w:p>
      <w:pPr>
        <w:pStyle w:val="FootnoteText"/>
      </w:pPr>
      <w:r>
        <w:rPr>
          <w:rStyle w:val="FootnoteReference"/>
        </w:rPr>
        <w:footnoteRef/>
      </w:r>
      <w:r>
        <w:tab/>
        <w:t>OВ L 393, 30.12.2006 г., стр. 1.</w:t>
      </w:r>
    </w:p>
  </w:footnote>
  <w:footnote w:id="5">
    <w:p>
      <w:pPr>
        <w:pStyle w:val="FootnoteText"/>
      </w:pPr>
      <w:r>
        <w:rPr>
          <w:rStyle w:val="FootnoteReference"/>
        </w:rPr>
        <w:footnoteRef/>
      </w:r>
      <w:r>
        <w:tab/>
        <w:t>Съгласно член 7, параграф 4 от Регламент (EС) № 1309/2013.</w:t>
      </w:r>
    </w:p>
  </w:footnote>
  <w:footnote w:id="6">
    <w:p>
      <w:pPr>
        <w:pStyle w:val="FootnoteText"/>
      </w:pPr>
      <w:r>
        <w:rPr>
          <w:rStyle w:val="FootnoteReference"/>
        </w:rPr>
        <w:footnoteRef/>
      </w:r>
      <w:r>
        <w:tab/>
      </w:r>
      <w:hyperlink r:id="rId1">
        <w:r>
          <w:t>www.statista.com/chart/4112/smartphone-market-share</w:t>
        </w:r>
      </w:hyperlink>
    </w:p>
  </w:footnote>
  <w:footnote w:id="7">
    <w:p>
      <w:pPr>
        <w:pStyle w:val="FootnoteText"/>
        <w:rPr>
          <w:rStyle w:val="Hyperlink"/>
          <w:color w:val="auto"/>
          <w:u w:val="none"/>
        </w:rPr>
      </w:pPr>
      <w:r>
        <w:rPr>
          <w:rStyle w:val="FootnoteReference"/>
        </w:rPr>
        <w:footnoteRef/>
      </w:r>
      <w:r>
        <w:tab/>
      </w:r>
      <w:hyperlink r:id="rId2" w:anchor=".WTosOjclGUl" w:history="1">
        <w:r>
          <w:rPr>
            <w:rStyle w:val="Hyperlink"/>
            <w:lang w:eastAsia="en-US" w:bidi="ar-SA"/>
          </w:rPr>
          <w:t>https://www.strategyanalytics.com/strategy-analytics/news/strategy-analytics-press-releases/strategy-analytics-press-release/2016/11/02/strategy-analytics-android-captures-record-88-percent-share-of-global-smartphone-shipments-in-q3-2016#.WTosOjclGUl</w:t>
        </w:r>
      </w:hyperlink>
    </w:p>
  </w:footnote>
  <w:footnote w:id="8">
    <w:p>
      <w:pPr>
        <w:pStyle w:val="FootnoteText"/>
      </w:pPr>
      <w:r>
        <w:rPr>
          <w:rStyle w:val="FootnoteReference"/>
        </w:rPr>
        <w:footnoteRef/>
      </w:r>
      <w:r>
        <w:tab/>
      </w:r>
      <w:hyperlink r:id="rId3">
        <w:r>
          <w:t>www.statista.com/chart/4112/smartphone-market-share</w:t>
        </w:r>
      </w:hyperlink>
    </w:p>
  </w:footnote>
  <w:footnote w:id="9">
    <w:p>
      <w:pPr>
        <w:pStyle w:val="FootnoteText"/>
      </w:pPr>
      <w:r>
        <w:rPr>
          <w:rStyle w:val="FootnoteReference"/>
        </w:rPr>
        <w:footnoteRef/>
      </w:r>
      <w:r>
        <w:tab/>
      </w:r>
      <w:hyperlink r:id="rId4">
        <w:r>
          <w:t>http://www.businessinsider.com/samsung-factory-working-conditions-2012-11?r=US&amp;IR=T&amp;IR=T</w:t>
        </w:r>
      </w:hyperlink>
    </w:p>
  </w:footnote>
  <w:footnote w:id="10">
    <w:p>
      <w:pPr>
        <w:pStyle w:val="FootnoteText"/>
      </w:pPr>
      <w:r>
        <w:rPr>
          <w:rStyle w:val="FootnoteReference"/>
        </w:rPr>
        <w:footnoteRef/>
      </w:r>
      <w:r>
        <w:tab/>
      </w:r>
      <w:hyperlink r:id="rId5">
        <w:r>
          <w:t>http://comptryx.com/product/global_salary_survey</w:t>
        </w:r>
      </w:hyperlink>
    </w:p>
  </w:footnote>
  <w:footnote w:id="11">
    <w:p>
      <w:pPr>
        <w:pStyle w:val="FootnoteText"/>
      </w:pPr>
      <w:r>
        <w:rPr>
          <w:rStyle w:val="FootnoteReference"/>
        </w:rPr>
        <w:footnoteRef/>
      </w:r>
      <w:r>
        <w:tab/>
      </w:r>
      <w:hyperlink r:id="rId6">
        <w:r>
          <w:t>https://www.kantarworldpanel.com/global/News/Android-Share-Tops-75-in-Europes-Largest-Markets</w:t>
        </w:r>
      </w:hyperlink>
    </w:p>
  </w:footnote>
  <w:footnote w:id="12">
    <w:p>
      <w:pPr>
        <w:pStyle w:val="FootnoteText"/>
        <w:rPr>
          <w:rStyle w:val="Hyperlink"/>
          <w:color w:val="auto"/>
          <w:u w:val="none"/>
        </w:rPr>
      </w:pPr>
      <w:r>
        <w:rPr>
          <w:rStyle w:val="FootnoteReference"/>
        </w:rPr>
        <w:footnoteRef/>
      </w:r>
      <w:r>
        <w:tab/>
      </w:r>
      <w:hyperlink r:id="rId7" w:history="1">
        <w:r>
          <w:t>http://www.thanhniennews.com/business/samsung-shifts-plants-from-china-to-vietnam-to-protect-margins-392.html</w:t>
        </w:r>
      </w:hyperlink>
    </w:p>
  </w:footnote>
  <w:footnote w:id="13">
    <w:p>
      <w:pPr>
        <w:pStyle w:val="FootnoteText"/>
      </w:pPr>
      <w:r>
        <w:rPr>
          <w:rStyle w:val="FootnoteReference"/>
        </w:rPr>
        <w:footnoteRef/>
      </w:r>
      <w:r>
        <w:tab/>
      </w:r>
      <w:hyperlink r:id="rId8">
        <w:r>
          <w:t>http://julkaisut.valtioneuvosto.fi/bitstream/handle/10024/78927/TKAT_Oct_2016_en.pdf?sequence=1</w:t>
        </w:r>
      </w:hyperlink>
    </w:p>
  </w:footnote>
  <w:footnote w:id="14">
    <w:p>
      <w:pPr>
        <w:pStyle w:val="FootnoteText"/>
        <w:rPr>
          <w:rStyle w:val="FootnoteReference"/>
        </w:rPr>
      </w:pPr>
      <w:r>
        <w:rPr>
          <w:rStyle w:val="FootnoteReference"/>
        </w:rPr>
        <w:footnoteRef/>
      </w:r>
      <w:r>
        <w:tab/>
      </w:r>
      <w:hyperlink r:id="rId9">
        <w:r>
          <w:t>http://julkaisut.valtioneuvosto.fi/bitstream/handle/10024/78927/TKAT_Oct_2016_en.pdf?sequence=1</w:t>
        </w:r>
      </w:hyperlink>
    </w:p>
  </w:footnote>
  <w:footnote w:id="15">
    <w:p>
      <w:pPr>
        <w:pStyle w:val="FootnoteText"/>
      </w:pPr>
      <w:r>
        <w:rPr>
          <w:rStyle w:val="FootnoteReference"/>
        </w:rPr>
        <w:footnoteRef/>
      </w:r>
      <w:r>
        <w:tab/>
      </w:r>
      <w:hyperlink r:id="rId10">
        <w:r>
          <w:t>http://www.itproportal.com/2015/07/20/nokias-woes-pushing-finnish-town-salo-further- into-recession/</w:t>
        </w:r>
      </w:hyperlink>
    </w:p>
  </w:footnote>
  <w:footnote w:id="16">
    <w:p>
      <w:pPr>
        <w:pStyle w:val="FootnoteText"/>
      </w:pPr>
      <w:r>
        <w:rPr>
          <w:rStyle w:val="FootnoteReference"/>
        </w:rPr>
        <w:footnoteRef/>
      </w:r>
      <w:r>
        <w:tab/>
        <w:t>ОВ L 347, 20.12.2013 г., стр. 884.</w:t>
      </w:r>
    </w:p>
  </w:footnote>
  <w:footnote w:id="17">
    <w:p>
      <w:pPr>
        <w:pStyle w:val="FootnoteText"/>
      </w:pPr>
      <w:r>
        <w:rPr>
          <w:rStyle w:val="FootnoteReference"/>
        </w:rPr>
        <w:footnoteRef/>
      </w:r>
      <w:r>
        <w:tab/>
        <w:t>ОВ С 373, 20.12.2013 г., стр. 1.</w:t>
      </w:r>
    </w:p>
  </w:footnote>
  <w:footnote w:id="18">
    <w:p>
      <w:pPr>
        <w:pStyle w:val="FootnoteText"/>
      </w:pPr>
      <w:r>
        <w:rPr>
          <w:rStyle w:val="FootnoteReference"/>
        </w:rPr>
        <w:footnoteRef/>
      </w:r>
      <w:r>
        <w:tab/>
        <w:t>ОВ L 347, 20.12.2013 г., стр. 855.</w:t>
      </w:r>
    </w:p>
  </w:footnote>
  <w:footnote w:id="19">
    <w:p>
      <w:pPr>
        <w:pStyle w:val="FootnoteText"/>
      </w:pPr>
      <w:r>
        <w:rPr>
          <w:rStyle w:val="FootnoteReference"/>
        </w:rPr>
        <w:footnoteRef/>
      </w:r>
      <w:r>
        <w:tab/>
        <w:t>ОВ С 373, 20.12.2013 г., стр. 1.</w:t>
      </w:r>
    </w:p>
  </w:footnote>
  <w:footnote w:id="20">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21">
    <w:p>
      <w:pPr>
        <w:pStyle w:val="FootnoteText"/>
        <w:rPr>
          <w:color w:val="FF0000"/>
        </w:rPr>
      </w:pPr>
      <w:r>
        <w:rPr>
          <w:rStyle w:val="FootnoteReference"/>
        </w:rPr>
        <w:sym w:font="Symbol" w:char="F02A"/>
      </w:r>
      <w:r>
        <w:rPr>
          <w:color w:val="FF0000"/>
        </w:rPr>
        <w:t xml:space="preserve"> </w:t>
      </w:r>
      <w:r>
        <w:tab/>
      </w:r>
      <w:r>
        <w:rPr>
          <w:color w:val="FF0000"/>
        </w:rPr>
        <w:t>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9 09:44:1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DB9BC9B980D45D984BC526834789CAE"/>
    <w:docVar w:name="LW_CROSSREFERENCE" w:val="&lt;UNUSED&gt;"/>
    <w:docVar w:name="LW_DocType" w:val="COM"/>
    <w:docVar w:name="LW_EMISSION" w:val="21.6.2017"/>
    <w:docVar w:name="LW_EMISSION_ISODATE" w:val="2017-06-21"/>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22"/>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_x000b_\u1079?\u1072?\u1103?\u1074?\u1083?\u1077?\u1085?\u1080?\u1077? \u1086?\u1090? \u1060?\u1080?\u1085?\u1083?\u1072?\u1085?\u1076?\u1080?\u1103? \u8212? EGF/2017/002 FI/Microsoft 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0"/>
      <w:ind w:left="72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7086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julkaisut.valtioneuvosto.fi/bitstream/handle/10024/78927/TKAT_Oct_2016_en.pdf?sequence=1" TargetMode="External"/><Relationship Id="rId3" Type="http://schemas.openxmlformats.org/officeDocument/2006/relationships/hyperlink" Target="http://www.statista.com/chart/4112/smartphone-market-share" TargetMode="External"/><Relationship Id="rId7" Type="http://schemas.openxmlformats.org/officeDocument/2006/relationships/hyperlink" Target="http://www.thanhniennews.com/business/samsung-shifts-plants-from-china-to-vietnam-to-protect-margins-392.html" TargetMode="External"/><Relationship Id="rId2" Type="http://schemas.openxmlformats.org/officeDocument/2006/relationships/hyperlink" Target="https://www.strategyanalytics.com/strategy-analytics/news/strategy-analytics-press-releases/strategy-analytics-press-release/2016/11/02/strategy-analytics-android-captures-record-88-percent-share-of-global-smartphone-shipments-in-q3-2016" TargetMode="External"/><Relationship Id="rId1" Type="http://schemas.openxmlformats.org/officeDocument/2006/relationships/hyperlink" Target="http://www.statista.com/chart/4112/smartphone-market-share" TargetMode="External"/><Relationship Id="rId6" Type="http://schemas.openxmlformats.org/officeDocument/2006/relationships/hyperlink" Target="https://www.kantarworldpanel.com/global/News/Android-Share-Tops-75-in-Europes-Largest-Markets" TargetMode="External"/><Relationship Id="rId5" Type="http://schemas.openxmlformats.org/officeDocument/2006/relationships/hyperlink" Target="http://comptryx.com/product/global_salary_survey" TargetMode="External"/><Relationship Id="rId10" Type="http://schemas.openxmlformats.org/officeDocument/2006/relationships/hyperlink" Target="http://www.itproportal.com/2015/07/20/nokias-woes-pushing-finnish-town-salo-further-%20into-recession/" TargetMode="External"/><Relationship Id="rId4" Type="http://schemas.openxmlformats.org/officeDocument/2006/relationships/hyperlink" Target="http://www.businessinsider.com/samsung-factory-working-conditions-2012-11?r=US&amp;IR=T&amp;IR=T" TargetMode="External"/><Relationship Id="rId9" Type="http://schemas.openxmlformats.org/officeDocument/2006/relationships/hyperlink" Target="http://julkaisut.valtioneuvosto.fi/bitstream/handle/10024/78927/TKAT_Oct_2016_en.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2A33-2777-4EAC-B3FA-94F03BC5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3723</Words>
  <Characters>21038</Characters>
  <Application>Microsoft Office Word</Application>
  <DocSecurity>0</DocSecurity>
  <Lines>584</Lines>
  <Paragraphs>343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2017-04-26T14:23:00Z</cp:lastPrinted>
  <dcterms:created xsi:type="dcterms:W3CDTF">2017-06-14T14:37:00Z</dcterms:created>
  <dcterms:modified xsi:type="dcterms:W3CDTF">2017-06-19T07:44:00Z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