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8AC330278B45659E52D3FADEAFE206" style="width:450.8pt;height:338.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w:t>
      </w:r>
      <w:r>
        <w:rPr>
          <w:noProof/>
        </w:rPr>
        <w:noBreakHyphen/>
        <w:t>2020 et abrogeant le règlement (CE) nº 1927/2006</w:t>
      </w:r>
      <w:r>
        <w:rPr>
          <w:rStyle w:val="FootnoteReference"/>
          <w:noProof/>
        </w:rPr>
        <w:footnoteReference w:id="1"/>
      </w:r>
      <w:r>
        <w:rPr>
          <w:noProof/>
        </w:rPr>
        <w:t xml:space="preserve"> (ci</w:t>
      </w:r>
      <w:r>
        <w:rPr>
          <w:noProof/>
        </w:rPr>
        <w:noBreakHyphen/>
        <w:t>après le «règlement FEM»).</w:t>
      </w:r>
    </w:p>
    <w:p>
      <w:pPr>
        <w:pStyle w:val="ManualNumPar1"/>
        <w:rPr>
          <w:noProof/>
        </w:rPr>
      </w:pPr>
      <w:r>
        <w:t>2.</w:t>
      </w:r>
      <w:r>
        <w:tab/>
      </w:r>
      <w:r>
        <w:rPr>
          <w:noProof/>
        </w:rPr>
        <w:t>Le 1</w:t>
      </w:r>
      <w:r>
        <w:rPr>
          <w:noProof/>
          <w:vertAlign w:val="superscript"/>
        </w:rPr>
        <w:t>er</w:t>
      </w:r>
      <w:r>
        <w:rPr>
          <w:noProof/>
        </w:rPr>
        <w:t> février 2017, la Finlande a présenté la demande EGF/2017/002 FI/Microsoft 2 en vue d'obtenir une contribution financière du FEM à la suite de licenciements</w:t>
      </w:r>
      <w:r>
        <w:rPr>
          <w:rStyle w:val="FootnoteReference"/>
          <w:noProof/>
        </w:rPr>
        <w:footnoteReference w:id="2"/>
      </w:r>
      <w:r>
        <w:rPr>
          <w:noProof/>
        </w:rPr>
        <w:t xml:space="preserve"> </w:t>
      </w:r>
      <w:r>
        <w:rPr>
          <w:noProof/>
          <w:color w:val="FFFFFF" w:themeColor="background1"/>
          <w:u w:val="single"/>
        </w:rPr>
        <w:t xml:space="preserve"> </w:t>
      </w:r>
      <w:r>
        <w:rPr>
          <w:noProof/>
        </w:rPr>
        <w:t>intervenus chez Microsoft (Microsoft Mobile Oy) et chez 11 fournisseurs ou producteurs en aval (ci</w:t>
      </w:r>
      <w:r>
        <w:rPr>
          <w:noProof/>
        </w:rPr>
        <w:noBreakHyphen/>
        <w:t xml:space="preserve">après les «licenciements»). </w:t>
      </w:r>
    </w:p>
    <w:p>
      <w:pPr>
        <w:pStyle w:val="ManualNumPar1"/>
        <w:rPr>
          <w:noProof/>
        </w:rPr>
      </w:pPr>
      <w:r>
        <w:t>3.</w:t>
      </w:r>
      <w:r>
        <w:tab/>
      </w:r>
      <w:r>
        <w:rPr>
          <w:noProof/>
        </w:rPr>
        <w:t xml:space="preserve">À la suite de l'évaluation de cette demande, la Commission a conclu, conformément à l'ensemble des dispositions applicables du règlement FEM, que les conditions d'octroi d'une contribution financière du FEM étaient remplies. </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86"/>
        <w:gridCol w:w="4501"/>
      </w:tblGrid>
      <w:tr>
        <w:tc>
          <w:tcPr>
            <w:tcW w:w="4786" w:type="dxa"/>
            <w:shd w:val="clear" w:color="auto" w:fill="auto"/>
          </w:tcPr>
          <w:p>
            <w:pPr>
              <w:spacing w:before="60" w:after="60"/>
              <w:jc w:val="left"/>
              <w:rPr>
                <w:rFonts w:eastAsia="Calibri"/>
                <w:noProof/>
              </w:rPr>
            </w:pPr>
            <w:r>
              <w:rPr>
                <w:noProof/>
              </w:rPr>
              <w:t>Numéro de la demande FEM</w:t>
            </w:r>
          </w:p>
        </w:tc>
        <w:tc>
          <w:tcPr>
            <w:tcW w:w="4501" w:type="dxa"/>
            <w:shd w:val="clear" w:color="auto" w:fill="auto"/>
          </w:tcPr>
          <w:p>
            <w:pPr>
              <w:spacing w:before="60" w:after="60"/>
              <w:ind w:rightChars="192" w:right="461"/>
              <w:jc w:val="left"/>
              <w:rPr>
                <w:rFonts w:eastAsia="Calibri"/>
                <w:noProof/>
              </w:rPr>
            </w:pPr>
            <w:r>
              <w:rPr>
                <w:noProof/>
              </w:rPr>
              <w:t>EGF/2017/002 FI/Microsoft 2</w:t>
            </w:r>
          </w:p>
        </w:tc>
      </w:tr>
      <w:tr>
        <w:tc>
          <w:tcPr>
            <w:tcW w:w="4786" w:type="dxa"/>
            <w:shd w:val="clear" w:color="auto" w:fill="auto"/>
          </w:tcPr>
          <w:p>
            <w:pPr>
              <w:spacing w:before="60" w:after="60"/>
              <w:jc w:val="left"/>
              <w:rPr>
                <w:rFonts w:eastAsia="Calibri"/>
                <w:noProof/>
              </w:rPr>
            </w:pPr>
            <w:r>
              <w:rPr>
                <w:noProof/>
              </w:rPr>
              <w:t>État membre</w:t>
            </w:r>
          </w:p>
        </w:tc>
        <w:tc>
          <w:tcPr>
            <w:tcW w:w="4501" w:type="dxa"/>
            <w:shd w:val="clear" w:color="auto" w:fill="auto"/>
          </w:tcPr>
          <w:p>
            <w:pPr>
              <w:spacing w:before="60" w:after="60"/>
              <w:ind w:rightChars="192" w:right="461"/>
              <w:jc w:val="left"/>
              <w:rPr>
                <w:rFonts w:eastAsia="Calibri"/>
                <w:noProof/>
              </w:rPr>
            </w:pPr>
            <w:r>
              <w:rPr>
                <w:noProof/>
              </w:rPr>
              <w:t>Finlande</w:t>
            </w:r>
          </w:p>
        </w:tc>
      </w:tr>
      <w:tr>
        <w:tc>
          <w:tcPr>
            <w:tcW w:w="4786" w:type="dxa"/>
            <w:tcBorders>
              <w:bottom w:val="single" w:sz="4" w:space="0" w:color="auto"/>
            </w:tcBorders>
            <w:shd w:val="clear" w:color="auto" w:fill="auto"/>
          </w:tcPr>
          <w:p>
            <w:pPr>
              <w:spacing w:before="60" w:after="60"/>
              <w:jc w:val="left"/>
              <w:rPr>
                <w:rFonts w:eastAsia="Calibri"/>
                <w:noProof/>
              </w:rPr>
            </w:pPr>
            <w:r>
              <w:rPr>
                <w:noProof/>
              </w:rPr>
              <w:t>Région(s) concernée(s) (niveau NUTS</w:t>
            </w:r>
            <w:r>
              <w:rPr>
                <w:rStyle w:val="FootnoteReference"/>
                <w:noProof/>
              </w:rPr>
              <w:footnoteReference w:id="3"/>
            </w:r>
            <w:r>
              <w:rPr>
                <w:noProof/>
              </w:rPr>
              <w:t> 2)</w:t>
            </w:r>
          </w:p>
        </w:tc>
        <w:tc>
          <w:tcPr>
            <w:tcW w:w="4501" w:type="dxa"/>
            <w:tcBorders>
              <w:bottom w:val="single" w:sz="4" w:space="0" w:color="auto"/>
            </w:tcBorders>
            <w:shd w:val="clear" w:color="auto" w:fill="auto"/>
          </w:tcPr>
          <w:p>
            <w:pPr>
              <w:spacing w:before="60" w:after="60"/>
              <w:ind w:rightChars="192" w:right="461"/>
              <w:jc w:val="left"/>
              <w:rPr>
                <w:noProof/>
                <w:lang w:val="fi-FI"/>
              </w:rPr>
            </w:pPr>
            <w:r>
              <w:rPr>
                <w:noProof/>
                <w:lang w:val="fi-FI"/>
              </w:rPr>
              <w:t>Helsinki-Uusimaa (Uusimaa, FI1B1)</w:t>
            </w:r>
          </w:p>
          <w:p>
            <w:pPr>
              <w:spacing w:before="60" w:after="60"/>
              <w:ind w:rightChars="192" w:right="461"/>
              <w:jc w:val="left"/>
              <w:rPr>
                <w:noProof/>
                <w:lang w:val="fi-FI"/>
              </w:rPr>
            </w:pPr>
            <w:r>
              <w:rPr>
                <w:noProof/>
                <w:lang w:val="fi-FI"/>
              </w:rPr>
              <w:t>Länsi-Suomi (Pirkanmaa, FI197)</w:t>
            </w:r>
          </w:p>
          <w:p>
            <w:pPr>
              <w:spacing w:before="60" w:after="60"/>
              <w:ind w:rightChars="192" w:right="461"/>
              <w:jc w:val="left"/>
              <w:rPr>
                <w:noProof/>
                <w:lang w:val="fi-FI"/>
              </w:rPr>
            </w:pPr>
            <w:r>
              <w:rPr>
                <w:noProof/>
                <w:lang w:val="fi-FI"/>
              </w:rPr>
              <w:t>Etelä-Suomi (Varsinais-Suomi, FI1C1)</w:t>
            </w:r>
          </w:p>
        </w:tc>
      </w:tr>
      <w:tr>
        <w:tc>
          <w:tcPr>
            <w:tcW w:w="4786"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501" w:type="dxa"/>
            <w:tcBorders>
              <w:bottom w:val="dotted"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w:t>
            </w:r>
            <w:r>
              <w:rPr>
                <w:noProof/>
              </w:rPr>
              <w:t> février 2017</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w:t>
            </w:r>
            <w:r>
              <w:rPr>
                <w:noProof/>
              </w:rPr>
              <w:t> février 2017</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février 2017</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29 mars 2017</w:t>
            </w:r>
          </w:p>
        </w:tc>
      </w:tr>
      <w:tr>
        <w:tc>
          <w:tcPr>
            <w:tcW w:w="4786"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501" w:type="dxa"/>
            <w:tcBorders>
              <w:top w:val="dotted" w:sz="4" w:space="0" w:color="auto"/>
            </w:tcBorders>
            <w:shd w:val="clear" w:color="auto" w:fill="auto"/>
          </w:tcPr>
          <w:p>
            <w:pPr>
              <w:spacing w:before="60" w:after="60"/>
              <w:ind w:rightChars="192" w:right="461"/>
              <w:jc w:val="left"/>
              <w:rPr>
                <w:rFonts w:eastAsia="Calibri"/>
                <w:noProof/>
              </w:rPr>
            </w:pPr>
            <w:r>
              <w:rPr>
                <w:noProof/>
              </w:rPr>
              <w:t>21 juin 2017</w:t>
            </w:r>
          </w:p>
        </w:tc>
      </w:tr>
      <w:tr>
        <w:tc>
          <w:tcPr>
            <w:tcW w:w="4786" w:type="dxa"/>
            <w:shd w:val="clear" w:color="auto" w:fill="auto"/>
          </w:tcPr>
          <w:p>
            <w:pPr>
              <w:spacing w:before="60" w:after="60"/>
              <w:jc w:val="left"/>
              <w:rPr>
                <w:rFonts w:eastAsia="Calibri"/>
                <w:noProof/>
              </w:rPr>
            </w:pPr>
            <w:r>
              <w:rPr>
                <w:noProof/>
              </w:rPr>
              <w:t>Critère d'intervention</w:t>
            </w:r>
          </w:p>
        </w:tc>
        <w:tc>
          <w:tcPr>
            <w:tcW w:w="4501" w:type="dxa"/>
            <w:shd w:val="clear" w:color="auto" w:fill="auto"/>
          </w:tcPr>
          <w:p>
            <w:pPr>
              <w:spacing w:before="60" w:after="60"/>
              <w:ind w:rightChars="192" w:right="461"/>
              <w:jc w:val="left"/>
              <w:rPr>
                <w:rFonts w:eastAsia="Calibri"/>
                <w:noProof/>
              </w:rPr>
            </w:pPr>
            <w:r>
              <w:rPr>
                <w:noProof/>
              </w:rPr>
              <w:t>Article 4, paragraphe 1, point a), du règlement FEM</w:t>
            </w:r>
          </w:p>
        </w:tc>
      </w:tr>
      <w:tr>
        <w:tc>
          <w:tcPr>
            <w:tcW w:w="478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Entreprise principale concernée</w:t>
            </w:r>
          </w:p>
        </w:tc>
        <w:tc>
          <w:tcPr>
            <w:tcW w:w="4501"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lang w:val="nn-NO"/>
              </w:rPr>
            </w:pPr>
            <w:r>
              <w:rPr>
                <w:noProof/>
                <w:lang w:val="nn-NO"/>
              </w:rPr>
              <w:t>Microsoft (Microsoft Mobile Oy)</w:t>
            </w:r>
            <w:r>
              <w:rPr>
                <w:noProof/>
                <w:color w:val="FFFFFF" w:themeColor="background1"/>
                <w:u w:val="single"/>
                <w:lang w:val="nn-NO"/>
              </w:rPr>
              <w:t>)</w:t>
            </w:r>
          </w:p>
        </w:tc>
      </w:tr>
      <w:tr>
        <w:tc>
          <w:tcPr>
            <w:tcW w:w="478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lang w:val="nn-NO"/>
              </w:rPr>
              <w:br w:type="page"/>
            </w:r>
            <w:r>
              <w:rPr>
                <w:noProof/>
              </w:rPr>
              <w:t>Nombre d'entreprises concernées</w:t>
            </w:r>
          </w:p>
        </w:tc>
        <w:tc>
          <w:tcPr>
            <w:tcW w:w="4501"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12</w:t>
            </w:r>
          </w:p>
        </w:tc>
      </w:tr>
      <w:tr>
        <w:tc>
          <w:tcPr>
            <w:tcW w:w="4786"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4"/>
            </w:r>
          </w:p>
        </w:tc>
        <w:tc>
          <w:tcPr>
            <w:tcW w:w="4501" w:type="dxa"/>
            <w:shd w:val="clear" w:color="auto" w:fill="auto"/>
          </w:tcPr>
          <w:p>
            <w:pPr>
              <w:spacing w:before="60" w:after="60"/>
              <w:ind w:rightChars="192" w:right="461"/>
              <w:jc w:val="left"/>
              <w:rPr>
                <w:rFonts w:eastAsia="Calibri"/>
                <w:noProof/>
              </w:rPr>
            </w:pPr>
            <w:r>
              <w:rPr>
                <w:noProof/>
              </w:rPr>
              <w:t xml:space="preserve">62 Programmation, conseil et autres activités informatiques </w:t>
            </w:r>
          </w:p>
        </w:tc>
      </w:tr>
      <w:tr>
        <w:tc>
          <w:tcPr>
            <w:tcW w:w="4786" w:type="dxa"/>
            <w:shd w:val="clear" w:color="auto" w:fill="auto"/>
          </w:tcPr>
          <w:p>
            <w:pPr>
              <w:spacing w:before="60" w:after="60"/>
              <w:jc w:val="left"/>
              <w:rPr>
                <w:rFonts w:eastAsia="Calibri"/>
                <w:noProof/>
              </w:rPr>
            </w:pPr>
            <w:r>
              <w:rPr>
                <w:noProof/>
              </w:rPr>
              <w:br w:type="page"/>
              <w:t>Nombre de filiales, fournisseurs et producteurs en aval concernés</w:t>
            </w:r>
          </w:p>
        </w:tc>
        <w:tc>
          <w:tcPr>
            <w:tcW w:w="4501" w:type="dxa"/>
            <w:shd w:val="clear" w:color="auto" w:fill="auto"/>
          </w:tcPr>
          <w:p>
            <w:pPr>
              <w:spacing w:before="60" w:after="60"/>
              <w:ind w:rightChars="192" w:right="461"/>
              <w:jc w:val="left"/>
              <w:rPr>
                <w:rFonts w:eastAsia="Calibri"/>
                <w:noProof/>
              </w:rPr>
            </w:pPr>
            <w:r>
              <w:rPr>
                <w:noProof/>
              </w:rPr>
              <w:t>11</w:t>
            </w:r>
          </w:p>
        </w:tc>
      </w:tr>
      <w:tr>
        <w:tc>
          <w:tcPr>
            <w:tcW w:w="4786" w:type="dxa"/>
            <w:tcBorders>
              <w:bottom w:val="single" w:sz="4" w:space="0" w:color="auto"/>
            </w:tcBorders>
            <w:shd w:val="clear" w:color="auto" w:fill="auto"/>
          </w:tcPr>
          <w:p>
            <w:pPr>
              <w:spacing w:before="60" w:after="60"/>
              <w:jc w:val="left"/>
              <w:rPr>
                <w:rFonts w:eastAsia="Calibri"/>
                <w:noProof/>
              </w:rPr>
            </w:pPr>
            <w:r>
              <w:rPr>
                <w:noProof/>
              </w:rPr>
              <w:t>Période de référence (quatre mois)</w:t>
            </w:r>
          </w:p>
        </w:tc>
        <w:tc>
          <w:tcPr>
            <w:tcW w:w="4501" w:type="dxa"/>
            <w:tcBorders>
              <w:bottom w:val="single" w:sz="4" w:space="0" w:color="auto"/>
            </w:tcBorders>
            <w:shd w:val="clear" w:color="auto" w:fill="auto"/>
          </w:tcPr>
          <w:p>
            <w:pPr>
              <w:spacing w:before="60" w:after="60"/>
              <w:ind w:rightChars="192" w:right="461"/>
              <w:jc w:val="left"/>
              <w:rPr>
                <w:rFonts w:eastAsia="Calibri"/>
                <w:noProof/>
              </w:rPr>
            </w:pPr>
            <w:r>
              <w:rPr>
                <w:noProof/>
              </w:rPr>
              <w:t xml:space="preserve">12 juillet 2016 – 12 novembre 2016 </w:t>
            </w:r>
          </w:p>
        </w:tc>
      </w:tr>
      <w:tr>
        <w:tc>
          <w:tcPr>
            <w:tcW w:w="4786"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pendant la période de référence (</w:t>
            </w:r>
            <w:r>
              <w:rPr>
                <w:i/>
                <w:noProof/>
              </w:rPr>
              <w:t>a</w:t>
            </w:r>
            <w:r>
              <w:rPr>
                <w:noProof/>
              </w:rPr>
              <w:t xml:space="preserve">) </w:t>
            </w:r>
            <w:r>
              <w:rPr>
                <w:noProof/>
              </w:rPr>
              <w:br/>
            </w:r>
          </w:p>
        </w:tc>
        <w:tc>
          <w:tcPr>
            <w:tcW w:w="4501"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1 248</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Nombre de licenciements avant ou après la période de référence (</w:t>
            </w:r>
            <w:r>
              <w:rPr>
                <w:i/>
                <w:noProof/>
              </w:rPr>
              <w:t>b</w:t>
            </w:r>
            <w:r>
              <w:rPr>
                <w:noProof/>
              </w:rPr>
              <w:t>)</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w:t>
            </w:r>
          </w:p>
        </w:tc>
      </w:tr>
      <w:tr>
        <w:tc>
          <w:tcPr>
            <w:tcW w:w="478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 xml:space="preserve">Nombre total de licenciements </w:t>
            </w:r>
          </w:p>
        </w:tc>
        <w:tc>
          <w:tcPr>
            <w:tcW w:w="4501"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1 248</w:t>
            </w:r>
          </w:p>
        </w:tc>
      </w:tr>
      <w:tr>
        <w:tc>
          <w:tcPr>
            <w:tcW w:w="4786"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501" w:type="dxa"/>
            <w:tcBorders>
              <w:bottom w:val="dotted" w:sz="4" w:space="0" w:color="auto"/>
            </w:tcBorders>
            <w:shd w:val="clear" w:color="auto" w:fill="auto"/>
          </w:tcPr>
          <w:p>
            <w:pPr>
              <w:spacing w:before="60" w:after="60"/>
              <w:ind w:rightChars="192" w:right="461"/>
              <w:jc w:val="left"/>
              <w:rPr>
                <w:rFonts w:eastAsia="Calibri"/>
                <w:noProof/>
              </w:rPr>
            </w:pPr>
            <w:r>
              <w:rPr>
                <w:noProof/>
              </w:rPr>
              <w:t>1 248</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1 000</w:t>
            </w:r>
          </w:p>
        </w:tc>
      </w:tr>
      <w:tr>
        <w:tc>
          <w:tcPr>
            <w:tcW w:w="478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sans emploi, sortis du système scolaire et sans formation (NEET) visés</w:t>
            </w:r>
          </w:p>
        </w:tc>
        <w:tc>
          <w:tcPr>
            <w:tcW w:w="4501"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786"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4501" w:type="dxa"/>
            <w:tcBorders>
              <w:bottom w:val="dotted" w:sz="4" w:space="0" w:color="auto"/>
            </w:tcBorders>
            <w:shd w:val="clear" w:color="auto" w:fill="auto"/>
            <w:vAlign w:val="center"/>
          </w:tcPr>
          <w:p>
            <w:pPr>
              <w:spacing w:before="0" w:after="0"/>
              <w:ind w:rightChars="192" w:right="461"/>
              <w:jc w:val="left"/>
              <w:rPr>
                <w:noProof/>
              </w:rPr>
            </w:pPr>
            <w:r>
              <w:rPr>
                <w:noProof/>
              </w:rPr>
              <w:t>5 559 300</w:t>
            </w:r>
          </w:p>
        </w:tc>
      </w:tr>
      <w:tr>
        <w:tc>
          <w:tcPr>
            <w:tcW w:w="4786"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5"/>
            </w:r>
            <w:r>
              <w:rPr>
                <w:noProof/>
              </w:rPr>
              <w:t xml:space="preserve"> (en EUR)</w:t>
            </w:r>
          </w:p>
        </w:tc>
        <w:tc>
          <w:tcPr>
            <w:tcW w:w="4501"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   307 500</w:t>
            </w:r>
          </w:p>
        </w:tc>
      </w:tr>
      <w:tr>
        <w:tc>
          <w:tcPr>
            <w:tcW w:w="4786"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501"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5 866 800</w:t>
            </w:r>
          </w:p>
        </w:tc>
      </w:tr>
      <w:tr>
        <w:tc>
          <w:tcPr>
            <w:tcW w:w="4786"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501" w:type="dxa"/>
            <w:tcBorders>
              <w:top w:val="dotted" w:sz="4" w:space="0" w:color="auto"/>
            </w:tcBorders>
            <w:shd w:val="clear" w:color="auto" w:fill="auto"/>
            <w:vAlign w:val="center"/>
          </w:tcPr>
          <w:p>
            <w:pPr>
              <w:spacing w:before="0" w:after="0"/>
              <w:ind w:rightChars="192" w:right="461"/>
              <w:jc w:val="left"/>
              <w:rPr>
                <w:noProof/>
              </w:rPr>
            </w:pPr>
            <w:r>
              <w:rPr>
                <w:noProof/>
              </w:rPr>
              <w:t>3 520 080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La Finlande a présenté la demande EGF/2017/002 FI/Microsoft 2 dans un délai de 12 semaines à compter de la date à laquelle les critères d'intervention précisés à l'article 4 du règlement FEM ont été remplis, à savoir le 1</w:t>
      </w:r>
      <w:r>
        <w:rPr>
          <w:noProof/>
          <w:vertAlign w:val="superscript"/>
        </w:rPr>
        <w:t>er</w:t>
      </w:r>
      <w:r>
        <w:rPr>
          <w:noProof/>
        </w:rPr>
        <w:t> février 2017. La Commission a accusé réception de la demande à la même date et demandé des informations complémentaires à la Finlande le 15 février 2017.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21 juin 2017.</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rPr>
      </w:pPr>
      <w:r>
        <w:t>5.</w:t>
      </w:r>
      <w:r>
        <w:tab/>
      </w:r>
      <w:r>
        <w:rPr>
          <w:noProof/>
        </w:rPr>
        <w:t>La demande concerne 1 248 travailleurs licenciés chez Microsoft Oy (Microsoft Mobile Oy) et chez 11 fournisseurs ou producteurs en aval. L'entreprise principale concernée exerce ses activités dans le secteur économique relevant de la division 62 «Programmation, conseil et autres activités informatiques» de la NACE Rév. 2. Les licenciements effectués par Microsoft Mobile Oy ont principalement eu lieu dans les régions de niveau NUTS 2 d'Helsinki</w:t>
      </w:r>
      <w:r>
        <w:rPr>
          <w:noProof/>
        </w:rPr>
        <w:noBreakHyphen/>
        <w:t>Uusimaa, de Länsi</w:t>
      </w:r>
      <w:r>
        <w:rPr>
          <w:noProof/>
        </w:rPr>
        <w:noBreakHyphen/>
        <w:t>Suomi et d'Etelä</w:t>
      </w:r>
      <w:r>
        <w:rPr>
          <w:noProof/>
        </w:rPr>
        <w:noBreakHyphen/>
        <w:t>Suomi.</w:t>
      </w:r>
    </w:p>
    <w:p>
      <w:pPr>
        <w:pStyle w:val="Text1"/>
        <w:rPr>
          <w:noProof/>
        </w:rPr>
      </w:pP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Microsoft Mobile Oy</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1 191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Manpower Group Solutions</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14</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Accenture Oy</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Sale Nordic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HCL Technologies Ltd</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3</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Spellpoint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ISS Palvelut OyManpower</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20</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Symbio Finland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3</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JOT Automation Oy</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Tieto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w:t>
            </w:r>
          </w:p>
        </w:tc>
      </w:tr>
      <w:tr>
        <w:tc>
          <w:tcPr>
            <w:tcW w:w="3360" w:type="dxa"/>
            <w:tcBorders>
              <w:top w:val="nil"/>
              <w:bottom w:val="single" w:sz="4" w:space="0" w:color="auto"/>
              <w:right w:val="nil"/>
            </w:tcBorders>
            <w:shd w:val="clear" w:color="auto" w:fill="auto"/>
            <w:vAlign w:val="center"/>
          </w:tcPr>
          <w:p>
            <w:pPr>
              <w:spacing w:before="0" w:after="0"/>
              <w:jc w:val="left"/>
              <w:rPr>
                <w:noProof/>
                <w:sz w:val="20"/>
              </w:rPr>
            </w:pPr>
            <w:r>
              <w:rPr>
                <w:noProof/>
                <w:sz w:val="20"/>
              </w:rPr>
              <w:t>Lionbridge Oy</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6</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Varamiespalvelu-Group Oy</w:t>
            </w:r>
          </w:p>
        </w:tc>
        <w:tc>
          <w:tcPr>
            <w:tcW w:w="600" w:type="dxa"/>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12</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248</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salariés et de travailleurs indépendants admissibles: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248</w:t>
            </w:r>
          </w:p>
        </w:tc>
      </w:tr>
    </w:tbl>
    <w:p>
      <w:pPr>
        <w:pStyle w:val="ManualHeading3"/>
        <w:rPr>
          <w:noProof/>
        </w:rPr>
      </w:pPr>
      <w:r>
        <w:rPr>
          <w:noProof/>
        </w:rPr>
        <w:t>Critères d'intervention</w:t>
      </w:r>
    </w:p>
    <w:p>
      <w:pPr>
        <w:pStyle w:val="ManualNumPar1"/>
        <w:rPr>
          <w:noProof/>
        </w:rPr>
      </w:pPr>
      <w:r>
        <w:t>6.</w:t>
      </w:r>
      <w:r>
        <w:tab/>
      </w:r>
      <w:r>
        <w:rPr>
          <w:noProof/>
        </w:rPr>
        <w:t>La Finlande a présenté la demande au titre du critère d'intervention énoncé à l'article 4, paragraphe 1, point a), du règlement FEM, selon lequel au moins 500 travailleurs doivent être licenciés sur une période de référence de quatre mois dans une entreprise d'un État membre, y compris les travailleurs licenciés chez les fournisseurs et chez les producteurs en aval</w:t>
      </w:r>
      <w:bookmarkStart w:id="1" w:name="_Ref372189348"/>
      <w:r>
        <w:rPr>
          <w:noProof/>
        </w:rPr>
        <w:t>.</w:t>
      </w:r>
      <w:r>
        <w:rPr>
          <w:noProof/>
          <w:color w:val="FFFFFF" w:themeColor="background1"/>
        </w:rPr>
        <w:t xml:space="preserve"> </w:t>
      </w:r>
    </w:p>
    <w:p>
      <w:pPr>
        <w:pStyle w:val="ManualNumPar1"/>
        <w:rPr>
          <w:noProof/>
        </w:rPr>
      </w:pPr>
      <w:r>
        <w:t>7.</w:t>
      </w:r>
      <w:r>
        <w:tab/>
      </w:r>
      <w:r>
        <w:rPr>
          <w:noProof/>
        </w:rPr>
        <w:t xml:space="preserve">La période de référence de quatre mois pour la demande s'étend du 12 juillet 2016 au 12 novembre 2016. </w:t>
      </w:r>
      <w:bookmarkEnd w:id="1"/>
    </w:p>
    <w:p>
      <w:pPr>
        <w:pStyle w:val="ManualNumPar1"/>
        <w:rPr>
          <w:noProof/>
        </w:rPr>
      </w:pPr>
      <w:r>
        <w:t>8.</w:t>
      </w:r>
      <w:r>
        <w:tab/>
      </w:r>
      <w:r>
        <w:rPr>
          <w:noProof/>
        </w:rPr>
        <w:t>Les licenciements pendant la période de référence se présentent comme suit:</w:t>
      </w:r>
    </w:p>
    <w:p>
      <w:pPr>
        <w:pStyle w:val="Tiret1"/>
        <w:numPr>
          <w:ilvl w:val="0"/>
          <w:numId w:val="1"/>
        </w:numPr>
        <w:rPr>
          <w:noProof/>
        </w:rPr>
      </w:pPr>
      <w:r>
        <w:rPr>
          <w:noProof/>
        </w:rPr>
        <w:t>1 191 travailleurs licenciés chez Microsoft;</w:t>
      </w:r>
    </w:p>
    <w:p>
      <w:pPr>
        <w:pStyle w:val="Tiret1"/>
        <w:numPr>
          <w:ilvl w:val="0"/>
          <w:numId w:val="1"/>
        </w:numPr>
        <w:rPr>
          <w:noProof/>
        </w:rPr>
      </w:pPr>
      <w:r>
        <w:rPr>
          <w:noProof/>
        </w:rPr>
        <w:t>57 travailleurs licenciés chez les 11 fournisseurs ou producteurs en aval de Microsoft.</w:t>
      </w:r>
    </w:p>
    <w:p>
      <w:pPr>
        <w:pStyle w:val="ManualHeading3"/>
        <w:rPr>
          <w:noProof/>
        </w:rPr>
      </w:pPr>
      <w:r>
        <w:rPr>
          <w:noProof/>
        </w:rPr>
        <w:t>Calcul du nombre de licenciements et de cessations d'activité</w:t>
      </w:r>
    </w:p>
    <w:p>
      <w:pPr>
        <w:pStyle w:val="ManualNumPar1"/>
        <w:rPr>
          <w:noProof/>
        </w:rPr>
      </w:pPr>
      <w:r>
        <w:t>9.</w:t>
      </w:r>
      <w:r>
        <w:tab/>
      </w:r>
      <w:r>
        <w:rPr>
          <w:noProof/>
        </w:rPr>
        <w:t>Les licenciements pendant la période de référence ont été calculés comme suit:</w:t>
      </w:r>
    </w:p>
    <w:p>
      <w:pPr>
        <w:pStyle w:val="Tiret1"/>
        <w:numPr>
          <w:ilvl w:val="0"/>
          <w:numId w:val="1"/>
        </w:numPr>
        <w:rPr>
          <w:noProof/>
        </w:rPr>
      </w:pPr>
      <w:r>
        <w:rPr>
          <w:noProof/>
        </w:rPr>
        <w:t>1 248 à compter de la date à laquelle l'employeur a notifié le préavis de licenciement à chaque travailleur.</w:t>
      </w:r>
    </w:p>
    <w:p>
      <w:pPr>
        <w:pStyle w:val="ManualHeading3"/>
        <w:rPr>
          <w:noProof/>
        </w:rPr>
      </w:pPr>
      <w:r>
        <w:rPr>
          <w:noProof/>
        </w:rPr>
        <w:t>Bénéficiaires admissibles</w:t>
      </w:r>
    </w:p>
    <w:p>
      <w:pPr>
        <w:pStyle w:val="ManualNumPar1"/>
        <w:rPr>
          <w:noProof/>
        </w:rPr>
      </w:pPr>
      <w:r>
        <w:t>10.</w:t>
      </w:r>
      <w:r>
        <w:tab/>
      </w:r>
      <w:r>
        <w:rPr>
          <w:noProof/>
        </w:rPr>
        <w:t>Le nombre total de bénéficiaires admissibles s'élève à 1 248.</w:t>
      </w:r>
    </w:p>
    <w:p>
      <w:pPr>
        <w:pStyle w:val="ManualHeading2"/>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11.</w:t>
      </w:r>
      <w:r>
        <w:tab/>
      </w:r>
      <w:r>
        <w:rPr>
          <w:noProof/>
        </w:rPr>
        <w:t xml:space="preserve">Afin d'établir le lien entre les licenciements et les modifications majeures de la structure du commerce mondial résultant de la mondialisation, la Finlande fait valoir que la principale raison des réductions d'effectifs est la concurrence mondiale dans le secteur de la téléphonie mobile et la perte consécutive de parts de marché subie par Microsoft Mobile Oy (et son système d'exploitation basé sur Windows). </w:t>
      </w:r>
    </w:p>
    <w:p>
      <w:pPr>
        <w:pStyle w:val="ManualNumPar1"/>
        <w:rPr>
          <w:noProof/>
        </w:rPr>
      </w:pPr>
      <w:r>
        <w:t>12.</w:t>
      </w:r>
      <w:r>
        <w:tab/>
      </w:r>
      <w:r>
        <w:rPr>
          <w:noProof/>
        </w:rPr>
        <w:t>Après l'acquisition de l'activité de téléphonie mobile de Nokia par Microsoft (États</w:t>
      </w:r>
      <w:r>
        <w:rPr>
          <w:noProof/>
        </w:rPr>
        <w:noBreakHyphen/>
        <w:t>Unis), l'entreprise Microsoft Mobile Oy, dont le siège est à Espoo (Finlande), a été créée en 2014. Environ 4 700 salariés de Nokia ont été transférés chez Microsoft Mobile Oy, en Finlande.</w:t>
      </w:r>
    </w:p>
    <w:p>
      <w:pPr>
        <w:pStyle w:val="ManualNumPar1"/>
        <w:rPr>
          <w:noProof/>
        </w:rPr>
      </w:pPr>
      <w:r>
        <w:t>13.</w:t>
      </w:r>
      <w:r>
        <w:tab/>
      </w:r>
      <w:r>
        <w:rPr>
          <w:noProof/>
        </w:rPr>
        <w:t>Nokia utilisait exclusivement le système d'exploitation Windows de Microsoft et Microsoft Mobile Oy a poursuivi cette pratique. Ce système d'exploitation détenait, à la mi</w:t>
      </w:r>
      <w:r>
        <w:rPr>
          <w:noProof/>
        </w:rPr>
        <w:noBreakHyphen/>
        <w:t>2013, une part de marché mondial de 3,3 %, qui avait chuté à 0,8 % en 2016. Les systèmes d'exploitation concurrents comme Android et iOS (Apple) ont vu leurs parts de marché augmenter jusqu'à respectivement 82,2 % et 14,6 % au début de 2016</w:t>
      </w:r>
      <w:r>
        <w:rPr>
          <w:rStyle w:val="FootnoteReference"/>
          <w:noProof/>
        </w:rPr>
        <w:footnoteReference w:id="6"/>
      </w:r>
      <w:r>
        <w:rPr>
          <w:noProof/>
        </w:rPr>
        <w:t xml:space="preserve"> </w:t>
      </w:r>
      <w:r>
        <w:rPr>
          <w:rStyle w:val="FootnoteReference"/>
          <w:noProof/>
        </w:rPr>
        <w:footnoteReference w:id="7"/>
      </w:r>
      <w:r>
        <w:rPr>
          <w:noProof/>
        </w:rPr>
        <w:t>.</w:t>
      </w:r>
    </w:p>
    <w:p>
      <w:pPr>
        <w:pStyle w:val="ManualNumPar1"/>
        <w:rPr>
          <w:noProof/>
        </w:rPr>
      </w:pPr>
      <w:r>
        <w:t>14.</w:t>
      </w:r>
      <w:r>
        <w:tab/>
      </w:r>
      <w:r>
        <w:rPr>
          <w:noProof/>
        </w:rPr>
        <w:t>Cette diminution de part de marché s'est produite malgré le fait que Microsoft Mobile Oy ait lancé de nouveaux dispositifs mobiles et investi dans la conception, les composants et la commercialisation</w:t>
      </w:r>
      <w:r>
        <w:rPr>
          <w:rStyle w:val="FootnoteReference"/>
          <w:noProof/>
        </w:rPr>
        <w:footnoteReference w:id="8"/>
      </w:r>
      <w:r>
        <w:rPr>
          <w:rStyle w:val="FootnoteReference"/>
          <w:noProof/>
        </w:rPr>
        <w:t>.</w:t>
      </w:r>
      <w:r>
        <w:rPr>
          <w:noProof/>
        </w:rPr>
        <w:t>. Les concurrents proposent des matériels et des systèmes d'exploitation moins chers, qui sont très attrayants pour les nouveaux clients des marchés émergents, mais également en Europe.</w:t>
      </w:r>
    </w:p>
    <w:p>
      <w:pPr>
        <w:pStyle w:val="ManualNumPar1"/>
        <w:rPr>
          <w:noProof/>
        </w:rPr>
      </w:pPr>
      <w:r>
        <w:t>15.</w:t>
      </w:r>
      <w:r>
        <w:tab/>
      </w:r>
      <w:r>
        <w:rPr>
          <w:noProof/>
        </w:rPr>
        <w:t>La présente demande s'inscrit dans le prolongement d'une série de demandes antérieures de la Finlande concernant le déclin de Nokia (EGF/2007/003 FI/Perlos, EGF/2012/006 FI/Nokia Salo, EGF/2013/001 FI/Nokia, EGF/2015/001 FI/Broadcom, EGF/2015/005 FI/Computer Programming, EGF/2016/001 FI/Microsoft et EGF/2016/008 FI/Nokia Network Systems).</w:t>
      </w:r>
    </w:p>
    <w:p>
      <w:pPr>
        <w:pStyle w:val="ManualHeading3"/>
        <w:tabs>
          <w:tab w:val="clear" w:pos="850"/>
          <w:tab w:val="left" w:pos="0"/>
        </w:tabs>
        <w:ind w:left="0" w:firstLine="0"/>
        <w:rPr>
          <w:noProof/>
        </w:rPr>
      </w:pPr>
      <w:r>
        <w:rPr>
          <w:noProof/>
        </w:rPr>
        <w:t>Événements à l'origine des licenciements et des cessations d'activité</w:t>
      </w:r>
    </w:p>
    <w:p>
      <w:pPr>
        <w:pStyle w:val="ManualNumPar1"/>
        <w:rPr>
          <w:noProof/>
        </w:rPr>
      </w:pPr>
      <w:r>
        <w:t>16.</w:t>
      </w:r>
      <w:r>
        <w:tab/>
      </w:r>
      <w:r>
        <w:rPr>
          <w:noProof/>
        </w:rPr>
        <w:t>La fabrication de dispositifs mobiles a de plus en plus tendance à se déplacer vers des pays à moindres salaires, où les conditions de travail sont souvent médiocres</w:t>
      </w:r>
      <w:r>
        <w:rPr>
          <w:rStyle w:val="FootnoteReference"/>
          <w:noProof/>
        </w:rPr>
        <w:footnoteReference w:id="9"/>
      </w:r>
      <w:r>
        <w:rPr>
          <w:noProof/>
        </w:rPr>
        <w:t>. Les bas salaires font partie intégrante de l'efficacité par rapport aux coûts</w:t>
      </w:r>
      <w:r>
        <w:rPr>
          <w:rStyle w:val="FootnoteReference"/>
          <w:noProof/>
        </w:rPr>
        <w:footnoteReference w:id="10"/>
      </w:r>
      <w:r>
        <w:rPr>
          <w:noProof/>
        </w:rPr>
        <w:t>. Les dispositifs mobiles bon marché font l'objet d'une forte demande sur les marchés émergents. Les importations européennes sont également en hausse</w:t>
      </w:r>
      <w:r>
        <w:rPr>
          <w:rStyle w:val="FootnoteReference"/>
          <w:noProof/>
        </w:rPr>
        <w:footnoteReference w:id="11"/>
      </w:r>
      <w:r>
        <w:rPr>
          <w:rStyle w:val="FootnoteReference"/>
          <w:noProof/>
        </w:rPr>
        <w:t>.</w:t>
      </w:r>
      <w:r>
        <w:rPr>
          <w:noProof/>
        </w:rPr>
        <w:t>.</w:t>
      </w:r>
    </w:p>
    <w:p>
      <w:pPr>
        <w:pStyle w:val="ManualNumPar1"/>
        <w:rPr>
          <w:noProof/>
        </w:rPr>
      </w:pPr>
      <w:r>
        <w:t>17.</w:t>
      </w:r>
      <w:r>
        <w:tab/>
      </w:r>
      <w:r>
        <w:rPr>
          <w:noProof/>
        </w:rPr>
        <w:t>La perte de parts de marché subie par Nokia est due à l'entrée agressive sur le marché de nombreux fabricants de téléphones intelligents d'Asie de l'Est bénéficiant de faibles coûts de main</w:t>
      </w:r>
      <w:r>
        <w:rPr>
          <w:noProof/>
        </w:rPr>
        <w:noBreakHyphen/>
        <w:t>d'œuvre et de fabrication.</w:t>
      </w:r>
    </w:p>
    <w:p>
      <w:pPr>
        <w:pStyle w:val="ManualNumPar1"/>
        <w:rPr>
          <w:noProof/>
        </w:rPr>
      </w:pPr>
      <w:r>
        <w:t>18.</w:t>
      </w:r>
      <w:r>
        <w:tab/>
      </w:r>
      <w:r>
        <w:rPr>
          <w:noProof/>
        </w:rPr>
        <w:t>Les vainqueurs de cette compétition ont été les fabricants établis aux États</w:t>
      </w:r>
      <w:r>
        <w:rPr>
          <w:noProof/>
        </w:rPr>
        <w:noBreakHyphen/>
        <w:t>Unis et en Asie qui utilisent les logiciels d'exploitation Android et iOS.</w:t>
      </w:r>
    </w:p>
    <w:p>
      <w:pPr>
        <w:pStyle w:val="ManualNumPar1"/>
        <w:rPr>
          <w:noProof/>
        </w:rPr>
      </w:pPr>
      <w:r>
        <w:t>19.</w:t>
      </w:r>
      <w:r>
        <w:tab/>
      </w:r>
      <w:r>
        <w:rPr>
          <w:noProof/>
        </w:rPr>
        <w:t>Android a des centaines de partenaires, notamment en Asie, qui sortent de nouveaux téléphones chaque année. De multiples options Android sont disponibles dans les gammes de prix intermédiaire ou inférieure. Cet aspect est crucial sur des marchés tels que l'Inde, l'Afrique et le Moyen</w:t>
      </w:r>
      <w:r>
        <w:rPr>
          <w:noProof/>
        </w:rPr>
        <w:noBreakHyphen/>
        <w:t>Orient.</w:t>
      </w:r>
    </w:p>
    <w:p>
      <w:pPr>
        <w:pStyle w:val="ManualNumPar1"/>
        <w:rPr>
          <w:noProof/>
        </w:rPr>
      </w:pPr>
      <w:r>
        <w:t>20.</w:t>
      </w:r>
      <w:r>
        <w:tab/>
      </w:r>
      <w:r>
        <w:rPr>
          <w:noProof/>
        </w:rPr>
        <w:t>La fabrication de dispositifs mobiles a été transférée de la Corée du Sud vers la Chine et, plus récemment, vers des pays à coûts encore plus bas, comme le Viêt Nam</w:t>
      </w:r>
      <w:r>
        <w:rPr>
          <w:rStyle w:val="FootnoteReference"/>
          <w:noProof/>
        </w:rPr>
        <w:footnoteReference w:id="12"/>
      </w:r>
      <w:r>
        <w:rPr>
          <w:noProof/>
        </w:rPr>
        <w:t>.</w:t>
      </w:r>
    </w:p>
    <w:p>
      <w:pPr>
        <w:pStyle w:val="ManualNumPar1"/>
        <w:rPr>
          <w:noProof/>
        </w:rPr>
      </w:pPr>
      <w:r>
        <w:t>21.</w:t>
      </w:r>
      <w:r>
        <w:tab/>
      </w:r>
      <w:r>
        <w:rPr>
          <w:noProof/>
        </w:rPr>
        <w:t>En mai 2016, Microsoft a annoncé une réduction d'effectifs concernant jusqu'à 1 350 emplois chez Microsoft Mobile Oy en Finlande. Tous les sites d'activité de Microsoft Mobile Oy sont en train de fermer. Les pertes d'emploi ont touché 550 salariés dans la région d'Helsinki</w:t>
      </w:r>
      <w:r>
        <w:rPr>
          <w:noProof/>
        </w:rPr>
        <w:noBreakHyphen/>
        <w:t>Uusimaa, 500 dans celle de Pirkanmaa (région de Länsi</w:t>
      </w:r>
      <w:r>
        <w:rPr>
          <w:noProof/>
        </w:rPr>
        <w:noBreakHyphen/>
        <w:t>Suomi) et 300 à Salo (région d'Etelä</w:t>
      </w:r>
      <w:r>
        <w:rPr>
          <w:noProof/>
        </w:rPr>
        <w:noBreakHyphen/>
        <w:t xml:space="preserve">Suomi). </w:t>
      </w:r>
    </w:p>
    <w:p>
      <w:pPr>
        <w:pStyle w:val="ManualNumPar1"/>
        <w:rPr>
          <w:noProof/>
        </w:rPr>
      </w:pPr>
      <w:r>
        <w:t>22.</w:t>
      </w:r>
      <w:r>
        <w:tab/>
      </w:r>
      <w:r>
        <w:rPr>
          <w:noProof/>
        </w:rPr>
        <w:t>Une intervention en cours du FEM (EGF/2016/001 FI/Microsoft) vise à apporter un soutien aux salariés licenciés chez Microsoft antérieurement. Les bénéficiaires visés par la présente proposition sont distincts de ceux visés par ladite intervention.</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autoSpaceDE w:val="0"/>
        <w:autoSpaceDN w:val="0"/>
        <w:adjustRightInd w:val="0"/>
        <w:spacing w:before="0" w:after="0"/>
        <w:jc w:val="left"/>
        <w:rPr>
          <w:noProof/>
          <w:szCs w:val="24"/>
        </w:rPr>
      </w:pPr>
      <w:r>
        <w:rPr>
          <w:noProof/>
        </w:rPr>
        <w:t>Les régions de niveau NUTS 2 concernées sont celles d'Helsinki</w:t>
      </w:r>
      <w:r>
        <w:rPr>
          <w:noProof/>
        </w:rPr>
        <w:noBreakHyphen/>
        <w:t>Uusimaa, d'Etelä</w:t>
      </w:r>
      <w:r>
        <w:rPr>
          <w:noProof/>
        </w:rPr>
        <w:noBreakHyphen/>
        <w:t>Suomi et de Länsi</w:t>
      </w:r>
      <w:r>
        <w:rPr>
          <w:noProof/>
        </w:rPr>
        <w:noBreakHyphen/>
        <w:t>Suomi.</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Helsinki-Uusimaa</w:t>
      </w:r>
    </w:p>
    <w:p>
      <w:pPr>
        <w:pStyle w:val="ManualNumPar1"/>
        <w:rPr>
          <w:noProof/>
        </w:rPr>
      </w:pPr>
      <w:r>
        <w:t>23.</w:t>
      </w:r>
      <w:r>
        <w:tab/>
      </w:r>
      <w:r>
        <w:rPr>
          <w:noProof/>
        </w:rPr>
        <w:t>Entre 2012 et 2016, les licenciements massifs ont principalement concerné les industries du matériel électronique et des logiciels. À l'automne 2016, des licenciements ont eu lieu dans divers secteurs manufacturiers et dans la construction.</w:t>
      </w:r>
    </w:p>
    <w:p>
      <w:pPr>
        <w:pStyle w:val="ManualNumPar1"/>
        <w:rPr>
          <w:noProof/>
        </w:rPr>
      </w:pPr>
      <w:r>
        <w:t>24.</w:t>
      </w:r>
      <w:r>
        <w:tab/>
      </w:r>
      <w:r>
        <w:rPr>
          <w:noProof/>
        </w:rPr>
        <w:t>Au troisième trimestre de 2016, le nombre de personnes occupées dans le secteur de l'information et des communications au sein de la région d'Uusimaa était inférieur de 6 000 à son niveau de l'année précédente. Le chômage parmi les groupes à niveau d'éducation élevé et les professionnels des TIC continue de croître</w:t>
      </w:r>
      <w:r>
        <w:rPr>
          <w:rStyle w:val="FootnoteReference"/>
          <w:noProof/>
        </w:rPr>
        <w:footnoteReference w:id="13"/>
      </w:r>
      <w:r>
        <w:rPr>
          <w:noProof/>
        </w:rPr>
        <w:t>.</w:t>
      </w:r>
    </w:p>
    <w:p>
      <w:pPr>
        <w:pStyle w:val="ManualNumPar1"/>
        <w:rPr>
          <w:noProof/>
        </w:rPr>
      </w:pPr>
      <w:r>
        <w:t>25.</w:t>
      </w:r>
      <w:r>
        <w:tab/>
      </w:r>
      <w:r>
        <w:rPr>
          <w:noProof/>
        </w:rPr>
        <w:t xml:space="preserve">Au cours de la période 2012–2016, les licenciements massifs dans les villes d'Helsinki, d'Espoo et de Vantaa ont principalement concerné les industries du matériel électronique et des logiciels. Ces entreprises ont licencié plus de 5 000 travailleurs entre 2012 et 2016. </w:t>
      </w:r>
    </w:p>
    <w:p>
      <w:pPr>
        <w:pStyle w:val="ManualNumPar1"/>
        <w:rPr>
          <w:noProof/>
        </w:rPr>
      </w:pPr>
      <w:r>
        <w:t>26.</w:t>
      </w:r>
      <w:r>
        <w:tab/>
      </w:r>
      <w:r>
        <w:rPr>
          <w:noProof/>
        </w:rPr>
        <w:t>Environ 72 % des personnes licenciées par Microsoft dans la région ont un niveau d'éducation élevé.</w:t>
      </w:r>
    </w:p>
    <w:p>
      <w:pPr>
        <w:autoSpaceDE w:val="0"/>
        <w:autoSpaceDN w:val="0"/>
        <w:adjustRightInd w:val="0"/>
        <w:spacing w:before="0" w:after="0"/>
        <w:jc w:val="left"/>
        <w:rPr>
          <w:b/>
          <w:bCs/>
          <w:noProof/>
          <w:szCs w:val="24"/>
        </w:rPr>
      </w:pPr>
      <w:r>
        <w:rPr>
          <w:b/>
          <w:noProof/>
        </w:rPr>
        <w:t xml:space="preserve">Länsi-Suomi </w:t>
      </w:r>
    </w:p>
    <w:p>
      <w:pPr>
        <w:pStyle w:val="ManualNumPar1"/>
        <w:rPr>
          <w:noProof/>
        </w:rPr>
      </w:pPr>
      <w:r>
        <w:t>27.</w:t>
      </w:r>
      <w:r>
        <w:tab/>
      </w:r>
      <w:r>
        <w:rPr>
          <w:noProof/>
        </w:rPr>
        <w:t xml:space="preserve">Dans cette région de niveau NUTS 2, la région la plus touchée par les licenciements de Microsoft Mobile Oy est celle de Pirkanmaa. </w:t>
      </w:r>
    </w:p>
    <w:p>
      <w:pPr>
        <w:pStyle w:val="ManualNumPar1"/>
        <w:rPr>
          <w:noProof/>
        </w:rPr>
      </w:pPr>
      <w:r>
        <w:t>28.</w:t>
      </w:r>
      <w:r>
        <w:tab/>
      </w:r>
      <w:r>
        <w:rPr>
          <w:noProof/>
        </w:rPr>
        <w:t>En 2016, l'office de l'emploi et du développement économique (office TE) de Pirkanmaa comptait un nombre total de 38 077 demandeurs d'emploi au chômage, ce qui correspondait à 14,6 % de la population active</w:t>
      </w:r>
      <w:r>
        <w:rPr>
          <w:rStyle w:val="FootnoteReference"/>
          <w:noProof/>
        </w:rPr>
        <w:footnoteReference w:id="14"/>
      </w:r>
      <w:r>
        <w:rPr>
          <w:noProof/>
        </w:rPr>
        <w:t xml:space="preserve">. </w:t>
      </w:r>
    </w:p>
    <w:p>
      <w:pPr>
        <w:pStyle w:val="ManualNumPar1"/>
        <w:rPr>
          <w:noProof/>
        </w:rPr>
      </w:pPr>
      <w:r>
        <w:t>29.</w:t>
      </w:r>
      <w:r>
        <w:tab/>
      </w:r>
      <w:r>
        <w:rPr>
          <w:noProof/>
        </w:rPr>
        <w:t xml:space="preserve">Quelque 1 700 demandeurs d'emploi du secteur des TIC sont actuellement inscrits au chômage à l'office TE de Pirkanmaa. En 2016, les chômeurs de longue durée représentaient 40 % de l'ensemble des demandeurs d'emploi du secteur des TIC inscrits au chômage dans la région de Pirkanmaa. </w:t>
      </w:r>
    </w:p>
    <w:p>
      <w:pPr>
        <w:pStyle w:val="ManualNumPar1"/>
        <w:rPr>
          <w:noProof/>
        </w:rPr>
      </w:pPr>
      <w:r>
        <w:t>30.</w:t>
      </w:r>
      <w:r>
        <w:tab/>
      </w:r>
      <w:r>
        <w:rPr>
          <w:noProof/>
        </w:rPr>
        <w:t>Le groupe professionnel qui connaît la plus forte hausse du chômage est celui des spécialistes, à niveau d'éducation élevé. En septembre 2016, un nombre total de 6 084 personnes possédant un diplôme universitaire étaient enregistrées comme demandeurs d'emploi au chômage dans la région. Le taux de chômage des travailleurs à haut niveau d'éducation du secteur des technologies a progressé, l'an dernier, de 8,1 points de pourcentage dans la région.</w:t>
      </w:r>
    </w:p>
    <w:p>
      <w:pPr>
        <w:autoSpaceDE w:val="0"/>
        <w:autoSpaceDN w:val="0"/>
        <w:adjustRightInd w:val="0"/>
        <w:spacing w:before="0" w:after="0"/>
        <w:jc w:val="left"/>
        <w:rPr>
          <w:b/>
          <w:bCs/>
          <w:noProof/>
          <w:szCs w:val="24"/>
        </w:rPr>
      </w:pPr>
      <w:r>
        <w:rPr>
          <w:b/>
          <w:noProof/>
        </w:rPr>
        <w:t xml:space="preserve">Etelä-Suomi </w:t>
      </w:r>
    </w:p>
    <w:p>
      <w:pPr>
        <w:pStyle w:val="ManualNumPar1"/>
        <w:rPr>
          <w:noProof/>
        </w:rPr>
      </w:pPr>
      <w:r>
        <w:t>31.</w:t>
      </w:r>
      <w:r>
        <w:tab/>
      </w:r>
      <w:r>
        <w:rPr>
          <w:noProof/>
        </w:rPr>
        <w:t xml:space="preserve">Dans cette région, la zone la plus touchée par les licenciements de Microsoft Mobile Oy est la ville de Salo. Selon l'office TE, 300 salariés perdront leur emploi chez Microsoft à Salo. </w:t>
      </w:r>
    </w:p>
    <w:p>
      <w:pPr>
        <w:pStyle w:val="ManualNumPar1"/>
        <w:rPr>
          <w:noProof/>
        </w:rPr>
      </w:pPr>
      <w:r>
        <w:t>32.</w:t>
      </w:r>
      <w:r>
        <w:tab/>
      </w:r>
      <w:r>
        <w:rPr>
          <w:noProof/>
        </w:rPr>
        <w:t xml:space="preserve">La ville de Salo a perdu, au total, 6 900 emplois entre 2007 et 2014, ce qui correspond à une baisse de 26 points de pourcentage du nombre d'emplois. En raison de la fin de l'ancienne activité de production de téléphones mobiles de Nokia et de la crise économique, le taux de chômage a plus que doublé entre 2008 et 2016 dans cette zone. </w:t>
      </w:r>
    </w:p>
    <w:p>
      <w:pPr>
        <w:pStyle w:val="ManualNumPar1"/>
        <w:rPr>
          <w:rStyle w:val="FootnoteReference"/>
          <w:noProof/>
          <w:vertAlign w:val="baseline"/>
        </w:rPr>
      </w:pPr>
      <w:r>
        <w:rPr>
          <w:rStyle w:val="FootnoteReference"/>
        </w:rPr>
        <w:t>33.</w:t>
      </w:r>
      <w:r>
        <w:rPr>
          <w:rStyle w:val="FootnoteReference"/>
        </w:rPr>
        <w:tab/>
      </w:r>
      <w:r>
        <w:rPr>
          <w:noProof/>
        </w:rPr>
        <w:t>Le taux de chômage dans la zone a augmenté de plus de dix points de pourcentage, passant de 7,0 à 17,5 %. Cette variation est exceptionnelle, même par rapport à d'autres municipalités finlandaises avec présence de sites Nokia/Microsoft</w:t>
      </w:r>
      <w:r>
        <w:rPr>
          <w:rStyle w:val="FootnoteReference"/>
          <w:noProof/>
        </w:rPr>
        <w:footnoteReference w:id="15"/>
      </w:r>
      <w:r>
        <w:rPr>
          <w:rStyle w:val="FootnoteReference"/>
          <w:noProof/>
        </w:rPr>
        <w:t>.</w:t>
      </w:r>
      <w:r>
        <w:rPr>
          <w:noProof/>
        </w:rPr>
        <w:t>.</w:t>
      </w:r>
    </w:p>
    <w:p>
      <w:pPr>
        <w:pStyle w:val="ManualNumPar1"/>
        <w:rPr>
          <w:noProof/>
        </w:rPr>
      </w:pPr>
      <w:r>
        <w:t>34.</w:t>
      </w:r>
      <w:r>
        <w:tab/>
      </w:r>
      <w:r>
        <w:rPr>
          <w:noProof/>
        </w:rPr>
        <w:t xml:space="preserve">La proportion de personnes à niveau d'éducation élevé parmi les chômeurs à Salo a augmenté. </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35.</w:t>
      </w:r>
      <w:r>
        <w:tab/>
      </w:r>
      <w:r>
        <w:rPr>
          <w:noProof/>
        </w:rPr>
        <w:t>On estime à 1 000 le nombre de travailleurs licenciés susceptibles de participer aux mesures.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740</w:t>
            </w:r>
          </w:p>
        </w:tc>
        <w:tc>
          <w:tcPr>
            <w:tcW w:w="1176" w:type="dxa"/>
            <w:tcBorders>
              <w:top w:val="single" w:sz="4" w:space="0" w:color="auto"/>
              <w:left w:val="nil"/>
              <w:right w:val="nil"/>
            </w:tcBorders>
            <w:hideMark/>
          </w:tcPr>
          <w:p>
            <w:pPr>
              <w:spacing w:before="60" w:after="60"/>
              <w:jc w:val="right"/>
              <w:rPr>
                <w:noProof/>
              </w:rPr>
            </w:pPr>
            <w:r>
              <w:rPr>
                <w:noProof/>
              </w:rPr>
              <w:t>(74,0 %)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260</w:t>
            </w:r>
          </w:p>
        </w:tc>
        <w:tc>
          <w:tcPr>
            <w:tcW w:w="1176" w:type="dxa"/>
            <w:tcBorders>
              <w:bottom w:val="single" w:sz="4" w:space="0" w:color="auto"/>
            </w:tcBorders>
            <w:hideMark/>
          </w:tcPr>
          <w:p>
            <w:pPr>
              <w:spacing w:before="60" w:after="60"/>
              <w:jc w:val="right"/>
              <w:rPr>
                <w:noProof/>
              </w:rPr>
            </w:pPr>
            <w:r>
              <w:rPr>
                <w:noProof/>
              </w:rPr>
              <w:t>(26,0 %)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955</w:t>
            </w:r>
          </w:p>
        </w:tc>
        <w:tc>
          <w:tcPr>
            <w:tcW w:w="1176" w:type="dxa"/>
            <w:tcBorders>
              <w:top w:val="single" w:sz="4" w:space="0" w:color="auto"/>
            </w:tcBorders>
            <w:hideMark/>
          </w:tcPr>
          <w:p>
            <w:pPr>
              <w:spacing w:before="60" w:after="60"/>
              <w:jc w:val="right"/>
              <w:rPr>
                <w:noProof/>
              </w:rPr>
            </w:pPr>
            <w:r>
              <w:rPr>
                <w:noProof/>
              </w:rPr>
              <w:t>(95,5 %)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45</w:t>
            </w:r>
          </w:p>
        </w:tc>
        <w:tc>
          <w:tcPr>
            <w:tcW w:w="1176" w:type="dxa"/>
            <w:tcBorders>
              <w:bottom w:val="single" w:sz="4" w:space="0" w:color="auto"/>
            </w:tcBorders>
            <w:hideMark/>
          </w:tcPr>
          <w:p>
            <w:pPr>
              <w:spacing w:before="60" w:after="60"/>
              <w:jc w:val="right"/>
              <w:rPr>
                <w:noProof/>
              </w:rPr>
            </w:pPr>
            <w:r>
              <w:rPr>
                <w:noProof/>
              </w:rPr>
              <w:t>(4,5 %)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25</w:t>
            </w:r>
          </w:p>
        </w:tc>
        <w:tc>
          <w:tcPr>
            <w:tcW w:w="1176" w:type="dxa"/>
            <w:hideMark/>
          </w:tcPr>
          <w:p>
            <w:pPr>
              <w:spacing w:before="60" w:after="60"/>
              <w:jc w:val="right"/>
              <w:rPr>
                <w:noProof/>
              </w:rPr>
            </w:pPr>
            <w:r>
              <w:rPr>
                <w:noProof/>
              </w:rPr>
              <w:t>(2,5 %)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925</w:t>
            </w:r>
          </w:p>
        </w:tc>
        <w:tc>
          <w:tcPr>
            <w:tcW w:w="1176" w:type="dxa"/>
            <w:hideMark/>
          </w:tcPr>
          <w:p>
            <w:pPr>
              <w:spacing w:before="60" w:after="60"/>
              <w:jc w:val="right"/>
              <w:rPr>
                <w:noProof/>
              </w:rPr>
            </w:pPr>
            <w:r>
              <w:rPr>
                <w:noProof/>
              </w:rPr>
              <w:t>(92,5 %)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50</w:t>
            </w:r>
          </w:p>
        </w:tc>
        <w:tc>
          <w:tcPr>
            <w:tcW w:w="1176" w:type="dxa"/>
            <w:hideMark/>
          </w:tcPr>
          <w:p>
            <w:pPr>
              <w:spacing w:before="60" w:after="60"/>
              <w:jc w:val="right"/>
              <w:rPr>
                <w:noProof/>
              </w:rPr>
            </w:pPr>
            <w:r>
              <w:rPr>
                <w:noProof/>
              </w:rPr>
              <w:t>(5,0 %)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(0 %)</w:t>
            </w:r>
          </w:p>
        </w:tc>
      </w:tr>
    </w:tbl>
    <w:p>
      <w:pPr>
        <w:pStyle w:val="ManualHeading3"/>
        <w:rPr>
          <w:noProof/>
          <w:u w:val="single"/>
        </w:rPr>
      </w:pPr>
      <w:r>
        <w:rPr>
          <w:noProof/>
        </w:rPr>
        <w:t>Admissibilité des actions proposées</w:t>
      </w:r>
    </w:p>
    <w:p>
      <w:pPr>
        <w:pStyle w:val="ManualNumPar1"/>
        <w:rPr>
          <w:noProof/>
        </w:rPr>
      </w:pPr>
      <w:bookmarkStart w:id="2" w:name="_Ref372214239"/>
      <w:r>
        <w:t>36.</w:t>
      </w:r>
      <w:r>
        <w:tab/>
      </w:r>
      <w:r>
        <w:rPr>
          <w:noProof/>
        </w:rPr>
        <w:t xml:space="preserve">Les services personnalisés à fournir aux travailleurs licenciés comportent les actions suivantes: </w:t>
      </w:r>
      <w:bookmarkEnd w:id="2"/>
    </w:p>
    <w:p>
      <w:pPr>
        <w:pStyle w:val="Tiret1"/>
        <w:rPr>
          <w:noProof/>
        </w:rPr>
      </w:pPr>
      <w:r>
        <w:rPr>
          <w:noProof/>
          <w:u w:val="single"/>
        </w:rPr>
        <w:t>Mesures d'accompagnement individualisé (coaching) et autres mesures de préparation</w:t>
      </w:r>
      <w:r>
        <w:rPr>
          <w:noProof/>
        </w:rPr>
        <w:t>: ces mesures comprendront la formation à la recherche d'emploi, le soutien à la mobilité de la main</w:t>
      </w:r>
      <w:r>
        <w:rPr>
          <w:noProof/>
        </w:rPr>
        <w:noBreakHyphen/>
        <w:t>d'œuvre (services EURES), l'orientation individuelle (accompagnement professionnel individualisé), l'accompagnement professionnel à la gestion de carrière et les évaluations d'experts.</w:t>
      </w:r>
    </w:p>
    <w:p>
      <w:pPr>
        <w:pStyle w:val="Tiret1"/>
        <w:rPr>
          <w:noProof/>
          <w:u w:val="single"/>
        </w:rPr>
      </w:pPr>
      <w:r>
        <w:rPr>
          <w:noProof/>
          <w:u w:val="single"/>
        </w:rPr>
        <w:t>Services en faveur de l'emploi et des entreprises:</w:t>
      </w:r>
      <w:r>
        <w:rPr>
          <w:noProof/>
        </w:rPr>
        <w:t xml:space="preserve"> ces mesures comprendront l'aide à la recherche autonome d'emploi, l'évaluation des compétences, des offres d'essais et des événements de recrutement.</w:t>
      </w:r>
    </w:p>
    <w:p>
      <w:pPr>
        <w:pStyle w:val="Tiret1"/>
        <w:rPr>
          <w:noProof/>
          <w:u w:val="single"/>
        </w:rPr>
      </w:pPr>
      <w:r>
        <w:rPr>
          <w:noProof/>
          <w:u w:val="single"/>
        </w:rPr>
        <w:t>Formation</w:t>
      </w:r>
      <w:r>
        <w:rPr>
          <w:noProof/>
        </w:rPr>
        <w:t>: cette mesure comprendra la formation professionnelle, la formation continue et la formation au changement, la reconversion, la formation à l'entrepreneuriat et la formation relative à la mobilité de la main</w:t>
      </w:r>
      <w:r>
        <w:rPr>
          <w:noProof/>
        </w:rPr>
        <w:noBreakHyphen/>
        <w:t>d'œuvre.</w:t>
      </w:r>
      <w:r>
        <w:rPr>
          <w:noProof/>
          <w:u w:val="single"/>
        </w:rPr>
        <w:t xml:space="preserve"> </w:t>
      </w:r>
    </w:p>
    <w:p>
      <w:pPr>
        <w:pStyle w:val="Tiret1"/>
        <w:rPr>
          <w:noProof/>
        </w:rPr>
      </w:pPr>
      <w:r>
        <w:rPr>
          <w:noProof/>
          <w:u w:val="single"/>
        </w:rPr>
        <w:t xml:space="preserve">Subvention de démarrage: </w:t>
      </w:r>
      <w:r>
        <w:rPr>
          <w:noProof/>
        </w:rPr>
        <w:t>cette mesure consistera à fournir des subventions de démarrage permettant de promouvoir la création d'une activité économique, de lancer et de mettre en place une activité à temps plein, dans le secteur des TIC ou dans d'autres secteurs.</w:t>
      </w:r>
    </w:p>
    <w:p>
      <w:pPr>
        <w:pStyle w:val="Tiret1"/>
        <w:rPr>
          <w:noProof/>
        </w:rPr>
      </w:pPr>
      <w:r>
        <w:rPr>
          <w:noProof/>
          <w:u w:val="single"/>
        </w:rPr>
        <w:t>Prime à l'embauche</w:t>
      </w:r>
      <w:r>
        <w:rPr>
          <w:noProof/>
        </w:rPr>
        <w:t>: cette mesure encouragera le recrutement dans un nouvel emploi en réduisant les coûts salariaux. La prime à l'embauche représente 30 à 50 % des coûts salariaux.</w:t>
      </w:r>
    </w:p>
    <w:p>
      <w:pPr>
        <w:pStyle w:val="Tiret1"/>
        <w:rPr>
          <w:noProof/>
        </w:rPr>
      </w:pPr>
      <w:r>
        <w:rPr>
          <w:noProof/>
          <w:u w:val="single"/>
        </w:rPr>
        <w:t>Allocations de voyage et d'hébergement:</w:t>
      </w:r>
      <w:r>
        <w:rPr>
          <w:noProof/>
        </w:rPr>
        <w:t xml:space="preserve"> cette mesure est destinée à couvrir les frais encourus par le demandeur d'emploi lors d'une action de formation.</w:t>
      </w:r>
    </w:p>
    <w:p>
      <w:pPr>
        <w:pStyle w:val="ManualNumPar1"/>
        <w:rPr>
          <w:noProof/>
        </w:rPr>
      </w:pPr>
      <w:bookmarkStart w:id="3" w:name="_Ref372214242"/>
      <w:r>
        <w:t>37.</w:t>
      </w:r>
      <w:r>
        <w:tab/>
      </w:r>
      <w:r>
        <w:rPr>
          <w:noProof/>
        </w:rPr>
        <w:t>Les actions proposées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38.</w:t>
      </w:r>
      <w:r>
        <w:tab/>
      </w:r>
      <w:r>
        <w:rPr>
          <w:noProof/>
        </w:rPr>
        <w:t>La Finlande a fourni les informations requises sur les actions revêtant un caractère obligatoire pour l'entreprise concernée en vertu du droit national ou de conventions collectives. Elles ont confirmé qu'une contribution financière du FEM ne se substituerait pas à ces actions.</w:t>
      </w:r>
      <w:bookmarkEnd w:id="3"/>
    </w:p>
    <w:p>
      <w:pPr>
        <w:pStyle w:val="ManualHeading3"/>
        <w:rPr>
          <w:noProof/>
        </w:rPr>
      </w:pPr>
      <w:r>
        <w:rPr>
          <w:noProof/>
        </w:rPr>
        <w:t>Budget prévisionnel</w:t>
      </w:r>
    </w:p>
    <w:p>
      <w:pPr>
        <w:pStyle w:val="ManualNumPar1"/>
        <w:rPr>
          <w:noProof/>
        </w:rPr>
      </w:pPr>
      <w:r>
        <w:t>39.</w:t>
      </w:r>
      <w:r>
        <w:tab/>
      </w:r>
      <w:r>
        <w:rPr>
          <w:noProof/>
        </w:rPr>
        <w:t>Le coût total estimé s'élève à 5 866 800 EUR; il correspond aux dépenses pour les services personnalisés à concurrence de 5 559 300 EUR et aux dépenses pour financer les activités de préparation, de gestion, d'information et de publicité, ainsi que celles de contrôle et de rapport, à concurrence de 307 500 EUR.</w:t>
      </w:r>
    </w:p>
    <w:p>
      <w:pPr>
        <w:pStyle w:val="ManualNumPar1"/>
        <w:rPr>
          <w:noProof/>
        </w:rPr>
      </w:pPr>
      <w:bookmarkStart w:id="4" w:name="_Ref372550770"/>
      <w:r>
        <w:t>40.</w:t>
      </w:r>
      <w:r>
        <w:tab/>
      </w:r>
      <w:r>
        <w:rPr>
          <w:noProof/>
        </w:rPr>
        <w:t>La contribution financière totale demandée au FEM s'élève à 3 520 080 EUR (soit 60 % du coût total).</w:t>
      </w:r>
      <w:bookmarkEnd w:id="4"/>
    </w:p>
    <w:p>
      <w:pPr>
        <w:pStyle w:val="Text1"/>
        <w:rPr>
          <w:noProof/>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 xml:space="preserve">(en EUR) </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Mesures d'accompagnement individualisé (coaching) et autres mesures de préparation (</w:t>
            </w:r>
            <w:r>
              <w:rPr>
                <w:i/>
                <w:noProof/>
                <w:color w:val="000000" w:themeColor="text1"/>
              </w:rPr>
              <w:t>Valmennukset ja muut valmentavat toimenpiteet</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1 200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234 000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Services en faveur de l'emploi et des entreprises (</w:t>
            </w:r>
            <w:r>
              <w:rPr>
                <w:i/>
                <w:noProof/>
                <w:color w:val="000000" w:themeColor="text1"/>
              </w:rPr>
              <w:t>Työllisyys- ja yrityspalvelut</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484 800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 (</w:t>
            </w:r>
            <w:r>
              <w:rPr>
                <w:i/>
                <w:noProof/>
                <w:color w:val="000000" w:themeColor="text1"/>
              </w:rPr>
              <w:t>Koulutus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535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3 210 000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Subvention de démarrage (</w:t>
            </w:r>
            <w:r>
              <w:rPr>
                <w:i/>
                <w:noProof/>
                <w:color w:val="000000" w:themeColor="text1"/>
              </w:rPr>
              <w:t>Starttiraha</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144 000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4 072 800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(73,26</w:t>
            </w:r>
            <w:r>
              <w:rPr>
                <w:noProof/>
              </w:rPr>
              <w:t>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Prime à l'embauche (</w:t>
            </w:r>
            <w:r>
              <w:rPr>
                <w:i/>
                <w:noProof/>
                <w:color w:val="000000" w:themeColor="text1"/>
              </w:rPr>
              <w:t>Palkkatuki</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1 467 000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Allocations de voyage et d'hébergement (</w:t>
            </w:r>
            <w:r>
              <w:rPr>
                <w:i/>
                <w:noProof/>
                <w:color w:val="000000" w:themeColor="text1"/>
              </w:rPr>
              <w:t>Liikkuvuusavustus</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19 500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1 486 500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(26,74</w:t>
            </w:r>
            <w:r>
              <w:rPr>
                <w:noProof/>
              </w:rPr>
              <w:t>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9 000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143 000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115 500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noProof/>
              </w:rPr>
            </w:pPr>
            <w:r>
              <w:rPr>
                <w:noProof/>
              </w:rPr>
              <w:t> 40 000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noProof/>
              </w:rPr>
            </w:pPr>
            <w:r>
              <w:rPr>
                <w:noProof/>
              </w:rPr>
              <w:t>307 500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noProof/>
              </w:rPr>
            </w:pPr>
            <w:r>
              <w:rPr>
                <w:noProof/>
              </w:rPr>
              <w:t>(5,24 %)</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5 866 800</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3 520 080</w:t>
            </w:r>
          </w:p>
        </w:tc>
      </w:tr>
    </w:tbl>
    <w:p>
      <w:pPr>
        <w:pStyle w:val="Text1"/>
        <w:rPr>
          <w:i/>
          <w:noProof/>
        </w:rPr>
      </w:pPr>
      <w:r>
        <w:rPr>
          <w:i/>
          <w:noProof/>
        </w:rPr>
        <w:t>*: chiffres en % arrondis, autres chiffres non</w:t>
      </w:r>
    </w:p>
    <w:p>
      <w:pPr>
        <w:pStyle w:val="ManualNumPar1"/>
        <w:rPr>
          <w:noProof/>
          <w:szCs w:val="20"/>
        </w:rPr>
      </w:pPr>
      <w:r>
        <w:t>41.</w:t>
      </w:r>
      <w:r>
        <w:tab/>
      </w:r>
      <w:r>
        <w:rPr>
          <w:noProof/>
        </w:rPr>
        <w:t>Le coût des actions indiquées dans le tableau ci</w:t>
      </w:r>
      <w:r>
        <w:rPr>
          <w:noProof/>
        </w:rPr>
        <w:noBreakHyphen/>
        <w:t>dessus en tant qu'actions menées au titre de l'article 7, paragraphe 1, point b), du règlement FEM ne dépasse pas 35 % du coût total de l'ensemble coordonné de services personnalisés. La Finlande a confirmé que ces actions étaient conditionnées à la participation active des bénéficiaires visés à des activités de recherche d'emploi ou de formation.</w:t>
      </w:r>
    </w:p>
    <w:p>
      <w:pPr>
        <w:pStyle w:val="ManualNumPar1"/>
        <w:rPr>
          <w:noProof/>
        </w:rPr>
      </w:pPr>
      <w:r>
        <w:t>42.</w:t>
      </w:r>
      <w:r>
        <w:tab/>
      </w:r>
      <w:r>
        <w:rPr>
          <w:noProof/>
        </w:rPr>
        <w:t xml:space="preserve">La Finlande a confirmé que les coûts d'investissement pour l'emploi indépendant, la création d'entreprises et la reprise d'entreprises par les salariés ne dépasseraient pas 15 000 EUR par bénéficiaire. </w:t>
      </w:r>
    </w:p>
    <w:p>
      <w:pPr>
        <w:pStyle w:val="ManualHeading3"/>
        <w:rPr>
          <w:noProof/>
        </w:rPr>
      </w:pPr>
      <w:r>
        <w:rPr>
          <w:noProof/>
        </w:rPr>
        <w:t>Période d'admissibilité des dépenses</w:t>
      </w:r>
    </w:p>
    <w:p>
      <w:pPr>
        <w:pStyle w:val="ManualNumPar1"/>
        <w:rPr>
          <w:noProof/>
        </w:rPr>
      </w:pPr>
      <w:r>
        <w:t>43.</w:t>
      </w:r>
      <w:r>
        <w:tab/>
      </w:r>
      <w:r>
        <w:rPr>
          <w:noProof/>
        </w:rPr>
        <w:t>La Finlande a commencé à fournir les services personnalisés aux bénéficiaires visés le 12 juillet 2016. Les dépenses relatives aux actions seront donc admissibles, au titre de la contribution financière du FEM, du 12 juillet 2016 au 1</w:t>
      </w:r>
      <w:r>
        <w:rPr>
          <w:noProof/>
          <w:vertAlign w:val="superscript"/>
        </w:rPr>
        <w:t>er</w:t>
      </w:r>
      <w:r>
        <w:rPr>
          <w:noProof/>
        </w:rPr>
        <w:t> février 2019.</w:t>
      </w:r>
    </w:p>
    <w:p>
      <w:pPr>
        <w:pStyle w:val="ManualNumPar1"/>
        <w:rPr>
          <w:noProof/>
        </w:rPr>
      </w:pPr>
      <w:r>
        <w:t>44.</w:t>
      </w:r>
      <w:r>
        <w:tab/>
      </w:r>
      <w:r>
        <w:rPr>
          <w:noProof/>
        </w:rPr>
        <w:t>La Finlande a commencé à engager les dépenses administratives pour la mise en œuvre du FEM le 12 juillet 2016. Les dépenses relatives aux activités de préparation, de gestion, d'information et de publicité, ainsi que de contrôle et de rapport, sont donc admissibles, au titre de la contribution financière du FEM, du 12 juillet 2016 au 1</w:t>
      </w:r>
      <w:r>
        <w:rPr>
          <w:noProof/>
          <w:vertAlign w:val="superscript"/>
        </w:rPr>
        <w:t>er</w:t>
      </w:r>
      <w:r>
        <w:rPr>
          <w:noProof/>
        </w:rPr>
        <w:t xml:space="preserve"> août 2019. </w:t>
      </w:r>
    </w:p>
    <w:p>
      <w:pPr>
        <w:pStyle w:val="ManualHeading3"/>
        <w:rPr>
          <w:noProof/>
        </w:rPr>
      </w:pPr>
      <w:r>
        <w:rPr>
          <w:noProof/>
        </w:rPr>
        <w:t>Complémentarité avec des actions financées par des fonds nationaux ou d'autres fonds de l'Union</w:t>
      </w:r>
    </w:p>
    <w:p>
      <w:pPr>
        <w:pStyle w:val="ManualNumPar1"/>
        <w:rPr>
          <w:noProof/>
        </w:rPr>
      </w:pPr>
      <w:r>
        <w:t>45.</w:t>
      </w:r>
      <w:r>
        <w:tab/>
      </w:r>
      <w:r>
        <w:rPr>
          <w:noProof/>
        </w:rPr>
        <w:t>La source de préfinancement ou de cofinancement national est le poste consacré aux services publics de l'emploi dans la branche administrative du ministère des affaires économiques et de l'emploi (MEE). Certains services seront également financés à partir du poste prévu pour couvrir les dépenses de fonctionnement des centres pour le développement économique (centres ELY) et des offices TE.</w:t>
      </w:r>
    </w:p>
    <w:p>
      <w:pPr>
        <w:pStyle w:val="ManualNumPar1"/>
        <w:rPr>
          <w:noProof/>
        </w:rPr>
      </w:pPr>
      <w:r>
        <w:t>46.</w:t>
      </w:r>
      <w:r>
        <w:tab/>
      </w:r>
      <w:r>
        <w:rPr>
          <w:noProof/>
        </w:rPr>
        <w:t>La Finlande a confirmé que les mesures décrites ci</w:t>
      </w:r>
      <w:r>
        <w:rPr>
          <w:noProof/>
        </w:rPr>
        <w:noBreakHyphen/>
        <w:t>dessus qui bénéficient d'une contribution financière du FEM ne recevraient pas également une aide d'autres instruments financiers de l'Union.</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47.</w:t>
      </w:r>
      <w:r>
        <w:tab/>
      </w:r>
      <w:r>
        <w:rPr>
          <w:noProof/>
        </w:rPr>
        <w:t xml:space="preserve">La Finlande a indiqué que l'ensemble coordonné de services personnalisés a été établi en concertation avec un groupe de travail, qui comprenait les représentants des centres ELY et des offices TE des régions concernées, de Microsoft, de la fédération des industries technologiques de Finlande, du syndicat Pro, de l'union des ingénieurs professionnels de Finlande et de l'agence finlandaise de financement de l'innovation. </w:t>
      </w:r>
    </w:p>
    <w:p>
      <w:pPr>
        <w:pStyle w:val="ManualHeading2"/>
        <w:rPr>
          <w:noProof/>
        </w:rPr>
      </w:pPr>
      <w:r>
        <w:rPr>
          <w:noProof/>
        </w:rPr>
        <w:t>Systèmes de gestion et de contrôle</w:t>
      </w:r>
    </w:p>
    <w:p>
      <w:pPr>
        <w:pStyle w:val="ManualNumPar1"/>
        <w:rPr>
          <w:noProof/>
        </w:rPr>
      </w:pPr>
      <w:r>
        <w:t>48.</w:t>
      </w:r>
      <w:r>
        <w:tab/>
      </w:r>
      <w:r>
        <w:rPr>
          <w:noProof/>
        </w:rPr>
        <w:t xml:space="preserve">La demande contient une description des systèmes de gestion et de contrôle qui précise les responsabilités des organismes concernés. La Finlande a informé la Commission que la contribution financière serait gérée par le MEE, qui fait fonction d'autorité de gestion et de certification pour le FEM et d'organisme intermédiaire distribuant les fonds du FEM. Les fonctions de gestion pour le FEM ont été attribuées au département de l'emploi et de l'entrepreneuriat. </w:t>
      </w:r>
    </w:p>
    <w:p>
      <w:pPr>
        <w:pStyle w:val="ManualNumPar1"/>
        <w:rPr>
          <w:noProof/>
        </w:rPr>
      </w:pPr>
      <w:r>
        <w:t>49.</w:t>
      </w:r>
      <w:r>
        <w:tab/>
      </w:r>
      <w:r>
        <w:rPr>
          <w:noProof/>
        </w:rPr>
        <w:t xml:space="preserve">Les fonctions de certification sont confiées à l'unité des ressources humaines et de l'administration. Les paiements aux bénéficiaires sont exécutés via les centres ELY et les offices TE régionaux. </w:t>
      </w:r>
    </w:p>
    <w:p>
      <w:pPr>
        <w:pStyle w:val="ManualNumPar1"/>
        <w:rPr>
          <w:noProof/>
        </w:rPr>
      </w:pPr>
      <w:r>
        <w:t>50.</w:t>
      </w:r>
      <w:r>
        <w:tab/>
      </w:r>
      <w:r>
        <w:rPr>
          <w:noProof/>
        </w:rPr>
        <w:t>En ce qui concerne l'audit, l'organe responsable est l'unité indépendante chargée de l'audit interne, sous tutelle du secrétaire permanent du MEE.</w:t>
      </w:r>
    </w:p>
    <w:p>
      <w:pPr>
        <w:pStyle w:val="ManualHeading2"/>
        <w:rPr>
          <w:noProof/>
        </w:rPr>
      </w:pPr>
      <w:r>
        <w:rPr>
          <w:noProof/>
        </w:rPr>
        <w:t>Engagements de l'État membre concerné</w:t>
      </w:r>
    </w:p>
    <w:p>
      <w:pPr>
        <w:pStyle w:val="ManualNumPar1"/>
        <w:rPr>
          <w:noProof/>
        </w:rPr>
      </w:pPr>
      <w:r>
        <w:t>51.</w:t>
      </w:r>
      <w:r>
        <w:tab/>
      </w:r>
      <w:r>
        <w:rPr>
          <w:noProof/>
        </w:rPr>
        <w:t xml:space="preserve">La Finlande a apporté toutes les assurances nécessaires concernant les aspects suivants: </w:t>
      </w:r>
    </w:p>
    <w:p>
      <w:pPr>
        <w:pStyle w:val="Tiret1"/>
        <w:numPr>
          <w:ilvl w:val="0"/>
          <w:numId w:val="12"/>
        </w:numPr>
        <w:rPr>
          <w:noProof/>
        </w:rPr>
      </w:pPr>
      <w:r>
        <w:rPr>
          <w:noProof/>
        </w:rPr>
        <w:t>les principes d'égalité de traitement et de non</w:t>
      </w:r>
      <w:r>
        <w:rPr>
          <w:noProof/>
        </w:rPr>
        <w:noBreakHyphen/>
        <w:t>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l'UE concernant les licenciements collectifs ont été respectées;</w:t>
      </w:r>
    </w:p>
    <w:p>
      <w:pPr>
        <w:pStyle w:val="Tiret1"/>
        <w:numPr>
          <w:ilvl w:val="0"/>
          <w:numId w:val="12"/>
        </w:numPr>
        <w:rPr>
          <w:noProof/>
        </w:rPr>
      </w:pPr>
      <w:r>
        <w:rPr>
          <w:noProof/>
          <w:color w:val="000000" w:themeColor="text1"/>
        </w:rPr>
        <w:t>l</w:t>
      </w:r>
      <w:r>
        <w:rPr>
          <w:noProof/>
        </w:rPr>
        <w:t>es entreprises à l'origine des licenciements, qui ont poursuivi leurs activités par la suite, ont respecté leurs obligations légales en matière de licenciements et ont pris des dispositions pour leurs salariés en conséquence;</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52.</w:t>
      </w:r>
      <w:r>
        <w:tab/>
      </w:r>
      <w:r>
        <w:rPr>
          <w:noProof/>
        </w:rPr>
        <w:t>La dotation annuelle du FEM n'excède pas 150 000 000 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16"/>
      </w:r>
      <w:r>
        <w:rPr>
          <w:noProof/>
        </w:rPr>
        <w:t>.</w:t>
      </w:r>
    </w:p>
    <w:p>
      <w:pPr>
        <w:pStyle w:val="ManualNumPar1"/>
        <w:rPr>
          <w:rFonts w:eastAsia="Calibri"/>
          <w:noProof/>
        </w:rPr>
      </w:pPr>
      <w:r>
        <w:t>53.</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3 520 080 EUR, soit 60 % du coût total des actions proposées, afin d'apporter une contribution financière en réponse à la demande.</w:t>
      </w:r>
    </w:p>
    <w:p>
      <w:pPr>
        <w:pStyle w:val="ManualNumPar1"/>
        <w:rPr>
          <w:rFonts w:eastAsia="Times New Roman"/>
          <w:noProof/>
        </w:rPr>
      </w:pPr>
      <w:r>
        <w:t>54.</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7"/>
      </w:r>
      <w:r>
        <w:rPr>
          <w:noProof/>
        </w:rPr>
        <w:t>.</w:t>
      </w:r>
    </w:p>
    <w:p>
      <w:pPr>
        <w:pStyle w:val="ManualHeading2"/>
        <w:rPr>
          <w:noProof/>
        </w:rPr>
      </w:pPr>
      <w:r>
        <w:rPr>
          <w:noProof/>
        </w:rPr>
        <w:t>Actes liés</w:t>
      </w:r>
    </w:p>
    <w:p>
      <w:pPr>
        <w:pStyle w:val="ManualNumPar1"/>
        <w:rPr>
          <w:noProof/>
        </w:rPr>
      </w:pPr>
      <w:r>
        <w:t>55.</w:t>
      </w:r>
      <w:r>
        <w:tab/>
      </w:r>
      <w:r>
        <w:rPr>
          <w:noProof/>
        </w:rPr>
        <w:t>En même temps qu'elle présentera sa proposition de décision de mobilisation du FEM, la Commission présentera au Parlement européen et au Conseil une proposition de virement d'un montant de 3 520 080 EUR sur la ligne budgétaire concernée.</w:t>
      </w:r>
    </w:p>
    <w:p>
      <w:pPr>
        <w:pStyle w:val="ManualNumPar1"/>
        <w:rPr>
          <w:noProof/>
        </w:rPr>
      </w:pPr>
      <w:r>
        <w:t>56.</w:t>
      </w:r>
      <w:r>
        <w:tab/>
      </w:r>
      <w:r>
        <w:rPr>
          <w:noProof/>
        </w:rPr>
        <w:t>En même temps qu'elle adoptera la présente proposition de décision de mobilisation du FEM, la Commission adoptera une décision d'octroi d'une contribution financière, par la voie d'un acte d'exécution, qui entrera en vigueur à la date à laquelle le Parlement européen et le Conseil adopteront la décision proposée de mobilisation du FEM.</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 d'une demande de la Finlande – EGF/2017/002 FI/Microsoft 2</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w:t>
      </w:r>
      <w:r>
        <w:rPr>
          <w:noProof/>
        </w:rPr>
        <w:noBreakHyphen/>
        <w:t>2020 et abrogeant le règlement (CE) nº 1927/2006</w:t>
      </w:r>
      <w:r>
        <w:rPr>
          <w:rStyle w:val="FootnoteReference"/>
          <w:noProof/>
        </w:rPr>
        <w:footnoteReference w:id="18"/>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9"/>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20"/>
      </w:r>
      <w:r>
        <w:rPr>
          <w:noProof/>
        </w:rPr>
        <w:t>.</w:t>
      </w:r>
    </w:p>
    <w:p>
      <w:pPr>
        <w:pStyle w:val="ManualConsidrant"/>
        <w:rPr>
          <w:noProof/>
        </w:rPr>
      </w:pPr>
      <w:r>
        <w:t>(3)</w:t>
      </w:r>
      <w:r>
        <w:tab/>
      </w:r>
      <w:r>
        <w:rPr>
          <w:noProof/>
        </w:rPr>
        <w:t>Le 1</w:t>
      </w:r>
      <w:r>
        <w:rPr>
          <w:noProof/>
          <w:vertAlign w:val="superscript"/>
        </w:rPr>
        <w:t>er</w:t>
      </w:r>
      <w:r>
        <w:rPr>
          <w:noProof/>
        </w:rPr>
        <w:t> février 2017, la Finlande a présenté une demande de mobilisation du FEM pour des licenciements et des cessations d'activité intervenus chez Microsoft Oy (Microsoft Mobile Oy) et chez 11 fournisseurs ou producteurs en aval. Des informations complémentaires ont été fournies conformément à l'article 8, paragraphe 3, du règlement (UE) n°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Il convient, par conséquent, de mobiliser le FEM en vue d'octroyer une contribution financière d'un montant de 3 520 080 EUR en réponse à la demande présentée par la Finlande.</w:t>
      </w:r>
    </w:p>
    <w:p>
      <w:pPr>
        <w:pStyle w:val="ManualConsidrant"/>
        <w:rPr>
          <w:noProof/>
        </w:rPr>
      </w:pPr>
      <w:r>
        <w:t>(5)</w:t>
      </w:r>
      <w:r>
        <w:tab/>
      </w:r>
      <w:r>
        <w:rPr>
          <w:noProof/>
        </w:rPr>
        <w:t>Afin de limiter au maximum le délai de mobilisation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2017, un montant de 3 520 080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Journal officiel de l'Union européenne. Elle est applicable à partir du </w:t>
      </w:r>
      <w:r>
        <w:rPr>
          <w:noProof/>
          <w:color w:val="FF0000"/>
        </w:rPr>
        <w:t>[</w:t>
      </w:r>
      <w:r>
        <w:rPr>
          <w:i/>
          <w:noProof/>
          <w:color w:val="FF0000"/>
        </w:rPr>
        <w:t>date de son adoption</w:t>
      </w:r>
      <w:r>
        <w:rPr>
          <w:noProof/>
          <w:color w:val="FF0000"/>
        </w:rPr>
        <w:t>]</w:t>
      </w:r>
      <w:r>
        <w:rPr>
          <w:rStyle w:val="FootnoteReference"/>
        </w:rPr>
        <w:sym w:font="Symbol" w:char="F02A"/>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paragraphe 4, du règlement (UE) nº 1309/2013.</w:t>
      </w:r>
    </w:p>
  </w:footnote>
  <w:footnote w:id="6">
    <w:p>
      <w:pPr>
        <w:pStyle w:val="FootnoteText"/>
      </w:pPr>
      <w:r>
        <w:rPr>
          <w:rStyle w:val="FootnoteReference"/>
        </w:rPr>
        <w:footnoteRef/>
      </w:r>
      <w:r>
        <w:tab/>
      </w:r>
      <w:hyperlink r:id="rId1">
        <w:r>
          <w:t>www.statista.com/chart/4112/smartphone-market-share.</w:t>
        </w:r>
      </w:hyperlink>
    </w:p>
  </w:footnote>
  <w:footnote w:id="7">
    <w:p>
      <w:pPr>
        <w:pStyle w:val="FootnoteText"/>
        <w:rPr>
          <w:rStyle w:val="Hyperlink"/>
          <w:color w:val="auto"/>
          <w:u w:val="none"/>
        </w:rPr>
      </w:pPr>
      <w:r>
        <w:rPr>
          <w:rStyle w:val="FootnoteReference"/>
        </w:rPr>
        <w:footnoteRef/>
      </w:r>
      <w:r>
        <w:tab/>
      </w:r>
      <w:hyperlink r:id="rId2" w:anchor=".WTosOjclGUl" w:history="1">
        <w:r>
          <w:rPr>
            <w:rStyle w:val="Hyperlink"/>
          </w:rPr>
          <w:t>https://www.strategyanalytics.com/strategy-analytics/news/strategy-analytics-press-releases/strategy-analytics-press-release/2016/11/02/strategy-analytics-android-captures-record-88-percent-share-of-global-smartphone-shipments-in-q3-2016#.WTosOjclGUl</w:t>
        </w:r>
      </w:hyperlink>
      <w:r>
        <w:rPr>
          <w:rStyle w:val="Hyperlink"/>
        </w:rPr>
        <w:t>.</w:t>
      </w:r>
    </w:p>
  </w:footnote>
  <w:footnote w:id="8">
    <w:p>
      <w:pPr>
        <w:pStyle w:val="FootnoteText"/>
      </w:pPr>
      <w:r>
        <w:rPr>
          <w:rStyle w:val="FootnoteReference"/>
        </w:rPr>
        <w:footnoteRef/>
      </w:r>
      <w:r>
        <w:tab/>
      </w:r>
      <w:hyperlink r:id="rId3">
        <w:r>
          <w:t>www.statista.com/chart/4112/smartphone-market-share.</w:t>
        </w:r>
      </w:hyperlink>
    </w:p>
  </w:footnote>
  <w:footnote w:id="9">
    <w:p>
      <w:pPr>
        <w:pStyle w:val="FootnoteText"/>
      </w:pPr>
      <w:r>
        <w:rPr>
          <w:rStyle w:val="FootnoteReference"/>
        </w:rPr>
        <w:footnoteRef/>
      </w:r>
      <w:r>
        <w:tab/>
      </w:r>
      <w:hyperlink r:id="rId4">
        <w:r>
          <w:t>http://www.businessinsider.com/samsung-factory-working-conditions-2012-11?r=US&amp;IR=T&amp;IR=T.</w:t>
        </w:r>
      </w:hyperlink>
    </w:p>
  </w:footnote>
  <w:footnote w:id="10">
    <w:p>
      <w:pPr>
        <w:pStyle w:val="FootnoteText"/>
      </w:pPr>
      <w:r>
        <w:rPr>
          <w:rStyle w:val="FootnoteReference"/>
        </w:rPr>
        <w:footnoteRef/>
      </w:r>
      <w:r>
        <w:tab/>
      </w:r>
      <w:hyperlink r:id="rId5">
        <w:r>
          <w:t>http://comptryx.com/product/global_salary_survey.</w:t>
        </w:r>
      </w:hyperlink>
    </w:p>
  </w:footnote>
  <w:footnote w:id="11">
    <w:p>
      <w:pPr>
        <w:pStyle w:val="FootnoteText"/>
      </w:pPr>
      <w:r>
        <w:rPr>
          <w:rStyle w:val="FootnoteReference"/>
        </w:rPr>
        <w:footnoteRef/>
      </w:r>
      <w:r>
        <w:tab/>
      </w:r>
      <w:hyperlink r:id="rId6">
        <w:r>
          <w:t>https://www.kantarworldpanel.com/global/News/Android-Share-Tops-75-in-Europes-Largest-Markets.</w:t>
        </w:r>
      </w:hyperlink>
    </w:p>
  </w:footnote>
  <w:footnote w:id="12">
    <w:p>
      <w:pPr>
        <w:pStyle w:val="FootnoteText"/>
        <w:rPr>
          <w:rStyle w:val="Hyperlink"/>
          <w:color w:val="auto"/>
          <w:u w:val="none"/>
        </w:rPr>
      </w:pPr>
      <w:r>
        <w:rPr>
          <w:rStyle w:val="FootnoteReference"/>
        </w:rPr>
        <w:footnoteRef/>
      </w:r>
      <w:r>
        <w:tab/>
      </w:r>
      <w:hyperlink r:id="rId7">
        <w:hyperlink r:id="rId8" w:history="1">
          <w:r>
            <w:t>http://www.thanhniennews.com/business/samsung-shifts-plants-from-china-to-vietnam-to-protect-margins-392.html</w:t>
          </w:r>
        </w:hyperlink>
        <w:r>
          <w:t>.</w:t>
        </w:r>
      </w:hyperlink>
    </w:p>
  </w:footnote>
  <w:footnote w:id="13">
    <w:p>
      <w:pPr>
        <w:pStyle w:val="FootnoteText"/>
      </w:pPr>
      <w:r>
        <w:rPr>
          <w:rStyle w:val="FootnoteReference"/>
        </w:rPr>
        <w:footnoteRef/>
      </w:r>
      <w:r>
        <w:tab/>
      </w:r>
      <w:hyperlink r:id="rId9">
        <w:r>
          <w:t>http://julkaisut.valtioneuvosto.fi/bitstream/handle/10024/78927/TKAT_Oct_2016_en.pdf?sequence=1.</w:t>
        </w:r>
      </w:hyperlink>
    </w:p>
  </w:footnote>
  <w:footnote w:id="14">
    <w:p>
      <w:pPr>
        <w:pStyle w:val="FootnoteText"/>
        <w:rPr>
          <w:rStyle w:val="FootnoteReference"/>
        </w:rPr>
      </w:pPr>
      <w:r>
        <w:rPr>
          <w:rStyle w:val="FootnoteReference"/>
        </w:rPr>
        <w:footnoteRef/>
      </w:r>
      <w:r>
        <w:tab/>
      </w:r>
      <w:hyperlink r:id="rId10">
        <w:r>
          <w:t>http://julkaisut.valtioneuvosto.fi/bitstream/handle/10024/78927/TKAT_Oct_2016_en.pdf?sequence=1.</w:t>
        </w:r>
      </w:hyperlink>
    </w:p>
  </w:footnote>
  <w:footnote w:id="15">
    <w:p>
      <w:pPr>
        <w:pStyle w:val="FootnoteText"/>
      </w:pPr>
      <w:r>
        <w:rPr>
          <w:rStyle w:val="FootnoteReference"/>
        </w:rPr>
        <w:footnoteRef/>
      </w:r>
      <w:r>
        <w:tab/>
      </w:r>
      <w:hyperlink r:id="rId11" w:history="1">
        <w:r>
          <w:rPr>
            <w:rStyle w:val="Hyperlink"/>
          </w:rPr>
          <w:t>http://www.itproportal.com/2015/07/20/nokias-woes-pushing-finnish-town-salo-further-into-recession/.</w:t>
        </w:r>
      </w:hyperlink>
    </w:p>
  </w:footnote>
  <w:footnote w:id="16">
    <w:p>
      <w:pPr>
        <w:pStyle w:val="FootnoteText"/>
      </w:pPr>
      <w:r>
        <w:rPr>
          <w:rStyle w:val="FootnoteReference"/>
        </w:rPr>
        <w:footnoteRef/>
      </w:r>
      <w:r>
        <w:tab/>
        <w:t>JO L 347 du 20.12.2013, p. 884.</w:t>
      </w:r>
    </w:p>
  </w:footnote>
  <w:footnote w:id="17">
    <w:p>
      <w:pPr>
        <w:pStyle w:val="FootnoteText"/>
      </w:pPr>
      <w:r>
        <w:rPr>
          <w:rStyle w:val="FootnoteReference"/>
        </w:rPr>
        <w:footnoteRef/>
      </w:r>
      <w:r>
        <w:tab/>
        <w:t>JO C 373 du 20.12.2013, p. 1.</w:t>
      </w:r>
    </w:p>
  </w:footnote>
  <w:footnote w:id="18">
    <w:p>
      <w:pPr>
        <w:pStyle w:val="FootnoteText"/>
      </w:pPr>
      <w:r>
        <w:rPr>
          <w:rStyle w:val="FootnoteReference"/>
        </w:rPr>
        <w:footnoteRef/>
      </w:r>
      <w:r>
        <w:tab/>
        <w:t>JO L 347 du 20.12.2013, p. 855.</w:t>
      </w:r>
    </w:p>
  </w:footnote>
  <w:footnote w:id="19">
    <w:p>
      <w:pPr>
        <w:pStyle w:val="FootnoteText"/>
      </w:pPr>
      <w:r>
        <w:rPr>
          <w:rStyle w:val="FootnoteReference"/>
        </w:rPr>
        <w:footnoteRef/>
      </w:r>
      <w:r>
        <w:tab/>
        <w:t>JO C 373 du 20.12.2013, p. 1.</w:t>
      </w:r>
    </w:p>
  </w:footnote>
  <w:footnote w:id="20">
    <w:p>
      <w:pPr>
        <w:pStyle w:val="FootnoteText"/>
      </w:pPr>
      <w:r>
        <w:rPr>
          <w:rStyle w:val="FootnoteReference"/>
        </w:rPr>
        <w:footnoteRef/>
      </w:r>
      <w:r>
        <w:tab/>
        <w:t>Règlement (UE, Euratom) nº 1311/2013 du Conseil du 2 décembre 2013 fixant le cadre financier pluriannuel pour la période 2014</w:t>
      </w:r>
      <w:r>
        <w:noBreakHyphen/>
        <w:t>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9 09:44: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48AC330278B45659E52D3FADEAFE206"/>
    <w:docVar w:name="LW_CROSSREFERENCE" w:val="&lt;UNUSED&gt;"/>
    <w:docVar w:name="LW_DocType" w:val="COM"/>
    <w:docVar w:name="LW_EMISSION" w:val="21.6.2017"/>
    <w:docVar w:name="LW_EMISSION_ISODATE" w:val="2017-06-21"/>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22"/>
    <w:docVar w:name="LW_REF.INTERNE" w:val="&lt;UNUSED&gt;"/>
    <w:docVar w:name="LW_SOUS.TITRE.OBJ.CP" w:val="&lt;UNUSED&gt;"/>
    <w:docVar w:name="LW_STATUT.CP" w:val="Proposition de"/>
    <w:docVar w:name="LW_SUPERTITRE" w:val="&lt;UNUSED&gt;"/>
    <w:docVar w:name="LW_TITRE.OBJ.CP" w:val="relative à la mobilisation du Fonds européen d'ajustement à la mondialisation à la suite d'une demande de la Finlande \u8211? EGF/2017/002 FI/Microsoft 2"/>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7086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hanhniennews.com/business/samsung-shifts-plants-from-china-to-vietnam-to-protect-margins-392.html" TargetMode="External"/><Relationship Id="rId3" Type="http://schemas.openxmlformats.org/officeDocument/2006/relationships/hyperlink" Target="http://www.statista.com/chart/4112/smartphone-market-share" TargetMode="External"/><Relationship Id="rId7" Type="http://schemas.openxmlformats.org/officeDocument/2006/relationships/hyperlink" Target="https://www.bloomberg.com/news/articles/2013-12-11/samsungshifts-plants-from-china-to-protect-margins" TargetMode="External"/><Relationship Id="rId2" Type="http://schemas.openxmlformats.org/officeDocument/2006/relationships/hyperlink" Target="https://www.strategyanalytics.com/strategy-analytics/news/strategy-analytics-press-releases/strategy-analytics-press-release/2016/11/02/strategy-analytics-android-captures-record-88-percent-share-of-global-smartphone-shipments-in-q3-2016" TargetMode="External"/><Relationship Id="rId1" Type="http://schemas.openxmlformats.org/officeDocument/2006/relationships/hyperlink" Target="http://www.statista.com/chart/4112/smartphone-market-share" TargetMode="External"/><Relationship Id="rId6" Type="http://schemas.openxmlformats.org/officeDocument/2006/relationships/hyperlink" Target="https://www.kantarworldpanel.com/global/News/Android-Share-Tops-75-in-Europes-Largest-Markets" TargetMode="External"/><Relationship Id="rId11" Type="http://schemas.openxmlformats.org/officeDocument/2006/relationships/hyperlink" Target="http://www.itproportal.com/2015/07/20/nokias-woes-pushing-finnish-town-salo-further-into-recession/." TargetMode="External"/><Relationship Id="rId5" Type="http://schemas.openxmlformats.org/officeDocument/2006/relationships/hyperlink" Target="http://comptryx.com/product/global_salary_survey" TargetMode="External"/><Relationship Id="rId10" Type="http://schemas.openxmlformats.org/officeDocument/2006/relationships/hyperlink" Target="http://julkaisut.valtioneuvosto.fi/bitstream/handle/10024/78927/TKAT_Oct_2016_en.pdf?sequence=1" TargetMode="External"/><Relationship Id="rId4" Type="http://schemas.openxmlformats.org/officeDocument/2006/relationships/hyperlink" Target="http://www.businessinsider.com/samsung-factory-working-conditions-2012-11?r=US&amp;IR=T&amp;IR=T" TargetMode="External"/><Relationship Id="rId9" Type="http://schemas.openxmlformats.org/officeDocument/2006/relationships/hyperlink" Target="http://julkaisut.valtioneuvosto.fi/bitstream/handle/10024/78927/TKAT_Oct_2016_en.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59DF-56B4-4763-B016-EB678136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4024</Words>
  <Characters>21935</Characters>
  <Application>Microsoft Office Word</Application>
  <DocSecurity>0</DocSecurity>
  <Lines>577</Lines>
  <Paragraphs>346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2017-06-03T19:18:00Z</cp:lastPrinted>
  <dcterms:created xsi:type="dcterms:W3CDTF">2017-06-13T14:27:00Z</dcterms:created>
  <dcterms:modified xsi:type="dcterms:W3CDTF">2017-06-19T07:44:00Z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