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CB28E3BA1C674402AAAD6507F08B931F" style="width:450.6pt;height:338.9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CONTEXT OF THE PROPOSAL</w:t>
      </w:r>
    </w:p>
    <w:p>
      <w:pPr>
        <w:pStyle w:val="ManualNumPar1"/>
        <w:rPr>
          <w:noProof/>
        </w:rPr>
      </w:pPr>
      <w:r>
        <w:t>1.</w:t>
      </w:r>
      <w:r>
        <w:tab/>
      </w:r>
      <w:r>
        <w:rPr>
          <w:noProof/>
        </w:rPr>
        <w:t>The rules applicable to financial contributions from the European Globalisation Adjustment Fund (EGF) are laid down in Regulation (EU) No 1309/2013 of the European Parliament and of the Council of 17 December 2013 on the European Globalisation Adjustment Fund (2014-2020) and repealing Regulation (EC) No 1927/2006</w:t>
      </w:r>
      <w:r>
        <w:rPr>
          <w:rStyle w:val="FootnoteReference"/>
          <w:noProof/>
        </w:rPr>
        <w:footnoteReference w:id="1"/>
      </w:r>
      <w:r>
        <w:rPr>
          <w:noProof/>
        </w:rPr>
        <w:t xml:space="preserve"> (the ‘EGF Regulation’).</w:t>
      </w:r>
    </w:p>
    <w:p>
      <w:pPr>
        <w:pStyle w:val="ManualNumPar1"/>
        <w:rPr>
          <w:noProof/>
        </w:rPr>
      </w:pPr>
      <w:r>
        <w:t>2.</w:t>
      </w:r>
      <w:r>
        <w:tab/>
      </w:r>
      <w:r>
        <w:rPr>
          <w:noProof/>
        </w:rPr>
        <w:t>On 1 February 2017, Finland submitted an application EGF/2017/002 FI/Microsoft 2 for a financial contribution from the EGF, following redundancies</w:t>
      </w:r>
      <w:r>
        <w:rPr>
          <w:rStyle w:val="FootnoteReference"/>
          <w:noProof/>
        </w:rPr>
        <w:footnoteReference w:id="2"/>
      </w:r>
      <w:r>
        <w:rPr>
          <w:noProof/>
        </w:rPr>
        <w:t xml:space="preserve"> </w:t>
      </w:r>
      <w:r>
        <w:rPr>
          <w:noProof/>
          <w:color w:val="FFFFFF" w:themeColor="background1"/>
          <w:u w:val="single"/>
        </w:rPr>
        <w:t xml:space="preserve"> </w:t>
      </w:r>
      <w:r>
        <w:rPr>
          <w:noProof/>
        </w:rPr>
        <w:t xml:space="preserve">in Microsoft (Microsoft Mobile Oy) and 11 suppliers and dowstream producers (hereafter referred to as ‘redundancies’). </w:t>
      </w:r>
    </w:p>
    <w:p>
      <w:pPr>
        <w:pStyle w:val="ManualNumPar1"/>
        <w:rPr>
          <w:noProof/>
        </w:rPr>
      </w:pPr>
      <w:r>
        <w:t>3.</w:t>
      </w:r>
      <w:r>
        <w:tab/>
      </w:r>
      <w:r>
        <w:rPr>
          <w:noProof/>
        </w:rPr>
        <w:t xml:space="preserve">Following its assessment of this application, the Commission has concluded, in accordance with all applicable provisions of the EGF Regulation, that the conditions for awarding a financial contribution from the EGF are met. </w:t>
      </w:r>
    </w:p>
    <w:p>
      <w:pPr>
        <w:pStyle w:val="ManualHeading1"/>
        <w:rPr>
          <w:noProof/>
        </w:rPr>
      </w:pPr>
      <w:r>
        <w:rPr>
          <w:noProof/>
        </w:rPr>
        <w:t>SUMMARY OF THE APPLICATION</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786"/>
        <w:gridCol w:w="4501"/>
      </w:tblGrid>
      <w:tr>
        <w:tc>
          <w:tcPr>
            <w:tcW w:w="4786" w:type="dxa"/>
            <w:shd w:val="clear" w:color="auto" w:fill="auto"/>
          </w:tcPr>
          <w:p>
            <w:pPr>
              <w:spacing w:before="60" w:after="60"/>
              <w:jc w:val="left"/>
              <w:rPr>
                <w:rFonts w:eastAsia="Calibri"/>
                <w:noProof/>
              </w:rPr>
            </w:pPr>
            <w:r>
              <w:rPr>
                <w:noProof/>
              </w:rPr>
              <w:t>EGF application</w:t>
            </w:r>
          </w:p>
        </w:tc>
        <w:tc>
          <w:tcPr>
            <w:tcW w:w="4501" w:type="dxa"/>
            <w:shd w:val="clear" w:color="auto" w:fill="auto"/>
          </w:tcPr>
          <w:p>
            <w:pPr>
              <w:spacing w:before="60" w:after="60"/>
              <w:ind w:rightChars="192" w:right="461"/>
              <w:jc w:val="left"/>
              <w:rPr>
                <w:rFonts w:eastAsia="Calibri"/>
                <w:noProof/>
              </w:rPr>
            </w:pPr>
            <w:r>
              <w:rPr>
                <w:noProof/>
              </w:rPr>
              <w:t>EGF/2017/002 FI/Microsoft 2</w:t>
            </w:r>
          </w:p>
        </w:tc>
      </w:tr>
      <w:tr>
        <w:tc>
          <w:tcPr>
            <w:tcW w:w="4786" w:type="dxa"/>
            <w:shd w:val="clear" w:color="auto" w:fill="auto"/>
          </w:tcPr>
          <w:p>
            <w:pPr>
              <w:spacing w:before="60" w:after="60"/>
              <w:jc w:val="left"/>
              <w:rPr>
                <w:rFonts w:eastAsia="Calibri"/>
                <w:noProof/>
              </w:rPr>
            </w:pPr>
            <w:r>
              <w:rPr>
                <w:rFonts w:eastAsia="Calibri"/>
                <w:noProof/>
              </w:rPr>
              <w:t>Member State</w:t>
            </w:r>
          </w:p>
        </w:tc>
        <w:tc>
          <w:tcPr>
            <w:tcW w:w="4501" w:type="dxa"/>
            <w:shd w:val="clear" w:color="auto" w:fill="auto"/>
          </w:tcPr>
          <w:p>
            <w:pPr>
              <w:spacing w:before="60" w:after="60"/>
              <w:ind w:rightChars="192" w:right="461"/>
              <w:jc w:val="left"/>
              <w:rPr>
                <w:rFonts w:eastAsia="Calibri"/>
                <w:noProof/>
              </w:rPr>
            </w:pPr>
            <w:r>
              <w:rPr>
                <w:noProof/>
              </w:rPr>
              <w:t>Finland</w:t>
            </w:r>
          </w:p>
        </w:tc>
      </w:tr>
      <w:tr>
        <w:tc>
          <w:tcPr>
            <w:tcW w:w="4786" w:type="dxa"/>
            <w:tcBorders>
              <w:bottom w:val="single" w:sz="4" w:space="0" w:color="auto"/>
            </w:tcBorders>
            <w:shd w:val="clear" w:color="auto" w:fill="auto"/>
          </w:tcPr>
          <w:p>
            <w:pPr>
              <w:spacing w:before="60" w:after="60"/>
              <w:jc w:val="left"/>
              <w:rPr>
                <w:rFonts w:eastAsia="Calibri"/>
                <w:noProof/>
              </w:rPr>
            </w:pPr>
            <w:r>
              <w:rPr>
                <w:rFonts w:eastAsia="Calibri"/>
                <w:noProof/>
              </w:rPr>
              <w:t>Region(s) concerned (NUTS</w:t>
            </w:r>
            <w:r>
              <w:rPr>
                <w:rStyle w:val="FootnoteReference"/>
                <w:noProof/>
              </w:rPr>
              <w:footnoteReference w:id="3"/>
            </w:r>
            <w:r>
              <w:rPr>
                <w:rFonts w:eastAsia="Calibri"/>
                <w:noProof/>
              </w:rPr>
              <w:t xml:space="preserve"> level 2)</w:t>
            </w:r>
          </w:p>
        </w:tc>
        <w:tc>
          <w:tcPr>
            <w:tcW w:w="4501" w:type="dxa"/>
            <w:tcBorders>
              <w:bottom w:val="single" w:sz="4" w:space="0" w:color="auto"/>
            </w:tcBorders>
            <w:shd w:val="clear" w:color="auto" w:fill="auto"/>
          </w:tcPr>
          <w:p>
            <w:pPr>
              <w:spacing w:before="60" w:after="60"/>
              <w:ind w:rightChars="192" w:right="461"/>
              <w:jc w:val="left"/>
              <w:rPr>
                <w:noProof/>
                <w:lang w:val="fi-FI"/>
              </w:rPr>
            </w:pPr>
            <w:r>
              <w:rPr>
                <w:noProof/>
                <w:lang w:val="fi-FI"/>
              </w:rPr>
              <w:t>Helsinki-Uusimaa (Uusimaa, FI1B1)</w:t>
            </w:r>
          </w:p>
          <w:p>
            <w:pPr>
              <w:spacing w:before="60" w:after="60"/>
              <w:ind w:rightChars="192" w:right="461"/>
              <w:jc w:val="left"/>
              <w:rPr>
                <w:noProof/>
                <w:lang w:val="fi-FI"/>
              </w:rPr>
            </w:pPr>
            <w:r>
              <w:rPr>
                <w:noProof/>
                <w:lang w:val="fi-FI"/>
              </w:rPr>
              <w:t>Länsi-Suomi (Pirkanmaa, FI197)</w:t>
            </w:r>
          </w:p>
          <w:p>
            <w:pPr>
              <w:spacing w:before="60" w:after="60"/>
              <w:ind w:rightChars="192" w:right="461"/>
              <w:jc w:val="left"/>
              <w:rPr>
                <w:noProof/>
                <w:lang w:val="fi-FI"/>
              </w:rPr>
            </w:pPr>
            <w:r>
              <w:rPr>
                <w:noProof/>
                <w:lang w:val="fi-FI"/>
              </w:rPr>
              <w:t>Etelä-Suomi (Varsinais-Suomi,FI1C1)</w:t>
            </w:r>
          </w:p>
        </w:tc>
      </w:tr>
      <w:tr>
        <w:tc>
          <w:tcPr>
            <w:tcW w:w="4786" w:type="dxa"/>
            <w:tcBorders>
              <w:bottom w:val="dotted" w:sz="4" w:space="0" w:color="auto"/>
            </w:tcBorders>
            <w:shd w:val="clear" w:color="auto" w:fill="auto"/>
          </w:tcPr>
          <w:p>
            <w:pPr>
              <w:spacing w:before="60" w:after="60"/>
              <w:jc w:val="left"/>
              <w:rPr>
                <w:rFonts w:eastAsia="Calibri"/>
                <w:noProof/>
              </w:rPr>
            </w:pPr>
            <w:r>
              <w:rPr>
                <w:rFonts w:eastAsia="Calibri"/>
                <w:noProof/>
              </w:rPr>
              <w:t>Date of submission of the application</w:t>
            </w:r>
          </w:p>
        </w:tc>
        <w:tc>
          <w:tcPr>
            <w:tcW w:w="4501" w:type="dxa"/>
            <w:tcBorders>
              <w:bottom w:val="dotted" w:sz="4" w:space="0" w:color="auto"/>
            </w:tcBorders>
            <w:shd w:val="clear" w:color="auto" w:fill="auto"/>
          </w:tcPr>
          <w:p>
            <w:pPr>
              <w:spacing w:before="60" w:after="60"/>
              <w:ind w:rightChars="192" w:right="461"/>
              <w:jc w:val="left"/>
              <w:rPr>
                <w:rFonts w:eastAsia="Calibri"/>
                <w:noProof/>
              </w:rPr>
            </w:pPr>
            <w:r>
              <w:rPr>
                <w:noProof/>
              </w:rPr>
              <w:t>1 February 2017</w:t>
            </w:r>
          </w:p>
        </w:tc>
      </w:tr>
      <w:tr>
        <w:tc>
          <w:tcPr>
            <w:tcW w:w="4786" w:type="dxa"/>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rPr>
              <w:t>Date of acknowledgement of receipt of the application</w:t>
            </w:r>
          </w:p>
        </w:tc>
        <w:tc>
          <w:tcPr>
            <w:tcW w:w="4501"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1 February 2017</w:t>
            </w:r>
          </w:p>
        </w:tc>
      </w:tr>
      <w:tr>
        <w:tc>
          <w:tcPr>
            <w:tcW w:w="4786" w:type="dxa"/>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rPr>
              <w:t>Date of request for additional information</w:t>
            </w:r>
          </w:p>
        </w:tc>
        <w:tc>
          <w:tcPr>
            <w:tcW w:w="4501"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15 February 2017</w:t>
            </w:r>
          </w:p>
        </w:tc>
      </w:tr>
      <w:tr>
        <w:tc>
          <w:tcPr>
            <w:tcW w:w="4786" w:type="dxa"/>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rPr>
              <w:t>Deadline for provision of the additional information</w:t>
            </w:r>
          </w:p>
        </w:tc>
        <w:tc>
          <w:tcPr>
            <w:tcW w:w="4501"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29 March 2017</w:t>
            </w:r>
          </w:p>
        </w:tc>
      </w:tr>
      <w:tr>
        <w:tc>
          <w:tcPr>
            <w:tcW w:w="4786" w:type="dxa"/>
            <w:tcBorders>
              <w:top w:val="dotted" w:sz="4" w:space="0" w:color="auto"/>
            </w:tcBorders>
            <w:shd w:val="clear" w:color="auto" w:fill="auto"/>
          </w:tcPr>
          <w:p>
            <w:pPr>
              <w:spacing w:before="60" w:after="60"/>
              <w:jc w:val="left"/>
              <w:rPr>
                <w:rFonts w:eastAsia="Calibri"/>
                <w:noProof/>
              </w:rPr>
            </w:pPr>
            <w:r>
              <w:rPr>
                <w:rFonts w:eastAsia="Calibri"/>
                <w:noProof/>
              </w:rPr>
              <w:t>Deadline for the completion of the assessment</w:t>
            </w:r>
          </w:p>
        </w:tc>
        <w:tc>
          <w:tcPr>
            <w:tcW w:w="4501" w:type="dxa"/>
            <w:tcBorders>
              <w:top w:val="dotted" w:sz="4" w:space="0" w:color="auto"/>
            </w:tcBorders>
            <w:shd w:val="clear" w:color="auto" w:fill="auto"/>
          </w:tcPr>
          <w:p>
            <w:pPr>
              <w:spacing w:before="60" w:after="60"/>
              <w:ind w:rightChars="192" w:right="461"/>
              <w:jc w:val="left"/>
              <w:rPr>
                <w:rFonts w:eastAsia="Calibri"/>
                <w:noProof/>
              </w:rPr>
            </w:pPr>
            <w:r>
              <w:rPr>
                <w:noProof/>
              </w:rPr>
              <w:t>21 June 2017</w:t>
            </w:r>
          </w:p>
        </w:tc>
      </w:tr>
      <w:tr>
        <w:tc>
          <w:tcPr>
            <w:tcW w:w="4786" w:type="dxa"/>
            <w:shd w:val="clear" w:color="auto" w:fill="auto"/>
          </w:tcPr>
          <w:p>
            <w:pPr>
              <w:spacing w:before="60" w:after="60"/>
              <w:jc w:val="left"/>
              <w:rPr>
                <w:rFonts w:eastAsia="Calibri"/>
                <w:noProof/>
              </w:rPr>
            </w:pPr>
            <w:r>
              <w:rPr>
                <w:rFonts w:eastAsia="Calibri"/>
                <w:noProof/>
              </w:rPr>
              <w:t>Intervention criterion</w:t>
            </w:r>
          </w:p>
        </w:tc>
        <w:tc>
          <w:tcPr>
            <w:tcW w:w="4501" w:type="dxa"/>
            <w:shd w:val="clear" w:color="auto" w:fill="auto"/>
          </w:tcPr>
          <w:p>
            <w:pPr>
              <w:spacing w:before="60" w:after="60"/>
              <w:ind w:rightChars="192" w:right="461"/>
              <w:jc w:val="left"/>
              <w:rPr>
                <w:rFonts w:eastAsia="Calibri"/>
                <w:noProof/>
              </w:rPr>
            </w:pPr>
            <w:r>
              <w:rPr>
                <w:rFonts w:eastAsia="Calibri"/>
                <w:noProof/>
              </w:rPr>
              <w:t>Article 4(1)(a) of the EGF Regulation</w:t>
            </w:r>
          </w:p>
        </w:tc>
      </w:tr>
      <w:tr>
        <w:tc>
          <w:tcPr>
            <w:tcW w:w="4786"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r>
            <w:r>
              <w:rPr>
                <w:rFonts w:eastAsia="Calibri"/>
                <w:noProof/>
              </w:rPr>
              <w:t>Primary enterprise</w:t>
            </w:r>
          </w:p>
        </w:tc>
        <w:tc>
          <w:tcPr>
            <w:tcW w:w="4501" w:type="dxa"/>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lang w:val="it-IT"/>
              </w:rPr>
            </w:pPr>
            <w:r>
              <w:rPr>
                <w:noProof/>
                <w:lang w:val="it-IT"/>
              </w:rPr>
              <w:t>Microsoft (Microsoft Mobile Oy)</w:t>
            </w:r>
            <w:r>
              <w:rPr>
                <w:noProof/>
                <w:color w:val="FFFFFF" w:themeColor="background1"/>
                <w:u w:val="single"/>
                <w:lang w:val="it-IT"/>
              </w:rPr>
              <w:t>)</w:t>
            </w:r>
          </w:p>
        </w:tc>
      </w:tr>
      <w:tr>
        <w:tc>
          <w:tcPr>
            <w:tcW w:w="4786"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lang w:val="it-IT"/>
              </w:rPr>
              <w:br w:type="page"/>
            </w:r>
            <w:r>
              <w:rPr>
                <w:rFonts w:eastAsia="Calibri"/>
                <w:noProof/>
              </w:rPr>
              <w:t>Number of enterprises concerned</w:t>
            </w:r>
          </w:p>
        </w:tc>
        <w:tc>
          <w:tcPr>
            <w:tcW w:w="4501" w:type="dxa"/>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rPr>
              <w:t>12</w:t>
            </w:r>
          </w:p>
        </w:tc>
      </w:tr>
      <w:tr>
        <w:tc>
          <w:tcPr>
            <w:tcW w:w="4786" w:type="dxa"/>
            <w:shd w:val="clear" w:color="auto" w:fill="auto"/>
          </w:tcPr>
          <w:p>
            <w:pPr>
              <w:spacing w:before="60" w:after="60"/>
              <w:jc w:val="left"/>
              <w:rPr>
                <w:rFonts w:eastAsia="Calibri"/>
                <w:noProof/>
              </w:rPr>
            </w:pPr>
            <w:r>
              <w:rPr>
                <w:rFonts w:eastAsia="Calibri"/>
                <w:noProof/>
              </w:rPr>
              <w:t>Sector(s) of economic activity</w:t>
            </w:r>
          </w:p>
          <w:p>
            <w:pPr>
              <w:spacing w:before="60" w:after="60"/>
              <w:jc w:val="left"/>
              <w:rPr>
                <w:rFonts w:eastAsia="Calibri"/>
                <w:noProof/>
              </w:rPr>
            </w:pPr>
            <w:r>
              <w:rPr>
                <w:rFonts w:eastAsia="Calibri"/>
                <w:noProof/>
              </w:rPr>
              <w:t>(NACE Revision 2 Division)</w:t>
            </w:r>
            <w:r>
              <w:rPr>
                <w:rStyle w:val="FootnoteReference"/>
                <w:noProof/>
                <w:szCs w:val="24"/>
              </w:rPr>
              <w:footnoteReference w:id="4"/>
            </w:r>
          </w:p>
        </w:tc>
        <w:tc>
          <w:tcPr>
            <w:tcW w:w="4501" w:type="dxa"/>
            <w:shd w:val="clear" w:color="auto" w:fill="auto"/>
          </w:tcPr>
          <w:p>
            <w:pPr>
              <w:spacing w:before="60" w:after="60"/>
              <w:ind w:rightChars="192" w:right="461"/>
              <w:jc w:val="left"/>
              <w:rPr>
                <w:rFonts w:eastAsia="Calibri"/>
                <w:noProof/>
              </w:rPr>
            </w:pPr>
            <w:r>
              <w:rPr>
                <w:noProof/>
                <w:szCs w:val="24"/>
              </w:rPr>
              <w:t xml:space="preserve">62 Computer programming, consultancy and other activities </w:t>
            </w:r>
          </w:p>
        </w:tc>
      </w:tr>
      <w:tr>
        <w:tc>
          <w:tcPr>
            <w:tcW w:w="4786" w:type="dxa"/>
            <w:shd w:val="clear" w:color="auto" w:fill="auto"/>
          </w:tcPr>
          <w:p>
            <w:pPr>
              <w:spacing w:before="60" w:after="60"/>
              <w:jc w:val="left"/>
              <w:rPr>
                <w:rFonts w:eastAsia="Calibri"/>
                <w:noProof/>
              </w:rPr>
            </w:pPr>
            <w:r>
              <w:rPr>
                <w:noProof/>
              </w:rPr>
              <w:br w:type="page"/>
            </w:r>
            <w:r>
              <w:rPr>
                <w:rFonts w:eastAsia="Calibri"/>
                <w:noProof/>
              </w:rPr>
              <w:t xml:space="preserve">Number of subsidiaries, suppliers and </w:t>
            </w:r>
            <w:r>
              <w:rPr>
                <w:rFonts w:eastAsia="Calibri"/>
                <w:noProof/>
              </w:rPr>
              <w:lastRenderedPageBreak/>
              <w:t>downstream producers</w:t>
            </w:r>
          </w:p>
        </w:tc>
        <w:tc>
          <w:tcPr>
            <w:tcW w:w="4501" w:type="dxa"/>
            <w:shd w:val="clear" w:color="auto" w:fill="auto"/>
          </w:tcPr>
          <w:p>
            <w:pPr>
              <w:spacing w:before="60" w:after="60"/>
              <w:ind w:rightChars="192" w:right="461"/>
              <w:jc w:val="left"/>
              <w:rPr>
                <w:rFonts w:eastAsia="Calibri"/>
                <w:noProof/>
              </w:rPr>
            </w:pPr>
            <w:r>
              <w:rPr>
                <w:noProof/>
              </w:rPr>
              <w:lastRenderedPageBreak/>
              <w:t>11</w:t>
            </w:r>
          </w:p>
        </w:tc>
      </w:tr>
      <w:tr>
        <w:tc>
          <w:tcPr>
            <w:tcW w:w="4786" w:type="dxa"/>
            <w:tcBorders>
              <w:bottom w:val="single" w:sz="4" w:space="0" w:color="auto"/>
            </w:tcBorders>
            <w:shd w:val="clear" w:color="auto" w:fill="auto"/>
          </w:tcPr>
          <w:p>
            <w:pPr>
              <w:spacing w:before="60" w:after="60"/>
              <w:jc w:val="left"/>
              <w:rPr>
                <w:rFonts w:eastAsia="Calibri"/>
                <w:noProof/>
              </w:rPr>
            </w:pPr>
            <w:r>
              <w:rPr>
                <w:rFonts w:eastAsia="Calibri"/>
                <w:noProof/>
              </w:rPr>
              <w:lastRenderedPageBreak/>
              <w:t>Reference period (four months):</w:t>
            </w:r>
          </w:p>
        </w:tc>
        <w:tc>
          <w:tcPr>
            <w:tcW w:w="4501" w:type="dxa"/>
            <w:tcBorders>
              <w:bottom w:val="single" w:sz="4" w:space="0" w:color="auto"/>
            </w:tcBorders>
            <w:shd w:val="clear" w:color="auto" w:fill="auto"/>
          </w:tcPr>
          <w:p>
            <w:pPr>
              <w:spacing w:before="60" w:after="60"/>
              <w:ind w:rightChars="192" w:right="461"/>
              <w:jc w:val="left"/>
              <w:rPr>
                <w:rFonts w:eastAsia="Calibri"/>
                <w:noProof/>
              </w:rPr>
            </w:pPr>
            <w:r>
              <w:rPr>
                <w:noProof/>
              </w:rPr>
              <w:t>12 July 2016 – 12 November 2016</w:t>
            </w:r>
            <w:r>
              <w:rPr>
                <w:rFonts w:eastAsia="Calibri"/>
                <w:noProof/>
              </w:rPr>
              <w:t xml:space="preserve"> </w:t>
            </w:r>
          </w:p>
        </w:tc>
      </w:tr>
      <w:tr>
        <w:tc>
          <w:tcPr>
            <w:tcW w:w="4786" w:type="dxa"/>
            <w:tcBorders>
              <w:bottom w:val="dotted" w:sz="4" w:space="0" w:color="auto"/>
            </w:tcBorders>
            <w:shd w:val="clear" w:color="auto" w:fill="auto"/>
          </w:tcPr>
          <w:p>
            <w:pPr>
              <w:spacing w:before="60" w:after="60"/>
              <w:jc w:val="left"/>
              <w:rPr>
                <w:rFonts w:eastAsia="Calibri"/>
                <w:noProof/>
                <w:highlight w:val="magenta"/>
              </w:rPr>
            </w:pPr>
            <w:r>
              <w:rPr>
                <w:rFonts w:eastAsia="Calibri"/>
                <w:noProof/>
              </w:rPr>
              <w:t>Number of redundancies during the reference period (</w:t>
            </w:r>
            <w:r>
              <w:rPr>
                <w:rFonts w:eastAsia="Calibri"/>
                <w:i/>
                <w:noProof/>
              </w:rPr>
              <w:t>a</w:t>
            </w:r>
            <w:r>
              <w:rPr>
                <w:rFonts w:eastAsia="Calibri"/>
                <w:noProof/>
              </w:rPr>
              <w:t>)</w:t>
            </w:r>
          </w:p>
        </w:tc>
        <w:tc>
          <w:tcPr>
            <w:tcW w:w="4501" w:type="dxa"/>
            <w:tcBorders>
              <w:bottom w:val="dotted" w:sz="4" w:space="0" w:color="auto"/>
            </w:tcBorders>
            <w:shd w:val="clear" w:color="auto" w:fill="auto"/>
          </w:tcPr>
          <w:p>
            <w:pPr>
              <w:spacing w:before="60" w:after="60"/>
              <w:ind w:rightChars="192" w:right="461"/>
              <w:jc w:val="left"/>
              <w:rPr>
                <w:rFonts w:eastAsia="Calibri"/>
                <w:noProof/>
                <w:highlight w:val="magenta"/>
              </w:rPr>
            </w:pPr>
            <w:r>
              <w:rPr>
                <w:noProof/>
              </w:rPr>
              <w:t>1</w:t>
            </w:r>
            <w:r>
              <w:rPr>
                <w:rFonts w:eastAsia="Calibri"/>
                <w:noProof/>
              </w:rPr>
              <w:t> </w:t>
            </w:r>
            <w:r>
              <w:rPr>
                <w:noProof/>
              </w:rPr>
              <w:t>248</w:t>
            </w:r>
          </w:p>
        </w:tc>
      </w:tr>
      <w:tr>
        <w:tc>
          <w:tcPr>
            <w:tcW w:w="4786" w:type="dxa"/>
            <w:tcBorders>
              <w:top w:val="dotted" w:sz="4" w:space="0" w:color="auto"/>
              <w:bottom w:val="dotted" w:sz="4" w:space="0" w:color="auto"/>
            </w:tcBorders>
            <w:shd w:val="clear" w:color="auto" w:fill="auto"/>
          </w:tcPr>
          <w:p>
            <w:pPr>
              <w:spacing w:before="60" w:after="60"/>
              <w:jc w:val="left"/>
              <w:rPr>
                <w:rFonts w:eastAsia="Calibri"/>
                <w:noProof/>
                <w:highlight w:val="magenta"/>
              </w:rPr>
            </w:pPr>
            <w:r>
              <w:rPr>
                <w:rFonts w:eastAsia="Calibri"/>
                <w:noProof/>
              </w:rPr>
              <w:t>Number of redundancies before or after the reference period (</w:t>
            </w:r>
            <w:r>
              <w:rPr>
                <w:rFonts w:eastAsia="Calibri"/>
                <w:i/>
                <w:noProof/>
              </w:rPr>
              <w:t>b</w:t>
            </w:r>
            <w:r>
              <w:rPr>
                <w:rFonts w:eastAsia="Calibri"/>
                <w:noProof/>
              </w:rPr>
              <w:t>)</w:t>
            </w:r>
          </w:p>
        </w:tc>
        <w:tc>
          <w:tcPr>
            <w:tcW w:w="4501"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0</w:t>
            </w:r>
          </w:p>
        </w:tc>
      </w:tr>
      <w:tr>
        <w:tc>
          <w:tcPr>
            <w:tcW w:w="4786" w:type="dxa"/>
            <w:tcBorders>
              <w:top w:val="dotted" w:sz="4" w:space="0" w:color="auto"/>
              <w:bottom w:val="single" w:sz="4" w:space="0" w:color="auto"/>
            </w:tcBorders>
            <w:shd w:val="clear" w:color="auto" w:fill="auto"/>
          </w:tcPr>
          <w:p>
            <w:pPr>
              <w:spacing w:before="60" w:after="60"/>
              <w:jc w:val="left"/>
              <w:rPr>
                <w:rFonts w:eastAsia="Calibri"/>
                <w:noProof/>
              </w:rPr>
            </w:pPr>
            <w:r>
              <w:rPr>
                <w:rFonts w:eastAsia="Calibri"/>
                <w:noProof/>
              </w:rPr>
              <w:t xml:space="preserve">Total number of redundancies </w:t>
            </w:r>
          </w:p>
        </w:tc>
        <w:tc>
          <w:tcPr>
            <w:tcW w:w="4501" w:type="dxa"/>
            <w:tcBorders>
              <w:top w:val="dotted" w:sz="4" w:space="0" w:color="auto"/>
              <w:bottom w:val="single" w:sz="4" w:space="0" w:color="auto"/>
            </w:tcBorders>
            <w:shd w:val="clear" w:color="auto" w:fill="auto"/>
          </w:tcPr>
          <w:p>
            <w:pPr>
              <w:spacing w:before="60" w:after="60"/>
              <w:ind w:rightChars="192" w:right="461"/>
              <w:jc w:val="left"/>
              <w:rPr>
                <w:rFonts w:eastAsia="Calibri"/>
                <w:noProof/>
              </w:rPr>
            </w:pPr>
            <w:r>
              <w:rPr>
                <w:noProof/>
              </w:rPr>
              <w:t>1</w:t>
            </w:r>
            <w:r>
              <w:rPr>
                <w:rFonts w:eastAsia="Calibri"/>
                <w:noProof/>
              </w:rPr>
              <w:t> </w:t>
            </w:r>
            <w:r>
              <w:rPr>
                <w:noProof/>
              </w:rPr>
              <w:t>248</w:t>
            </w:r>
          </w:p>
        </w:tc>
      </w:tr>
      <w:tr>
        <w:tc>
          <w:tcPr>
            <w:tcW w:w="4786" w:type="dxa"/>
            <w:tcBorders>
              <w:bottom w:val="dotted" w:sz="4" w:space="0" w:color="auto"/>
            </w:tcBorders>
            <w:shd w:val="clear" w:color="auto" w:fill="auto"/>
          </w:tcPr>
          <w:p>
            <w:pPr>
              <w:spacing w:before="60" w:after="60"/>
              <w:jc w:val="left"/>
              <w:rPr>
                <w:rFonts w:eastAsia="Calibri"/>
                <w:noProof/>
              </w:rPr>
            </w:pPr>
            <w:r>
              <w:rPr>
                <w:rFonts w:eastAsia="Calibri"/>
                <w:noProof/>
              </w:rPr>
              <w:t>Total number of eligible beneficiaries</w:t>
            </w:r>
          </w:p>
        </w:tc>
        <w:tc>
          <w:tcPr>
            <w:tcW w:w="4501" w:type="dxa"/>
            <w:tcBorders>
              <w:bottom w:val="dotted" w:sz="4" w:space="0" w:color="auto"/>
            </w:tcBorders>
            <w:shd w:val="clear" w:color="auto" w:fill="auto"/>
          </w:tcPr>
          <w:p>
            <w:pPr>
              <w:spacing w:before="60" w:after="60"/>
              <w:ind w:rightChars="192" w:right="461"/>
              <w:jc w:val="left"/>
              <w:rPr>
                <w:rFonts w:eastAsia="Calibri"/>
                <w:noProof/>
              </w:rPr>
            </w:pPr>
            <w:r>
              <w:rPr>
                <w:noProof/>
              </w:rPr>
              <w:t>1</w:t>
            </w:r>
            <w:r>
              <w:rPr>
                <w:rFonts w:eastAsia="Calibri"/>
                <w:noProof/>
              </w:rPr>
              <w:t> </w:t>
            </w:r>
            <w:r>
              <w:rPr>
                <w:noProof/>
              </w:rPr>
              <w:t>248</w:t>
            </w:r>
          </w:p>
        </w:tc>
      </w:tr>
      <w:tr>
        <w:tc>
          <w:tcPr>
            <w:tcW w:w="4786" w:type="dxa"/>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rPr>
              <w:t>Total number of targeted beneficiaries</w:t>
            </w:r>
          </w:p>
        </w:tc>
        <w:tc>
          <w:tcPr>
            <w:tcW w:w="4501"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1</w:t>
            </w:r>
            <w:r>
              <w:rPr>
                <w:rFonts w:eastAsia="Calibri"/>
                <w:noProof/>
              </w:rPr>
              <w:t> </w:t>
            </w:r>
            <w:r>
              <w:rPr>
                <w:noProof/>
              </w:rPr>
              <w:t>000</w:t>
            </w:r>
          </w:p>
        </w:tc>
      </w:tr>
      <w:tr>
        <w:tc>
          <w:tcPr>
            <w:tcW w:w="4786" w:type="dxa"/>
            <w:tcBorders>
              <w:top w:val="dotted" w:sz="4" w:space="0" w:color="auto"/>
              <w:bottom w:val="single" w:sz="4" w:space="0" w:color="auto"/>
            </w:tcBorders>
            <w:shd w:val="clear" w:color="auto" w:fill="auto"/>
          </w:tcPr>
          <w:p>
            <w:pPr>
              <w:spacing w:before="60" w:after="60"/>
              <w:jc w:val="left"/>
              <w:rPr>
                <w:rFonts w:eastAsia="Calibri"/>
                <w:noProof/>
              </w:rPr>
            </w:pPr>
            <w:r>
              <w:rPr>
                <w:rFonts w:eastAsia="Calibri"/>
                <w:noProof/>
              </w:rPr>
              <w:t>Number of targeted young persons not in employment, education or training (NEETs)</w:t>
            </w:r>
          </w:p>
        </w:tc>
        <w:tc>
          <w:tcPr>
            <w:tcW w:w="4501" w:type="dxa"/>
            <w:tcBorders>
              <w:top w:val="dotted" w:sz="4" w:space="0" w:color="auto"/>
              <w:bottom w:val="single" w:sz="4" w:space="0" w:color="auto"/>
            </w:tcBorders>
            <w:shd w:val="clear" w:color="auto" w:fill="auto"/>
          </w:tcPr>
          <w:p>
            <w:pPr>
              <w:spacing w:before="60" w:after="60"/>
              <w:ind w:rightChars="192" w:right="461"/>
              <w:jc w:val="left"/>
              <w:rPr>
                <w:rFonts w:eastAsia="Calibri"/>
                <w:noProof/>
              </w:rPr>
            </w:pPr>
            <w:r>
              <w:rPr>
                <w:noProof/>
              </w:rPr>
              <w:t>0</w:t>
            </w:r>
          </w:p>
        </w:tc>
      </w:tr>
      <w:tr>
        <w:tc>
          <w:tcPr>
            <w:tcW w:w="4786" w:type="dxa"/>
            <w:tcBorders>
              <w:bottom w:val="dotted" w:sz="4" w:space="0" w:color="auto"/>
            </w:tcBorders>
            <w:shd w:val="clear" w:color="auto" w:fill="auto"/>
            <w:vAlign w:val="center"/>
          </w:tcPr>
          <w:p>
            <w:pPr>
              <w:spacing w:before="0" w:after="0"/>
              <w:jc w:val="left"/>
              <w:rPr>
                <w:noProof/>
              </w:rPr>
            </w:pPr>
            <w:r>
              <w:rPr>
                <w:noProof/>
              </w:rPr>
              <w:t>Budget for personalised services (EUR)</w:t>
            </w:r>
          </w:p>
        </w:tc>
        <w:tc>
          <w:tcPr>
            <w:tcW w:w="4501" w:type="dxa"/>
            <w:tcBorders>
              <w:bottom w:val="dotted" w:sz="4" w:space="0" w:color="auto"/>
            </w:tcBorders>
            <w:shd w:val="clear" w:color="auto" w:fill="auto"/>
            <w:vAlign w:val="center"/>
          </w:tcPr>
          <w:p>
            <w:pPr>
              <w:spacing w:before="0" w:after="0"/>
              <w:ind w:rightChars="192" w:right="461"/>
              <w:jc w:val="left"/>
              <w:rPr>
                <w:noProof/>
              </w:rPr>
            </w:pPr>
            <w:r>
              <w:rPr>
                <w:noProof/>
              </w:rPr>
              <w:t>5</w:t>
            </w:r>
            <w:r>
              <w:rPr>
                <w:rFonts w:eastAsia="Calibri"/>
                <w:noProof/>
              </w:rPr>
              <w:t> </w:t>
            </w:r>
            <w:r>
              <w:rPr>
                <w:noProof/>
              </w:rPr>
              <w:t>559</w:t>
            </w:r>
            <w:r>
              <w:rPr>
                <w:rFonts w:eastAsia="Calibri"/>
                <w:noProof/>
              </w:rPr>
              <w:t> </w:t>
            </w:r>
            <w:r>
              <w:rPr>
                <w:noProof/>
              </w:rPr>
              <w:t>300</w:t>
            </w:r>
          </w:p>
        </w:tc>
      </w:tr>
      <w:tr>
        <w:tc>
          <w:tcPr>
            <w:tcW w:w="4786" w:type="dxa"/>
            <w:tcBorders>
              <w:top w:val="dotted" w:sz="4" w:space="0" w:color="auto"/>
              <w:bottom w:val="dotted" w:sz="4" w:space="0" w:color="auto"/>
            </w:tcBorders>
            <w:shd w:val="clear" w:color="auto" w:fill="auto"/>
            <w:vAlign w:val="center"/>
          </w:tcPr>
          <w:p>
            <w:pPr>
              <w:spacing w:before="0" w:after="0"/>
              <w:jc w:val="left"/>
              <w:rPr>
                <w:noProof/>
              </w:rPr>
            </w:pPr>
            <w:r>
              <w:rPr>
                <w:noProof/>
              </w:rPr>
              <w:t>Budget for implementing EGF</w:t>
            </w:r>
            <w:r>
              <w:rPr>
                <w:rStyle w:val="FootnoteReference"/>
                <w:noProof/>
              </w:rPr>
              <w:footnoteReference w:id="5"/>
            </w:r>
            <w:r>
              <w:rPr>
                <w:noProof/>
              </w:rPr>
              <w:t xml:space="preserve"> (EUR)</w:t>
            </w:r>
          </w:p>
        </w:tc>
        <w:tc>
          <w:tcPr>
            <w:tcW w:w="4501" w:type="dxa"/>
            <w:tcBorders>
              <w:top w:val="dotted" w:sz="4" w:space="0" w:color="auto"/>
              <w:bottom w:val="dotted" w:sz="4" w:space="0" w:color="auto"/>
            </w:tcBorders>
            <w:shd w:val="clear" w:color="auto" w:fill="auto"/>
            <w:vAlign w:val="center"/>
          </w:tcPr>
          <w:p>
            <w:pPr>
              <w:spacing w:before="0" w:after="0"/>
              <w:ind w:rightChars="192" w:right="461"/>
              <w:jc w:val="left"/>
              <w:rPr>
                <w:noProof/>
              </w:rPr>
            </w:pPr>
            <w:r>
              <w:rPr>
                <w:rFonts w:eastAsia="Calibri"/>
                <w:noProof/>
              </w:rPr>
              <w:t>   </w:t>
            </w:r>
            <w:r>
              <w:rPr>
                <w:noProof/>
              </w:rPr>
              <w:t>307</w:t>
            </w:r>
            <w:r>
              <w:rPr>
                <w:rFonts w:eastAsia="Calibri"/>
                <w:noProof/>
              </w:rPr>
              <w:t> </w:t>
            </w:r>
            <w:r>
              <w:rPr>
                <w:noProof/>
              </w:rPr>
              <w:t>500</w:t>
            </w:r>
          </w:p>
        </w:tc>
      </w:tr>
      <w:tr>
        <w:tc>
          <w:tcPr>
            <w:tcW w:w="4786" w:type="dxa"/>
            <w:tcBorders>
              <w:top w:val="dotted" w:sz="4" w:space="0" w:color="auto"/>
              <w:bottom w:val="dotted" w:sz="4" w:space="0" w:color="auto"/>
            </w:tcBorders>
            <w:shd w:val="clear" w:color="auto" w:fill="auto"/>
            <w:vAlign w:val="center"/>
          </w:tcPr>
          <w:p>
            <w:pPr>
              <w:spacing w:before="0" w:after="0"/>
              <w:jc w:val="left"/>
              <w:rPr>
                <w:noProof/>
              </w:rPr>
            </w:pPr>
            <w:r>
              <w:rPr>
                <w:noProof/>
              </w:rPr>
              <w:t>Total budget (EUR)</w:t>
            </w:r>
          </w:p>
        </w:tc>
        <w:tc>
          <w:tcPr>
            <w:tcW w:w="4501" w:type="dxa"/>
            <w:tcBorders>
              <w:top w:val="dotted" w:sz="4" w:space="0" w:color="auto"/>
              <w:bottom w:val="dotted" w:sz="4" w:space="0" w:color="auto"/>
            </w:tcBorders>
            <w:shd w:val="clear" w:color="auto" w:fill="auto"/>
            <w:vAlign w:val="center"/>
          </w:tcPr>
          <w:p>
            <w:pPr>
              <w:spacing w:before="0" w:after="0"/>
              <w:ind w:rightChars="192" w:right="461"/>
              <w:jc w:val="left"/>
              <w:rPr>
                <w:noProof/>
              </w:rPr>
            </w:pPr>
            <w:r>
              <w:rPr>
                <w:noProof/>
              </w:rPr>
              <w:t>5</w:t>
            </w:r>
            <w:r>
              <w:rPr>
                <w:rFonts w:eastAsia="Calibri"/>
                <w:noProof/>
              </w:rPr>
              <w:t> </w:t>
            </w:r>
            <w:r>
              <w:rPr>
                <w:noProof/>
              </w:rPr>
              <w:t>866</w:t>
            </w:r>
            <w:r>
              <w:rPr>
                <w:rFonts w:eastAsia="Calibri"/>
                <w:noProof/>
              </w:rPr>
              <w:t> </w:t>
            </w:r>
            <w:r>
              <w:rPr>
                <w:noProof/>
              </w:rPr>
              <w:t>800</w:t>
            </w:r>
          </w:p>
        </w:tc>
      </w:tr>
      <w:tr>
        <w:tc>
          <w:tcPr>
            <w:tcW w:w="4786" w:type="dxa"/>
            <w:tcBorders>
              <w:top w:val="dotted" w:sz="4" w:space="0" w:color="auto"/>
            </w:tcBorders>
            <w:shd w:val="clear" w:color="auto" w:fill="auto"/>
            <w:vAlign w:val="center"/>
          </w:tcPr>
          <w:p>
            <w:pPr>
              <w:spacing w:before="0" w:after="0"/>
              <w:jc w:val="left"/>
              <w:rPr>
                <w:noProof/>
              </w:rPr>
            </w:pPr>
            <w:r>
              <w:rPr>
                <w:noProof/>
              </w:rPr>
              <w:t>EGF contribution (60 %) (EUR)</w:t>
            </w:r>
          </w:p>
        </w:tc>
        <w:tc>
          <w:tcPr>
            <w:tcW w:w="4501" w:type="dxa"/>
            <w:tcBorders>
              <w:top w:val="dotted" w:sz="4" w:space="0" w:color="auto"/>
            </w:tcBorders>
            <w:shd w:val="clear" w:color="auto" w:fill="auto"/>
            <w:vAlign w:val="center"/>
          </w:tcPr>
          <w:p>
            <w:pPr>
              <w:spacing w:before="0" w:after="0"/>
              <w:ind w:rightChars="192" w:right="461"/>
              <w:jc w:val="left"/>
              <w:rPr>
                <w:noProof/>
              </w:rPr>
            </w:pPr>
            <w:r>
              <w:rPr>
                <w:noProof/>
              </w:rPr>
              <w:t>3</w:t>
            </w:r>
            <w:r>
              <w:rPr>
                <w:rFonts w:eastAsia="Calibri"/>
                <w:noProof/>
              </w:rPr>
              <w:t> </w:t>
            </w:r>
            <w:r>
              <w:rPr>
                <w:noProof/>
              </w:rPr>
              <w:t>520</w:t>
            </w:r>
            <w:r>
              <w:rPr>
                <w:rFonts w:eastAsia="Calibri"/>
                <w:noProof/>
              </w:rPr>
              <w:t> </w:t>
            </w:r>
            <w:r>
              <w:rPr>
                <w:noProof/>
              </w:rPr>
              <w:t>080</w:t>
            </w:r>
          </w:p>
        </w:tc>
      </w:tr>
    </w:tbl>
    <w:p>
      <w:pPr>
        <w:pStyle w:val="ManualHeading1"/>
        <w:rPr>
          <w:noProof/>
        </w:rPr>
      </w:pPr>
      <w:r>
        <w:rPr>
          <w:noProof/>
        </w:rPr>
        <w:t>ASSESSMENT OF THE APPLICATION</w:t>
      </w:r>
    </w:p>
    <w:p>
      <w:pPr>
        <w:pStyle w:val="ManualHeading2"/>
        <w:rPr>
          <w:noProof/>
        </w:rPr>
      </w:pPr>
      <w:r>
        <w:rPr>
          <w:noProof/>
        </w:rPr>
        <w:t>Procedure</w:t>
      </w:r>
    </w:p>
    <w:p>
      <w:pPr>
        <w:pStyle w:val="ManualNumPar1"/>
        <w:rPr>
          <w:noProof/>
        </w:rPr>
      </w:pPr>
      <w:r>
        <w:t>4.</w:t>
      </w:r>
      <w:r>
        <w:tab/>
      </w:r>
      <w:r>
        <w:rPr>
          <w:noProof/>
        </w:rPr>
        <w:t>Finland submitted application EGF/2017/002 FI/Microsoft 2 within 12 weeks of the date on which the intervention criteria set out in Article 4 of the EGF Regulation were met, on 1 February 2017. The Commission acknowledged receipt of the application on the same day and requested additional information from Finland on 15 February 2017. Such additional information was provided within six weeks of the request. The deadline of 12 weeks of the receipt of the complete application within which the Commission should finalise its assessment of the application's compliance with the conditions for providing a financial contribution will expire on 21 June 2017.</w:t>
      </w:r>
    </w:p>
    <w:p>
      <w:pPr>
        <w:pStyle w:val="ManualHeading2"/>
        <w:rPr>
          <w:noProof/>
        </w:rPr>
      </w:pPr>
      <w:r>
        <w:rPr>
          <w:noProof/>
        </w:rPr>
        <w:t>Eligibility of the application</w:t>
      </w:r>
    </w:p>
    <w:p>
      <w:pPr>
        <w:pStyle w:val="ManualHeading3"/>
        <w:rPr>
          <w:noProof/>
        </w:rPr>
      </w:pPr>
      <w:r>
        <w:rPr>
          <w:noProof/>
        </w:rPr>
        <w:t>Enterprises and beneficiaries concerned</w:t>
      </w:r>
    </w:p>
    <w:p>
      <w:pPr>
        <w:pStyle w:val="ManualNumPar1"/>
        <w:rPr>
          <w:noProof/>
        </w:rPr>
      </w:pPr>
      <w:r>
        <w:t>5.</w:t>
      </w:r>
      <w:r>
        <w:tab/>
      </w:r>
      <w:r>
        <w:rPr>
          <w:noProof/>
        </w:rPr>
        <w:t>The application relates to 1 248 workers made redundant in Microsoft Oy (Microsoft Mobile Oy) and 11 suppliers and downstream producers. The primary enterprise operates in the economic sector classified under the NACE Revision 2 Division 62 Computer programming, consultancy and other activities. The redundancies made by the Microsoft Mobile Oy are mainly located in the NUTS level 2 regions of Helsinki-Uusimaa, Länsi-Suomi and Etelä-Suomi.</w:t>
      </w:r>
    </w:p>
    <w:p>
      <w:pPr>
        <w:pStyle w:val="Text1"/>
        <w:rPr>
          <w:noProof/>
        </w:rPr>
      </w:pPr>
    </w:p>
    <w:tbl>
      <w:tblPr>
        <w:tblW w:w="834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480"/>
        <w:gridCol w:w="360"/>
        <w:gridCol w:w="2940"/>
        <w:gridCol w:w="600"/>
        <w:gridCol w:w="600"/>
      </w:tblGrid>
      <w:tr>
        <w:trPr>
          <w:trHeight w:val="284"/>
          <w:tblHeader/>
        </w:trPr>
        <w:tc>
          <w:tcPr>
            <w:tcW w:w="8340" w:type="dxa"/>
            <w:gridSpan w:val="6"/>
            <w:shd w:val="clear" w:color="auto" w:fill="D9D9D9" w:themeFill="background1" w:themeFillShade="D9"/>
          </w:tcPr>
          <w:p>
            <w:pPr>
              <w:spacing w:beforeLines="20" w:before="48" w:afterLines="20" w:after="48" w:line="276" w:lineRule="auto"/>
              <w:ind w:left="57"/>
              <w:jc w:val="center"/>
              <w:rPr>
                <w:rFonts w:eastAsia="Calibri"/>
                <w:noProof/>
                <w:szCs w:val="24"/>
              </w:rPr>
            </w:pPr>
            <w:r>
              <w:rPr>
                <w:rFonts w:eastAsia="Calibri"/>
                <w:b/>
                <w:noProof/>
                <w:szCs w:val="24"/>
              </w:rPr>
              <w:t>Enterprises and number of dismissals within the reference period</w:t>
            </w:r>
          </w:p>
        </w:tc>
      </w:tr>
      <w:tr>
        <w:tc>
          <w:tcPr>
            <w:tcW w:w="3360" w:type="dxa"/>
            <w:tcBorders>
              <w:bottom w:val="nil"/>
              <w:right w:val="nil"/>
            </w:tcBorders>
            <w:shd w:val="clear" w:color="auto" w:fill="auto"/>
            <w:vAlign w:val="center"/>
          </w:tcPr>
          <w:p>
            <w:pPr>
              <w:spacing w:before="0" w:after="0"/>
              <w:ind w:right="252"/>
              <w:jc w:val="left"/>
              <w:rPr>
                <w:noProof/>
                <w:sz w:val="20"/>
              </w:rPr>
            </w:pPr>
            <w:r>
              <w:rPr>
                <w:noProof/>
                <w:sz w:val="20"/>
              </w:rPr>
              <w:t>Microsoft Mobile Oy</w:t>
            </w:r>
          </w:p>
        </w:tc>
        <w:tc>
          <w:tcPr>
            <w:tcW w:w="840" w:type="dxa"/>
            <w:gridSpan w:val="2"/>
            <w:tcBorders>
              <w:left w:val="nil"/>
              <w:bottom w:val="nil"/>
            </w:tcBorders>
            <w:shd w:val="clear" w:color="auto" w:fill="auto"/>
            <w:vAlign w:val="center"/>
          </w:tcPr>
          <w:p>
            <w:pPr>
              <w:spacing w:before="0" w:after="0"/>
              <w:ind w:left="-828"/>
              <w:jc w:val="right"/>
              <w:rPr>
                <w:noProof/>
                <w:sz w:val="20"/>
                <w:szCs w:val="20"/>
              </w:rPr>
            </w:pPr>
            <w:r>
              <w:rPr>
                <w:noProof/>
                <w:sz w:val="20"/>
                <w:szCs w:val="20"/>
              </w:rPr>
              <w:t>1 191</w:t>
            </w:r>
          </w:p>
        </w:tc>
        <w:tc>
          <w:tcPr>
            <w:tcW w:w="3540" w:type="dxa"/>
            <w:gridSpan w:val="2"/>
            <w:tcBorders>
              <w:bottom w:val="nil"/>
              <w:right w:val="nil"/>
            </w:tcBorders>
            <w:shd w:val="clear" w:color="auto" w:fill="auto"/>
            <w:vAlign w:val="center"/>
          </w:tcPr>
          <w:p>
            <w:pPr>
              <w:spacing w:before="0" w:after="0"/>
              <w:jc w:val="left"/>
              <w:rPr>
                <w:noProof/>
                <w:sz w:val="20"/>
              </w:rPr>
            </w:pPr>
            <w:r>
              <w:rPr>
                <w:noProof/>
                <w:sz w:val="20"/>
              </w:rPr>
              <w:t>Manpower Group Solutions</w:t>
            </w:r>
          </w:p>
        </w:tc>
        <w:tc>
          <w:tcPr>
            <w:tcW w:w="600" w:type="dxa"/>
            <w:tcBorders>
              <w:left w:val="nil"/>
              <w:bottom w:val="nil"/>
            </w:tcBorders>
            <w:shd w:val="clear" w:color="auto" w:fill="auto"/>
            <w:vAlign w:val="center"/>
          </w:tcPr>
          <w:p>
            <w:pPr>
              <w:spacing w:before="0" w:after="0"/>
              <w:ind w:left="-828"/>
              <w:jc w:val="right"/>
              <w:rPr>
                <w:noProof/>
                <w:sz w:val="20"/>
              </w:rPr>
            </w:pPr>
            <w:r>
              <w:rPr>
                <w:noProof/>
                <w:sz w:val="20"/>
                <w:szCs w:val="20"/>
              </w:rPr>
              <w:t>14</w:t>
            </w:r>
          </w:p>
        </w:tc>
      </w:tr>
      <w:tr>
        <w:trPr>
          <w:trHeight w:val="138"/>
        </w:trPr>
        <w:tc>
          <w:tcPr>
            <w:tcW w:w="3360" w:type="dxa"/>
            <w:tcBorders>
              <w:top w:val="nil"/>
              <w:bottom w:val="nil"/>
              <w:right w:val="nil"/>
            </w:tcBorders>
            <w:shd w:val="clear" w:color="auto" w:fill="auto"/>
            <w:vAlign w:val="center"/>
          </w:tcPr>
          <w:p>
            <w:pPr>
              <w:spacing w:before="0" w:after="0"/>
              <w:jc w:val="left"/>
              <w:rPr>
                <w:noProof/>
                <w:sz w:val="20"/>
                <w:lang w:val="fr-BE"/>
              </w:rPr>
            </w:pPr>
            <w:r>
              <w:rPr>
                <w:noProof/>
                <w:sz w:val="20"/>
                <w:lang w:val="fr-BE"/>
              </w:rPr>
              <w:t>Accenture Oy</w:t>
            </w:r>
          </w:p>
        </w:tc>
        <w:tc>
          <w:tcPr>
            <w:tcW w:w="840" w:type="dxa"/>
            <w:gridSpan w:val="2"/>
            <w:tcBorders>
              <w:top w:val="nil"/>
              <w:left w:val="nil"/>
              <w:bottom w:val="nil"/>
            </w:tcBorders>
            <w:shd w:val="clear" w:color="auto" w:fill="auto"/>
            <w:vAlign w:val="center"/>
          </w:tcPr>
          <w:p>
            <w:pPr>
              <w:spacing w:before="0" w:after="0"/>
              <w:ind w:left="-828"/>
              <w:jc w:val="right"/>
              <w:rPr>
                <w:noProof/>
                <w:sz w:val="20"/>
              </w:rPr>
            </w:pPr>
            <w:r>
              <w:rPr>
                <w:noProof/>
                <w:sz w:val="20"/>
                <w:szCs w:val="20"/>
              </w:rPr>
              <w:t>5</w:t>
            </w:r>
          </w:p>
        </w:tc>
        <w:tc>
          <w:tcPr>
            <w:tcW w:w="3540" w:type="dxa"/>
            <w:gridSpan w:val="2"/>
            <w:tcBorders>
              <w:top w:val="nil"/>
              <w:bottom w:val="nil"/>
              <w:right w:val="nil"/>
            </w:tcBorders>
            <w:shd w:val="clear" w:color="auto" w:fill="auto"/>
            <w:vAlign w:val="center"/>
          </w:tcPr>
          <w:p>
            <w:pPr>
              <w:spacing w:before="0" w:after="0"/>
              <w:jc w:val="left"/>
              <w:rPr>
                <w:noProof/>
                <w:sz w:val="20"/>
              </w:rPr>
            </w:pPr>
            <w:r>
              <w:rPr>
                <w:noProof/>
                <w:sz w:val="20"/>
              </w:rPr>
              <w:t>Sale Nordic Oy</w:t>
            </w:r>
          </w:p>
        </w:tc>
        <w:tc>
          <w:tcPr>
            <w:tcW w:w="600" w:type="dxa"/>
            <w:tcBorders>
              <w:top w:val="nil"/>
              <w:left w:val="nil"/>
              <w:bottom w:val="nil"/>
            </w:tcBorders>
            <w:shd w:val="clear" w:color="auto" w:fill="auto"/>
            <w:vAlign w:val="center"/>
          </w:tcPr>
          <w:p>
            <w:pPr>
              <w:spacing w:before="0" w:after="0"/>
              <w:ind w:left="-828"/>
              <w:jc w:val="right"/>
              <w:rPr>
                <w:noProof/>
                <w:sz w:val="20"/>
              </w:rPr>
            </w:pPr>
            <w:r>
              <w:rPr>
                <w:noProof/>
                <w:sz w:val="20"/>
                <w:szCs w:val="20"/>
              </w:rPr>
              <w:t>1</w:t>
            </w:r>
          </w:p>
        </w:tc>
      </w:tr>
      <w:tr>
        <w:tc>
          <w:tcPr>
            <w:tcW w:w="3360" w:type="dxa"/>
            <w:tcBorders>
              <w:top w:val="nil"/>
              <w:bottom w:val="nil"/>
              <w:right w:val="nil"/>
            </w:tcBorders>
            <w:shd w:val="clear" w:color="auto" w:fill="auto"/>
            <w:vAlign w:val="center"/>
          </w:tcPr>
          <w:p>
            <w:pPr>
              <w:spacing w:before="0" w:after="0"/>
              <w:jc w:val="left"/>
              <w:rPr>
                <w:noProof/>
                <w:sz w:val="20"/>
              </w:rPr>
            </w:pPr>
            <w:r>
              <w:rPr>
                <w:noProof/>
                <w:sz w:val="20"/>
              </w:rPr>
              <w:t>HCL Technologies Ltd</w:t>
            </w:r>
          </w:p>
        </w:tc>
        <w:tc>
          <w:tcPr>
            <w:tcW w:w="840" w:type="dxa"/>
            <w:gridSpan w:val="2"/>
            <w:tcBorders>
              <w:top w:val="nil"/>
              <w:left w:val="nil"/>
              <w:bottom w:val="nil"/>
            </w:tcBorders>
            <w:shd w:val="clear" w:color="auto" w:fill="auto"/>
            <w:vAlign w:val="center"/>
          </w:tcPr>
          <w:p>
            <w:pPr>
              <w:spacing w:before="0" w:after="0"/>
              <w:ind w:left="-828"/>
              <w:jc w:val="right"/>
              <w:rPr>
                <w:noProof/>
                <w:sz w:val="20"/>
              </w:rPr>
            </w:pPr>
            <w:r>
              <w:rPr>
                <w:noProof/>
                <w:sz w:val="20"/>
                <w:szCs w:val="20"/>
              </w:rPr>
              <w:t>3</w:t>
            </w:r>
          </w:p>
        </w:tc>
        <w:tc>
          <w:tcPr>
            <w:tcW w:w="3540" w:type="dxa"/>
            <w:gridSpan w:val="2"/>
            <w:tcBorders>
              <w:top w:val="nil"/>
              <w:bottom w:val="nil"/>
              <w:right w:val="nil"/>
            </w:tcBorders>
            <w:shd w:val="clear" w:color="auto" w:fill="auto"/>
            <w:vAlign w:val="center"/>
          </w:tcPr>
          <w:p>
            <w:pPr>
              <w:spacing w:before="0" w:after="0"/>
              <w:jc w:val="left"/>
              <w:rPr>
                <w:noProof/>
                <w:sz w:val="20"/>
              </w:rPr>
            </w:pPr>
            <w:r>
              <w:rPr>
                <w:noProof/>
                <w:sz w:val="20"/>
              </w:rPr>
              <w:t>Spellpoint Oy</w:t>
            </w:r>
          </w:p>
        </w:tc>
        <w:tc>
          <w:tcPr>
            <w:tcW w:w="600" w:type="dxa"/>
            <w:tcBorders>
              <w:top w:val="nil"/>
              <w:left w:val="nil"/>
              <w:bottom w:val="nil"/>
            </w:tcBorders>
            <w:shd w:val="clear" w:color="auto" w:fill="auto"/>
            <w:vAlign w:val="center"/>
          </w:tcPr>
          <w:p>
            <w:pPr>
              <w:spacing w:before="0" w:after="0"/>
              <w:ind w:left="-828"/>
              <w:jc w:val="right"/>
              <w:rPr>
                <w:noProof/>
                <w:sz w:val="20"/>
              </w:rPr>
            </w:pPr>
            <w:r>
              <w:rPr>
                <w:noProof/>
                <w:sz w:val="20"/>
                <w:szCs w:val="20"/>
              </w:rPr>
              <w:t>1</w:t>
            </w:r>
          </w:p>
        </w:tc>
      </w:tr>
      <w:tr>
        <w:tc>
          <w:tcPr>
            <w:tcW w:w="3360" w:type="dxa"/>
            <w:tcBorders>
              <w:top w:val="nil"/>
              <w:bottom w:val="nil"/>
              <w:right w:val="nil"/>
            </w:tcBorders>
            <w:shd w:val="clear" w:color="auto" w:fill="auto"/>
            <w:vAlign w:val="center"/>
          </w:tcPr>
          <w:p>
            <w:pPr>
              <w:spacing w:before="0" w:after="0"/>
              <w:jc w:val="left"/>
              <w:rPr>
                <w:noProof/>
                <w:sz w:val="20"/>
              </w:rPr>
            </w:pPr>
            <w:r>
              <w:rPr>
                <w:noProof/>
                <w:sz w:val="20"/>
              </w:rPr>
              <w:t>ISS Palvelut OyManpower</w:t>
            </w:r>
          </w:p>
        </w:tc>
        <w:tc>
          <w:tcPr>
            <w:tcW w:w="840" w:type="dxa"/>
            <w:gridSpan w:val="2"/>
            <w:tcBorders>
              <w:top w:val="nil"/>
              <w:left w:val="nil"/>
              <w:bottom w:val="nil"/>
            </w:tcBorders>
            <w:shd w:val="clear" w:color="auto" w:fill="auto"/>
            <w:vAlign w:val="center"/>
          </w:tcPr>
          <w:p>
            <w:pPr>
              <w:spacing w:before="0" w:after="0"/>
              <w:ind w:left="-828"/>
              <w:jc w:val="right"/>
              <w:rPr>
                <w:noProof/>
                <w:sz w:val="20"/>
              </w:rPr>
            </w:pPr>
            <w:r>
              <w:rPr>
                <w:noProof/>
                <w:sz w:val="20"/>
                <w:szCs w:val="20"/>
              </w:rPr>
              <w:t>20</w:t>
            </w:r>
          </w:p>
        </w:tc>
        <w:tc>
          <w:tcPr>
            <w:tcW w:w="3540" w:type="dxa"/>
            <w:gridSpan w:val="2"/>
            <w:tcBorders>
              <w:top w:val="nil"/>
              <w:bottom w:val="nil"/>
              <w:right w:val="nil"/>
            </w:tcBorders>
            <w:shd w:val="clear" w:color="auto" w:fill="auto"/>
            <w:vAlign w:val="center"/>
          </w:tcPr>
          <w:p>
            <w:pPr>
              <w:spacing w:before="0" w:after="0"/>
              <w:jc w:val="left"/>
              <w:rPr>
                <w:noProof/>
                <w:sz w:val="20"/>
              </w:rPr>
            </w:pPr>
            <w:r>
              <w:rPr>
                <w:noProof/>
                <w:sz w:val="20"/>
              </w:rPr>
              <w:t>Symbio Finland Oy</w:t>
            </w:r>
          </w:p>
        </w:tc>
        <w:tc>
          <w:tcPr>
            <w:tcW w:w="600" w:type="dxa"/>
            <w:tcBorders>
              <w:top w:val="nil"/>
              <w:left w:val="nil"/>
              <w:bottom w:val="nil"/>
            </w:tcBorders>
            <w:shd w:val="clear" w:color="auto" w:fill="auto"/>
            <w:vAlign w:val="center"/>
          </w:tcPr>
          <w:p>
            <w:pPr>
              <w:spacing w:before="0" w:after="0"/>
              <w:ind w:left="-828"/>
              <w:jc w:val="right"/>
              <w:rPr>
                <w:noProof/>
                <w:sz w:val="20"/>
              </w:rPr>
            </w:pPr>
            <w:r>
              <w:rPr>
                <w:noProof/>
                <w:sz w:val="20"/>
              </w:rPr>
              <w:t>3</w:t>
            </w:r>
          </w:p>
        </w:tc>
      </w:tr>
      <w:tr>
        <w:tc>
          <w:tcPr>
            <w:tcW w:w="3360" w:type="dxa"/>
            <w:tcBorders>
              <w:top w:val="nil"/>
              <w:bottom w:val="nil"/>
              <w:right w:val="nil"/>
            </w:tcBorders>
            <w:shd w:val="clear" w:color="auto" w:fill="auto"/>
            <w:vAlign w:val="center"/>
          </w:tcPr>
          <w:p>
            <w:pPr>
              <w:spacing w:before="0" w:after="0"/>
              <w:jc w:val="left"/>
              <w:rPr>
                <w:noProof/>
                <w:sz w:val="20"/>
              </w:rPr>
            </w:pPr>
            <w:r>
              <w:rPr>
                <w:noProof/>
                <w:sz w:val="20"/>
              </w:rPr>
              <w:t>JOT Automation Oy</w:t>
            </w:r>
          </w:p>
        </w:tc>
        <w:tc>
          <w:tcPr>
            <w:tcW w:w="840" w:type="dxa"/>
            <w:gridSpan w:val="2"/>
            <w:tcBorders>
              <w:top w:val="nil"/>
              <w:left w:val="nil"/>
              <w:bottom w:val="nil"/>
            </w:tcBorders>
            <w:shd w:val="clear" w:color="auto" w:fill="auto"/>
            <w:vAlign w:val="center"/>
          </w:tcPr>
          <w:p>
            <w:pPr>
              <w:spacing w:before="0" w:after="0"/>
              <w:ind w:left="-828"/>
              <w:jc w:val="right"/>
              <w:rPr>
                <w:noProof/>
                <w:sz w:val="20"/>
              </w:rPr>
            </w:pPr>
            <w:r>
              <w:rPr>
                <w:noProof/>
                <w:sz w:val="20"/>
              </w:rPr>
              <w:t>1</w:t>
            </w:r>
          </w:p>
        </w:tc>
        <w:tc>
          <w:tcPr>
            <w:tcW w:w="3540" w:type="dxa"/>
            <w:gridSpan w:val="2"/>
            <w:tcBorders>
              <w:top w:val="nil"/>
              <w:bottom w:val="nil"/>
              <w:right w:val="nil"/>
            </w:tcBorders>
            <w:shd w:val="clear" w:color="auto" w:fill="auto"/>
            <w:vAlign w:val="center"/>
          </w:tcPr>
          <w:p>
            <w:pPr>
              <w:spacing w:before="0" w:after="0"/>
              <w:jc w:val="left"/>
              <w:rPr>
                <w:noProof/>
                <w:sz w:val="20"/>
              </w:rPr>
            </w:pPr>
            <w:r>
              <w:rPr>
                <w:noProof/>
                <w:sz w:val="20"/>
              </w:rPr>
              <w:t>Tieto Oy</w:t>
            </w:r>
          </w:p>
        </w:tc>
        <w:tc>
          <w:tcPr>
            <w:tcW w:w="600" w:type="dxa"/>
            <w:tcBorders>
              <w:top w:val="nil"/>
              <w:left w:val="nil"/>
              <w:bottom w:val="nil"/>
            </w:tcBorders>
            <w:shd w:val="clear" w:color="auto" w:fill="auto"/>
            <w:vAlign w:val="center"/>
          </w:tcPr>
          <w:p>
            <w:pPr>
              <w:spacing w:before="0" w:after="0"/>
              <w:ind w:left="-828"/>
              <w:jc w:val="right"/>
              <w:rPr>
                <w:noProof/>
                <w:sz w:val="20"/>
              </w:rPr>
            </w:pPr>
            <w:r>
              <w:rPr>
                <w:noProof/>
                <w:sz w:val="20"/>
              </w:rPr>
              <w:t>2</w:t>
            </w:r>
          </w:p>
        </w:tc>
      </w:tr>
      <w:tr>
        <w:tc>
          <w:tcPr>
            <w:tcW w:w="3360" w:type="dxa"/>
            <w:tcBorders>
              <w:top w:val="nil"/>
              <w:bottom w:val="single" w:sz="4" w:space="0" w:color="auto"/>
              <w:right w:val="nil"/>
            </w:tcBorders>
            <w:shd w:val="clear" w:color="auto" w:fill="auto"/>
            <w:vAlign w:val="center"/>
          </w:tcPr>
          <w:p>
            <w:pPr>
              <w:spacing w:before="0" w:after="0"/>
              <w:jc w:val="left"/>
              <w:rPr>
                <w:noProof/>
                <w:sz w:val="20"/>
              </w:rPr>
            </w:pPr>
            <w:r>
              <w:rPr>
                <w:noProof/>
                <w:sz w:val="20"/>
              </w:rPr>
              <w:t>Lionbridge Oy</w:t>
            </w:r>
          </w:p>
        </w:tc>
        <w:tc>
          <w:tcPr>
            <w:tcW w:w="840" w:type="dxa"/>
            <w:gridSpan w:val="2"/>
            <w:tcBorders>
              <w:top w:val="nil"/>
              <w:left w:val="nil"/>
              <w:bottom w:val="single" w:sz="4" w:space="0" w:color="auto"/>
            </w:tcBorders>
            <w:shd w:val="clear" w:color="auto" w:fill="auto"/>
            <w:vAlign w:val="center"/>
          </w:tcPr>
          <w:p>
            <w:pPr>
              <w:spacing w:before="0" w:after="0"/>
              <w:ind w:left="-828"/>
              <w:jc w:val="right"/>
              <w:rPr>
                <w:noProof/>
                <w:sz w:val="20"/>
              </w:rPr>
            </w:pPr>
            <w:r>
              <w:rPr>
                <w:noProof/>
                <w:sz w:val="20"/>
              </w:rPr>
              <w:t>6</w:t>
            </w:r>
          </w:p>
        </w:tc>
        <w:tc>
          <w:tcPr>
            <w:tcW w:w="3540" w:type="dxa"/>
            <w:gridSpan w:val="2"/>
            <w:tcBorders>
              <w:top w:val="nil"/>
              <w:bottom w:val="single" w:sz="4" w:space="0" w:color="auto"/>
              <w:right w:val="nil"/>
            </w:tcBorders>
            <w:shd w:val="clear" w:color="auto" w:fill="auto"/>
            <w:vAlign w:val="center"/>
          </w:tcPr>
          <w:p>
            <w:pPr>
              <w:spacing w:before="0" w:after="0"/>
              <w:jc w:val="left"/>
              <w:rPr>
                <w:noProof/>
                <w:sz w:val="20"/>
              </w:rPr>
            </w:pPr>
            <w:r>
              <w:rPr>
                <w:noProof/>
                <w:sz w:val="20"/>
              </w:rPr>
              <w:t>Varamiespalvelu-Group Oy</w:t>
            </w:r>
          </w:p>
        </w:tc>
        <w:tc>
          <w:tcPr>
            <w:tcW w:w="600" w:type="dxa"/>
            <w:tcBorders>
              <w:top w:val="nil"/>
              <w:left w:val="nil"/>
              <w:bottom w:val="single" w:sz="4" w:space="0" w:color="auto"/>
            </w:tcBorders>
            <w:shd w:val="clear" w:color="auto" w:fill="auto"/>
            <w:vAlign w:val="center"/>
          </w:tcPr>
          <w:p>
            <w:pPr>
              <w:spacing w:before="0" w:after="0"/>
              <w:ind w:left="-828"/>
              <w:jc w:val="right"/>
              <w:rPr>
                <w:noProof/>
                <w:sz w:val="20"/>
              </w:rPr>
            </w:pPr>
            <w:r>
              <w:rPr>
                <w:noProof/>
                <w:sz w:val="20"/>
              </w:rPr>
              <w:t>1</w:t>
            </w:r>
          </w:p>
        </w:tc>
      </w:tr>
      <w:tr>
        <w:trPr>
          <w:trHeight w:val="284"/>
        </w:trPr>
        <w:tc>
          <w:tcPr>
            <w:tcW w:w="3840" w:type="dxa"/>
            <w:gridSpan w:val="2"/>
            <w:tcBorders>
              <w:bottom w:val="nil"/>
              <w:right w:val="nil"/>
            </w:tcBorders>
            <w:shd w:val="clear" w:color="auto" w:fill="E6E6E6"/>
            <w:vAlign w:val="center"/>
          </w:tcPr>
          <w:p>
            <w:pPr>
              <w:spacing w:beforeLines="20" w:before="48" w:afterLines="20" w:after="48" w:line="276" w:lineRule="auto"/>
              <w:ind w:left="57"/>
              <w:jc w:val="left"/>
              <w:rPr>
                <w:rFonts w:eastAsia="Calibri"/>
                <w:b/>
                <w:noProof/>
                <w:szCs w:val="24"/>
              </w:rPr>
            </w:pPr>
            <w:r>
              <w:rPr>
                <w:rFonts w:eastAsia="Calibri"/>
                <w:noProof/>
                <w:szCs w:val="24"/>
              </w:rPr>
              <w:br w:type="page"/>
            </w:r>
            <w:r>
              <w:rPr>
                <w:rFonts w:eastAsia="Calibri"/>
                <w:b/>
                <w:noProof/>
                <w:szCs w:val="24"/>
              </w:rPr>
              <w:t>Total no. of enterprises:</w:t>
            </w:r>
            <w:r>
              <w:rPr>
                <w:b/>
                <w:noProof/>
                <w:sz w:val="22"/>
              </w:rPr>
              <w:t xml:space="preserve"> 12</w:t>
            </w:r>
          </w:p>
        </w:tc>
        <w:tc>
          <w:tcPr>
            <w:tcW w:w="3300" w:type="dxa"/>
            <w:gridSpan w:val="2"/>
            <w:tcBorders>
              <w:left w:val="nil"/>
              <w:bottom w:val="nil"/>
              <w:right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rFonts w:eastAsia="Calibri"/>
                <w:b/>
                <w:noProof/>
                <w:szCs w:val="24"/>
              </w:rPr>
              <w:t>Total no. of dismissals:</w:t>
            </w:r>
            <w:r>
              <w:rPr>
                <w:b/>
                <w:noProof/>
                <w:sz w:val="22"/>
              </w:rPr>
              <w:t xml:space="preserve"> </w:t>
            </w:r>
          </w:p>
        </w:tc>
        <w:tc>
          <w:tcPr>
            <w:tcW w:w="1200" w:type="dxa"/>
            <w:gridSpan w:val="2"/>
            <w:tcBorders>
              <w:left w:val="nil"/>
              <w:bottom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1</w:t>
            </w:r>
            <w:r>
              <w:rPr>
                <w:rFonts w:eastAsia="Calibri"/>
                <w:noProof/>
              </w:rPr>
              <w:t> </w:t>
            </w:r>
            <w:r>
              <w:rPr>
                <w:b/>
                <w:noProof/>
              </w:rPr>
              <w:t>248</w:t>
            </w:r>
          </w:p>
        </w:tc>
      </w:tr>
      <w:tr>
        <w:trPr>
          <w:trHeight w:val="284"/>
        </w:trPr>
        <w:tc>
          <w:tcPr>
            <w:tcW w:w="7140" w:type="dxa"/>
            <w:gridSpan w:val="4"/>
            <w:tcBorders>
              <w:top w:val="nil"/>
              <w:bottom w:val="nil"/>
              <w:right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rFonts w:eastAsia="Calibri"/>
                <w:b/>
                <w:noProof/>
                <w:szCs w:val="24"/>
              </w:rPr>
              <w:t>Total no. of self-employed persons whose activity has ceased:</w:t>
            </w:r>
            <w:r>
              <w:rPr>
                <w:rFonts w:eastAsia="Calibri"/>
                <w:noProof/>
                <w:szCs w:val="24"/>
              </w:rPr>
              <w:t xml:space="preserve"> </w:t>
            </w:r>
          </w:p>
        </w:tc>
        <w:tc>
          <w:tcPr>
            <w:tcW w:w="1200" w:type="dxa"/>
            <w:gridSpan w:val="2"/>
            <w:tcBorders>
              <w:top w:val="nil"/>
              <w:left w:val="nil"/>
              <w:bottom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0</w:t>
            </w:r>
          </w:p>
        </w:tc>
      </w:tr>
      <w:tr>
        <w:trPr>
          <w:trHeight w:val="284"/>
        </w:trPr>
        <w:tc>
          <w:tcPr>
            <w:tcW w:w="7140" w:type="dxa"/>
            <w:gridSpan w:val="4"/>
            <w:tcBorders>
              <w:top w:val="nil"/>
              <w:right w:val="nil"/>
            </w:tcBorders>
            <w:shd w:val="clear" w:color="auto" w:fill="E6E6E6"/>
            <w:vAlign w:val="center"/>
          </w:tcPr>
          <w:p>
            <w:pPr>
              <w:spacing w:beforeLines="20" w:before="48" w:afterLines="20" w:after="48" w:line="276" w:lineRule="auto"/>
              <w:ind w:left="57"/>
              <w:jc w:val="left"/>
              <w:rPr>
                <w:rFonts w:eastAsia="Calibri"/>
                <w:b/>
                <w:noProof/>
                <w:szCs w:val="24"/>
              </w:rPr>
            </w:pPr>
            <w:r>
              <w:rPr>
                <w:rFonts w:eastAsia="Calibri"/>
                <w:b/>
                <w:noProof/>
                <w:szCs w:val="24"/>
              </w:rPr>
              <w:t xml:space="preserve">Total no. of eligible workers and self-employed persons: </w:t>
            </w:r>
          </w:p>
        </w:tc>
        <w:tc>
          <w:tcPr>
            <w:tcW w:w="1200" w:type="dxa"/>
            <w:gridSpan w:val="2"/>
            <w:tcBorders>
              <w:top w:val="nil"/>
              <w:left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1</w:t>
            </w:r>
            <w:r>
              <w:rPr>
                <w:rFonts w:eastAsia="Calibri"/>
                <w:noProof/>
              </w:rPr>
              <w:t> </w:t>
            </w:r>
            <w:r>
              <w:rPr>
                <w:b/>
                <w:noProof/>
              </w:rPr>
              <w:t>248</w:t>
            </w:r>
          </w:p>
        </w:tc>
      </w:tr>
    </w:tbl>
    <w:p>
      <w:pPr>
        <w:pStyle w:val="ManualHeading3"/>
        <w:rPr>
          <w:noProof/>
        </w:rPr>
      </w:pPr>
      <w:r>
        <w:rPr>
          <w:noProof/>
        </w:rPr>
        <w:t>Intervention criteria</w:t>
      </w:r>
    </w:p>
    <w:p>
      <w:pPr>
        <w:pStyle w:val="ManualNumPar1"/>
        <w:rPr>
          <w:noProof/>
        </w:rPr>
      </w:pPr>
      <w:r>
        <w:t>6.</w:t>
      </w:r>
      <w:r>
        <w:tab/>
      </w:r>
      <w:r>
        <w:rPr>
          <w:noProof/>
        </w:rPr>
        <w:t xml:space="preserve">Finland submitted the application under the intervention criteria of </w:t>
      </w:r>
      <w:r>
        <w:rPr>
          <w:rFonts w:eastAsia="Calibri"/>
          <w:noProof/>
        </w:rPr>
        <w:t>Article 4(1)(a</w:t>
      </w:r>
      <w:r>
        <w:rPr>
          <w:noProof/>
        </w:rPr>
        <w:t>)</w:t>
      </w:r>
      <w:r>
        <w:rPr>
          <w:rFonts w:eastAsia="Calibri"/>
          <w:noProof/>
        </w:rPr>
        <w:t xml:space="preserve"> </w:t>
      </w:r>
      <w:r>
        <w:rPr>
          <w:noProof/>
        </w:rPr>
        <w:t>of the EGF Regulation, which requires at least 500 workers being made redundant over a reference period of four months</w:t>
      </w:r>
      <w:r>
        <w:rPr>
          <w:noProof/>
          <w:lang w:val="en-IE"/>
        </w:rPr>
        <w:t xml:space="preserve"> in an enterprise in a Member State, including workers made redundant by suppliers and downstream producers.</w:t>
      </w:r>
      <w:bookmarkStart w:id="1" w:name="_Ref372189348"/>
      <w:r>
        <w:rPr>
          <w:noProof/>
          <w:color w:val="FFFFFF" w:themeColor="background1"/>
        </w:rPr>
        <w:t xml:space="preserve">. </w:t>
      </w:r>
    </w:p>
    <w:p>
      <w:pPr>
        <w:pStyle w:val="ManualNumPar1"/>
        <w:rPr>
          <w:noProof/>
        </w:rPr>
      </w:pPr>
      <w:r>
        <w:t>7.</w:t>
      </w:r>
      <w:r>
        <w:tab/>
      </w:r>
      <w:r>
        <w:rPr>
          <w:noProof/>
        </w:rPr>
        <w:t xml:space="preserve">The reference period of </w:t>
      </w:r>
      <w:r>
        <w:rPr>
          <w:rFonts w:eastAsia="Calibri"/>
          <w:noProof/>
        </w:rPr>
        <w:t xml:space="preserve">four </w:t>
      </w:r>
      <w:r>
        <w:rPr>
          <w:noProof/>
        </w:rPr>
        <w:t xml:space="preserve">months for the application runs from 12 July 2016 – 12 November 2016. </w:t>
      </w:r>
      <w:bookmarkEnd w:id="1"/>
    </w:p>
    <w:p>
      <w:pPr>
        <w:pStyle w:val="ManualNumPar1"/>
        <w:rPr>
          <w:noProof/>
        </w:rPr>
      </w:pPr>
      <w:r>
        <w:t>8.</w:t>
      </w:r>
      <w:r>
        <w:tab/>
      </w:r>
      <w:r>
        <w:rPr>
          <w:noProof/>
        </w:rPr>
        <w:t>The redundancies during the reference period are as follows:</w:t>
      </w:r>
    </w:p>
    <w:p>
      <w:pPr>
        <w:pStyle w:val="Tiret1"/>
        <w:numPr>
          <w:ilvl w:val="0"/>
          <w:numId w:val="1"/>
        </w:numPr>
        <w:rPr>
          <w:noProof/>
        </w:rPr>
      </w:pPr>
      <w:r>
        <w:rPr>
          <w:noProof/>
        </w:rPr>
        <w:t>1 191 workers made redundant in Microsoft</w:t>
      </w:r>
    </w:p>
    <w:p>
      <w:pPr>
        <w:pStyle w:val="Tiret1"/>
        <w:numPr>
          <w:ilvl w:val="0"/>
          <w:numId w:val="1"/>
        </w:numPr>
        <w:rPr>
          <w:noProof/>
        </w:rPr>
      </w:pPr>
      <w:r>
        <w:rPr>
          <w:noProof/>
        </w:rPr>
        <w:t>57 workers made redundant in the 11 suppliers and downstream producers of Microsoft.</w:t>
      </w:r>
    </w:p>
    <w:p>
      <w:pPr>
        <w:pStyle w:val="ManualHeading3"/>
        <w:rPr>
          <w:noProof/>
        </w:rPr>
      </w:pPr>
      <w:r>
        <w:rPr>
          <w:noProof/>
        </w:rPr>
        <w:t>Calculation of redundancies and cessation of activity</w:t>
      </w:r>
    </w:p>
    <w:p>
      <w:pPr>
        <w:pStyle w:val="ManualNumPar1"/>
        <w:rPr>
          <w:noProof/>
        </w:rPr>
      </w:pPr>
      <w:r>
        <w:t>9.</w:t>
      </w:r>
      <w:r>
        <w:tab/>
      </w:r>
      <w:r>
        <w:rPr>
          <w:noProof/>
        </w:rPr>
        <w:t>The redundancies during the reference period have been calculated as follows:</w:t>
      </w:r>
    </w:p>
    <w:p>
      <w:pPr>
        <w:pStyle w:val="Tiret1"/>
        <w:numPr>
          <w:ilvl w:val="0"/>
          <w:numId w:val="1"/>
        </w:numPr>
        <w:rPr>
          <w:noProof/>
        </w:rPr>
      </w:pPr>
      <w:r>
        <w:rPr>
          <w:noProof/>
        </w:rPr>
        <w:t>1</w:t>
      </w:r>
      <w:r>
        <w:rPr>
          <w:rFonts w:eastAsia="Calibri"/>
          <w:noProof/>
        </w:rPr>
        <w:t> </w:t>
      </w:r>
      <w:r>
        <w:rPr>
          <w:noProof/>
        </w:rPr>
        <w:t>248 from the date of the employer's individual notice to lay off the worker.</w:t>
      </w:r>
    </w:p>
    <w:p>
      <w:pPr>
        <w:pStyle w:val="ManualHeading3"/>
        <w:rPr>
          <w:noProof/>
        </w:rPr>
      </w:pPr>
      <w:r>
        <w:rPr>
          <w:noProof/>
        </w:rPr>
        <w:t>Eligible beneficiaries</w:t>
      </w:r>
    </w:p>
    <w:p>
      <w:pPr>
        <w:pStyle w:val="ManualNumPar1"/>
        <w:rPr>
          <w:noProof/>
        </w:rPr>
      </w:pPr>
      <w:r>
        <w:t>10.</w:t>
      </w:r>
      <w:r>
        <w:tab/>
      </w:r>
      <w:r>
        <w:rPr>
          <w:noProof/>
        </w:rPr>
        <w:t>The total number of eligible beneficiaries is 1</w:t>
      </w:r>
      <w:r>
        <w:rPr>
          <w:rFonts w:eastAsia="Calibri"/>
          <w:noProof/>
        </w:rPr>
        <w:t> </w:t>
      </w:r>
      <w:r>
        <w:rPr>
          <w:noProof/>
        </w:rPr>
        <w:t>248.</w:t>
      </w:r>
    </w:p>
    <w:p>
      <w:pPr>
        <w:pStyle w:val="ManualHeading2"/>
        <w:tabs>
          <w:tab w:val="clear" w:pos="850"/>
        </w:tabs>
        <w:ind w:left="0" w:firstLine="0"/>
        <w:rPr>
          <w:noProof/>
        </w:rPr>
      </w:pPr>
      <w:r>
        <w:rPr>
          <w:noProof/>
        </w:rPr>
        <w:t>Link between the redundancies and major structural changes in world trade patterns due to globalisation</w:t>
      </w:r>
    </w:p>
    <w:p>
      <w:pPr>
        <w:pStyle w:val="ManualNumPar1"/>
        <w:rPr>
          <w:noProof/>
        </w:rPr>
      </w:pPr>
      <w:r>
        <w:t>11.</w:t>
      </w:r>
      <w:r>
        <w:tab/>
      </w:r>
      <w:r>
        <w:rPr>
          <w:noProof/>
        </w:rPr>
        <w:t xml:space="preserve">In order to establish the link between the redundancies and major structural changes in world trade patterns due to globalisation Finland argues that the main reason behind the workforce reductions is the worldwide competition in the mobile phone sector and the consequent loss of market share by Microsoft Mobile Oy (and its Windows based operating system). </w:t>
      </w:r>
    </w:p>
    <w:p>
      <w:pPr>
        <w:pStyle w:val="ManualNumPar1"/>
        <w:rPr>
          <w:noProof/>
        </w:rPr>
      </w:pPr>
      <w:r>
        <w:t>12.</w:t>
      </w:r>
      <w:r>
        <w:tab/>
      </w:r>
      <w:r>
        <w:rPr>
          <w:noProof/>
        </w:rPr>
        <w:t>After the acquisition of the mobile phone business of Nokia by Microsoft (US), Microsoft Mobile Oy was established in 2014, with its headquarters in Espoo, Finland. Approximately 4</w:t>
      </w:r>
      <w:r>
        <w:rPr>
          <w:rFonts w:eastAsia="Calibri"/>
          <w:noProof/>
        </w:rPr>
        <w:t> </w:t>
      </w:r>
      <w:r>
        <w:rPr>
          <w:noProof/>
        </w:rPr>
        <w:t>700 Nokia employees were transferred to Microsoft Mobile Oy in Finland.</w:t>
      </w:r>
    </w:p>
    <w:p>
      <w:pPr>
        <w:pStyle w:val="ManualNumPar1"/>
        <w:rPr>
          <w:noProof/>
        </w:rPr>
      </w:pPr>
      <w:r>
        <w:t>13.</w:t>
      </w:r>
      <w:r>
        <w:tab/>
      </w:r>
      <w:r>
        <w:rPr>
          <w:noProof/>
        </w:rPr>
        <w:t>Nokia was using exclusively the Microsoft Windows operating system. Microsoft Mobile Oy continued this practice. This operating system had a global market share of 3,3</w:t>
      </w:r>
      <w:r>
        <w:rPr>
          <w:rFonts w:eastAsia="Calibri"/>
          <w:noProof/>
        </w:rPr>
        <w:t> </w:t>
      </w:r>
      <w:r>
        <w:rPr>
          <w:noProof/>
        </w:rPr>
        <w:t>% by mid-2013, which share declined to 0,8</w:t>
      </w:r>
      <w:r>
        <w:rPr>
          <w:rFonts w:eastAsia="Calibri"/>
          <w:noProof/>
        </w:rPr>
        <w:t> </w:t>
      </w:r>
      <w:r>
        <w:rPr>
          <w:noProof/>
        </w:rPr>
        <w:t>% in 2016. The competitors` operating systems like Android increased its market share to 82,2</w:t>
      </w:r>
      <w:r>
        <w:rPr>
          <w:rFonts w:eastAsia="Calibri"/>
          <w:noProof/>
        </w:rPr>
        <w:t> </w:t>
      </w:r>
      <w:r>
        <w:rPr>
          <w:noProof/>
        </w:rPr>
        <w:t>% and iOS (Apple) increased its share to 14,6</w:t>
      </w:r>
      <w:r>
        <w:rPr>
          <w:rFonts w:eastAsia="Calibri"/>
          <w:noProof/>
        </w:rPr>
        <w:t> </w:t>
      </w:r>
      <w:r>
        <w:rPr>
          <w:noProof/>
        </w:rPr>
        <w:t>% by early 2016</w:t>
      </w:r>
      <w:r>
        <w:rPr>
          <w:rStyle w:val="FootnoteReference"/>
          <w:noProof/>
        </w:rPr>
        <w:footnoteReference w:id="6"/>
      </w:r>
      <w:r>
        <w:rPr>
          <w:noProof/>
        </w:rPr>
        <w:t xml:space="preserve"> </w:t>
      </w:r>
      <w:r>
        <w:rPr>
          <w:rStyle w:val="FootnoteReference"/>
          <w:noProof/>
        </w:rPr>
        <w:footnoteReference w:id="7"/>
      </w:r>
      <w:r>
        <w:rPr>
          <w:noProof/>
        </w:rPr>
        <w:t>.</w:t>
      </w:r>
    </w:p>
    <w:p>
      <w:pPr>
        <w:pStyle w:val="ManualNumPar1"/>
        <w:rPr>
          <w:noProof/>
        </w:rPr>
      </w:pPr>
      <w:r>
        <w:t>14.</w:t>
      </w:r>
      <w:r>
        <w:tab/>
      </w:r>
      <w:r>
        <w:rPr>
          <w:noProof/>
        </w:rPr>
        <w:t>This decrease happened despite the fact that Microsoft Mobile Oy launched new mobile devices and invested into design, components and marketing</w:t>
      </w:r>
      <w:r>
        <w:rPr>
          <w:rStyle w:val="FootnoteReference"/>
          <w:noProof/>
        </w:rPr>
        <w:footnoteReference w:id="8"/>
      </w:r>
      <w:r>
        <w:rPr>
          <w:rStyle w:val="FootnoteReference"/>
          <w:noProof/>
        </w:rPr>
        <w:t>.</w:t>
      </w:r>
      <w:r>
        <w:rPr>
          <w:noProof/>
        </w:rPr>
        <w:t>. The competitors offer cheaper hardware and operating system products, which are very attractive to new customers in the emerging markets and also in Europe.</w:t>
      </w:r>
    </w:p>
    <w:p>
      <w:pPr>
        <w:pStyle w:val="ManualNumPar1"/>
        <w:rPr>
          <w:noProof/>
        </w:rPr>
      </w:pPr>
      <w:r>
        <w:t>15.</w:t>
      </w:r>
      <w:r>
        <w:tab/>
      </w:r>
      <w:r>
        <w:rPr>
          <w:noProof/>
        </w:rPr>
        <w:t>The current application is the continuation of a series of previous applications from Finland, about the decline of Nokia (EGF/2007/003 FI/Perlos, EGF/2012/006 FI/Nokia Salo, EGF/2013/001 FI/Nokia, EGF/2015/001 FI/Broadcom, EGF/2015/005 FI/Computer Programming, EGF/2016/001 FI/Microsoft and EGF/2016/008 FI/Nokia Network Systems).</w:t>
      </w:r>
    </w:p>
    <w:p>
      <w:pPr>
        <w:pStyle w:val="ManualHeading3"/>
        <w:tabs>
          <w:tab w:val="clear" w:pos="850"/>
          <w:tab w:val="left" w:pos="0"/>
        </w:tabs>
        <w:ind w:left="0" w:firstLine="0"/>
        <w:rPr>
          <w:noProof/>
        </w:rPr>
      </w:pPr>
      <w:r>
        <w:rPr>
          <w:noProof/>
        </w:rPr>
        <w:t>Events giving rise to the redundancies and cessation of activity</w:t>
      </w:r>
    </w:p>
    <w:p>
      <w:pPr>
        <w:pStyle w:val="ManualNumPar1"/>
        <w:rPr>
          <w:noProof/>
        </w:rPr>
      </w:pPr>
      <w:r>
        <w:t>16.</w:t>
      </w:r>
      <w:r>
        <w:tab/>
      </w:r>
      <w:r>
        <w:rPr>
          <w:noProof/>
        </w:rPr>
        <w:t>The manufacturing of mobile devices is shifting continuously to lower wage countries, where the working conditions are often poor</w:t>
      </w:r>
      <w:r>
        <w:rPr>
          <w:rStyle w:val="FootnoteReference"/>
          <w:noProof/>
        </w:rPr>
        <w:footnoteReference w:id="9"/>
      </w:r>
      <w:r>
        <w:rPr>
          <w:noProof/>
        </w:rPr>
        <w:t>. Low wages are part of cost-effectiveness</w:t>
      </w:r>
      <w:r>
        <w:rPr>
          <w:rStyle w:val="FootnoteReference"/>
          <w:noProof/>
        </w:rPr>
        <w:footnoteReference w:id="10"/>
      </w:r>
      <w:r>
        <w:rPr>
          <w:noProof/>
        </w:rPr>
        <w:t>. Cheap mobile devices are in high demand in the emerging markets. The European import is also growing</w:t>
      </w:r>
      <w:r>
        <w:rPr>
          <w:rStyle w:val="FootnoteReference"/>
          <w:noProof/>
        </w:rPr>
        <w:footnoteReference w:id="11"/>
      </w:r>
      <w:r>
        <w:rPr>
          <w:rStyle w:val="FootnoteReference"/>
          <w:noProof/>
        </w:rPr>
        <w:t>.</w:t>
      </w:r>
      <w:r>
        <w:rPr>
          <w:noProof/>
        </w:rPr>
        <w:t>.</w:t>
      </w:r>
    </w:p>
    <w:p>
      <w:pPr>
        <w:pStyle w:val="ManualNumPar1"/>
        <w:rPr>
          <w:noProof/>
        </w:rPr>
      </w:pPr>
      <w:r>
        <w:t>17.</w:t>
      </w:r>
      <w:r>
        <w:tab/>
      </w:r>
      <w:r>
        <w:rPr>
          <w:noProof/>
        </w:rPr>
        <w:t>The loss of market share by Nokia is due to the aggressive market entry of numerous East Asian smartphone manufacturers, benefiting from low labour and manufacturing cost.</w:t>
      </w:r>
    </w:p>
    <w:p>
      <w:pPr>
        <w:pStyle w:val="ManualNumPar1"/>
        <w:rPr>
          <w:noProof/>
        </w:rPr>
      </w:pPr>
      <w:r>
        <w:t>18.</w:t>
      </w:r>
      <w:r>
        <w:tab/>
      </w:r>
      <w:r>
        <w:rPr>
          <w:noProof/>
        </w:rPr>
        <w:t>The winners in this competition have been the US- and Asia-based manufacturers, who are using Android and iOS operating software.</w:t>
      </w:r>
    </w:p>
    <w:p>
      <w:pPr>
        <w:pStyle w:val="ManualNumPar1"/>
        <w:rPr>
          <w:noProof/>
        </w:rPr>
      </w:pPr>
      <w:r>
        <w:t>19.</w:t>
      </w:r>
      <w:r>
        <w:tab/>
      </w:r>
      <w:r>
        <w:rPr>
          <w:noProof/>
        </w:rPr>
        <w:t>Android has hundreds of partners, especially in Asia, releasing new phones every year. There are multiple Android options in the mid-range or low-end price brackets. That is crucial in markets like India, Africa and the Middle East.</w:t>
      </w:r>
    </w:p>
    <w:p>
      <w:pPr>
        <w:pStyle w:val="ManualNumPar1"/>
        <w:rPr>
          <w:rStyle w:val="FootnoteReference"/>
          <w:noProof/>
          <w:szCs w:val="24"/>
          <w:vertAlign w:val="baseline"/>
        </w:rPr>
      </w:pPr>
      <w:r>
        <w:rPr>
          <w:rStyle w:val="FootnoteReference"/>
        </w:rPr>
        <w:t>20.</w:t>
      </w:r>
      <w:r>
        <w:rPr>
          <w:rStyle w:val="FootnoteReference"/>
        </w:rPr>
        <w:tab/>
      </w:r>
      <w:r>
        <w:rPr>
          <w:noProof/>
        </w:rPr>
        <w:t>The manufacturing of mobile devices has been transferred from South Korea to China and more recently to even lower-cost countries, such as Vietnam</w:t>
      </w:r>
      <w:r>
        <w:rPr>
          <w:rStyle w:val="FootnoteReference"/>
          <w:noProof/>
        </w:rPr>
        <w:footnoteReference w:id="12"/>
      </w:r>
      <w:r>
        <w:rPr>
          <w:rStyle w:val="FootnoteReference"/>
          <w:noProof/>
        </w:rPr>
        <w:t>.</w:t>
      </w:r>
    </w:p>
    <w:p>
      <w:pPr>
        <w:pStyle w:val="ManualNumPar1"/>
        <w:rPr>
          <w:noProof/>
        </w:rPr>
      </w:pPr>
      <w:r>
        <w:t>21.</w:t>
      </w:r>
      <w:r>
        <w:tab/>
      </w:r>
      <w:r>
        <w:rPr>
          <w:noProof/>
        </w:rPr>
        <w:t xml:space="preserve">In May 2016, Microsoft announced the reduction of up to 1 350 jobs at Microsoft Mobile Oy in Finland. All Microsoft Mobile Oy´s activities are closing down. 550 employees lost their job in the Helsinki-Uusimaa region, 500 in the Pirkanmaa area (Länsi-Suomi region) and 300 in Salo (Etelä-Suomi region) </w:t>
      </w:r>
    </w:p>
    <w:p>
      <w:pPr>
        <w:pStyle w:val="ManualNumPar1"/>
        <w:rPr>
          <w:noProof/>
        </w:rPr>
      </w:pPr>
      <w:r>
        <w:t>22.</w:t>
      </w:r>
      <w:r>
        <w:tab/>
      </w:r>
      <w:r>
        <w:rPr>
          <w:noProof/>
        </w:rPr>
        <w:t>There is an on-going EGF intervention (EGF/2016/001 FI/Microsoft) targeted to support the employees made redundant from Microsoft e</w:t>
      </w:r>
      <w:r>
        <w:rPr>
          <w:noProof/>
          <w:lang w:val="en-US"/>
        </w:rPr>
        <w:t>arlier</w:t>
      </w:r>
      <w:r>
        <w:rPr>
          <w:noProof/>
        </w:rPr>
        <w:t>. The targeted beneficiaries of this proposal are separate from the beneficiaries of that case.</w:t>
      </w:r>
    </w:p>
    <w:p>
      <w:pPr>
        <w:pStyle w:val="ManualHeading3"/>
        <w:tabs>
          <w:tab w:val="clear" w:pos="850"/>
          <w:tab w:val="left" w:pos="0"/>
        </w:tabs>
        <w:ind w:left="0" w:firstLine="0"/>
        <w:rPr>
          <w:noProof/>
        </w:rPr>
      </w:pPr>
      <w:r>
        <w:rPr>
          <w:noProof/>
        </w:rPr>
        <w:t>Expected impact of the redundancies as regards the local, regional or national economy and employment</w:t>
      </w:r>
    </w:p>
    <w:p>
      <w:pPr>
        <w:autoSpaceDE w:val="0"/>
        <w:autoSpaceDN w:val="0"/>
        <w:adjustRightInd w:val="0"/>
        <w:spacing w:before="0" w:after="0"/>
        <w:jc w:val="left"/>
        <w:rPr>
          <w:noProof/>
          <w:szCs w:val="24"/>
        </w:rPr>
      </w:pPr>
      <w:r>
        <w:rPr>
          <w:noProof/>
          <w:szCs w:val="24"/>
        </w:rPr>
        <w:t xml:space="preserve">The affected NUTS 2 regions are Helsinki-Uusimaa, </w:t>
      </w:r>
      <w:r>
        <w:rPr>
          <w:noProof/>
        </w:rPr>
        <w:t>Etelä-Suomi</w:t>
      </w:r>
      <w:r>
        <w:rPr>
          <w:noProof/>
          <w:szCs w:val="24"/>
        </w:rPr>
        <w:t xml:space="preserve"> and </w:t>
      </w:r>
      <w:r>
        <w:rPr>
          <w:noProof/>
        </w:rPr>
        <w:t>Länsi-Suomi</w:t>
      </w:r>
      <w:r>
        <w:rPr>
          <w:noProof/>
          <w:szCs w:val="24"/>
        </w:rPr>
        <w:t>.</w:t>
      </w:r>
    </w:p>
    <w:p>
      <w:pPr>
        <w:autoSpaceDE w:val="0"/>
        <w:autoSpaceDN w:val="0"/>
        <w:adjustRightInd w:val="0"/>
        <w:spacing w:before="0" w:after="0"/>
        <w:jc w:val="left"/>
        <w:rPr>
          <w:noProof/>
          <w:szCs w:val="24"/>
        </w:rPr>
      </w:pPr>
    </w:p>
    <w:p>
      <w:pPr>
        <w:autoSpaceDE w:val="0"/>
        <w:autoSpaceDN w:val="0"/>
        <w:adjustRightInd w:val="0"/>
        <w:spacing w:before="0" w:after="0"/>
        <w:jc w:val="left"/>
        <w:rPr>
          <w:noProof/>
          <w:szCs w:val="24"/>
        </w:rPr>
      </w:pPr>
    </w:p>
    <w:p>
      <w:pPr>
        <w:autoSpaceDE w:val="0"/>
        <w:autoSpaceDN w:val="0"/>
        <w:adjustRightInd w:val="0"/>
        <w:spacing w:before="0" w:after="0"/>
        <w:jc w:val="left"/>
        <w:rPr>
          <w:noProof/>
          <w:szCs w:val="24"/>
        </w:rPr>
      </w:pPr>
    </w:p>
    <w:p>
      <w:pPr>
        <w:autoSpaceDE w:val="0"/>
        <w:autoSpaceDN w:val="0"/>
        <w:adjustRightInd w:val="0"/>
        <w:spacing w:before="0" w:after="0"/>
        <w:jc w:val="left"/>
        <w:rPr>
          <w:noProof/>
          <w:szCs w:val="24"/>
        </w:rPr>
      </w:pPr>
    </w:p>
    <w:p>
      <w:pPr>
        <w:autoSpaceDE w:val="0"/>
        <w:autoSpaceDN w:val="0"/>
        <w:adjustRightInd w:val="0"/>
        <w:spacing w:before="0" w:after="0"/>
        <w:jc w:val="left"/>
        <w:rPr>
          <w:noProof/>
          <w:szCs w:val="24"/>
        </w:rPr>
      </w:pPr>
    </w:p>
    <w:p>
      <w:pPr>
        <w:autoSpaceDE w:val="0"/>
        <w:autoSpaceDN w:val="0"/>
        <w:adjustRightInd w:val="0"/>
        <w:spacing w:before="0" w:after="0"/>
        <w:jc w:val="left"/>
        <w:rPr>
          <w:b/>
          <w:bCs/>
          <w:noProof/>
          <w:szCs w:val="24"/>
        </w:rPr>
      </w:pPr>
    </w:p>
    <w:p>
      <w:pPr>
        <w:autoSpaceDE w:val="0"/>
        <w:autoSpaceDN w:val="0"/>
        <w:adjustRightInd w:val="0"/>
        <w:spacing w:before="0" w:after="0"/>
        <w:jc w:val="left"/>
        <w:rPr>
          <w:b/>
          <w:bCs/>
          <w:noProof/>
          <w:szCs w:val="24"/>
          <w:lang w:val="fi-FI"/>
        </w:rPr>
      </w:pPr>
      <w:r>
        <w:rPr>
          <w:b/>
          <w:bCs/>
          <w:noProof/>
          <w:szCs w:val="24"/>
          <w:lang w:val="fi-FI"/>
        </w:rPr>
        <w:t>Helsinki-Uusimaa</w:t>
      </w:r>
    </w:p>
    <w:p>
      <w:pPr>
        <w:pStyle w:val="ManualNumPar1"/>
        <w:rPr>
          <w:noProof/>
        </w:rPr>
      </w:pPr>
      <w:r>
        <w:t>23.</w:t>
      </w:r>
      <w:r>
        <w:tab/>
      </w:r>
      <w:r>
        <w:rPr>
          <w:noProof/>
        </w:rPr>
        <w:t>In 2012-2016 the extensive lay-offs concerned mostly the electronics industry and the software industry. In the autumn of 2016 lay-offs occurred in various manufacturing sectors and in construction.</w:t>
      </w:r>
    </w:p>
    <w:p>
      <w:pPr>
        <w:pStyle w:val="ManualNumPar1"/>
        <w:rPr>
          <w:noProof/>
        </w:rPr>
      </w:pPr>
      <w:r>
        <w:t>24.</w:t>
      </w:r>
      <w:r>
        <w:tab/>
      </w:r>
      <w:r>
        <w:rPr>
          <w:noProof/>
        </w:rPr>
        <w:t>The number of people employed in the information and communications sector in Uusimaa in the third quarter of 2016 was 6</w:t>
      </w:r>
      <w:r>
        <w:rPr>
          <w:rFonts w:eastAsia="Calibri"/>
          <w:noProof/>
        </w:rPr>
        <w:t> </w:t>
      </w:r>
      <w:r>
        <w:rPr>
          <w:noProof/>
        </w:rPr>
        <w:t>000 lower than a year before. Unemployment among highly educated groups and ICT professionals is still growing</w:t>
      </w:r>
      <w:r>
        <w:rPr>
          <w:rStyle w:val="FootnoteReference"/>
          <w:noProof/>
        </w:rPr>
        <w:footnoteReference w:id="13"/>
      </w:r>
      <w:r>
        <w:rPr>
          <w:noProof/>
        </w:rPr>
        <w:t xml:space="preserve"> .</w:t>
      </w:r>
    </w:p>
    <w:p>
      <w:pPr>
        <w:pStyle w:val="ManualNumPar1"/>
        <w:rPr>
          <w:noProof/>
        </w:rPr>
      </w:pPr>
      <w:r>
        <w:t>25.</w:t>
      </w:r>
      <w:r>
        <w:tab/>
      </w:r>
      <w:r>
        <w:rPr>
          <w:noProof/>
        </w:rPr>
        <w:t>In 2012–2016, the extensive lay-offs in Helsinki, Espoo and Vantaa cities have mostly concerned the electronics industry and the software industry. These companies laid off more than 5</w:t>
      </w:r>
      <w:r>
        <w:rPr>
          <w:rFonts w:eastAsia="Calibri"/>
          <w:noProof/>
        </w:rPr>
        <w:t> </w:t>
      </w:r>
      <w:r>
        <w:rPr>
          <w:noProof/>
        </w:rPr>
        <w:t xml:space="preserve">000 workers in 2012-2016. </w:t>
      </w:r>
    </w:p>
    <w:p>
      <w:pPr>
        <w:pStyle w:val="ManualNumPar1"/>
        <w:rPr>
          <w:noProof/>
        </w:rPr>
      </w:pPr>
      <w:r>
        <w:t>26.</w:t>
      </w:r>
      <w:r>
        <w:tab/>
      </w:r>
      <w:r>
        <w:rPr>
          <w:noProof/>
        </w:rPr>
        <w:t>About 72</w:t>
      </w:r>
      <w:r>
        <w:rPr>
          <w:rFonts w:eastAsia="Calibri"/>
          <w:noProof/>
        </w:rPr>
        <w:t> </w:t>
      </w:r>
      <w:r>
        <w:rPr>
          <w:noProof/>
        </w:rPr>
        <w:t>% of the people made redundant by Microsoft in the region are highly educated.</w:t>
      </w:r>
    </w:p>
    <w:p>
      <w:pPr>
        <w:autoSpaceDE w:val="0"/>
        <w:autoSpaceDN w:val="0"/>
        <w:adjustRightInd w:val="0"/>
        <w:spacing w:before="0" w:after="0"/>
        <w:jc w:val="left"/>
        <w:rPr>
          <w:b/>
          <w:bCs/>
          <w:noProof/>
          <w:szCs w:val="24"/>
          <w:lang w:val="fi-FI"/>
        </w:rPr>
      </w:pPr>
      <w:r>
        <w:rPr>
          <w:b/>
          <w:bCs/>
          <w:noProof/>
          <w:szCs w:val="24"/>
          <w:lang w:val="fi-FI"/>
        </w:rPr>
        <w:t xml:space="preserve">Länsi-Suomi </w:t>
      </w:r>
    </w:p>
    <w:p>
      <w:pPr>
        <w:pStyle w:val="ManualNumPar1"/>
        <w:rPr>
          <w:noProof/>
        </w:rPr>
      </w:pPr>
      <w:r>
        <w:t>27.</w:t>
      </w:r>
      <w:r>
        <w:tab/>
      </w:r>
      <w:r>
        <w:rPr>
          <w:noProof/>
        </w:rPr>
        <w:t xml:space="preserve">The Pirkanmaa area is the most affected by the Microsoft Mobile Oy`s dismissals within this region. </w:t>
      </w:r>
    </w:p>
    <w:p>
      <w:pPr>
        <w:pStyle w:val="ManualNumPar1"/>
        <w:rPr>
          <w:noProof/>
        </w:rPr>
      </w:pPr>
      <w:r>
        <w:t>28.</w:t>
      </w:r>
      <w:r>
        <w:tab/>
      </w:r>
      <w:r>
        <w:rPr>
          <w:noProof/>
        </w:rPr>
        <w:t>In 2016 the Pirkanmaa Employment and Economic Development Office (TE Office) had a total of 38</w:t>
      </w:r>
      <w:r>
        <w:rPr>
          <w:rFonts w:eastAsia="Calibri"/>
          <w:noProof/>
        </w:rPr>
        <w:t> </w:t>
      </w:r>
      <w:r>
        <w:rPr>
          <w:noProof/>
        </w:rPr>
        <w:t>077 unemployed jobseekers. Unemployed jobseekers accounted for 14,6</w:t>
      </w:r>
      <w:r>
        <w:rPr>
          <w:rFonts w:eastAsia="Calibri"/>
          <w:noProof/>
        </w:rPr>
        <w:t> </w:t>
      </w:r>
      <w:r>
        <w:rPr>
          <w:noProof/>
        </w:rPr>
        <w:t>% of the labour force</w:t>
      </w:r>
      <w:r>
        <w:rPr>
          <w:rStyle w:val="FootnoteReference"/>
          <w:noProof/>
        </w:rPr>
        <w:footnoteReference w:id="14"/>
      </w:r>
      <w:r>
        <w:rPr>
          <w:noProof/>
        </w:rPr>
        <w:t xml:space="preserve">. </w:t>
      </w:r>
    </w:p>
    <w:p>
      <w:pPr>
        <w:pStyle w:val="ManualNumPar1"/>
        <w:rPr>
          <w:noProof/>
        </w:rPr>
      </w:pPr>
      <w:r>
        <w:t>29.</w:t>
      </w:r>
      <w:r>
        <w:tab/>
      </w:r>
      <w:r>
        <w:rPr>
          <w:noProof/>
        </w:rPr>
        <w:t>The Pirkanmaa TE Office has currently registered some 1</w:t>
      </w:r>
      <w:r>
        <w:rPr>
          <w:rFonts w:eastAsia="Calibri"/>
          <w:noProof/>
        </w:rPr>
        <w:t> </w:t>
      </w:r>
      <w:r>
        <w:rPr>
          <w:noProof/>
        </w:rPr>
        <w:t>700 unemployed jobseekers in the ICT sector. In 2016, long-term unemployed persons accounted for 40</w:t>
      </w:r>
      <w:r>
        <w:rPr>
          <w:rFonts w:eastAsia="Calibri"/>
          <w:noProof/>
        </w:rPr>
        <w:t> </w:t>
      </w:r>
      <w:r>
        <w:rPr>
          <w:noProof/>
        </w:rPr>
        <w:t xml:space="preserve">% of all the registered unemployed jobseekers in the ICT sector in Pirkanmaa. </w:t>
      </w:r>
    </w:p>
    <w:p>
      <w:pPr>
        <w:pStyle w:val="ManualNumPar1"/>
        <w:rPr>
          <w:noProof/>
        </w:rPr>
      </w:pPr>
      <w:r>
        <w:t>30.</w:t>
      </w:r>
      <w:r>
        <w:tab/>
      </w:r>
      <w:r>
        <w:rPr>
          <w:noProof/>
        </w:rPr>
        <w:t>The occupational group facing the greatest increase in unemployment is the specialists, with higher education. A total of 6</w:t>
      </w:r>
      <w:r>
        <w:rPr>
          <w:rFonts w:eastAsia="Calibri"/>
          <w:noProof/>
        </w:rPr>
        <w:t> </w:t>
      </w:r>
      <w:r>
        <w:rPr>
          <w:noProof/>
        </w:rPr>
        <w:t>084 persons with an academic degree were registered as unemployed jobseekers in September 2016 in the region. The unemployment rate of highly educated workers in the technology sector grew last year by 8,1</w:t>
      </w:r>
      <w:r>
        <w:rPr>
          <w:rFonts w:eastAsia="Calibri"/>
          <w:noProof/>
        </w:rPr>
        <w:t> p.p.</w:t>
      </w:r>
      <w:r>
        <w:rPr>
          <w:noProof/>
        </w:rPr>
        <w:t xml:space="preserve"> in the region.</w:t>
      </w:r>
    </w:p>
    <w:p>
      <w:pPr>
        <w:autoSpaceDE w:val="0"/>
        <w:autoSpaceDN w:val="0"/>
        <w:adjustRightInd w:val="0"/>
        <w:spacing w:before="0" w:after="0"/>
        <w:jc w:val="left"/>
        <w:rPr>
          <w:b/>
          <w:bCs/>
          <w:noProof/>
          <w:szCs w:val="24"/>
        </w:rPr>
      </w:pPr>
      <w:r>
        <w:rPr>
          <w:b/>
          <w:bCs/>
          <w:noProof/>
          <w:szCs w:val="24"/>
        </w:rPr>
        <w:t xml:space="preserve">Etelä-Suomi </w:t>
      </w:r>
    </w:p>
    <w:p>
      <w:pPr>
        <w:pStyle w:val="ManualNumPar1"/>
        <w:rPr>
          <w:noProof/>
        </w:rPr>
      </w:pPr>
      <w:r>
        <w:t>31.</w:t>
      </w:r>
      <w:r>
        <w:tab/>
      </w:r>
      <w:r>
        <w:rPr>
          <w:noProof/>
        </w:rPr>
        <w:t xml:space="preserve">In this region the Salo town area is the most affected by Microsoft Mobile Oy`s dismissals. 300 employees will lose their job with Microsoft in Salo, according to the TE office. </w:t>
      </w:r>
    </w:p>
    <w:p>
      <w:pPr>
        <w:pStyle w:val="ManualNumPar1"/>
        <w:rPr>
          <w:noProof/>
        </w:rPr>
      </w:pPr>
      <w:r>
        <w:t>32.</w:t>
      </w:r>
      <w:r>
        <w:tab/>
      </w:r>
      <w:r>
        <w:rPr>
          <w:noProof/>
        </w:rPr>
        <w:t xml:space="preserve">Salo town lost a total of 6 900 jobs between 2007 and 2014, a decline of 26 p.p. in jobs. As a result of the end of the former Nokia’s mobile phone production and the economic downturn, unemployment more than doubled between 2008 and 2016 in the area. </w:t>
      </w:r>
    </w:p>
    <w:p>
      <w:pPr>
        <w:pStyle w:val="ManualNumPar1"/>
        <w:rPr>
          <w:rStyle w:val="FootnoteReference"/>
          <w:noProof/>
          <w:vertAlign w:val="baseline"/>
        </w:rPr>
      </w:pPr>
      <w:r>
        <w:rPr>
          <w:rStyle w:val="FootnoteReference"/>
        </w:rPr>
        <w:t>33.</w:t>
      </w:r>
      <w:r>
        <w:rPr>
          <w:rStyle w:val="FootnoteReference"/>
        </w:rPr>
        <w:tab/>
      </w:r>
      <w:r>
        <w:rPr>
          <w:noProof/>
        </w:rPr>
        <w:t>Unemployment rate in the region has increased by more than ten percentage points, from 7,0 to 17,5 %. This change has been exceptional when compared even with other Finnish municipalities with Nokia/Microsoft presence</w:t>
      </w:r>
      <w:r>
        <w:rPr>
          <w:rStyle w:val="FootnoteReference"/>
          <w:noProof/>
        </w:rPr>
        <w:footnoteReference w:id="15"/>
      </w:r>
      <w:r>
        <w:rPr>
          <w:rStyle w:val="FootnoteReference"/>
          <w:noProof/>
        </w:rPr>
        <w:t>.</w:t>
      </w:r>
    </w:p>
    <w:p>
      <w:pPr>
        <w:pStyle w:val="ManualNumPar1"/>
        <w:rPr>
          <w:noProof/>
        </w:rPr>
      </w:pPr>
      <w:r>
        <w:t>34.</w:t>
      </w:r>
      <w:r>
        <w:tab/>
      </w:r>
      <w:r>
        <w:rPr>
          <w:noProof/>
        </w:rPr>
        <w:t xml:space="preserve">The proportion of highly educated people among unemployed in Salo has increased. </w:t>
      </w:r>
    </w:p>
    <w:p>
      <w:pPr>
        <w:pStyle w:val="ManualHeading2"/>
        <w:rPr>
          <w:noProof/>
        </w:rPr>
      </w:pPr>
      <w:r>
        <w:rPr>
          <w:noProof/>
        </w:rPr>
        <w:t>Targeted beneficiaries and proposed actions</w:t>
      </w:r>
    </w:p>
    <w:p>
      <w:pPr>
        <w:pStyle w:val="ManualHeading3"/>
        <w:rPr>
          <w:noProof/>
        </w:rPr>
      </w:pPr>
      <w:r>
        <w:rPr>
          <w:noProof/>
        </w:rPr>
        <w:t>Targeted beneficiaries</w:t>
      </w:r>
    </w:p>
    <w:p>
      <w:pPr>
        <w:pStyle w:val="ManualNumPar1"/>
        <w:rPr>
          <w:noProof/>
        </w:rPr>
      </w:pPr>
      <w:r>
        <w:t>35.</w:t>
      </w:r>
      <w:r>
        <w:tab/>
      </w:r>
      <w:r>
        <w:rPr>
          <w:noProof/>
        </w:rPr>
        <w:t>The estimated number of redundant workers expected to participate in the measures is 1</w:t>
      </w:r>
      <w:r>
        <w:rPr>
          <w:rFonts w:eastAsia="Calibri"/>
          <w:noProof/>
        </w:rPr>
        <w:t> </w:t>
      </w:r>
      <w:r>
        <w:rPr>
          <w:noProof/>
        </w:rPr>
        <w:t>000. The breakdown of these workers by sex, citizenship and age group is as follows:</w:t>
      </w:r>
    </w:p>
    <w:tbl>
      <w:tblPr>
        <w:tblW w:w="0" w:type="auto"/>
        <w:jc w:val="center"/>
        <w:tblLook w:val="04A0" w:firstRow="1" w:lastRow="0" w:firstColumn="1" w:lastColumn="0" w:noHBand="0" w:noVBand="1"/>
      </w:tblPr>
      <w:tblGrid>
        <w:gridCol w:w="1496"/>
        <w:gridCol w:w="2063"/>
        <w:gridCol w:w="1176"/>
        <w:gridCol w:w="1176"/>
      </w:tblGrid>
      <w:tr>
        <w:trPr>
          <w:jc w:val="center"/>
        </w:trPr>
        <w:tc>
          <w:tcPr>
            <w:tcW w:w="3559" w:type="dxa"/>
            <w:gridSpan w:val="2"/>
            <w:tcBorders>
              <w:top w:val="single" w:sz="4" w:space="0" w:color="auto"/>
              <w:left w:val="nil"/>
              <w:bottom w:val="single" w:sz="4" w:space="0" w:color="auto"/>
              <w:right w:val="nil"/>
            </w:tcBorders>
            <w:hideMark/>
          </w:tcPr>
          <w:p>
            <w:pPr>
              <w:spacing w:before="60" w:after="60"/>
              <w:jc w:val="center"/>
              <w:rPr>
                <w:noProof/>
              </w:rPr>
            </w:pPr>
            <w:r>
              <w:rPr>
                <w:noProof/>
              </w:rPr>
              <w:t>Category</w:t>
            </w:r>
          </w:p>
        </w:tc>
        <w:tc>
          <w:tcPr>
            <w:tcW w:w="2352" w:type="dxa"/>
            <w:gridSpan w:val="2"/>
            <w:tcBorders>
              <w:top w:val="single" w:sz="4" w:space="0" w:color="auto"/>
              <w:left w:val="nil"/>
              <w:bottom w:val="single" w:sz="4" w:space="0" w:color="auto"/>
              <w:right w:val="nil"/>
            </w:tcBorders>
            <w:hideMark/>
          </w:tcPr>
          <w:p>
            <w:pPr>
              <w:spacing w:before="60" w:after="60"/>
              <w:jc w:val="center"/>
              <w:rPr>
                <w:noProof/>
              </w:rPr>
            </w:pPr>
            <w:r>
              <w:rPr>
                <w:noProof/>
              </w:rPr>
              <w:t xml:space="preserve">Number of </w:t>
            </w:r>
            <w:r>
              <w:rPr>
                <w:noProof/>
              </w:rPr>
              <w:br/>
              <w:t>targeted beneficiaries</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Sex:</w:t>
            </w:r>
          </w:p>
        </w:tc>
        <w:tc>
          <w:tcPr>
            <w:tcW w:w="2063" w:type="dxa"/>
            <w:tcBorders>
              <w:top w:val="single" w:sz="4" w:space="0" w:color="auto"/>
              <w:left w:val="nil"/>
              <w:right w:val="nil"/>
            </w:tcBorders>
            <w:hideMark/>
          </w:tcPr>
          <w:p>
            <w:pPr>
              <w:spacing w:before="60" w:after="60"/>
              <w:rPr>
                <w:noProof/>
              </w:rPr>
            </w:pPr>
            <w:r>
              <w:rPr>
                <w:noProof/>
              </w:rPr>
              <w:t>Men:</w:t>
            </w:r>
          </w:p>
        </w:tc>
        <w:tc>
          <w:tcPr>
            <w:tcW w:w="1176" w:type="dxa"/>
            <w:tcBorders>
              <w:top w:val="single" w:sz="4" w:space="0" w:color="auto"/>
              <w:left w:val="nil"/>
              <w:right w:val="nil"/>
            </w:tcBorders>
            <w:hideMark/>
          </w:tcPr>
          <w:p>
            <w:pPr>
              <w:spacing w:before="60" w:after="60"/>
              <w:jc w:val="right"/>
              <w:rPr>
                <w:noProof/>
              </w:rPr>
            </w:pPr>
            <w:r>
              <w:rPr>
                <w:noProof/>
              </w:rPr>
              <w:t>740</w:t>
            </w:r>
          </w:p>
        </w:tc>
        <w:tc>
          <w:tcPr>
            <w:tcW w:w="1176" w:type="dxa"/>
            <w:tcBorders>
              <w:top w:val="single" w:sz="4" w:space="0" w:color="auto"/>
              <w:left w:val="nil"/>
              <w:right w:val="nil"/>
            </w:tcBorders>
            <w:hideMark/>
          </w:tcPr>
          <w:p>
            <w:pPr>
              <w:spacing w:before="60" w:after="60"/>
              <w:jc w:val="right"/>
              <w:rPr>
                <w:noProof/>
              </w:rPr>
            </w:pPr>
            <w:r>
              <w:rPr>
                <w:rFonts w:eastAsia="Calibri"/>
                <w:noProof/>
              </w:rPr>
              <w:t>(</w:t>
            </w:r>
            <w:r>
              <w:rPr>
                <w:noProof/>
              </w:rPr>
              <w:t>74,0</w:t>
            </w:r>
            <w:r>
              <w:rPr>
                <w:rFonts w:eastAsia="Calibri"/>
                <w:noProof/>
              </w:rPr>
              <w:t>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rFonts w:eastAsia="Calibri"/>
                <w:noProof/>
              </w:rPr>
              <w:t>W</w:t>
            </w:r>
            <w:r>
              <w:rPr>
                <w:noProof/>
              </w:rPr>
              <w:t>omen:</w:t>
            </w:r>
          </w:p>
        </w:tc>
        <w:tc>
          <w:tcPr>
            <w:tcW w:w="1176" w:type="dxa"/>
            <w:tcBorders>
              <w:bottom w:val="single" w:sz="4" w:space="0" w:color="auto"/>
            </w:tcBorders>
            <w:hideMark/>
          </w:tcPr>
          <w:p>
            <w:pPr>
              <w:spacing w:before="60" w:after="60"/>
              <w:jc w:val="right"/>
              <w:rPr>
                <w:noProof/>
              </w:rPr>
            </w:pPr>
            <w:r>
              <w:rPr>
                <w:noProof/>
              </w:rPr>
              <w:t>260</w:t>
            </w:r>
          </w:p>
        </w:tc>
        <w:tc>
          <w:tcPr>
            <w:tcW w:w="1176" w:type="dxa"/>
            <w:tcBorders>
              <w:bottom w:val="single" w:sz="4" w:space="0" w:color="auto"/>
            </w:tcBorders>
            <w:hideMark/>
          </w:tcPr>
          <w:p>
            <w:pPr>
              <w:spacing w:before="60" w:after="60"/>
              <w:jc w:val="right"/>
              <w:rPr>
                <w:noProof/>
              </w:rPr>
            </w:pPr>
            <w:r>
              <w:rPr>
                <w:rFonts w:eastAsia="Calibri"/>
                <w:noProof/>
              </w:rPr>
              <w:t>(</w:t>
            </w:r>
            <w:r>
              <w:rPr>
                <w:noProof/>
              </w:rPr>
              <w:t>26,0</w:t>
            </w:r>
            <w:r>
              <w:rPr>
                <w:rFonts w:eastAsia="Calibri"/>
                <w:noProof/>
              </w:rPr>
              <w:t>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Citizenship:</w:t>
            </w:r>
          </w:p>
        </w:tc>
        <w:tc>
          <w:tcPr>
            <w:tcW w:w="2063" w:type="dxa"/>
            <w:tcBorders>
              <w:top w:val="single" w:sz="4" w:space="0" w:color="auto"/>
              <w:left w:val="nil"/>
              <w:bottom w:val="nil"/>
              <w:right w:val="nil"/>
            </w:tcBorders>
            <w:hideMark/>
          </w:tcPr>
          <w:p>
            <w:pPr>
              <w:spacing w:before="60" w:after="60"/>
              <w:rPr>
                <w:noProof/>
              </w:rPr>
            </w:pPr>
            <w:r>
              <w:rPr>
                <w:rFonts w:eastAsia="Calibri"/>
                <w:noProof/>
              </w:rPr>
              <w:t>EU citizens:</w:t>
            </w:r>
          </w:p>
        </w:tc>
        <w:tc>
          <w:tcPr>
            <w:tcW w:w="1176" w:type="dxa"/>
            <w:tcBorders>
              <w:top w:val="single" w:sz="4" w:space="0" w:color="auto"/>
            </w:tcBorders>
            <w:hideMark/>
          </w:tcPr>
          <w:p>
            <w:pPr>
              <w:spacing w:before="60" w:after="60"/>
              <w:jc w:val="right"/>
              <w:rPr>
                <w:noProof/>
              </w:rPr>
            </w:pPr>
            <w:r>
              <w:rPr>
                <w:noProof/>
              </w:rPr>
              <w:t>955</w:t>
            </w:r>
          </w:p>
        </w:tc>
        <w:tc>
          <w:tcPr>
            <w:tcW w:w="1176" w:type="dxa"/>
            <w:tcBorders>
              <w:top w:val="single" w:sz="4" w:space="0" w:color="auto"/>
            </w:tcBorders>
            <w:hideMark/>
          </w:tcPr>
          <w:p>
            <w:pPr>
              <w:spacing w:before="60" w:after="60"/>
              <w:jc w:val="right"/>
              <w:rPr>
                <w:noProof/>
              </w:rPr>
            </w:pPr>
            <w:r>
              <w:rPr>
                <w:rFonts w:eastAsia="Calibri"/>
                <w:noProof/>
              </w:rPr>
              <w:t>(</w:t>
            </w:r>
            <w:r>
              <w:rPr>
                <w:noProof/>
              </w:rPr>
              <w:t>95,5</w:t>
            </w:r>
            <w:r>
              <w:rPr>
                <w:rFonts w:eastAsia="Calibri"/>
                <w:noProof/>
              </w:rPr>
              <w:t>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rFonts w:eastAsia="Calibri"/>
                <w:noProof/>
              </w:rPr>
              <w:t>non-EU citizens:</w:t>
            </w:r>
          </w:p>
        </w:tc>
        <w:tc>
          <w:tcPr>
            <w:tcW w:w="1176" w:type="dxa"/>
            <w:tcBorders>
              <w:bottom w:val="single" w:sz="4" w:space="0" w:color="auto"/>
            </w:tcBorders>
            <w:hideMark/>
          </w:tcPr>
          <w:p>
            <w:pPr>
              <w:spacing w:before="60" w:after="60"/>
              <w:jc w:val="right"/>
              <w:rPr>
                <w:noProof/>
              </w:rPr>
            </w:pPr>
            <w:r>
              <w:rPr>
                <w:noProof/>
              </w:rPr>
              <w:t>45</w:t>
            </w:r>
          </w:p>
        </w:tc>
        <w:tc>
          <w:tcPr>
            <w:tcW w:w="1176" w:type="dxa"/>
            <w:tcBorders>
              <w:bottom w:val="single" w:sz="4" w:space="0" w:color="auto"/>
            </w:tcBorders>
            <w:hideMark/>
          </w:tcPr>
          <w:p>
            <w:pPr>
              <w:spacing w:before="60" w:after="60"/>
              <w:jc w:val="right"/>
              <w:rPr>
                <w:noProof/>
              </w:rPr>
            </w:pPr>
            <w:r>
              <w:rPr>
                <w:rFonts w:eastAsia="Calibri"/>
                <w:noProof/>
              </w:rPr>
              <w:t>(4,5 %)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Age group:</w:t>
            </w:r>
          </w:p>
        </w:tc>
        <w:tc>
          <w:tcPr>
            <w:tcW w:w="2063" w:type="dxa"/>
            <w:tcBorders>
              <w:top w:val="single" w:sz="4" w:space="0" w:color="auto"/>
              <w:left w:val="nil"/>
              <w:bottom w:val="nil"/>
              <w:right w:val="nil"/>
            </w:tcBorders>
            <w:hideMark/>
          </w:tcPr>
          <w:p>
            <w:pPr>
              <w:spacing w:before="60" w:after="60"/>
              <w:rPr>
                <w:noProof/>
              </w:rPr>
            </w:pPr>
            <w:r>
              <w:rPr>
                <w:noProof/>
              </w:rPr>
              <w:t>15-24 years:</w:t>
            </w:r>
          </w:p>
        </w:tc>
        <w:tc>
          <w:tcPr>
            <w:tcW w:w="1176" w:type="dxa"/>
            <w:tcBorders>
              <w:top w:val="single" w:sz="4" w:space="0" w:color="auto"/>
            </w:tcBorders>
            <w:hideMark/>
          </w:tcPr>
          <w:p>
            <w:pPr>
              <w:spacing w:before="60" w:after="60"/>
              <w:jc w:val="right"/>
              <w:rPr>
                <w:noProof/>
              </w:rPr>
            </w:pPr>
            <w:r>
              <w:rPr>
                <w:noProof/>
              </w:rPr>
              <w:t>0</w:t>
            </w:r>
          </w:p>
        </w:tc>
        <w:tc>
          <w:tcPr>
            <w:tcW w:w="1176" w:type="dxa"/>
            <w:tcBorders>
              <w:top w:val="single" w:sz="4" w:space="0" w:color="auto"/>
            </w:tcBorders>
            <w:hideMark/>
          </w:tcPr>
          <w:p>
            <w:pPr>
              <w:spacing w:before="60" w:after="60"/>
              <w:jc w:val="right"/>
              <w:rPr>
                <w:noProof/>
              </w:rPr>
            </w:pPr>
            <w:r>
              <w:rPr>
                <w:rFonts w:eastAsia="Calibri"/>
                <w:noProof/>
              </w:rPr>
              <w:t>(</w:t>
            </w:r>
            <w:r>
              <w:rPr>
                <w:noProof/>
              </w:rPr>
              <w:t>0</w:t>
            </w:r>
            <w:r>
              <w:rPr>
                <w:rFonts w:eastAsia="Calibri"/>
                <w:noProof/>
              </w:rPr>
              <w:t>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25-29 years:</w:t>
            </w:r>
          </w:p>
        </w:tc>
        <w:tc>
          <w:tcPr>
            <w:tcW w:w="1176" w:type="dxa"/>
            <w:hideMark/>
          </w:tcPr>
          <w:p>
            <w:pPr>
              <w:spacing w:before="60" w:after="60"/>
              <w:jc w:val="right"/>
              <w:rPr>
                <w:noProof/>
              </w:rPr>
            </w:pPr>
            <w:r>
              <w:rPr>
                <w:noProof/>
              </w:rPr>
              <w:t>25</w:t>
            </w:r>
          </w:p>
        </w:tc>
        <w:tc>
          <w:tcPr>
            <w:tcW w:w="1176" w:type="dxa"/>
            <w:hideMark/>
          </w:tcPr>
          <w:p>
            <w:pPr>
              <w:spacing w:before="60" w:after="60"/>
              <w:jc w:val="right"/>
              <w:rPr>
                <w:noProof/>
              </w:rPr>
            </w:pPr>
            <w:r>
              <w:rPr>
                <w:rFonts w:eastAsia="Calibri"/>
                <w:noProof/>
              </w:rPr>
              <w:t>(2</w:t>
            </w:r>
            <w:r>
              <w:rPr>
                <w:noProof/>
              </w:rPr>
              <w:t>,5</w:t>
            </w:r>
            <w:r>
              <w:rPr>
                <w:rFonts w:eastAsia="Calibri"/>
                <w:noProof/>
              </w:rPr>
              <w:t> %)</w:t>
            </w:r>
          </w:p>
        </w:tc>
      </w:tr>
      <w:tr>
        <w:trPr>
          <w:jc w:val="center"/>
        </w:trPr>
        <w:tc>
          <w:tcPr>
            <w:tcW w:w="1496" w:type="dxa"/>
          </w:tcPr>
          <w:p>
            <w:pPr>
              <w:spacing w:before="60" w:after="60"/>
              <w:rPr>
                <w:noProof/>
              </w:rPr>
            </w:pPr>
          </w:p>
        </w:tc>
        <w:tc>
          <w:tcPr>
            <w:tcW w:w="2063" w:type="dxa"/>
            <w:hideMark/>
          </w:tcPr>
          <w:p>
            <w:pPr>
              <w:spacing w:before="60" w:after="60"/>
              <w:rPr>
                <w:noProof/>
              </w:rPr>
            </w:pPr>
            <w:r>
              <w:rPr>
                <w:rFonts w:eastAsia="Calibri"/>
                <w:noProof/>
              </w:rPr>
              <w:t>30-54 years:</w:t>
            </w:r>
          </w:p>
        </w:tc>
        <w:tc>
          <w:tcPr>
            <w:tcW w:w="1176" w:type="dxa"/>
            <w:hideMark/>
          </w:tcPr>
          <w:p>
            <w:pPr>
              <w:spacing w:before="60" w:after="60"/>
              <w:jc w:val="right"/>
              <w:rPr>
                <w:noProof/>
              </w:rPr>
            </w:pPr>
            <w:r>
              <w:rPr>
                <w:noProof/>
              </w:rPr>
              <w:t>925</w:t>
            </w:r>
          </w:p>
        </w:tc>
        <w:tc>
          <w:tcPr>
            <w:tcW w:w="1176" w:type="dxa"/>
            <w:hideMark/>
          </w:tcPr>
          <w:p>
            <w:pPr>
              <w:spacing w:before="60" w:after="60"/>
              <w:jc w:val="right"/>
              <w:rPr>
                <w:noProof/>
              </w:rPr>
            </w:pPr>
            <w:r>
              <w:rPr>
                <w:rFonts w:eastAsia="Calibri"/>
                <w:noProof/>
              </w:rPr>
              <w:t>(</w:t>
            </w:r>
            <w:r>
              <w:rPr>
                <w:noProof/>
              </w:rPr>
              <w:t>92,5</w:t>
            </w:r>
            <w:r>
              <w:rPr>
                <w:rFonts w:eastAsia="Calibri"/>
                <w:noProof/>
              </w:rPr>
              <w:t>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55-64 years</w:t>
            </w:r>
            <w:r>
              <w:rPr>
                <w:rFonts w:eastAsia="Calibri"/>
                <w:noProof/>
              </w:rPr>
              <w:t>:</w:t>
            </w:r>
          </w:p>
        </w:tc>
        <w:tc>
          <w:tcPr>
            <w:tcW w:w="1176" w:type="dxa"/>
            <w:hideMark/>
          </w:tcPr>
          <w:p>
            <w:pPr>
              <w:spacing w:before="60" w:after="60"/>
              <w:jc w:val="right"/>
              <w:rPr>
                <w:noProof/>
              </w:rPr>
            </w:pPr>
            <w:r>
              <w:rPr>
                <w:noProof/>
              </w:rPr>
              <w:t>50</w:t>
            </w:r>
          </w:p>
        </w:tc>
        <w:tc>
          <w:tcPr>
            <w:tcW w:w="1176" w:type="dxa"/>
            <w:hideMark/>
          </w:tcPr>
          <w:p>
            <w:pPr>
              <w:spacing w:before="60" w:after="60"/>
              <w:jc w:val="right"/>
              <w:rPr>
                <w:noProof/>
              </w:rPr>
            </w:pPr>
            <w:r>
              <w:rPr>
                <w:rFonts w:eastAsia="Calibri"/>
                <w:noProof/>
              </w:rPr>
              <w:t>(5</w:t>
            </w:r>
            <w:r>
              <w:rPr>
                <w:noProof/>
              </w:rPr>
              <w:t>,0</w:t>
            </w:r>
            <w:r>
              <w:rPr>
                <w:rFonts w:eastAsia="Calibri"/>
                <w:noProof/>
              </w:rPr>
              <w:t>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over 64 years</w:t>
            </w:r>
            <w:r>
              <w:rPr>
                <w:rFonts w:eastAsia="Calibri"/>
                <w:noProof/>
              </w:rPr>
              <w:t>:</w:t>
            </w:r>
          </w:p>
        </w:tc>
        <w:tc>
          <w:tcPr>
            <w:tcW w:w="1176" w:type="dxa"/>
            <w:tcBorders>
              <w:top w:val="nil"/>
              <w:left w:val="nil"/>
              <w:bottom w:val="single" w:sz="4" w:space="0" w:color="auto"/>
              <w:right w:val="nil"/>
            </w:tcBorders>
            <w:hideMark/>
          </w:tcPr>
          <w:p>
            <w:pPr>
              <w:spacing w:before="60" w:after="60"/>
              <w:jc w:val="right"/>
              <w:rPr>
                <w:noProof/>
              </w:rPr>
            </w:pPr>
            <w:r>
              <w:rPr>
                <w:noProof/>
              </w:rPr>
              <w:t>0</w:t>
            </w:r>
          </w:p>
        </w:tc>
        <w:tc>
          <w:tcPr>
            <w:tcW w:w="1176" w:type="dxa"/>
            <w:tcBorders>
              <w:top w:val="nil"/>
              <w:left w:val="nil"/>
              <w:bottom w:val="single" w:sz="4" w:space="0" w:color="auto"/>
              <w:right w:val="nil"/>
            </w:tcBorders>
            <w:hideMark/>
          </w:tcPr>
          <w:p>
            <w:pPr>
              <w:spacing w:before="60" w:after="60"/>
              <w:jc w:val="right"/>
              <w:rPr>
                <w:noProof/>
              </w:rPr>
            </w:pPr>
            <w:r>
              <w:rPr>
                <w:rFonts w:eastAsia="Calibri"/>
                <w:noProof/>
              </w:rPr>
              <w:t>(</w:t>
            </w:r>
            <w:r>
              <w:rPr>
                <w:noProof/>
              </w:rPr>
              <w:t>0</w:t>
            </w:r>
            <w:r>
              <w:rPr>
                <w:rFonts w:eastAsia="Calibri"/>
                <w:noProof/>
              </w:rPr>
              <w:t> %)</w:t>
            </w:r>
          </w:p>
        </w:tc>
      </w:tr>
    </w:tbl>
    <w:p>
      <w:pPr>
        <w:pStyle w:val="ManualHeading3"/>
        <w:rPr>
          <w:noProof/>
          <w:u w:val="single"/>
        </w:rPr>
      </w:pPr>
      <w:r>
        <w:rPr>
          <w:noProof/>
        </w:rPr>
        <w:t>Eligibility of the proposed actions</w:t>
      </w:r>
    </w:p>
    <w:p>
      <w:pPr>
        <w:pStyle w:val="ManualNumPar1"/>
        <w:rPr>
          <w:noProof/>
        </w:rPr>
      </w:pPr>
      <w:bookmarkStart w:id="2" w:name="_Ref372214239"/>
      <w:r>
        <w:t>36.</w:t>
      </w:r>
      <w:r>
        <w:tab/>
      </w:r>
      <w:r>
        <w:rPr>
          <w:noProof/>
        </w:rPr>
        <w:t xml:space="preserve">The personalised services to be provided to redundant workers consist of the following actions: </w:t>
      </w:r>
      <w:bookmarkEnd w:id="2"/>
    </w:p>
    <w:p>
      <w:pPr>
        <w:pStyle w:val="Tiret1"/>
        <w:rPr>
          <w:noProof/>
        </w:rPr>
      </w:pPr>
      <w:r>
        <w:rPr>
          <w:noProof/>
          <w:u w:val="single"/>
        </w:rPr>
        <w:t>Coaching measures and other preparatory measures</w:t>
      </w:r>
      <w:r>
        <w:rPr>
          <w:noProof/>
        </w:rPr>
        <w:t>: these measures will include job seeking training, support to labour mobility (EURES services), individual guidance (job coaching), career coaching and expert assessments.</w:t>
      </w:r>
    </w:p>
    <w:p>
      <w:pPr>
        <w:pStyle w:val="Tiret1"/>
        <w:rPr>
          <w:noProof/>
          <w:u w:val="single"/>
        </w:rPr>
      </w:pPr>
      <w:r>
        <w:rPr>
          <w:noProof/>
          <w:u w:val="single"/>
        </w:rPr>
        <w:t>Employment and business services:</w:t>
      </w:r>
      <w:r>
        <w:rPr>
          <w:noProof/>
        </w:rPr>
        <w:t xml:space="preserve"> these measures will include supporting independent job seekers, assessment of competencies, try-outs and recruitment events.</w:t>
      </w:r>
    </w:p>
    <w:p>
      <w:pPr>
        <w:pStyle w:val="Tiret1"/>
        <w:rPr>
          <w:noProof/>
          <w:u w:val="single"/>
        </w:rPr>
      </w:pPr>
      <w:r>
        <w:rPr>
          <w:noProof/>
          <w:u w:val="single"/>
        </w:rPr>
        <w:t>Training</w:t>
      </w:r>
      <w:r>
        <w:rPr>
          <w:noProof/>
        </w:rPr>
        <w:t>: this measure will include vocational, continuing and change training, re-education, entrepreneurial and labour mobility related training.</w:t>
      </w:r>
      <w:r>
        <w:rPr>
          <w:noProof/>
          <w:u w:val="single"/>
        </w:rPr>
        <w:t xml:space="preserve"> </w:t>
      </w:r>
    </w:p>
    <w:p>
      <w:pPr>
        <w:pStyle w:val="Tiret1"/>
        <w:rPr>
          <w:noProof/>
        </w:rPr>
      </w:pPr>
      <w:r>
        <w:rPr>
          <w:noProof/>
          <w:u w:val="single"/>
        </w:rPr>
        <w:t xml:space="preserve">Start up grant: </w:t>
      </w:r>
      <w:r>
        <w:rPr>
          <w:noProof/>
        </w:rPr>
        <w:t>this measure will provide start-up grants to promote the creation of business activity, to launch and establish a full-time business, in ICT or other sectors.</w:t>
      </w:r>
    </w:p>
    <w:p>
      <w:pPr>
        <w:pStyle w:val="Tiret1"/>
        <w:rPr>
          <w:noProof/>
        </w:rPr>
      </w:pPr>
      <w:r>
        <w:rPr>
          <w:noProof/>
          <w:u w:val="single"/>
        </w:rPr>
        <w:t>Pay subsidy</w:t>
      </w:r>
      <w:r>
        <w:rPr>
          <w:noProof/>
        </w:rPr>
        <w:t>: this measure will support employment in a new job by reducing the payrolls costs. Pay subsidy is 30-50</w:t>
      </w:r>
      <w:r>
        <w:rPr>
          <w:rFonts w:eastAsia="Calibri"/>
          <w:noProof/>
        </w:rPr>
        <w:t> </w:t>
      </w:r>
      <w:r>
        <w:rPr>
          <w:noProof/>
        </w:rPr>
        <w:t>% of the payroll costs.</w:t>
      </w:r>
    </w:p>
    <w:p>
      <w:pPr>
        <w:pStyle w:val="Tiret1"/>
        <w:rPr>
          <w:noProof/>
        </w:rPr>
      </w:pPr>
      <w:r>
        <w:rPr>
          <w:noProof/>
          <w:u w:val="single"/>
        </w:rPr>
        <w:t>Allowances for travel and accomodation:</w:t>
      </w:r>
      <w:r>
        <w:rPr>
          <w:noProof/>
        </w:rPr>
        <w:t xml:space="preserve"> this measure is to cover costs incurred for the job-seeeker, during a training.</w:t>
      </w:r>
    </w:p>
    <w:p>
      <w:pPr>
        <w:pStyle w:val="ManualNumPar1"/>
        <w:rPr>
          <w:noProof/>
        </w:rPr>
      </w:pPr>
      <w:bookmarkStart w:id="3" w:name="_Ref372214242"/>
      <w:r>
        <w:t>37.</w:t>
      </w:r>
      <w:r>
        <w:tab/>
      </w:r>
      <w:r>
        <w:rPr>
          <w:noProof/>
        </w:rPr>
        <w:t>The proposed actions, here described, constitute active labour market measures within the eligible actions set out in Article 7 of the EGF Regulation. These actions do not substitute passive social protection measures.</w:t>
      </w:r>
    </w:p>
    <w:p>
      <w:pPr>
        <w:pStyle w:val="ManualNumPar1"/>
        <w:rPr>
          <w:noProof/>
        </w:rPr>
      </w:pPr>
      <w:r>
        <w:t>38.</w:t>
      </w:r>
      <w:r>
        <w:tab/>
      </w:r>
      <w:r>
        <w:rPr>
          <w:noProof/>
        </w:rPr>
        <w:t>Finland has provided the required information on actions that are mandatory for the enterprise concerned by virtue of national law or pursuant to collective agreements. They have confirmed that a financial contribution from the EGF will not replace such actions.</w:t>
      </w:r>
      <w:bookmarkEnd w:id="3"/>
    </w:p>
    <w:p>
      <w:pPr>
        <w:pStyle w:val="ManualHeading3"/>
        <w:rPr>
          <w:noProof/>
        </w:rPr>
      </w:pPr>
      <w:r>
        <w:rPr>
          <w:noProof/>
        </w:rPr>
        <w:t>Estimated budget</w:t>
      </w:r>
    </w:p>
    <w:p>
      <w:pPr>
        <w:pStyle w:val="ManualNumPar1"/>
        <w:rPr>
          <w:noProof/>
        </w:rPr>
      </w:pPr>
      <w:r>
        <w:t>39.</w:t>
      </w:r>
      <w:r>
        <w:tab/>
      </w:r>
      <w:r>
        <w:rPr>
          <w:noProof/>
        </w:rPr>
        <w:t>The estimated total costs are EUR 5 866 800, comprising expenditure for personalised services of EUR 5 559 300</w:t>
      </w:r>
      <w:r>
        <w:rPr>
          <w:rFonts w:eastAsia="Calibri"/>
          <w:noProof/>
        </w:rPr>
        <w:t xml:space="preserve"> </w:t>
      </w:r>
      <w:r>
        <w:rPr>
          <w:noProof/>
        </w:rPr>
        <w:t>and expenditure for preparatory, management, information and publicity, control and reporting activities of EUR 307 500.</w:t>
      </w:r>
    </w:p>
    <w:p>
      <w:pPr>
        <w:pStyle w:val="ManualNumPar1"/>
        <w:rPr>
          <w:noProof/>
        </w:rPr>
      </w:pPr>
      <w:bookmarkStart w:id="4" w:name="_Ref372550770"/>
      <w:r>
        <w:t>40.</w:t>
      </w:r>
      <w:r>
        <w:tab/>
      </w:r>
      <w:r>
        <w:rPr>
          <w:noProof/>
        </w:rPr>
        <w:t>The total financial contribution requested from the EGF is EUR 3 520 080 (60 % of total costs).</w:t>
      </w:r>
      <w:bookmarkEnd w:id="4"/>
    </w:p>
    <w:p>
      <w:pPr>
        <w:pStyle w:val="Text1"/>
        <w:rPr>
          <w:noProof/>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644"/>
        <w:gridCol w:w="1548"/>
        <w:gridCol w:w="1548"/>
        <w:gridCol w:w="1548"/>
      </w:tblGrid>
      <w:tr>
        <w:tc>
          <w:tcPr>
            <w:tcW w:w="4644" w:type="dxa"/>
            <w:shd w:val="clear" w:color="auto" w:fill="auto"/>
            <w:vAlign w:val="center"/>
          </w:tcPr>
          <w:p>
            <w:pPr>
              <w:spacing w:before="60" w:after="60"/>
              <w:jc w:val="center"/>
              <w:rPr>
                <w:rFonts w:eastAsia="Times New Roman"/>
                <w:noProof/>
                <w:sz w:val="22"/>
              </w:rPr>
            </w:pPr>
            <w:r>
              <w:rPr>
                <w:rFonts w:eastAsia="Times New Roman"/>
                <w:noProof/>
                <w:sz w:val="22"/>
              </w:rPr>
              <w:t>Actions</w:t>
            </w:r>
          </w:p>
        </w:tc>
        <w:tc>
          <w:tcPr>
            <w:tcW w:w="1548" w:type="dxa"/>
            <w:shd w:val="clear" w:color="auto" w:fill="auto"/>
            <w:vAlign w:val="center"/>
          </w:tcPr>
          <w:p>
            <w:pPr>
              <w:spacing w:before="60" w:after="60"/>
              <w:jc w:val="center"/>
              <w:rPr>
                <w:rFonts w:eastAsia="Times New Roman"/>
                <w:noProof/>
                <w:sz w:val="22"/>
              </w:rPr>
            </w:pPr>
            <w:r>
              <w:rPr>
                <w:rFonts w:eastAsia="Times New Roman"/>
                <w:noProof/>
                <w:sz w:val="22"/>
              </w:rPr>
              <w:t>Estimated number of participants</w:t>
            </w:r>
          </w:p>
        </w:tc>
        <w:tc>
          <w:tcPr>
            <w:tcW w:w="1548" w:type="dxa"/>
            <w:shd w:val="clear" w:color="auto" w:fill="auto"/>
            <w:vAlign w:val="center"/>
          </w:tcPr>
          <w:p>
            <w:pPr>
              <w:spacing w:before="60" w:after="60"/>
              <w:jc w:val="center"/>
              <w:rPr>
                <w:rFonts w:eastAsia="Times New Roman"/>
                <w:noProof/>
                <w:sz w:val="22"/>
              </w:rPr>
            </w:pPr>
            <w:r>
              <w:rPr>
                <w:rFonts w:eastAsia="Times New Roman"/>
                <w:noProof/>
                <w:sz w:val="22"/>
              </w:rPr>
              <w:t>Estimated cost per participant</w:t>
            </w:r>
            <w:r>
              <w:rPr>
                <w:rFonts w:eastAsia="Times New Roman"/>
                <w:noProof/>
                <w:sz w:val="22"/>
              </w:rPr>
              <w:br/>
            </w:r>
            <w:r>
              <w:rPr>
                <w:rFonts w:eastAsia="Times New Roman"/>
                <w:i/>
                <w:noProof/>
                <w:sz w:val="22"/>
              </w:rPr>
              <w:t>(EUR)</w:t>
            </w:r>
          </w:p>
        </w:tc>
        <w:tc>
          <w:tcPr>
            <w:tcW w:w="1548" w:type="dxa"/>
            <w:shd w:val="clear" w:color="auto" w:fill="auto"/>
            <w:vAlign w:val="center"/>
          </w:tcPr>
          <w:p>
            <w:pPr>
              <w:spacing w:before="60" w:after="60"/>
              <w:jc w:val="center"/>
              <w:rPr>
                <w:rFonts w:eastAsia="Times New Roman"/>
                <w:noProof/>
                <w:sz w:val="22"/>
              </w:rPr>
            </w:pPr>
            <w:r>
              <w:rPr>
                <w:rFonts w:eastAsia="Times New Roman"/>
                <w:noProof/>
                <w:sz w:val="22"/>
              </w:rPr>
              <w:t>Estimated total costs*</w:t>
            </w:r>
          </w:p>
          <w:p>
            <w:pPr>
              <w:spacing w:before="60" w:after="60"/>
              <w:jc w:val="center"/>
              <w:rPr>
                <w:rFonts w:eastAsia="Times New Roman"/>
                <w:noProof/>
                <w:sz w:val="22"/>
              </w:rPr>
            </w:pPr>
            <w:r>
              <w:rPr>
                <w:rFonts w:eastAsia="Times New Roman"/>
                <w:i/>
                <w:noProof/>
                <w:sz w:val="22"/>
              </w:rPr>
              <w:t xml:space="preserve">(EUR) </w:t>
            </w:r>
          </w:p>
        </w:tc>
      </w:tr>
      <w:tr>
        <w:tc>
          <w:tcPr>
            <w:tcW w:w="9288" w:type="dxa"/>
            <w:gridSpan w:val="4"/>
            <w:shd w:val="clear" w:color="auto" w:fill="auto"/>
          </w:tcPr>
          <w:p>
            <w:pPr>
              <w:spacing w:before="60" w:after="60"/>
              <w:jc w:val="left"/>
              <w:rPr>
                <w:rFonts w:eastAsia="Times New Roman"/>
                <w:noProof/>
                <w:sz w:val="22"/>
              </w:rPr>
            </w:pPr>
            <w:r>
              <w:rPr>
                <w:rFonts w:eastAsia="Times New Roman"/>
                <w:noProof/>
                <w:sz w:val="22"/>
              </w:rPr>
              <w:t>Personalised services (Actions under Article 7(1)(a) and (c) of the EGF Regulation)</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Coaching measures and other preparatory measures (</w:t>
            </w:r>
            <w:r>
              <w:rPr>
                <w:bCs/>
                <w:i/>
                <w:noProof/>
                <w:color w:val="000000" w:themeColor="text1"/>
                <w:szCs w:val="24"/>
                <w:lang w:val="fi-FI"/>
              </w:rPr>
              <w:t>Valmennukset ja muut valmentavat toimenpiteet</w:t>
            </w:r>
            <w:r>
              <w:rPr>
                <w:noProof/>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195</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1 200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234 000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lang w:val="fi-FI"/>
              </w:rPr>
            </w:pPr>
            <w:r>
              <w:rPr>
                <w:noProof/>
                <w:lang w:val="fi-FI"/>
              </w:rPr>
              <w:t>Employment and business services (</w:t>
            </w:r>
            <w:r>
              <w:rPr>
                <w:bCs/>
                <w:i/>
                <w:noProof/>
                <w:color w:val="000000" w:themeColor="text1"/>
                <w:szCs w:val="24"/>
                <w:lang w:val="fi-FI"/>
              </w:rPr>
              <w:t>Työllisyys- ja yrityspalvelut</w:t>
            </w:r>
            <w:r>
              <w:rPr>
                <w:noProof/>
                <w:lang w:val="fi-FI"/>
              </w:rPr>
              <w:t>)</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800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606</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484 800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Training (</w:t>
            </w:r>
            <w:r>
              <w:rPr>
                <w:bCs/>
                <w:i/>
                <w:noProof/>
                <w:color w:val="000000" w:themeColor="text1"/>
                <w:szCs w:val="24"/>
              </w:rPr>
              <w:t>Koulutus</w:t>
            </w:r>
            <w:r>
              <w:rPr>
                <w:noProof/>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535</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6 000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3 210 000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Start-up grant (</w:t>
            </w:r>
            <w:r>
              <w:rPr>
                <w:bCs/>
                <w:i/>
                <w:noProof/>
                <w:color w:val="000000" w:themeColor="text1"/>
                <w:szCs w:val="24"/>
              </w:rPr>
              <w:t>Starttiraha</w:t>
            </w:r>
            <w:r>
              <w:rPr>
                <w:noProof/>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18</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8 000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144 000</w:t>
            </w:r>
          </w:p>
        </w:tc>
      </w:tr>
      <w:tr>
        <w:trPr>
          <w:trHeight w:val="398"/>
        </w:trPr>
        <w:tc>
          <w:tcPr>
            <w:tcW w:w="4644" w:type="dxa"/>
            <w:vMerge w:val="restart"/>
            <w:shd w:val="clear" w:color="auto" w:fill="auto"/>
            <w:vAlign w:val="center"/>
          </w:tcPr>
          <w:p>
            <w:pPr>
              <w:spacing w:before="60" w:after="60"/>
              <w:jc w:val="right"/>
              <w:rPr>
                <w:rFonts w:eastAsia="Times New Roman"/>
                <w:noProof/>
                <w:sz w:val="22"/>
              </w:rPr>
            </w:pPr>
            <w:r>
              <w:rPr>
                <w:rFonts w:eastAsia="Times New Roman"/>
                <w:noProof/>
                <w:sz w:val="22"/>
              </w:rPr>
              <w:t>Sub-total (a):</w:t>
            </w:r>
          </w:p>
          <w:p>
            <w:pPr>
              <w:spacing w:before="60" w:after="60"/>
              <w:jc w:val="right"/>
              <w:rPr>
                <w:rFonts w:eastAsia="Times New Roman"/>
                <w:noProof/>
                <w:sz w:val="22"/>
              </w:rPr>
            </w:pPr>
            <w:r>
              <w:rPr>
                <w:rFonts w:eastAsia="Times New Roman"/>
                <w:noProof/>
                <w:sz w:val="22"/>
              </w:rPr>
              <w:t xml:space="preserve">Percentage of the package of personalised services </w:t>
            </w:r>
          </w:p>
        </w:tc>
        <w:tc>
          <w:tcPr>
            <w:tcW w:w="3096" w:type="dxa"/>
            <w:gridSpan w:val="2"/>
            <w:vMerge w:val="restart"/>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4 072 800</w:t>
            </w:r>
          </w:p>
        </w:tc>
      </w:tr>
      <w:tr>
        <w:trPr>
          <w:trHeight w:val="397"/>
        </w:trPr>
        <w:tc>
          <w:tcPr>
            <w:tcW w:w="4644" w:type="dxa"/>
            <w:vMerge/>
            <w:shd w:val="clear" w:color="auto" w:fill="auto"/>
            <w:vAlign w:val="center"/>
          </w:tcPr>
          <w:p>
            <w:pPr>
              <w:spacing w:before="60" w:after="60"/>
              <w:jc w:val="right"/>
              <w:rPr>
                <w:rFonts w:eastAsia="Times New Roman"/>
                <w:noProof/>
                <w:sz w:val="22"/>
              </w:rPr>
            </w:pPr>
          </w:p>
        </w:tc>
        <w:tc>
          <w:tcPr>
            <w:tcW w:w="3096" w:type="dxa"/>
            <w:gridSpan w:val="2"/>
            <w:vMerge/>
            <w:shd w:val="clear" w:color="auto" w:fill="D9D9D9"/>
            <w:vAlign w:val="center"/>
          </w:tcPr>
          <w:p>
            <w:pPr>
              <w:spacing w:before="60" w:after="6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rFonts w:eastAsia="Times New Roman"/>
                <w:noProof/>
                <w:sz w:val="22"/>
              </w:rPr>
              <w:t>(73,26</w:t>
            </w:r>
            <w:r>
              <w:rPr>
                <w:rFonts w:eastAsia="Calibri"/>
                <w:noProof/>
              </w:rPr>
              <w:t> </w:t>
            </w:r>
            <w:r>
              <w:rPr>
                <w:rFonts w:eastAsia="Times New Roman"/>
                <w:noProof/>
                <w:sz w:val="22"/>
              </w:rPr>
              <w:t>%)</w:t>
            </w:r>
          </w:p>
        </w:tc>
      </w:tr>
      <w:tr>
        <w:tc>
          <w:tcPr>
            <w:tcW w:w="9288" w:type="dxa"/>
            <w:gridSpan w:val="4"/>
            <w:shd w:val="clear" w:color="auto" w:fill="auto"/>
            <w:vAlign w:val="center"/>
          </w:tcPr>
          <w:p>
            <w:pPr>
              <w:spacing w:before="60" w:after="60"/>
              <w:jc w:val="left"/>
              <w:rPr>
                <w:noProof/>
                <w:sz w:val="22"/>
              </w:rPr>
            </w:pPr>
            <w:r>
              <w:rPr>
                <w:rFonts w:eastAsia="Times New Roman"/>
                <w:noProof/>
                <w:sz w:val="22"/>
              </w:rPr>
              <w:t>Allowances and incentives (Actions under Article 7(1)(b) of the EGF Regulation)</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Pay subsidy (</w:t>
            </w:r>
            <w:r>
              <w:rPr>
                <w:bCs/>
                <w:i/>
                <w:noProof/>
                <w:color w:val="000000" w:themeColor="text1"/>
                <w:szCs w:val="24"/>
              </w:rPr>
              <w:t>Palkkatuki</w:t>
            </w:r>
            <w:r>
              <w:rPr>
                <w:noProof/>
              </w:rPr>
              <w:t>)</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163</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9 000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1 467 000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Allowances for travel and accomodation(</w:t>
            </w:r>
            <w:r>
              <w:rPr>
                <w:bCs/>
                <w:i/>
                <w:noProof/>
                <w:color w:val="000000" w:themeColor="text1"/>
                <w:szCs w:val="24"/>
              </w:rPr>
              <w:t>Liikkuvuusavustus</w:t>
            </w:r>
            <w:r>
              <w:rPr>
                <w:noProof/>
              </w:rPr>
              <w:t>)</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130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150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19 500</w:t>
            </w:r>
          </w:p>
        </w:tc>
      </w:tr>
      <w:tr>
        <w:trPr>
          <w:trHeight w:val="203"/>
        </w:trPr>
        <w:tc>
          <w:tcPr>
            <w:tcW w:w="4644" w:type="dxa"/>
            <w:vMerge w:val="restart"/>
            <w:shd w:val="clear" w:color="auto" w:fill="auto"/>
            <w:vAlign w:val="center"/>
          </w:tcPr>
          <w:p>
            <w:pPr>
              <w:spacing w:before="60" w:after="60"/>
              <w:jc w:val="right"/>
              <w:rPr>
                <w:rFonts w:eastAsia="Times New Roman"/>
                <w:noProof/>
                <w:sz w:val="22"/>
              </w:rPr>
            </w:pPr>
            <w:r>
              <w:rPr>
                <w:rFonts w:eastAsia="Times New Roman"/>
                <w:noProof/>
                <w:sz w:val="22"/>
              </w:rPr>
              <w:t>Sub-total (b):</w:t>
            </w:r>
          </w:p>
          <w:p>
            <w:pPr>
              <w:spacing w:before="60" w:after="60"/>
              <w:jc w:val="right"/>
              <w:rPr>
                <w:rFonts w:eastAsia="Times New Roman"/>
                <w:noProof/>
                <w:sz w:val="22"/>
              </w:rPr>
            </w:pPr>
            <w:r>
              <w:rPr>
                <w:rFonts w:eastAsia="Times New Roman"/>
                <w:noProof/>
                <w:sz w:val="22"/>
              </w:rPr>
              <w:t>Percentage of the package of personalised services:</w:t>
            </w:r>
          </w:p>
        </w:tc>
        <w:tc>
          <w:tcPr>
            <w:tcW w:w="3096" w:type="dxa"/>
            <w:gridSpan w:val="2"/>
            <w:vMerge w:val="restart"/>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1 486 500</w:t>
            </w:r>
          </w:p>
        </w:tc>
      </w:tr>
      <w:tr>
        <w:trPr>
          <w:trHeight w:val="202"/>
        </w:trPr>
        <w:tc>
          <w:tcPr>
            <w:tcW w:w="4644" w:type="dxa"/>
            <w:vMerge/>
            <w:shd w:val="clear" w:color="auto" w:fill="auto"/>
            <w:vAlign w:val="center"/>
          </w:tcPr>
          <w:p>
            <w:pPr>
              <w:spacing w:before="60" w:after="60"/>
              <w:jc w:val="right"/>
              <w:rPr>
                <w:rFonts w:eastAsia="Times New Roman"/>
                <w:noProof/>
                <w:sz w:val="22"/>
              </w:rPr>
            </w:pPr>
          </w:p>
        </w:tc>
        <w:tc>
          <w:tcPr>
            <w:tcW w:w="3096" w:type="dxa"/>
            <w:gridSpan w:val="2"/>
            <w:vMerge/>
            <w:shd w:val="clear" w:color="auto" w:fill="D9D9D9"/>
            <w:vAlign w:val="center"/>
          </w:tcPr>
          <w:p>
            <w:pPr>
              <w:spacing w:before="60" w:after="6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rFonts w:eastAsia="Times New Roman"/>
                <w:noProof/>
                <w:sz w:val="22"/>
              </w:rPr>
              <w:t>(26,74</w:t>
            </w:r>
            <w:r>
              <w:rPr>
                <w:noProof/>
              </w:rPr>
              <w:t> </w:t>
            </w:r>
            <w:r>
              <w:rPr>
                <w:rFonts w:eastAsia="Times New Roman"/>
                <w:noProof/>
                <w:sz w:val="22"/>
              </w:rPr>
              <w:t>%)</w:t>
            </w:r>
          </w:p>
        </w:tc>
      </w:tr>
      <w:tr>
        <w:tc>
          <w:tcPr>
            <w:tcW w:w="9288" w:type="dxa"/>
            <w:gridSpan w:val="4"/>
            <w:shd w:val="clear" w:color="auto" w:fill="auto"/>
            <w:vAlign w:val="center"/>
          </w:tcPr>
          <w:p>
            <w:pPr>
              <w:spacing w:before="60" w:after="60"/>
              <w:jc w:val="left"/>
              <w:rPr>
                <w:rFonts w:eastAsia="Times New Roman"/>
                <w:noProof/>
                <w:sz w:val="22"/>
              </w:rPr>
            </w:pPr>
            <w:r>
              <w:rPr>
                <w:rFonts w:eastAsia="Times New Roman"/>
                <w:noProof/>
                <w:sz w:val="22"/>
              </w:rPr>
              <w:t xml:space="preserve"> Actions under Article 7(4) of the EGF Regulation</w:t>
            </w:r>
          </w:p>
        </w:tc>
      </w:tr>
      <w:tr>
        <w:tc>
          <w:tcPr>
            <w:tcW w:w="4644" w:type="dxa"/>
            <w:shd w:val="clear" w:color="auto" w:fill="auto"/>
          </w:tcPr>
          <w:p>
            <w:pPr>
              <w:spacing w:before="60" w:after="60"/>
              <w:ind w:left="284"/>
              <w:jc w:val="left"/>
              <w:rPr>
                <w:rFonts w:eastAsia="Times New Roman"/>
                <w:noProof/>
                <w:sz w:val="22"/>
              </w:rPr>
            </w:pPr>
            <w:r>
              <w:rPr>
                <w:rFonts w:eastAsia="Times New Roman"/>
                <w:noProof/>
                <w:sz w:val="22"/>
              </w:rPr>
              <w:t>1. Preparatory activities</w:t>
            </w:r>
          </w:p>
        </w:tc>
        <w:tc>
          <w:tcPr>
            <w:tcW w:w="3096"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shd w:val="clear" w:color="auto" w:fill="auto"/>
          </w:tcPr>
          <w:p>
            <w:pPr>
              <w:spacing w:before="60" w:after="60"/>
              <w:jc w:val="center"/>
              <w:rPr>
                <w:rFonts w:eastAsia="Times New Roman"/>
                <w:noProof/>
                <w:sz w:val="22"/>
              </w:rPr>
            </w:pPr>
            <w:r>
              <w:rPr>
                <w:noProof/>
              </w:rPr>
              <w:t>9 000</w:t>
            </w:r>
          </w:p>
        </w:tc>
      </w:tr>
      <w:tr>
        <w:tc>
          <w:tcPr>
            <w:tcW w:w="4644" w:type="dxa"/>
            <w:shd w:val="clear" w:color="auto" w:fill="auto"/>
          </w:tcPr>
          <w:p>
            <w:pPr>
              <w:spacing w:before="60" w:after="60"/>
              <w:ind w:left="284"/>
              <w:jc w:val="left"/>
              <w:rPr>
                <w:rFonts w:eastAsia="Times New Roman"/>
                <w:noProof/>
                <w:sz w:val="22"/>
              </w:rPr>
            </w:pPr>
            <w:r>
              <w:rPr>
                <w:rFonts w:eastAsia="Times New Roman"/>
                <w:noProof/>
                <w:sz w:val="22"/>
              </w:rPr>
              <w:t>2. Management</w:t>
            </w:r>
          </w:p>
        </w:tc>
        <w:tc>
          <w:tcPr>
            <w:tcW w:w="3096"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shd w:val="clear" w:color="auto" w:fill="auto"/>
          </w:tcPr>
          <w:p>
            <w:pPr>
              <w:spacing w:before="60" w:after="60"/>
              <w:jc w:val="center"/>
              <w:rPr>
                <w:noProof/>
              </w:rPr>
            </w:pPr>
            <w:r>
              <w:rPr>
                <w:noProof/>
              </w:rPr>
              <w:t>143 000</w:t>
            </w:r>
          </w:p>
        </w:tc>
      </w:tr>
      <w:tr>
        <w:tc>
          <w:tcPr>
            <w:tcW w:w="4644" w:type="dxa"/>
            <w:shd w:val="clear" w:color="auto" w:fill="auto"/>
          </w:tcPr>
          <w:p>
            <w:pPr>
              <w:spacing w:before="60" w:after="60"/>
              <w:ind w:left="284"/>
              <w:jc w:val="left"/>
              <w:rPr>
                <w:rFonts w:eastAsia="Times New Roman"/>
                <w:noProof/>
                <w:sz w:val="22"/>
              </w:rPr>
            </w:pPr>
            <w:r>
              <w:rPr>
                <w:rFonts w:eastAsia="Times New Roman"/>
                <w:noProof/>
                <w:sz w:val="22"/>
              </w:rPr>
              <w:t>3. Information and publicity</w:t>
            </w:r>
          </w:p>
        </w:tc>
        <w:tc>
          <w:tcPr>
            <w:tcW w:w="3096"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shd w:val="clear" w:color="auto" w:fill="auto"/>
          </w:tcPr>
          <w:p>
            <w:pPr>
              <w:spacing w:before="60" w:after="60"/>
              <w:jc w:val="center"/>
              <w:rPr>
                <w:noProof/>
              </w:rPr>
            </w:pPr>
            <w:r>
              <w:rPr>
                <w:noProof/>
              </w:rPr>
              <w:t>115 500</w:t>
            </w:r>
          </w:p>
        </w:tc>
      </w:tr>
      <w:tr>
        <w:tc>
          <w:tcPr>
            <w:tcW w:w="4644" w:type="dxa"/>
            <w:shd w:val="clear" w:color="auto" w:fill="auto"/>
          </w:tcPr>
          <w:p>
            <w:pPr>
              <w:spacing w:before="60" w:after="60"/>
              <w:ind w:left="284"/>
              <w:jc w:val="left"/>
              <w:rPr>
                <w:rFonts w:eastAsia="Times New Roman"/>
                <w:noProof/>
                <w:sz w:val="22"/>
              </w:rPr>
            </w:pPr>
            <w:r>
              <w:rPr>
                <w:rFonts w:eastAsia="Times New Roman"/>
                <w:noProof/>
                <w:sz w:val="22"/>
              </w:rPr>
              <w:t>4. Control and reporting</w:t>
            </w:r>
          </w:p>
        </w:tc>
        <w:tc>
          <w:tcPr>
            <w:tcW w:w="3096"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tcBorders>
              <w:bottom w:val="single" w:sz="4" w:space="0" w:color="auto"/>
            </w:tcBorders>
            <w:shd w:val="clear" w:color="auto" w:fill="auto"/>
          </w:tcPr>
          <w:p>
            <w:pPr>
              <w:spacing w:before="60" w:after="60"/>
              <w:jc w:val="center"/>
              <w:rPr>
                <w:noProof/>
              </w:rPr>
            </w:pPr>
            <w:r>
              <w:rPr>
                <w:noProof/>
              </w:rPr>
              <w:t> 40 000</w:t>
            </w:r>
          </w:p>
        </w:tc>
      </w:tr>
      <w:tr>
        <w:trPr>
          <w:trHeight w:val="203"/>
        </w:trPr>
        <w:tc>
          <w:tcPr>
            <w:tcW w:w="4644" w:type="dxa"/>
            <w:vMerge w:val="restart"/>
            <w:shd w:val="clear" w:color="auto" w:fill="auto"/>
            <w:vAlign w:val="center"/>
          </w:tcPr>
          <w:p>
            <w:pPr>
              <w:spacing w:before="60" w:after="60"/>
              <w:jc w:val="right"/>
              <w:rPr>
                <w:rFonts w:eastAsia="Times New Roman"/>
                <w:noProof/>
                <w:sz w:val="22"/>
              </w:rPr>
            </w:pPr>
            <w:r>
              <w:rPr>
                <w:rFonts w:eastAsia="Times New Roman"/>
                <w:noProof/>
                <w:sz w:val="22"/>
              </w:rPr>
              <w:t>Sub-total (c):</w:t>
            </w:r>
          </w:p>
          <w:p>
            <w:pPr>
              <w:spacing w:before="60" w:after="60"/>
              <w:jc w:val="right"/>
              <w:rPr>
                <w:rFonts w:eastAsia="Times New Roman"/>
                <w:noProof/>
                <w:sz w:val="22"/>
              </w:rPr>
            </w:pPr>
            <w:r>
              <w:rPr>
                <w:rFonts w:eastAsia="Times New Roman"/>
                <w:noProof/>
                <w:sz w:val="22"/>
              </w:rPr>
              <w:t>Percentage of the total costs :</w:t>
            </w:r>
          </w:p>
        </w:tc>
        <w:tc>
          <w:tcPr>
            <w:tcW w:w="3096" w:type="dxa"/>
            <w:gridSpan w:val="2"/>
            <w:vMerge w:val="restart"/>
            <w:shd w:val="clear" w:color="auto" w:fill="D9D9D9"/>
            <w:vAlign w:val="center"/>
          </w:tcPr>
          <w:p>
            <w:pPr>
              <w:spacing w:before="0" w:after="0"/>
              <w:jc w:val="center"/>
              <w:rPr>
                <w:rFonts w:eastAsia="Times New Roman"/>
                <w:noProof/>
                <w:sz w:val="22"/>
              </w:rPr>
            </w:pPr>
            <w:r>
              <w:rPr>
                <w:rFonts w:eastAsia="Times New Roman"/>
                <w:noProof/>
                <w:sz w:val="22"/>
              </w:rPr>
              <w:t>–</w:t>
            </w:r>
          </w:p>
        </w:tc>
        <w:tc>
          <w:tcPr>
            <w:tcW w:w="1548" w:type="dxa"/>
            <w:tcBorders>
              <w:bottom w:val="nil"/>
            </w:tcBorders>
            <w:shd w:val="clear" w:color="auto" w:fill="auto"/>
            <w:vAlign w:val="center"/>
          </w:tcPr>
          <w:p>
            <w:pPr>
              <w:spacing w:before="60" w:after="60"/>
              <w:jc w:val="center"/>
              <w:rPr>
                <w:noProof/>
              </w:rPr>
            </w:pPr>
            <w:r>
              <w:rPr>
                <w:noProof/>
              </w:rPr>
              <w:t>307 500</w:t>
            </w:r>
          </w:p>
        </w:tc>
      </w:tr>
      <w:tr>
        <w:trPr>
          <w:trHeight w:val="202"/>
        </w:trPr>
        <w:tc>
          <w:tcPr>
            <w:tcW w:w="4644" w:type="dxa"/>
            <w:vMerge/>
            <w:shd w:val="clear" w:color="auto" w:fill="auto"/>
          </w:tcPr>
          <w:p>
            <w:pPr>
              <w:spacing w:before="0" w:after="0"/>
              <w:jc w:val="right"/>
              <w:rPr>
                <w:rFonts w:eastAsia="Times New Roman"/>
                <w:noProof/>
                <w:sz w:val="22"/>
              </w:rPr>
            </w:pPr>
          </w:p>
        </w:tc>
        <w:tc>
          <w:tcPr>
            <w:tcW w:w="3096" w:type="dxa"/>
            <w:gridSpan w:val="2"/>
            <w:vMerge/>
            <w:shd w:val="clear" w:color="auto" w:fill="D9D9D9"/>
            <w:vAlign w:val="center"/>
          </w:tcPr>
          <w:p>
            <w:pPr>
              <w:spacing w:before="0" w:after="0"/>
              <w:jc w:val="center"/>
              <w:rPr>
                <w:rFonts w:eastAsia="Times New Roman"/>
                <w:noProof/>
                <w:sz w:val="22"/>
              </w:rPr>
            </w:pPr>
          </w:p>
        </w:tc>
        <w:tc>
          <w:tcPr>
            <w:tcW w:w="1548" w:type="dxa"/>
            <w:tcBorders>
              <w:top w:val="nil"/>
            </w:tcBorders>
            <w:shd w:val="clear" w:color="auto" w:fill="auto"/>
            <w:vAlign w:val="center"/>
          </w:tcPr>
          <w:p>
            <w:pPr>
              <w:spacing w:before="60" w:after="60"/>
              <w:jc w:val="center"/>
              <w:rPr>
                <w:noProof/>
              </w:rPr>
            </w:pPr>
            <w:r>
              <w:rPr>
                <w:noProof/>
              </w:rPr>
              <w:t>(5,24 %)</w:t>
            </w:r>
          </w:p>
        </w:tc>
      </w:tr>
      <w:tr>
        <w:tc>
          <w:tcPr>
            <w:tcW w:w="4644" w:type="dxa"/>
            <w:shd w:val="clear" w:color="auto" w:fill="auto"/>
          </w:tcPr>
          <w:p>
            <w:pPr>
              <w:spacing w:before="60" w:after="60"/>
              <w:jc w:val="left"/>
              <w:rPr>
                <w:rFonts w:eastAsia="Times New Roman"/>
                <w:noProof/>
                <w:sz w:val="22"/>
              </w:rPr>
            </w:pPr>
            <w:r>
              <w:rPr>
                <w:rFonts w:eastAsia="Times New Roman"/>
                <w:noProof/>
                <w:sz w:val="22"/>
              </w:rPr>
              <w:t>Total costs (a + b + c):</w:t>
            </w:r>
          </w:p>
        </w:tc>
        <w:tc>
          <w:tcPr>
            <w:tcW w:w="3096"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shd w:val="clear" w:color="auto" w:fill="auto"/>
          </w:tcPr>
          <w:p>
            <w:pPr>
              <w:spacing w:before="60" w:after="60"/>
              <w:jc w:val="center"/>
              <w:rPr>
                <w:noProof/>
              </w:rPr>
            </w:pPr>
            <w:r>
              <w:rPr>
                <w:noProof/>
              </w:rPr>
              <w:t>5 866 800</w:t>
            </w:r>
          </w:p>
        </w:tc>
      </w:tr>
      <w:tr>
        <w:tc>
          <w:tcPr>
            <w:tcW w:w="4644" w:type="dxa"/>
            <w:shd w:val="clear" w:color="auto" w:fill="auto"/>
          </w:tcPr>
          <w:p>
            <w:pPr>
              <w:spacing w:before="60" w:after="60"/>
              <w:jc w:val="left"/>
              <w:rPr>
                <w:rFonts w:eastAsia="Times New Roman"/>
                <w:noProof/>
                <w:sz w:val="22"/>
              </w:rPr>
            </w:pPr>
            <w:r>
              <w:rPr>
                <w:rFonts w:eastAsia="Times New Roman"/>
                <w:noProof/>
                <w:sz w:val="22"/>
              </w:rPr>
              <w:t>EGF contribution (60 % of total costs)</w:t>
            </w:r>
          </w:p>
        </w:tc>
        <w:tc>
          <w:tcPr>
            <w:tcW w:w="3096"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shd w:val="clear" w:color="auto" w:fill="auto"/>
          </w:tcPr>
          <w:p>
            <w:pPr>
              <w:spacing w:before="60" w:after="60"/>
              <w:jc w:val="center"/>
              <w:rPr>
                <w:noProof/>
              </w:rPr>
            </w:pPr>
            <w:r>
              <w:rPr>
                <w:noProof/>
              </w:rPr>
              <w:t>3 520 080</w:t>
            </w:r>
          </w:p>
        </w:tc>
      </w:tr>
    </w:tbl>
    <w:p>
      <w:pPr>
        <w:pStyle w:val="Text1"/>
        <w:rPr>
          <w:i/>
          <w:noProof/>
          <w:szCs w:val="24"/>
        </w:rPr>
      </w:pPr>
      <w:r>
        <w:rPr>
          <w:i/>
          <w:noProof/>
          <w:szCs w:val="24"/>
        </w:rPr>
        <w:t>*: % is rounded, other figures not</w:t>
      </w:r>
    </w:p>
    <w:p>
      <w:pPr>
        <w:pStyle w:val="ManualNumPar1"/>
        <w:rPr>
          <w:noProof/>
          <w:szCs w:val="20"/>
        </w:rPr>
      </w:pPr>
      <w:r>
        <w:t>41.</w:t>
      </w:r>
      <w:r>
        <w:tab/>
      </w:r>
      <w:r>
        <w:rPr>
          <w:noProof/>
        </w:rPr>
        <w:t>The costs of the actions identified in the table above as actions under Article 7(1)(b) of the EGF Regulation do not exceed 35 % of the total costs for the coordinated package of personalised services. Finland confirmed that these actions are conditional on the active participation of the targeted beneficiaries in job-search or training activities.</w:t>
      </w:r>
    </w:p>
    <w:p>
      <w:pPr>
        <w:pStyle w:val="ManualNumPar1"/>
        <w:rPr>
          <w:noProof/>
        </w:rPr>
      </w:pPr>
      <w:r>
        <w:t>42.</w:t>
      </w:r>
      <w:r>
        <w:tab/>
      </w:r>
      <w:r>
        <w:rPr>
          <w:noProof/>
        </w:rPr>
        <w:t xml:space="preserve">Finland confirmed that the costs of investments for self-employment, business start-ups and employee take-overs will not exceed EUR 15 000 per beneficiary. </w:t>
      </w:r>
    </w:p>
    <w:p>
      <w:pPr>
        <w:pStyle w:val="ManualHeading3"/>
        <w:rPr>
          <w:noProof/>
        </w:rPr>
      </w:pPr>
      <w:r>
        <w:rPr>
          <w:noProof/>
        </w:rPr>
        <w:t>Period of eligibility of expenditure</w:t>
      </w:r>
    </w:p>
    <w:p>
      <w:pPr>
        <w:pStyle w:val="ManualNumPar1"/>
        <w:rPr>
          <w:noProof/>
        </w:rPr>
      </w:pPr>
      <w:r>
        <w:t>43.</w:t>
      </w:r>
      <w:r>
        <w:tab/>
      </w:r>
      <w:r>
        <w:rPr>
          <w:noProof/>
        </w:rPr>
        <w:t>Finland started providing the personalised services to the targeted beneficiaries on 12 July 2016. The expenditure on the actions will therefore be eligible for a financial contribution from the EGF from 12 July 2016 to 1 February 2019.</w:t>
      </w:r>
    </w:p>
    <w:p>
      <w:pPr>
        <w:pStyle w:val="ManualNumPar1"/>
        <w:rPr>
          <w:noProof/>
        </w:rPr>
      </w:pPr>
      <w:r>
        <w:t>44.</w:t>
      </w:r>
      <w:r>
        <w:tab/>
      </w:r>
      <w:r>
        <w:rPr>
          <w:noProof/>
        </w:rPr>
        <w:t xml:space="preserve">Finland started incurring the administrative expenditure to implement the EGF on 12 July 2016. The expenditure for preparatory, management, information and publicity, control and reporting activities shall therefore be eligible for a financial contribution from the EGF from 12 July 2016 to 1 August 2019. </w:t>
      </w:r>
    </w:p>
    <w:p>
      <w:pPr>
        <w:pStyle w:val="ManualHeading3"/>
        <w:rPr>
          <w:noProof/>
        </w:rPr>
      </w:pPr>
      <w:r>
        <w:rPr>
          <w:noProof/>
        </w:rPr>
        <w:t>Complementarity with actions funded by national or Union funds</w:t>
      </w:r>
    </w:p>
    <w:p>
      <w:pPr>
        <w:pStyle w:val="ManualNumPar1"/>
        <w:rPr>
          <w:noProof/>
        </w:rPr>
      </w:pPr>
      <w:r>
        <w:t>45.</w:t>
      </w:r>
      <w:r>
        <w:tab/>
      </w:r>
      <w:r>
        <w:rPr>
          <w:noProof/>
        </w:rPr>
        <w:t>The sources of national pre-financing or co-funding are the public employment services item in the administrative branch of the Ministry of Economic Affairs and Employment (MEE). Some services will also be funded from the operating expenditure of the Centres for Economic Development (ELY Centres) and the TE Offices.</w:t>
      </w:r>
    </w:p>
    <w:p>
      <w:pPr>
        <w:pStyle w:val="ManualNumPar1"/>
        <w:rPr>
          <w:noProof/>
        </w:rPr>
      </w:pPr>
      <w:r>
        <w:t>46.</w:t>
      </w:r>
      <w:r>
        <w:tab/>
      </w:r>
      <w:r>
        <w:rPr>
          <w:noProof/>
        </w:rPr>
        <w:t>Finland has confirmed that the measures described above receiving a financial contribution from the EGF will not also receive financial contributions from other Union financial instruments.</w:t>
      </w:r>
    </w:p>
    <w:p>
      <w:pPr>
        <w:pStyle w:val="ManualHeading3"/>
        <w:tabs>
          <w:tab w:val="clear" w:pos="850"/>
          <w:tab w:val="left" w:pos="0"/>
        </w:tabs>
        <w:ind w:left="0" w:firstLine="0"/>
        <w:rPr>
          <w:noProof/>
          <w:u w:val="single"/>
        </w:rPr>
      </w:pPr>
      <w:r>
        <w:rPr>
          <w:noProof/>
        </w:rPr>
        <w:t>Procedures for consulting the targeted beneficiaries or their representatives or the social partners as well as local and regional authorities</w:t>
      </w:r>
    </w:p>
    <w:p>
      <w:pPr>
        <w:pStyle w:val="ManualNumPar1"/>
        <w:rPr>
          <w:noProof/>
        </w:rPr>
      </w:pPr>
      <w:r>
        <w:t>47.</w:t>
      </w:r>
      <w:r>
        <w:tab/>
      </w:r>
      <w:r>
        <w:rPr>
          <w:noProof/>
        </w:rPr>
        <w:t xml:space="preserve">Finland has indicated that the co-ordinated package of personalised services has been drawn up in consultation with a working group, which included the representatives of the ELY Centres, the TE offices of the concerned regions, Microsoft, the Technology Industries of Finland, Trade Union Pro, Union of Professional Engineers in Finland and of the Finnish Funding Agency for Innovation. </w:t>
      </w:r>
    </w:p>
    <w:p>
      <w:pPr>
        <w:pStyle w:val="ManualHeading2"/>
        <w:rPr>
          <w:noProof/>
        </w:rPr>
      </w:pPr>
      <w:r>
        <w:rPr>
          <w:noProof/>
        </w:rPr>
        <w:t>Management and control systems</w:t>
      </w:r>
    </w:p>
    <w:p>
      <w:pPr>
        <w:pStyle w:val="ManualNumPar1"/>
        <w:rPr>
          <w:noProof/>
        </w:rPr>
      </w:pPr>
      <w:r>
        <w:t>48.</w:t>
      </w:r>
      <w:r>
        <w:tab/>
      </w:r>
      <w:r>
        <w:rPr>
          <w:noProof/>
        </w:rPr>
        <w:t xml:space="preserve">The application contains a description of the management and control system which specifies the responsibilities of the bodies involved. Finland has notified the Commission that the financial contribution will be managed by MEE, which acts as managing and certifying authority for EGF and as an intermediate body distributing EGF funds. The management functions for EGF have been assigned to the Employment and Entrepreneurship Department. </w:t>
      </w:r>
    </w:p>
    <w:p>
      <w:pPr>
        <w:pStyle w:val="ManualNumPar1"/>
        <w:rPr>
          <w:noProof/>
        </w:rPr>
      </w:pPr>
      <w:r>
        <w:t>49.</w:t>
      </w:r>
      <w:r>
        <w:tab/>
      </w:r>
      <w:r>
        <w:rPr>
          <w:noProof/>
        </w:rPr>
        <w:t xml:space="preserve">The certifying functions are within the Human Resources and Administration Unit. Payments to beneficiaries are executed via the regional ELY Centres and TE Offices. </w:t>
      </w:r>
    </w:p>
    <w:p>
      <w:pPr>
        <w:pStyle w:val="ManualNumPar1"/>
        <w:rPr>
          <w:noProof/>
        </w:rPr>
      </w:pPr>
      <w:r>
        <w:t>50.</w:t>
      </w:r>
      <w:r>
        <w:tab/>
      </w:r>
      <w:r>
        <w:rPr>
          <w:noProof/>
        </w:rPr>
        <w:t>With regard to auditing, the responsible body is the independent Internal Auditing Unit, operating under the Permanent Secretary of the MEE.</w:t>
      </w:r>
    </w:p>
    <w:p>
      <w:pPr>
        <w:pStyle w:val="ManualHeading2"/>
        <w:rPr>
          <w:noProof/>
        </w:rPr>
      </w:pPr>
      <w:r>
        <w:rPr>
          <w:noProof/>
        </w:rPr>
        <w:t>Commitments provided by the Member State concerned</w:t>
      </w:r>
    </w:p>
    <w:p>
      <w:pPr>
        <w:pStyle w:val="ManualNumPar1"/>
        <w:rPr>
          <w:noProof/>
        </w:rPr>
      </w:pPr>
      <w:r>
        <w:t>51.</w:t>
      </w:r>
      <w:r>
        <w:tab/>
      </w:r>
      <w:r>
        <w:rPr>
          <w:noProof/>
        </w:rPr>
        <w:t xml:space="preserve">Finland has provided all necessary assurances regarding the following: </w:t>
      </w:r>
    </w:p>
    <w:p>
      <w:pPr>
        <w:pStyle w:val="Tiret1"/>
        <w:numPr>
          <w:ilvl w:val="0"/>
          <w:numId w:val="12"/>
        </w:numPr>
        <w:rPr>
          <w:noProof/>
        </w:rPr>
      </w:pPr>
      <w:r>
        <w:rPr>
          <w:noProof/>
        </w:rPr>
        <w:t>the principles of equality of treatment and non-discrimination will be respected in the access to the proposed actions and their implementation,</w:t>
      </w:r>
    </w:p>
    <w:p>
      <w:pPr>
        <w:pStyle w:val="Tiret1"/>
        <w:numPr>
          <w:ilvl w:val="0"/>
          <w:numId w:val="12"/>
        </w:numPr>
        <w:rPr>
          <w:noProof/>
        </w:rPr>
      </w:pPr>
      <w:r>
        <w:rPr>
          <w:noProof/>
        </w:rPr>
        <w:t>the requirements laid down in national and EU legislation concerning collective redundancies have been complied with,</w:t>
      </w:r>
    </w:p>
    <w:p>
      <w:pPr>
        <w:pStyle w:val="Tiret1"/>
        <w:numPr>
          <w:ilvl w:val="0"/>
          <w:numId w:val="12"/>
        </w:numPr>
        <w:rPr>
          <w:noProof/>
        </w:rPr>
      </w:pPr>
      <w:r>
        <w:rPr>
          <w:noProof/>
          <w:color w:val="000000" w:themeColor="text1"/>
        </w:rPr>
        <w:t>t</w:t>
      </w:r>
      <w:r>
        <w:rPr>
          <w:noProof/>
        </w:rPr>
        <w:t>he dismissing enterprises, which have continued their activities after the lay-offs, have complied with their legal obligations governing the redundancies and provided for their workers accordingly,</w:t>
      </w:r>
    </w:p>
    <w:p>
      <w:pPr>
        <w:pStyle w:val="Tiret1"/>
        <w:numPr>
          <w:ilvl w:val="0"/>
          <w:numId w:val="12"/>
        </w:numPr>
        <w:rPr>
          <w:noProof/>
        </w:rPr>
      </w:pPr>
      <w:r>
        <w:rPr>
          <w:noProof/>
        </w:rPr>
        <w:t>the proposed actions will not receive financial support from other Union funds or financial instruments and any double financing will be prevented,</w:t>
      </w:r>
    </w:p>
    <w:p>
      <w:pPr>
        <w:pStyle w:val="Tiret1"/>
        <w:numPr>
          <w:ilvl w:val="0"/>
          <w:numId w:val="12"/>
        </w:numPr>
        <w:rPr>
          <w:noProof/>
        </w:rPr>
      </w:pPr>
      <w:r>
        <w:rPr>
          <w:noProof/>
        </w:rPr>
        <w:t>the proposed actions will be complementary with actions funded by the Structural Funds,</w:t>
      </w:r>
    </w:p>
    <w:p>
      <w:pPr>
        <w:pStyle w:val="Tiret1"/>
        <w:numPr>
          <w:ilvl w:val="0"/>
          <w:numId w:val="12"/>
        </w:numPr>
        <w:rPr>
          <w:noProof/>
        </w:rPr>
      </w:pPr>
      <w:r>
        <w:rPr>
          <w:noProof/>
        </w:rPr>
        <w:t>the financial contribution from the EGF will comply with the procedural and material Union rules on State aid.</w:t>
      </w:r>
    </w:p>
    <w:p>
      <w:pPr>
        <w:pStyle w:val="ManualHeading1"/>
        <w:rPr>
          <w:noProof/>
        </w:rPr>
      </w:pPr>
      <w:r>
        <w:rPr>
          <w:noProof/>
        </w:rPr>
        <w:t>BUDGETARY IMPLICATION</w:t>
      </w:r>
    </w:p>
    <w:p>
      <w:pPr>
        <w:pStyle w:val="ManualHeading2"/>
        <w:rPr>
          <w:noProof/>
        </w:rPr>
      </w:pPr>
      <w:r>
        <w:rPr>
          <w:noProof/>
        </w:rPr>
        <w:t>Budgetary proposal</w:t>
      </w:r>
    </w:p>
    <w:p>
      <w:pPr>
        <w:pStyle w:val="ManualNumPar1"/>
        <w:rPr>
          <w:noProof/>
        </w:rPr>
      </w:pPr>
      <w:r>
        <w:t>52.</w:t>
      </w:r>
      <w:r>
        <w:tab/>
      </w:r>
      <w:r>
        <w:rPr>
          <w:noProof/>
        </w:rPr>
        <w:t>The EGF shall not exceed a maximum annual amount of EUR 150 million (2011 prices), as laid down in Article 12 of Council Regulation (EU, Euratom) No 1311/2013 of 2 December 2013 laying down the multiannual financial framework for the years 2014-2020</w:t>
      </w:r>
      <w:r>
        <w:rPr>
          <w:rStyle w:val="FootnoteReference"/>
          <w:noProof/>
        </w:rPr>
        <w:footnoteReference w:id="16"/>
      </w:r>
      <w:r>
        <w:rPr>
          <w:noProof/>
        </w:rPr>
        <w:t>.</w:t>
      </w:r>
    </w:p>
    <w:p>
      <w:pPr>
        <w:pStyle w:val="ManualNumPar1"/>
        <w:rPr>
          <w:rFonts w:eastAsia="Calibri"/>
          <w:noProof/>
        </w:rPr>
      </w:pPr>
      <w:r>
        <w:t>53.</w:t>
      </w:r>
      <w:r>
        <w:tab/>
      </w:r>
      <w:r>
        <w:rPr>
          <w:noProof/>
        </w:rPr>
        <w:t>Having examined the application in respect of the conditions set out in Article 13(1) of the EGF Regulation, and having taken into account the number of targeted beneficiaries, the proposed actions and the estimated costs, the Commission proposes to mobilise the EGF for the amount of EUR 3 520 080</w:t>
      </w:r>
      <w:r>
        <w:rPr>
          <w:rFonts w:eastAsia="Calibri"/>
          <w:noProof/>
        </w:rPr>
        <w:t>, representing 60 % of the total costs of the proposed actions,</w:t>
      </w:r>
      <w:r>
        <w:rPr>
          <w:noProof/>
        </w:rPr>
        <w:t xml:space="preserve"> </w:t>
      </w:r>
      <w:r>
        <w:rPr>
          <w:rFonts w:eastAsia="Calibri"/>
          <w:noProof/>
        </w:rPr>
        <w:t>in order to provide a financial contribution for the application.</w:t>
      </w:r>
    </w:p>
    <w:p>
      <w:pPr>
        <w:pStyle w:val="ManualNumPar1"/>
        <w:rPr>
          <w:rFonts w:eastAsia="Times New Roman"/>
          <w:noProof/>
        </w:rPr>
      </w:pPr>
      <w:r>
        <w:t>54.</w:t>
      </w:r>
      <w:r>
        <w:tab/>
      </w:r>
      <w:r>
        <w:rPr>
          <w:noProof/>
        </w:rPr>
        <w:t>The proposed decision to mobilise the EGF will be taken jointly by the European Parliament and the Council, as laid down in point 13 of 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17"/>
      </w:r>
      <w:r>
        <w:rPr>
          <w:noProof/>
        </w:rPr>
        <w:t>.</w:t>
      </w:r>
    </w:p>
    <w:p>
      <w:pPr>
        <w:pStyle w:val="ManualHeading2"/>
        <w:rPr>
          <w:noProof/>
        </w:rPr>
      </w:pPr>
      <w:r>
        <w:rPr>
          <w:noProof/>
        </w:rPr>
        <w:t>Related acts</w:t>
      </w:r>
    </w:p>
    <w:p>
      <w:pPr>
        <w:pStyle w:val="ManualNumPar1"/>
        <w:rPr>
          <w:noProof/>
        </w:rPr>
      </w:pPr>
      <w:r>
        <w:t>55.</w:t>
      </w:r>
      <w:r>
        <w:tab/>
      </w:r>
      <w:r>
        <w:rPr>
          <w:noProof/>
        </w:rPr>
        <w:t>At the same time as it presents this proposal for a decision to mobilise the EGF, the Commission will present to the European Parliament and to the Council a proposal for a transfer to the relevant budgetary line for the amount of EUR 3 520 080.</w:t>
      </w:r>
    </w:p>
    <w:p>
      <w:pPr>
        <w:pStyle w:val="ManualNumPar1"/>
        <w:rPr>
          <w:noProof/>
        </w:rPr>
      </w:pPr>
      <w:r>
        <w:t>56.</w:t>
      </w:r>
      <w:r>
        <w:tab/>
      </w:r>
      <w:r>
        <w:rPr>
          <w:noProof/>
        </w:rPr>
        <w:t>At the same time as it adopts this proposal for a decision to mobilise the EGF, the Commission will adopt a decision on a financial contribution, by means of an implementing act, which will enter into force on the date at which the European Parliament and the Council adopt the proposed decision to mobilise the EGF.</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Statut"/>
        <w:rPr>
          <w:noProof/>
        </w:rPr>
      </w:pPr>
      <w:r>
        <w:rPr>
          <w:noProof/>
        </w:rPr>
        <w:t>Proposal for a</w:t>
      </w:r>
    </w:p>
    <w:p>
      <w:pPr>
        <w:pStyle w:val="Typedudocument"/>
        <w:rPr>
          <w:noProof/>
        </w:rPr>
      </w:pPr>
      <w:r>
        <w:rPr>
          <w:noProof/>
        </w:rPr>
        <w:t>DECISION OF THE EUROPEAN PARLIAMENT AND OF THE COUNCIL</w:t>
      </w:r>
    </w:p>
    <w:p>
      <w:pPr>
        <w:pStyle w:val="Titreobjet"/>
        <w:rPr>
          <w:noProof/>
        </w:rPr>
      </w:pPr>
      <w:r>
        <w:rPr>
          <w:noProof/>
        </w:rPr>
        <w:t>on the mobilisation of the European Globalisation Adjustment Fund following an</w:t>
      </w:r>
      <w:r>
        <w:rPr>
          <w:noProof/>
        </w:rPr>
        <w:br/>
        <w:t>application from Finland – EGF/2017/002 FI/Microsoft 2</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w:t>
      </w:r>
    </w:p>
    <w:p>
      <w:pPr>
        <w:rPr>
          <w:noProof/>
        </w:rPr>
      </w:pPr>
      <w:r>
        <w:rPr>
          <w:noProof/>
        </w:rPr>
        <w:t>Having regard to Regulation (EU) No 1309/2013 of the European Parliament and of the Council of 17 December 2013 on the European Globalisation Adjustment Fund (2014-2020) and repealing Regulation (EC) No 1927/2006</w:t>
      </w:r>
      <w:r>
        <w:rPr>
          <w:rStyle w:val="FootnoteReference"/>
          <w:noProof/>
        </w:rPr>
        <w:footnoteReference w:id="18"/>
      </w:r>
      <w:r>
        <w:rPr>
          <w:noProof/>
        </w:rPr>
        <w:t>, and in particular Article 15(4) thereof,</w:t>
      </w:r>
    </w:p>
    <w:p>
      <w:pPr>
        <w:rPr>
          <w:noProof/>
        </w:rPr>
      </w:pPr>
      <w:r>
        <w:rPr>
          <w:noProof/>
        </w:rPr>
        <w:t>Having regard to 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19"/>
      </w:r>
      <w:r>
        <w:rPr>
          <w:noProof/>
        </w:rPr>
        <w:t>, and in particular point 13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European Globalisation Adjustment Fund (EGF) aims to provide support for workers made redundant and self-employed persons whose activity has ceased as a result of major structural changes in world trade patterns due to globalisation, as a result of a continuation of the global financial and economic crisis, or as a result of a new global financial and economic crisis, and to assist them with their reintegration into the labour market.</w:t>
      </w:r>
    </w:p>
    <w:p>
      <w:pPr>
        <w:pStyle w:val="ManualConsidrant"/>
        <w:rPr>
          <w:noProof/>
        </w:rPr>
      </w:pPr>
      <w:r>
        <w:t>(2)</w:t>
      </w:r>
      <w:r>
        <w:tab/>
      </w:r>
      <w:r>
        <w:rPr>
          <w:noProof/>
        </w:rPr>
        <w:t>The EGF is not to exceed a maximum annual amount of EUR 150 million (2011 prices), as laid down in Article 12 of Council Regulation (EU, Euratom) No 1311/2013</w:t>
      </w:r>
      <w:r>
        <w:rPr>
          <w:rStyle w:val="FootnoteReference"/>
          <w:noProof/>
        </w:rPr>
        <w:footnoteReference w:id="20"/>
      </w:r>
      <w:r>
        <w:rPr>
          <w:noProof/>
        </w:rPr>
        <w:t>.</w:t>
      </w:r>
    </w:p>
    <w:p>
      <w:pPr>
        <w:pStyle w:val="ManualConsidrant"/>
        <w:rPr>
          <w:noProof/>
        </w:rPr>
      </w:pPr>
      <w:r>
        <w:t>(3)</w:t>
      </w:r>
      <w:r>
        <w:tab/>
      </w:r>
      <w:r>
        <w:rPr>
          <w:noProof/>
        </w:rPr>
        <w:t>On 1 February 2017, Finland submitted an application to mobilise the EGF, in respect of redundancies in Microsoft Oy (Microsoft Mobile Oy) and 11 suppliers and downstream producers and cessations of activities.. It was supplemented by additional information provided in accordance with Article 8(3) of Regulation (EU) No 1309/2013. That application complies with the requirements for determining a financial contribution from the EGF as laid down in Article 13 of Regulation (EU) No 1309/2013.</w:t>
      </w:r>
    </w:p>
    <w:p>
      <w:pPr>
        <w:pStyle w:val="ManualConsidrant"/>
        <w:rPr>
          <w:noProof/>
        </w:rPr>
      </w:pPr>
      <w:r>
        <w:t>(4)</w:t>
      </w:r>
      <w:r>
        <w:tab/>
      </w:r>
      <w:r>
        <w:rPr>
          <w:noProof/>
        </w:rPr>
        <w:t>The EGF should, therefore, be mobilised in order to provide a financial contribution of EUR 3 520 080 in respect of the application submitted by Finland.</w:t>
      </w:r>
    </w:p>
    <w:p>
      <w:pPr>
        <w:pStyle w:val="ManualConsidrant"/>
        <w:rPr>
          <w:noProof/>
        </w:rPr>
      </w:pPr>
      <w:r>
        <w:t>(5)</w:t>
      </w:r>
      <w:r>
        <w:tab/>
      </w:r>
      <w:r>
        <w:rPr>
          <w:noProof/>
        </w:rPr>
        <w:t>In order to minimise the time taken to mobilise the EGF, this decision should apply from the date of its adoption,</w:t>
      </w:r>
    </w:p>
    <w:p>
      <w:pPr>
        <w:pStyle w:val="Formuledadoption"/>
        <w:rPr>
          <w:noProof/>
        </w:rPr>
      </w:pPr>
      <w:r>
        <w:rPr>
          <w:noProof/>
        </w:rPr>
        <w:t xml:space="preserve">HAVE ADOPTED THIS DECISION: </w:t>
      </w:r>
    </w:p>
    <w:p>
      <w:pPr>
        <w:pStyle w:val="Titrearticle"/>
        <w:rPr>
          <w:noProof/>
        </w:rPr>
      </w:pPr>
      <w:r>
        <w:rPr>
          <w:noProof/>
        </w:rPr>
        <w:t>Article 1</w:t>
      </w:r>
    </w:p>
    <w:p>
      <w:pPr>
        <w:rPr>
          <w:noProof/>
        </w:rPr>
      </w:pPr>
      <w:r>
        <w:rPr>
          <w:noProof/>
        </w:rPr>
        <w:t>For the general budget of the Union for the financial year 2017, the European Globalisation Adjustment Fund shall be mobilised to provide the amount of EUR 3 520 080 in commitment and payment appropriations.</w:t>
      </w:r>
    </w:p>
    <w:p>
      <w:pPr>
        <w:pStyle w:val="Titrearticle"/>
        <w:rPr>
          <w:noProof/>
        </w:rPr>
      </w:pPr>
      <w:r>
        <w:rPr>
          <w:noProof/>
        </w:rPr>
        <w:t>Article 2</w:t>
      </w:r>
    </w:p>
    <w:p>
      <w:pPr>
        <w:keepNext/>
        <w:keepLines/>
        <w:rPr>
          <w:noProof/>
        </w:rPr>
      </w:pPr>
      <w:r>
        <w:rPr>
          <w:noProof/>
        </w:rPr>
        <w:t xml:space="preserve">This Decision shall enter into force on the day of its publication in the Official Journal of the European Union. It shall apply from </w:t>
      </w:r>
      <w:r>
        <w:rPr>
          <w:noProof/>
          <w:color w:val="FF0000"/>
        </w:rPr>
        <w:t>[</w:t>
      </w:r>
      <w:r>
        <w:rPr>
          <w:i/>
          <w:noProof/>
          <w:color w:val="FF0000"/>
        </w:rPr>
        <w:t>the date of its adoption</w:t>
      </w:r>
      <w:r>
        <w:rPr>
          <w:noProof/>
          <w:color w:val="FF0000"/>
        </w:rPr>
        <w:t>]</w:t>
      </w:r>
      <w:r>
        <w:rPr>
          <w:rStyle w:val="FootnoteReference"/>
        </w:rPr>
        <w:footnoteReference w:customMarkFollows="1" w:id="21"/>
        <w:sym w:font="Symbol" w:char="F02A"/>
      </w:r>
      <w:r>
        <w:rPr>
          <w:noProof/>
        </w:rPr>
        <w:t>.</w:t>
      </w:r>
    </w:p>
    <w:p>
      <w:pPr>
        <w:pStyle w:val="Fait"/>
        <w:rPr>
          <w:noProof/>
        </w:rPr>
      </w:pPr>
      <w:r>
        <w:rPr>
          <w:noProof/>
        </w:rP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347, 20.12.2013, p. 855.</w:t>
      </w:r>
    </w:p>
  </w:footnote>
  <w:footnote w:id="2">
    <w:p>
      <w:pPr>
        <w:pStyle w:val="FootnoteText"/>
      </w:pPr>
      <w:r>
        <w:rPr>
          <w:rStyle w:val="FootnoteReference"/>
        </w:rPr>
        <w:footnoteRef/>
      </w:r>
      <w:r>
        <w:tab/>
        <w:t>Within the meaning of Article 3 of the EGF Regulation.</w:t>
      </w:r>
    </w:p>
  </w:footnote>
  <w:footnote w:id="3">
    <w:p>
      <w:pPr>
        <w:pStyle w:val="FootnoteText"/>
      </w:pPr>
      <w:r>
        <w:rPr>
          <w:rStyle w:val="FootnoteReference"/>
        </w:rPr>
        <w:footnoteRef/>
      </w:r>
      <w:r>
        <w:tab/>
        <w:t>Commission Regulation (EU) No 1046/2012 of 8 November 2012 implementing Regulation (EC) No 1059/2003 of the European Parliament and of the Council on the establishment of a common classification of territorial units for statistics (NUTS) as regards the transmission of the time series for the new regional breakdown (OJ L 310, 9.11.2012, p. 34).</w:t>
      </w:r>
    </w:p>
  </w:footnote>
  <w:footnote w:id="4">
    <w:p>
      <w:pPr>
        <w:pStyle w:val="FootnoteText"/>
      </w:pPr>
      <w:r>
        <w:rPr>
          <w:rStyle w:val="FootnoteReference"/>
        </w:rPr>
        <w:footnoteRef/>
      </w:r>
      <w:r>
        <w:tab/>
        <w:t>OJ L 393, 30.12.2006, p. 1.</w:t>
      </w:r>
    </w:p>
  </w:footnote>
  <w:footnote w:id="5">
    <w:p>
      <w:pPr>
        <w:pStyle w:val="FootnoteText"/>
        <w:rPr>
          <w:lang w:val="en-US"/>
        </w:rPr>
      </w:pPr>
      <w:r>
        <w:rPr>
          <w:rStyle w:val="FootnoteReference"/>
        </w:rPr>
        <w:footnoteRef/>
      </w:r>
      <w:r>
        <w:tab/>
        <w:t>In accordance with the fourth paragraph of Article 7 of Regulation (EU) No 1309/2013.</w:t>
      </w:r>
    </w:p>
  </w:footnote>
  <w:footnote w:id="6">
    <w:p>
      <w:pPr>
        <w:pStyle w:val="FootnoteText"/>
      </w:pPr>
      <w:r>
        <w:rPr>
          <w:rStyle w:val="FootnoteReference"/>
        </w:rPr>
        <w:footnoteRef/>
      </w:r>
      <w:r>
        <w:tab/>
      </w:r>
      <w:hyperlink r:id="rId1" w:history="1">
        <w:r>
          <w:t>www.statista.com/chart/4112/smartphone-market-share</w:t>
        </w:r>
      </w:hyperlink>
    </w:p>
  </w:footnote>
  <w:footnote w:id="7">
    <w:p>
      <w:pPr>
        <w:pStyle w:val="FootnoteText"/>
      </w:pPr>
      <w:r>
        <w:rPr>
          <w:rStyle w:val="FootnoteReference"/>
        </w:rPr>
        <w:footnoteRef/>
      </w:r>
      <w:r>
        <w:tab/>
      </w:r>
      <w:hyperlink r:id="rId2" w:anchor=".WTosOjclGUl" w:history="1">
        <w:r>
          <w:rPr>
            <w:rStyle w:val="Hyperlink"/>
          </w:rPr>
          <w:t>https://www.strategyanalytics.com/strategy-analytics/news/strategy-analytics-press-releases/strategy-analytics-press-release/2016/11/02/strategy-analytics-android-captures-record-88-percent-share-of-global-smartphone-shipments-in-q3-2016#.WTosOjclGUl</w:t>
        </w:r>
      </w:hyperlink>
    </w:p>
  </w:footnote>
  <w:footnote w:id="8">
    <w:p>
      <w:pPr>
        <w:pStyle w:val="FootnoteText"/>
      </w:pPr>
      <w:r>
        <w:rPr>
          <w:rStyle w:val="FootnoteReference"/>
        </w:rPr>
        <w:footnoteRef/>
      </w:r>
      <w:r>
        <w:tab/>
      </w:r>
      <w:hyperlink r:id="rId3" w:history="1">
        <w:r>
          <w:t>www.statista.com/chart/4112/smartphone-market-share</w:t>
        </w:r>
      </w:hyperlink>
    </w:p>
  </w:footnote>
  <w:footnote w:id="9">
    <w:p>
      <w:pPr>
        <w:pStyle w:val="FootnoteText"/>
      </w:pPr>
      <w:r>
        <w:rPr>
          <w:rStyle w:val="FootnoteReference"/>
        </w:rPr>
        <w:footnoteRef/>
      </w:r>
      <w:r>
        <w:tab/>
      </w:r>
      <w:hyperlink r:id="rId4" w:history="1">
        <w:r>
          <w:t>http://www.businessinsider.com/samsung-factory-working-conditions-2012-11?r=US&amp;IR=T&amp;IR=T</w:t>
        </w:r>
      </w:hyperlink>
    </w:p>
  </w:footnote>
  <w:footnote w:id="10">
    <w:p>
      <w:pPr>
        <w:pStyle w:val="FootnoteText"/>
      </w:pPr>
      <w:r>
        <w:rPr>
          <w:rStyle w:val="FootnoteReference"/>
        </w:rPr>
        <w:footnoteRef/>
      </w:r>
      <w:r>
        <w:tab/>
      </w:r>
      <w:hyperlink r:id="rId5" w:history="1">
        <w:r>
          <w:t>http://comptryx.com/product/global_salary_survey</w:t>
        </w:r>
      </w:hyperlink>
    </w:p>
  </w:footnote>
  <w:footnote w:id="11">
    <w:p>
      <w:pPr>
        <w:pStyle w:val="FootnoteText"/>
      </w:pPr>
      <w:r>
        <w:rPr>
          <w:rStyle w:val="FootnoteReference"/>
        </w:rPr>
        <w:footnoteRef/>
      </w:r>
      <w:r>
        <w:tab/>
      </w:r>
      <w:hyperlink r:id="rId6" w:history="1">
        <w:r>
          <w:t>https://www.kantarworldpanel.com/global/News/Android-Share-Tops-75-in-Europes-Largest-Markets</w:t>
        </w:r>
      </w:hyperlink>
    </w:p>
  </w:footnote>
  <w:footnote w:id="12">
    <w:p>
      <w:pPr>
        <w:pStyle w:val="FootnoteText"/>
      </w:pPr>
      <w:r>
        <w:rPr>
          <w:rStyle w:val="FootnoteReference"/>
        </w:rPr>
        <w:footnoteRef/>
      </w:r>
      <w:r>
        <w:tab/>
      </w:r>
      <w:hyperlink w:history="1"/>
      <w:hyperlink r:id="rId7" w:history="1">
        <w:r>
          <w:t>http://www.thanhniennews.com/business/samsung-shifts-plants-from-china-to-vietnam-to-protect-margins-392.html</w:t>
        </w:r>
      </w:hyperlink>
    </w:p>
  </w:footnote>
  <w:footnote w:id="13">
    <w:p>
      <w:pPr>
        <w:pStyle w:val="FootnoteText"/>
      </w:pPr>
      <w:r>
        <w:rPr>
          <w:rStyle w:val="FootnoteReference"/>
        </w:rPr>
        <w:footnoteRef/>
      </w:r>
      <w:r>
        <w:tab/>
      </w:r>
      <w:hyperlink r:id="rId8" w:history="1">
        <w:r>
          <w:t>http://julkaisut.valtioneuvosto.fi/bitstream/handle/10024/78927/TKAT_Oct_2016_en.pdf?sequence=1</w:t>
        </w:r>
      </w:hyperlink>
    </w:p>
  </w:footnote>
  <w:footnote w:id="14">
    <w:p>
      <w:pPr>
        <w:pStyle w:val="FootnoteText"/>
        <w:rPr>
          <w:rStyle w:val="FootnoteReference"/>
        </w:rPr>
      </w:pPr>
      <w:r>
        <w:rPr>
          <w:rStyle w:val="FootnoteReference"/>
        </w:rPr>
        <w:footnoteRef/>
      </w:r>
      <w:r>
        <w:tab/>
      </w:r>
      <w:hyperlink r:id="rId9" w:history="1">
        <w:r>
          <w:t>http://julkaisut.valtioneuvosto.fi/bitstream/handle/10024/78927/TKAT_Oct_2016_en.pdf?sequence=1</w:t>
        </w:r>
      </w:hyperlink>
    </w:p>
  </w:footnote>
  <w:footnote w:id="15">
    <w:p>
      <w:pPr>
        <w:pStyle w:val="FootnoteText"/>
      </w:pPr>
      <w:r>
        <w:rPr>
          <w:rStyle w:val="FootnoteReference"/>
        </w:rPr>
        <w:footnoteRef/>
      </w:r>
      <w:r>
        <w:tab/>
      </w:r>
      <w:hyperlink r:id="rId10" w:history="1">
        <w:r>
          <w:t>http://www.itproportal.com/2015/07/20/nokias-woes-pushing-finnish-town-salo-further- into-recession/</w:t>
        </w:r>
      </w:hyperlink>
    </w:p>
  </w:footnote>
  <w:footnote w:id="16">
    <w:p>
      <w:pPr>
        <w:pStyle w:val="FootnoteText"/>
        <w:rPr>
          <w:lang w:val="pl-PL"/>
        </w:rPr>
      </w:pPr>
      <w:r>
        <w:rPr>
          <w:rStyle w:val="FootnoteReference"/>
        </w:rPr>
        <w:footnoteRef/>
      </w:r>
      <w:r>
        <w:rPr>
          <w:lang w:val="pl-PL"/>
        </w:rPr>
        <w:tab/>
        <w:t>OJ L 347, 20.12.2013, p. 884.</w:t>
      </w:r>
    </w:p>
  </w:footnote>
  <w:footnote w:id="17">
    <w:p>
      <w:pPr>
        <w:pStyle w:val="FootnoteText"/>
        <w:rPr>
          <w:lang w:val="pl-PL"/>
        </w:rPr>
      </w:pPr>
      <w:r>
        <w:rPr>
          <w:rStyle w:val="FootnoteReference"/>
        </w:rPr>
        <w:footnoteRef/>
      </w:r>
      <w:r>
        <w:rPr>
          <w:lang w:val="pl-PL"/>
        </w:rPr>
        <w:tab/>
        <w:t>OJ C 373, 20.12.2013, p. 1.</w:t>
      </w:r>
    </w:p>
  </w:footnote>
  <w:footnote w:id="18">
    <w:p>
      <w:pPr>
        <w:pStyle w:val="FootnoteText"/>
        <w:rPr>
          <w:lang w:val="pl-PL"/>
        </w:rPr>
      </w:pPr>
      <w:r>
        <w:rPr>
          <w:rStyle w:val="FootnoteReference"/>
        </w:rPr>
        <w:footnoteRef/>
      </w:r>
      <w:r>
        <w:rPr>
          <w:lang w:val="pl-PL"/>
        </w:rPr>
        <w:tab/>
        <w:t>OJ L 347, 20.12.2013, p. 855.</w:t>
      </w:r>
    </w:p>
  </w:footnote>
  <w:footnote w:id="19">
    <w:p>
      <w:pPr>
        <w:pStyle w:val="FootnoteText"/>
      </w:pPr>
      <w:r>
        <w:rPr>
          <w:rStyle w:val="FootnoteReference"/>
        </w:rPr>
        <w:footnoteRef/>
      </w:r>
      <w:r>
        <w:tab/>
        <w:t>OJ C 373, 20.12.2013, p. 1.</w:t>
      </w:r>
    </w:p>
  </w:footnote>
  <w:footnote w:id="20">
    <w:p>
      <w:pPr>
        <w:pStyle w:val="FootnoteText"/>
      </w:pPr>
      <w:r>
        <w:rPr>
          <w:rStyle w:val="FootnoteReference"/>
        </w:rPr>
        <w:footnoteRef/>
      </w:r>
      <w:r>
        <w:tab/>
      </w:r>
      <w:r>
        <w:rPr>
          <w:noProof/>
        </w:rPr>
        <w:t>Council Regulation (EU, Euratom) No 1311/2013 of 2 December 2013 laying down the multiannual financial framework for the years 2014-2020 (</w:t>
      </w:r>
      <w:r>
        <w:t>OJ L 347, 20.12.2013, p. 884).</w:t>
      </w:r>
    </w:p>
  </w:footnote>
  <w:footnote w:id="21">
    <w:p>
      <w:pPr>
        <w:pStyle w:val="FootnoteText"/>
        <w:rPr>
          <w:color w:val="FF0000"/>
        </w:rPr>
      </w:pPr>
      <w:r>
        <w:rPr>
          <w:rStyle w:val="FootnoteReference"/>
        </w:rPr>
        <w:sym w:font="Symbol" w:char="F02A"/>
      </w:r>
      <w:r>
        <w:rPr>
          <w:color w:val="FF0000"/>
        </w:rPr>
        <w:t xml:space="preserve"> </w:t>
      </w:r>
      <w:r>
        <w:rPr>
          <w:color w:val="FF0000"/>
        </w:rPr>
        <w:tab/>
        <w:t>Date to be inserted by the Parliament before the publication in OJ.</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B686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E463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0CFF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98EC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2C75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9047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28232A"/>
    <w:lvl w:ilvl="0">
      <w:start w:val="1"/>
      <w:numFmt w:val="decimal"/>
      <w:pStyle w:val="ListNumber"/>
      <w:lvlText w:val="%1."/>
      <w:lvlJc w:val="left"/>
      <w:pPr>
        <w:tabs>
          <w:tab w:val="num" w:pos="360"/>
        </w:tabs>
        <w:ind w:left="360" w:hanging="360"/>
      </w:pPr>
    </w:lvl>
  </w:abstractNum>
  <w:abstractNum w:abstractNumId="7">
    <w:nsid w:val="FFFFFF89"/>
    <w:multiLevelType w:val="singleLevel"/>
    <w:tmpl w:val="45869B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2"/>
    <w:lvlOverride w:ilvl="0">
      <w:startOverride w:val="1"/>
    </w:lvlOverride>
  </w:num>
  <w:num w:numId="2">
    <w:abstractNumId w:val="9"/>
  </w:num>
  <w:num w:numId="3">
    <w:abstractNumId w:val="7"/>
  </w:num>
  <w:num w:numId="4">
    <w:abstractNumId w:val="5"/>
  </w:num>
  <w:num w:numId="5">
    <w:abstractNumId w:val="4"/>
  </w:num>
  <w:num w:numId="6">
    <w:abstractNumId w:val="3"/>
  </w:num>
  <w:num w:numId="7">
    <w:abstractNumId w:val="21"/>
    <w:lvlOverride w:ilvl="0">
      <w:startOverride w:val="1"/>
    </w:lvlOverride>
  </w:num>
  <w:num w:numId="8">
    <w:abstractNumId w:val="6"/>
  </w:num>
  <w:num w:numId="9">
    <w:abstractNumId w:val="2"/>
  </w:num>
  <w:num w:numId="10">
    <w:abstractNumId w:val="1"/>
  </w:num>
  <w:num w:numId="11">
    <w:abstractNumId w:val="0"/>
  </w:num>
  <w:num w:numId="12">
    <w:abstractNumId w:val="1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9"/>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oNotDisplayPageBoundaries/>
  <w:displayBackgroundShape/>
  <w:hideSpellingErrors/>
  <w:hideGrammaticalErrors/>
  <w:attachedTemplate r:id="rId1"/>
  <w:revisionView w:markup="0"/>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19 09:44:15"/>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CB28E3BA1C674402AAAD6507F08B931F"/>
    <w:docVar w:name="LW_CROSSREFERENCE" w:val="&lt;UNUSED&gt;"/>
    <w:docVar w:name="LW_DocType" w:val="COM"/>
    <w:docVar w:name="LW_EMISSION" w:val="21.6.2017"/>
    <w:docVar w:name="LW_EMISSION_ISODATE" w:val="2017-06-21"/>
    <w:docVar w:name="LW_EMISSION_LOCATION" w:val="BRX"/>
    <w:docVar w:name="LW_EMISSION_PREFIX" w:val="Brussels, "/>
    <w:docVar w:name="LW_EMISSION_SUFFIX" w:val=" "/>
    <w:docVar w:name="LW_ID_DOCMODEL" w:val="SJ-026"/>
    <w:docVar w:name="LW_ID_DOCSIGNATURE" w:val="SJ-026"/>
    <w:docVar w:name="LW_ID_DOCSTRUCTURE" w:val="COM/PL/ORG"/>
    <w:docVar w:name="LW_ID_DOCTYPE" w:val="SJ-026"/>
    <w:docVar w:name="LW_ID_STATUT" w:val="SJ-026"/>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322"/>
    <w:docVar w:name="LW_REF.INTERNE" w:val="&lt;UNUSED&gt;"/>
    <w:docVar w:name="LW_SOUS.TITRE.OBJ.CP" w:val="&lt;UNUSED&gt;"/>
    <w:docVar w:name="LW_STATUT.CP" w:val="Proposal for a"/>
    <w:docVar w:name="LW_SUPERTITRE" w:val="&lt;UNUSED&gt;"/>
    <w:docVar w:name="LW_TITRE.OBJ.CP" w:val="on the mobilisation of the European Globalisation Adjustment Fund following an_x000b_application from Finland \u8211? EGF/2017/002 FI/Microsoft 2"/>
    <w:docVar w:name="LW_TYPE.DOC.CP" w:val="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before="0" w:after="0"/>
      <w:ind w:left="720"/>
      <w:jc w:val="left"/>
    </w:pPr>
    <w:rPr>
      <w:rFonts w:asciiTheme="minorHAnsi" w:hAnsiTheme="minorHAnsi" w:cstheme="minorBidi"/>
      <w:sz w:val="22"/>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before="0" w:after="0"/>
      <w:ind w:left="720"/>
      <w:jc w:val="left"/>
    </w:pPr>
    <w:rPr>
      <w:rFonts w:asciiTheme="minorHAnsi" w:hAnsiTheme="minorHAnsi" w:cstheme="minorBidi"/>
      <w:sz w:val="22"/>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83066">
      <w:bodyDiv w:val="1"/>
      <w:marLeft w:val="0"/>
      <w:marRight w:val="0"/>
      <w:marTop w:val="0"/>
      <w:marBottom w:val="0"/>
      <w:divBdr>
        <w:top w:val="none" w:sz="0" w:space="0" w:color="auto"/>
        <w:left w:val="none" w:sz="0" w:space="0" w:color="auto"/>
        <w:bottom w:val="none" w:sz="0" w:space="0" w:color="auto"/>
        <w:right w:val="none" w:sz="0" w:space="0" w:color="auto"/>
      </w:divBdr>
    </w:div>
    <w:div w:id="483592220">
      <w:bodyDiv w:val="1"/>
      <w:marLeft w:val="0"/>
      <w:marRight w:val="0"/>
      <w:marTop w:val="0"/>
      <w:marBottom w:val="0"/>
      <w:divBdr>
        <w:top w:val="none" w:sz="0" w:space="0" w:color="auto"/>
        <w:left w:val="none" w:sz="0" w:space="0" w:color="auto"/>
        <w:bottom w:val="none" w:sz="0" w:space="0" w:color="auto"/>
        <w:right w:val="none" w:sz="0" w:space="0" w:color="auto"/>
      </w:divBdr>
    </w:div>
    <w:div w:id="492333814">
      <w:bodyDiv w:val="1"/>
      <w:marLeft w:val="0"/>
      <w:marRight w:val="0"/>
      <w:marTop w:val="0"/>
      <w:marBottom w:val="0"/>
      <w:divBdr>
        <w:top w:val="none" w:sz="0" w:space="0" w:color="auto"/>
        <w:left w:val="none" w:sz="0" w:space="0" w:color="auto"/>
        <w:bottom w:val="none" w:sz="0" w:space="0" w:color="auto"/>
        <w:right w:val="none" w:sz="0" w:space="0" w:color="auto"/>
      </w:divBdr>
    </w:div>
    <w:div w:id="560139115">
      <w:bodyDiv w:val="1"/>
      <w:marLeft w:val="0"/>
      <w:marRight w:val="0"/>
      <w:marTop w:val="0"/>
      <w:marBottom w:val="0"/>
      <w:divBdr>
        <w:top w:val="none" w:sz="0" w:space="0" w:color="auto"/>
        <w:left w:val="none" w:sz="0" w:space="0" w:color="auto"/>
        <w:bottom w:val="none" w:sz="0" w:space="0" w:color="auto"/>
        <w:right w:val="none" w:sz="0" w:space="0" w:color="auto"/>
      </w:divBdr>
    </w:div>
    <w:div w:id="639575850">
      <w:bodyDiv w:val="1"/>
      <w:marLeft w:val="0"/>
      <w:marRight w:val="0"/>
      <w:marTop w:val="0"/>
      <w:marBottom w:val="0"/>
      <w:divBdr>
        <w:top w:val="none" w:sz="0" w:space="0" w:color="auto"/>
        <w:left w:val="none" w:sz="0" w:space="0" w:color="auto"/>
        <w:bottom w:val="none" w:sz="0" w:space="0" w:color="auto"/>
        <w:right w:val="none" w:sz="0" w:space="0" w:color="auto"/>
      </w:divBdr>
    </w:div>
    <w:div w:id="643776604">
      <w:bodyDiv w:val="1"/>
      <w:marLeft w:val="0"/>
      <w:marRight w:val="0"/>
      <w:marTop w:val="0"/>
      <w:marBottom w:val="0"/>
      <w:divBdr>
        <w:top w:val="none" w:sz="0" w:space="0" w:color="auto"/>
        <w:left w:val="none" w:sz="0" w:space="0" w:color="auto"/>
        <w:bottom w:val="none" w:sz="0" w:space="0" w:color="auto"/>
        <w:right w:val="none" w:sz="0" w:space="0" w:color="auto"/>
      </w:divBdr>
    </w:div>
    <w:div w:id="668217216">
      <w:bodyDiv w:val="1"/>
      <w:marLeft w:val="0"/>
      <w:marRight w:val="0"/>
      <w:marTop w:val="0"/>
      <w:marBottom w:val="0"/>
      <w:divBdr>
        <w:top w:val="none" w:sz="0" w:space="0" w:color="auto"/>
        <w:left w:val="none" w:sz="0" w:space="0" w:color="auto"/>
        <w:bottom w:val="none" w:sz="0" w:space="0" w:color="auto"/>
        <w:right w:val="none" w:sz="0" w:space="0" w:color="auto"/>
      </w:divBdr>
    </w:div>
    <w:div w:id="676663619">
      <w:bodyDiv w:val="1"/>
      <w:marLeft w:val="0"/>
      <w:marRight w:val="0"/>
      <w:marTop w:val="0"/>
      <w:marBottom w:val="0"/>
      <w:divBdr>
        <w:top w:val="none" w:sz="0" w:space="0" w:color="auto"/>
        <w:left w:val="none" w:sz="0" w:space="0" w:color="auto"/>
        <w:bottom w:val="none" w:sz="0" w:space="0" w:color="auto"/>
        <w:right w:val="none" w:sz="0" w:space="0" w:color="auto"/>
      </w:divBdr>
    </w:div>
    <w:div w:id="696194753">
      <w:bodyDiv w:val="1"/>
      <w:marLeft w:val="0"/>
      <w:marRight w:val="0"/>
      <w:marTop w:val="0"/>
      <w:marBottom w:val="0"/>
      <w:divBdr>
        <w:top w:val="none" w:sz="0" w:space="0" w:color="auto"/>
        <w:left w:val="none" w:sz="0" w:space="0" w:color="auto"/>
        <w:bottom w:val="none" w:sz="0" w:space="0" w:color="auto"/>
        <w:right w:val="none" w:sz="0" w:space="0" w:color="auto"/>
      </w:divBdr>
    </w:div>
    <w:div w:id="776753268">
      <w:bodyDiv w:val="1"/>
      <w:marLeft w:val="0"/>
      <w:marRight w:val="0"/>
      <w:marTop w:val="0"/>
      <w:marBottom w:val="0"/>
      <w:divBdr>
        <w:top w:val="none" w:sz="0" w:space="0" w:color="auto"/>
        <w:left w:val="none" w:sz="0" w:space="0" w:color="auto"/>
        <w:bottom w:val="none" w:sz="0" w:space="0" w:color="auto"/>
        <w:right w:val="none" w:sz="0" w:space="0" w:color="auto"/>
      </w:divBdr>
    </w:div>
    <w:div w:id="929968872">
      <w:bodyDiv w:val="1"/>
      <w:marLeft w:val="0"/>
      <w:marRight w:val="0"/>
      <w:marTop w:val="0"/>
      <w:marBottom w:val="0"/>
      <w:divBdr>
        <w:top w:val="none" w:sz="0" w:space="0" w:color="auto"/>
        <w:left w:val="none" w:sz="0" w:space="0" w:color="auto"/>
        <w:bottom w:val="none" w:sz="0" w:space="0" w:color="auto"/>
        <w:right w:val="none" w:sz="0" w:space="0" w:color="auto"/>
      </w:divBdr>
    </w:div>
    <w:div w:id="1078016921">
      <w:bodyDiv w:val="1"/>
      <w:marLeft w:val="0"/>
      <w:marRight w:val="0"/>
      <w:marTop w:val="0"/>
      <w:marBottom w:val="0"/>
      <w:divBdr>
        <w:top w:val="none" w:sz="0" w:space="0" w:color="auto"/>
        <w:left w:val="none" w:sz="0" w:space="0" w:color="auto"/>
        <w:bottom w:val="none" w:sz="0" w:space="0" w:color="auto"/>
        <w:right w:val="none" w:sz="0" w:space="0" w:color="auto"/>
      </w:divBdr>
    </w:div>
    <w:div w:id="1136293205">
      <w:bodyDiv w:val="1"/>
      <w:marLeft w:val="0"/>
      <w:marRight w:val="0"/>
      <w:marTop w:val="0"/>
      <w:marBottom w:val="0"/>
      <w:divBdr>
        <w:top w:val="none" w:sz="0" w:space="0" w:color="auto"/>
        <w:left w:val="none" w:sz="0" w:space="0" w:color="auto"/>
        <w:bottom w:val="none" w:sz="0" w:space="0" w:color="auto"/>
        <w:right w:val="none" w:sz="0" w:space="0" w:color="auto"/>
      </w:divBdr>
    </w:div>
    <w:div w:id="1203060159">
      <w:bodyDiv w:val="1"/>
      <w:marLeft w:val="0"/>
      <w:marRight w:val="0"/>
      <w:marTop w:val="0"/>
      <w:marBottom w:val="0"/>
      <w:divBdr>
        <w:top w:val="none" w:sz="0" w:space="0" w:color="auto"/>
        <w:left w:val="none" w:sz="0" w:space="0" w:color="auto"/>
        <w:bottom w:val="none" w:sz="0" w:space="0" w:color="auto"/>
        <w:right w:val="none" w:sz="0" w:space="0" w:color="auto"/>
      </w:divBdr>
    </w:div>
    <w:div w:id="1433208756">
      <w:bodyDiv w:val="1"/>
      <w:marLeft w:val="0"/>
      <w:marRight w:val="0"/>
      <w:marTop w:val="0"/>
      <w:marBottom w:val="0"/>
      <w:divBdr>
        <w:top w:val="none" w:sz="0" w:space="0" w:color="auto"/>
        <w:left w:val="none" w:sz="0" w:space="0" w:color="auto"/>
        <w:bottom w:val="none" w:sz="0" w:space="0" w:color="auto"/>
        <w:right w:val="none" w:sz="0" w:space="0" w:color="auto"/>
      </w:divBdr>
    </w:div>
    <w:div w:id="1481577567">
      <w:bodyDiv w:val="1"/>
      <w:marLeft w:val="0"/>
      <w:marRight w:val="0"/>
      <w:marTop w:val="0"/>
      <w:marBottom w:val="0"/>
      <w:divBdr>
        <w:top w:val="none" w:sz="0" w:space="0" w:color="auto"/>
        <w:left w:val="none" w:sz="0" w:space="0" w:color="auto"/>
        <w:bottom w:val="none" w:sz="0" w:space="0" w:color="auto"/>
        <w:right w:val="none" w:sz="0" w:space="0" w:color="auto"/>
      </w:divBdr>
    </w:div>
    <w:div w:id="1566329936">
      <w:bodyDiv w:val="1"/>
      <w:marLeft w:val="0"/>
      <w:marRight w:val="0"/>
      <w:marTop w:val="0"/>
      <w:marBottom w:val="0"/>
      <w:divBdr>
        <w:top w:val="none" w:sz="0" w:space="0" w:color="auto"/>
        <w:left w:val="none" w:sz="0" w:space="0" w:color="auto"/>
        <w:bottom w:val="none" w:sz="0" w:space="0" w:color="auto"/>
        <w:right w:val="none" w:sz="0" w:space="0" w:color="auto"/>
      </w:divBdr>
    </w:div>
    <w:div w:id="1708675989">
      <w:bodyDiv w:val="1"/>
      <w:marLeft w:val="0"/>
      <w:marRight w:val="0"/>
      <w:marTop w:val="0"/>
      <w:marBottom w:val="0"/>
      <w:divBdr>
        <w:top w:val="none" w:sz="0" w:space="0" w:color="auto"/>
        <w:left w:val="none" w:sz="0" w:space="0" w:color="auto"/>
        <w:bottom w:val="none" w:sz="0" w:space="0" w:color="auto"/>
        <w:right w:val="none" w:sz="0" w:space="0" w:color="auto"/>
      </w:divBdr>
    </w:div>
    <w:div w:id="175755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julkaisut.valtioneuvosto.fi/bitstream/handle/10024/78927/TKAT_Oct_2016_en.pdf?sequence=1" TargetMode="External"/><Relationship Id="rId3" Type="http://schemas.openxmlformats.org/officeDocument/2006/relationships/hyperlink" Target="http://www.statista.com/chart/4112/smartphone-market-share" TargetMode="External"/><Relationship Id="rId7" Type="http://schemas.openxmlformats.org/officeDocument/2006/relationships/hyperlink" Target="http://www.thanhniennews.com/business/samsung-shifts-plants-from-china-to-vietnam-to-protect-margins-392.html" TargetMode="External"/><Relationship Id="rId2" Type="http://schemas.openxmlformats.org/officeDocument/2006/relationships/hyperlink" Target="https://www.strategyanalytics.com/strategy-analytics/news/strategy-analytics-press-releases/strategy-analytics-press-release/2016/11/02/strategy-analytics-android-captures-record-88-percent-share-of-global-smartphone-shipments-in-q3-2016" TargetMode="External"/><Relationship Id="rId1" Type="http://schemas.openxmlformats.org/officeDocument/2006/relationships/hyperlink" Target="http://www.statista.com/chart/4112/smartphone-market-share" TargetMode="External"/><Relationship Id="rId6" Type="http://schemas.openxmlformats.org/officeDocument/2006/relationships/hyperlink" Target="https://www.kantarworldpanel.com/global/News/Android-Share-Tops-75-in-Europes-Largest-Markets" TargetMode="External"/><Relationship Id="rId5" Type="http://schemas.openxmlformats.org/officeDocument/2006/relationships/hyperlink" Target="http://comptryx.com/product/global_salary_survey" TargetMode="External"/><Relationship Id="rId10" Type="http://schemas.openxmlformats.org/officeDocument/2006/relationships/hyperlink" Target="http://www.itproportal.com/2015/07/20/nokias-woes-pushing-finnish-town-salo-further-%20into-recession/" TargetMode="External"/><Relationship Id="rId4" Type="http://schemas.openxmlformats.org/officeDocument/2006/relationships/hyperlink" Target="http://www.businessinsider.com/samsung-factory-working-conditions-2012-11?r=US&amp;IR=T&amp;IR=T" TargetMode="External"/><Relationship Id="rId9" Type="http://schemas.openxmlformats.org/officeDocument/2006/relationships/hyperlink" Target="http://julkaisut.valtioneuvosto.fi/bitstream/handle/10024/78927/TKAT_Oct_2016_en.pdf?sequence=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FAF9A-ABFC-4277-97B5-5DEE6BC71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13</Pages>
  <Words>3582</Words>
  <Characters>19563</Characters>
  <Application>Microsoft Office Word</Application>
  <DocSecurity>0</DocSecurity>
  <Lines>543</Lines>
  <Paragraphs>345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2017-04-26T14:23:00Z</cp:lastPrinted>
  <dcterms:created xsi:type="dcterms:W3CDTF">2017-06-13T11:49:00Z</dcterms:created>
  <dcterms:modified xsi:type="dcterms:W3CDTF">2017-06-19T07:44:00Z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SJ-026</vt:lpwstr>
  </property>
  <property fmtid="{D5CDD505-2E9C-101B-9397-08002B2CF9AE}" pid="10" name="DQCStatus">
    <vt:lpwstr>Green (DQC version 03)</vt:lpwstr>
  </property>
</Properties>
</file>