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D0" w:rsidRDefault="00267A8A">
      <w:pPr>
        <w:pStyle w:val="Pagedecouverture"/>
        <w:rPr>
          <w:noProof/>
        </w:rPr>
      </w:pPr>
      <w:bookmarkStart w:id="0" w:name="LW_BM_COVERPAGE"/>
      <w:bookmarkStart w:id="1" w:name="_Toc290283331"/>
      <w:bookmarkStart w:id="2" w:name="_Toc402519957"/>
      <w:bookmarkStart w:id="3" w:name="_Toc402520009"/>
      <w:bookmarkStart w:id="4" w:name="_Toc404257972"/>
      <w:bookmarkStart w:id="5" w:name="_Toc404260783"/>
      <w:bookmarkStart w:id="6" w:name="_Toc435435114"/>
      <w:bookmarkStart w:id="7" w:name="_Toc290283321"/>
      <w:bookmarkStart w:id="8" w:name="_Toc402519947"/>
      <w:bookmarkStart w:id="9" w:name="_Toc402519999"/>
      <w:bookmarkStart w:id="1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876A54D31A54E76B8A83AEB59111B57" style="width:450.3pt;height:394.3pt">
            <v:imagedata r:id="rId9" o:title=""/>
          </v:shape>
        </w:pict>
      </w:r>
      <w:bookmarkEnd w:id="10"/>
    </w:p>
    <w:bookmarkEnd w:id="0"/>
    <w:p w:rsidR="00C14ED0" w:rsidRDefault="00C14ED0">
      <w:pPr>
        <w:rPr>
          <w:noProof/>
        </w:rPr>
        <w:sectPr w:rsidR="00C14ED0" w:rsidSect="00267A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14ED0" w:rsidRDefault="00267A8A">
      <w:pPr>
        <w:keepNext/>
        <w:spacing w:after="0"/>
        <w:jc w:val="center"/>
        <w:rPr>
          <w:i/>
          <w:noProof/>
          <w:color w:val="000000"/>
          <w:sz w:val="20"/>
          <w:szCs w:val="22"/>
        </w:rPr>
      </w:pPr>
      <w:bookmarkStart w:id="11" w:name="_Toc402508901"/>
      <w:bookmarkEnd w:id="1"/>
      <w:bookmarkEnd w:id="2"/>
      <w:bookmarkEnd w:id="3"/>
      <w:bookmarkEnd w:id="4"/>
      <w:bookmarkEnd w:id="5"/>
      <w:bookmarkEnd w:id="6"/>
      <w:r>
        <w:rPr>
          <w:i/>
          <w:noProof/>
          <w:color w:val="000000"/>
          <w:sz w:val="20"/>
        </w:rPr>
        <w:lastRenderedPageBreak/>
        <w:t>Таблица 1 — Основни показатели за изпълнение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51"/>
        <w:gridCol w:w="1678"/>
        <w:gridCol w:w="1680"/>
        <w:gridCol w:w="1679"/>
        <w:gridCol w:w="1907"/>
        <w:gridCol w:w="1678"/>
        <w:gridCol w:w="1701"/>
      </w:tblGrid>
      <w:tr w:rsidR="00C14ED0">
        <w:trPr>
          <w:tblHeader/>
        </w:trPr>
        <w:tc>
          <w:tcPr>
            <w:tcW w:w="3966" w:type="dxa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C14ED0">
            <w:pPr>
              <w:spacing w:beforeLines="60" w:before="144" w:afterLines="60" w:after="144"/>
              <w:rPr>
                <w:noProof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267A8A">
            <w:pPr>
              <w:spacing w:beforeLines="60" w:before="144" w:afterLines="60" w:after="14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Блокове 1—4 на АЕЦ „Козлодуй“</w:t>
            </w:r>
            <w:r>
              <w:rPr>
                <w:noProof/>
                <w:color w:val="000000"/>
                <w:sz w:val="20"/>
                <w:vertAlign w:val="superscript"/>
              </w:rPr>
              <w:t>†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267A8A">
            <w:pPr>
              <w:spacing w:beforeLines="60" w:before="144" w:afterLines="60" w:after="14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АЕЦ „Игналина“</w:t>
            </w:r>
            <w:r>
              <w:rPr>
                <w:noProof/>
                <w:color w:val="000000"/>
                <w:sz w:val="20"/>
                <w:vertAlign w:val="superscript"/>
              </w:rPr>
              <w:t>†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267A8A">
            <w:pPr>
              <w:spacing w:beforeLines="60" w:before="144" w:afterLines="60" w:after="14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АЕЦ </w:t>
            </w:r>
            <w:r>
              <w:rPr>
                <w:b/>
                <w:noProof/>
                <w:color w:val="000000"/>
                <w:sz w:val="20"/>
              </w:rPr>
              <w:t>„Бохунице V1“</w:t>
            </w:r>
            <w:r>
              <w:rPr>
                <w:noProof/>
                <w:color w:val="000000"/>
                <w:sz w:val="20"/>
                <w:vertAlign w:val="superscript"/>
              </w:rPr>
              <w:t>†</w:t>
            </w:r>
          </w:p>
        </w:tc>
      </w:tr>
      <w:tr w:rsidR="00C14ED0">
        <w:trPr>
          <w:cantSplit/>
        </w:trPr>
        <w:tc>
          <w:tcPr>
            <w:tcW w:w="3966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Извадено ли е горивото от активната зона на реактора?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 на изпълнение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Блок 1:</w:t>
            </w:r>
            <w:r>
              <w:rPr>
                <w:noProof/>
                <w:sz w:val="20"/>
              </w:rPr>
              <w:br/>
              <w:t>Напълно извадено</w:t>
            </w:r>
            <w:r>
              <w:rPr>
                <w:noProof/>
                <w:sz w:val="20"/>
              </w:rPr>
              <w:br/>
              <w:t xml:space="preserve">Блок 2: </w:t>
            </w:r>
            <w:r>
              <w:rPr>
                <w:noProof/>
                <w:sz w:val="20"/>
              </w:rPr>
              <w:br/>
              <w:t>31% извадено — остават 1134 касети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Извадено ли е горивото от басейните за гориво на реакторите?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</w:t>
            </w:r>
            <w:r>
              <w:rPr>
                <w:noProof/>
                <w:sz w:val="20"/>
              </w:rPr>
              <w:t xml:space="preserve"> на изпълнение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Блок 1:</w:t>
            </w:r>
            <w:r>
              <w:rPr>
                <w:noProof/>
                <w:sz w:val="20"/>
              </w:rPr>
              <w:br/>
              <w:t>0 %</w:t>
            </w:r>
            <w:r>
              <w:rPr>
                <w:noProof/>
                <w:sz w:val="20"/>
              </w:rPr>
              <w:br/>
              <w:t>Остават 7084 касети</w:t>
            </w:r>
            <w:r>
              <w:rPr>
                <w:noProof/>
                <w:sz w:val="20"/>
              </w:rPr>
              <w:br/>
              <w:t>Блок 2:</w:t>
            </w:r>
            <w:r>
              <w:rPr>
                <w:noProof/>
                <w:sz w:val="20"/>
              </w:rPr>
              <w:br/>
              <w:t>0 %</w:t>
            </w:r>
            <w:r>
              <w:rPr>
                <w:noProof/>
                <w:sz w:val="20"/>
              </w:rPr>
              <w:br/>
              <w:t>Остават 7246 касети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Издадена ли е лицензия за извеждане от експлоатация?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 (блокове 1 и 2)</w:t>
            </w:r>
          </w:p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 (блокове 3 и 4)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 ноември 2014 г.</w:t>
            </w:r>
          </w:p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 юли 2016 г.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Условията в лицензията за експлоатация </w:t>
            </w:r>
            <w:r>
              <w:rPr>
                <w:noProof/>
                <w:sz w:val="20"/>
              </w:rPr>
              <w:t>на блок 1 на АЕЦ „Игналина“ бяха адаптирани, за да се позволи демонтирането и деконтаминирането на оборудването.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 декември 2014 г.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br/>
              <w:t>Етап II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Демонтиран ли е първият контур?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 момента не се прилага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 момента не се прилага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 процес на </w:t>
            </w:r>
            <w:r>
              <w:rPr>
                <w:noProof/>
                <w:sz w:val="20"/>
              </w:rPr>
              <w:t>изпълнение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4 %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Демонтирани ли са системите в турбинната зала?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 на изпълнение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33 % (блокове 1 и 4)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 на изпълнение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Блок 1: </w:t>
            </w:r>
            <w:r>
              <w:rPr>
                <w:noProof/>
                <w:sz w:val="20"/>
              </w:rPr>
              <w:br/>
              <w:t>99% демонтиран</w:t>
            </w:r>
            <w:r>
              <w:rPr>
                <w:noProof/>
                <w:sz w:val="20"/>
              </w:rPr>
              <w:br/>
              <w:t>Блок 2:</w:t>
            </w:r>
            <w:r>
              <w:rPr>
                <w:noProof/>
                <w:sz w:val="20"/>
              </w:rPr>
              <w:br/>
              <w:t>30 % демонтиран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Демонтирани ли са корпусите на реакторите?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До момента не се </w:t>
            </w:r>
            <w:r>
              <w:rPr>
                <w:noProof/>
                <w:sz w:val="20"/>
              </w:rPr>
              <w:t>прилага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 момента не се прилага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 момента не се прилага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Обработени ли са отпадъците от извеждането от експлоатация?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 на изпълнение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Освободени метали</w:t>
            </w:r>
            <w:r>
              <w:rPr>
                <w:noProof/>
                <w:sz w:val="20"/>
              </w:rPr>
              <w:br/>
              <w:t>13 049 т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 на изпълнение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Радиоактивни отпадъци: обработени 10,6 % от 2014 г.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4764,5 m</w:t>
            </w:r>
            <w:r>
              <w:rPr>
                <w:noProof/>
                <w:sz w:val="20"/>
                <w:vertAlign w:val="superscript"/>
              </w:rPr>
              <w:t>3</w:t>
            </w:r>
            <w:r>
              <w:rPr>
                <w:noProof/>
                <w:sz w:val="20"/>
              </w:rPr>
              <w:t xml:space="preserve"> от прогнозни общо 45 000 m</w:t>
            </w:r>
            <w:r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процес на изпълнение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Конвенционални отпадъци 74692 t </w:t>
            </w:r>
          </w:p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Радиоактивни отпадъци</w:t>
            </w:r>
          </w:p>
          <w:p w:rsidR="00C14ED0" w:rsidRDefault="00267A8A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408 FWP</w:t>
            </w:r>
            <w:r>
              <w:rPr>
                <w:noProof/>
                <w:sz w:val="20"/>
                <w:vertAlign w:val="superscript"/>
              </w:rPr>
              <w:t>‡</w:t>
            </w:r>
          </w:p>
        </w:tc>
      </w:tr>
      <w:tr w:rsidR="00C14ED0">
        <w:trPr>
          <w:cantSplit/>
        </w:trPr>
        <w:tc>
          <w:tcPr>
            <w:tcW w:w="3966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График на проекта: спазени ли са основните ключови етапи, определени в плановете за извеждане от експлоатация?</w:t>
            </w: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  <w:r>
              <w:rPr>
                <w:noProof/>
                <w:sz w:val="20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C14ED0" w:rsidRDefault="00C14ED0">
            <w:pPr>
              <w:spacing w:beforeLines="40" w:before="96" w:afterLines="40" w:after="96"/>
              <w:rPr>
                <w:noProof/>
                <w:sz w:val="20"/>
              </w:rPr>
            </w:pP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</w:t>
            </w:r>
            <w:r>
              <w:rPr>
                <w:noProof/>
                <w:sz w:val="20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C14ED0" w:rsidRDefault="00C14ED0">
            <w:pPr>
              <w:spacing w:beforeLines="40" w:before="96" w:afterLines="40" w:after="96"/>
              <w:rPr>
                <w:noProof/>
                <w:sz w:val="20"/>
              </w:rPr>
            </w:pPr>
          </w:p>
        </w:tc>
        <w:tc>
          <w:tcPr>
            <w:tcW w:w="1701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Частично</w:t>
            </w:r>
            <w:r>
              <w:rPr>
                <w:noProof/>
                <w:sz w:val="20"/>
                <w:vertAlign w:val="superscript"/>
              </w:rPr>
              <w:t>**</w:t>
            </w:r>
          </w:p>
        </w:tc>
        <w:tc>
          <w:tcPr>
            <w:tcW w:w="1702" w:type="dxa"/>
          </w:tcPr>
          <w:p w:rsidR="00C14ED0" w:rsidRDefault="00267A8A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 от 7</w:t>
            </w:r>
          </w:p>
        </w:tc>
      </w:tr>
    </w:tbl>
    <w:p w:rsidR="00C14ED0" w:rsidRDefault="00267A8A">
      <w:pPr>
        <w:tabs>
          <w:tab w:val="left" w:pos="426"/>
        </w:tabs>
        <w:rPr>
          <w:rFonts w:eastAsiaTheme="majorEastAsia"/>
          <w:noProof/>
          <w:sz w:val="20"/>
        </w:rPr>
      </w:pPr>
      <w:r>
        <w:rPr>
          <w:noProof/>
          <w:color w:val="000000"/>
          <w:sz w:val="20"/>
        </w:rPr>
        <w:t>†</w:t>
      </w:r>
      <w:r>
        <w:rPr>
          <w:noProof/>
        </w:rPr>
        <w:tab/>
      </w:r>
      <w:r>
        <w:rPr>
          <w:noProof/>
          <w:color w:val="000000"/>
          <w:sz w:val="20"/>
        </w:rPr>
        <w:t>Към 30.6.2016 г.</w:t>
      </w:r>
      <w:r>
        <w:rPr>
          <w:noProof/>
        </w:rPr>
        <w:tab/>
      </w:r>
      <w:r>
        <w:rPr>
          <w:noProof/>
          <w:color w:val="000000"/>
          <w:sz w:val="20"/>
          <w:szCs w:val="20"/>
          <w:vertAlign w:val="superscript"/>
        </w:rPr>
        <w:br/>
      </w:r>
      <w:r>
        <w:rPr>
          <w:rFonts w:eastAsiaTheme="majorEastAsia"/>
          <w:noProof/>
          <w:sz w:val="20"/>
        </w:rPr>
        <w:t>*</w:t>
      </w:r>
      <w:r>
        <w:rPr>
          <w:noProof/>
        </w:rPr>
        <w:tab/>
      </w:r>
      <w:r>
        <w:rPr>
          <w:rFonts w:eastAsiaTheme="majorEastAsia"/>
          <w:noProof/>
          <w:sz w:val="20"/>
        </w:rPr>
        <w:t>Не е било предвидено тези дейности да започнат преди края на отчетния период в съответствие с одобрения базов сценарий.</w:t>
      </w:r>
      <w:r>
        <w:rPr>
          <w:noProof/>
        </w:rPr>
        <w:tab/>
      </w:r>
      <w:r>
        <w:rPr>
          <w:rFonts w:eastAsiaTheme="majorEastAsia"/>
          <w:noProof/>
          <w:sz w:val="20"/>
        </w:rPr>
        <w:br/>
        <w:t>**</w:t>
      </w:r>
      <w:r>
        <w:rPr>
          <w:noProof/>
        </w:rPr>
        <w:tab/>
      </w:r>
      <w:r>
        <w:rPr>
          <w:rFonts w:eastAsiaTheme="majorEastAsia"/>
          <w:noProof/>
          <w:sz w:val="20"/>
        </w:rPr>
        <w:t>Основните ключови етапи са определени в подробните цели</w:t>
      </w:r>
      <w:r>
        <w:rPr>
          <w:noProof/>
        </w:rPr>
        <w:tab/>
      </w:r>
      <w:r>
        <w:rPr>
          <w:rFonts w:eastAsiaTheme="majorEastAsia"/>
          <w:noProof/>
          <w:sz w:val="20"/>
        </w:rPr>
        <w:br/>
        <w:t>‡</w:t>
      </w:r>
      <w:r>
        <w:rPr>
          <w:noProof/>
        </w:rPr>
        <w:tab/>
      </w:r>
      <w:r>
        <w:rPr>
          <w:rFonts w:eastAsiaTheme="majorEastAsia"/>
          <w:noProof/>
          <w:sz w:val="20"/>
        </w:rPr>
        <w:t>FWP = окончателно опаковане на о</w:t>
      </w:r>
      <w:r>
        <w:rPr>
          <w:rFonts w:eastAsiaTheme="majorEastAsia"/>
          <w:noProof/>
          <w:sz w:val="20"/>
        </w:rPr>
        <w:t>тпадъци за погребване на радиоактивни отпадъци</w:t>
      </w:r>
      <w:r>
        <w:rPr>
          <w:noProof/>
        </w:rPr>
        <w:tab/>
      </w:r>
      <w:r>
        <w:rPr>
          <w:rFonts w:eastAsiaTheme="majorEastAsia"/>
          <w:noProof/>
          <w:sz w:val="20"/>
        </w:rPr>
        <w:t>.</w:t>
      </w:r>
    </w:p>
    <w:p w:rsidR="00C14ED0" w:rsidRDefault="00267A8A">
      <w:pPr>
        <w:rPr>
          <w:rFonts w:eastAsiaTheme="majorEastAsia"/>
          <w:noProof/>
        </w:rPr>
      </w:pPr>
      <w:r>
        <w:rPr>
          <w:noProof/>
        </w:rPr>
        <w:br w:type="page"/>
      </w:r>
    </w:p>
    <w:p w:rsidR="00C14ED0" w:rsidRDefault="00267A8A">
      <w:pPr>
        <w:keepNext/>
        <w:spacing w:after="0"/>
        <w:jc w:val="center"/>
        <w:rPr>
          <w:i/>
          <w:noProof/>
          <w:color w:val="000000"/>
          <w:sz w:val="20"/>
          <w:szCs w:val="22"/>
        </w:rPr>
      </w:pPr>
      <w:r>
        <w:rPr>
          <w:i/>
          <w:noProof/>
          <w:color w:val="000000"/>
          <w:sz w:val="20"/>
        </w:rPr>
        <w:t>Таблица 2 — Допълнителни показатели за изпълнение (млн. евро)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5"/>
        <w:gridCol w:w="3122"/>
        <w:gridCol w:w="3122"/>
        <w:gridCol w:w="3122"/>
      </w:tblGrid>
      <w:tr w:rsidR="00C14ED0">
        <w:trPr>
          <w:jc w:val="center"/>
        </w:trPr>
        <w:tc>
          <w:tcPr>
            <w:tcW w:w="3965" w:type="dxa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C14ED0">
            <w:pPr>
              <w:spacing w:beforeLines="60" w:before="144" w:afterLines="60" w:after="144"/>
              <w:rPr>
                <w:noProof/>
                <w:sz w:val="20"/>
              </w:rPr>
            </w:pP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267A8A">
            <w:pPr>
              <w:spacing w:beforeLines="60" w:before="144" w:afterLines="60" w:after="144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Блокове 1—4 на АЕЦ „Козлодуй“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267A8A">
            <w:pPr>
              <w:spacing w:beforeLines="60" w:before="144" w:afterLines="60" w:after="144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АЕЦ „Игналина“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</w:tcPr>
          <w:p w:rsidR="00C14ED0" w:rsidRDefault="00267A8A">
            <w:pPr>
              <w:spacing w:beforeLines="60" w:before="144" w:afterLines="60" w:after="144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АЕЦ „Бохунице V1“</w:t>
            </w:r>
          </w:p>
        </w:tc>
      </w:tr>
      <w:tr w:rsidR="00C14ED0">
        <w:trPr>
          <w:jc w:val="center"/>
        </w:trPr>
        <w:tc>
          <w:tcPr>
            <w:tcW w:w="3965" w:type="dxa"/>
            <w:tcBorders>
              <w:top w:val="single" w:sz="12" w:space="0" w:color="auto"/>
            </w:tcBorders>
          </w:tcPr>
          <w:p w:rsidR="00C14ED0" w:rsidRDefault="00C14ED0">
            <w:pPr>
              <w:spacing w:before="0" w:after="0"/>
              <w:rPr>
                <w:noProof/>
                <w:sz w:val="20"/>
              </w:rPr>
            </w:pPr>
          </w:p>
        </w:tc>
        <w:tc>
          <w:tcPr>
            <w:tcW w:w="9366" w:type="dxa"/>
            <w:gridSpan w:val="3"/>
            <w:tcBorders>
              <w:top w:val="single" w:sz="12" w:space="0" w:color="auto"/>
            </w:tcBorders>
          </w:tcPr>
          <w:p w:rsidR="00C14ED0" w:rsidRDefault="00267A8A">
            <w:pPr>
              <w:spacing w:before="0" w:after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/>
              </w:rPr>
              <w:t xml:space="preserve">[1.1.2014 </w:t>
            </w:r>
            <w:r>
              <w:rPr>
                <w:noProof/>
                <w:sz w:val="20"/>
              </w:rPr>
              <w:t>г. - 30.6.2016 г.]</w:t>
            </w:r>
          </w:p>
        </w:tc>
      </w:tr>
      <w:tr w:rsidR="00C14ED0">
        <w:trPr>
          <w:jc w:val="center"/>
        </w:trPr>
        <w:tc>
          <w:tcPr>
            <w:tcW w:w="3965" w:type="dxa"/>
            <w:vAlign w:val="center"/>
          </w:tcPr>
          <w:p w:rsidR="00C14ED0" w:rsidRDefault="00267A8A">
            <w:pPr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Планирана стойност (PV)</w:t>
            </w:r>
          </w:p>
        </w:tc>
        <w:tc>
          <w:tcPr>
            <w:tcW w:w="3122" w:type="dxa"/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104</w:t>
            </w:r>
          </w:p>
        </w:tc>
        <w:tc>
          <w:tcPr>
            <w:tcW w:w="3122" w:type="dxa"/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317</w:t>
            </w:r>
          </w:p>
        </w:tc>
        <w:tc>
          <w:tcPr>
            <w:tcW w:w="3122" w:type="dxa"/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104</w:t>
            </w:r>
          </w:p>
        </w:tc>
      </w:tr>
      <w:tr w:rsidR="00C14ED0">
        <w:trPr>
          <w:jc w:val="center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:rsidR="00C14ED0" w:rsidRDefault="00267A8A">
            <w:pPr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Придобита </w:t>
            </w:r>
            <w:r>
              <w:rPr>
                <w:noProof/>
                <w:sz w:val="22"/>
              </w:rPr>
              <w:t>стойност (EV)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254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</w:tr>
      <w:tr w:rsidR="00C14ED0">
        <w:trPr>
          <w:jc w:val="center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C14ED0" w:rsidRDefault="00267A8A">
            <w:pPr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Действителни разходи (AC)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14ED0" w:rsidRDefault="00267A8A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</w:tr>
      <w:tr w:rsidR="00C14ED0">
        <w:trPr>
          <w:jc w:val="center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D0" w:rsidRDefault="00267A8A">
            <w:pPr>
              <w:spacing w:before="40" w:after="4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Изпълнение на графика SPI = EV/PV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14ED0" w:rsidRDefault="00267A8A">
            <w:pPr>
              <w:spacing w:before="4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6AC8006A" wp14:editId="15C4DB85">
                  <wp:extent cx="1638300" cy="1092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14ED0" w:rsidRDefault="00267A8A">
            <w:pPr>
              <w:spacing w:before="4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3C263E48" wp14:editId="22301624">
                  <wp:extent cx="1638300" cy="1092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14ED0" w:rsidRDefault="00267A8A">
            <w:pPr>
              <w:spacing w:before="4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29CE2F95" wp14:editId="66042C10">
                  <wp:extent cx="1638300" cy="1092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D0">
        <w:trPr>
          <w:jc w:val="center"/>
        </w:trPr>
        <w:tc>
          <w:tcPr>
            <w:tcW w:w="3965" w:type="dxa"/>
            <w:tcBorders>
              <w:top w:val="single" w:sz="4" w:space="0" w:color="auto"/>
            </w:tcBorders>
            <w:vAlign w:val="center"/>
          </w:tcPr>
          <w:p w:rsidR="00C14ED0" w:rsidRDefault="00267A8A">
            <w:pPr>
              <w:spacing w:before="40" w:after="4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Икономически резултати CPI = EV/AC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14ED0" w:rsidRDefault="00267A8A">
            <w:pPr>
              <w:spacing w:beforeLines="60" w:before="144" w:afterLines="60" w:after="14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491B3FD9" wp14:editId="356D4019">
                  <wp:extent cx="1638300" cy="1092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14ED0" w:rsidRDefault="00267A8A">
            <w:pPr>
              <w:spacing w:beforeLines="60" w:before="144" w:afterLines="60" w:after="14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3B40D7DF" wp14:editId="41A66938">
                  <wp:extent cx="1638300" cy="1092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14ED0" w:rsidRDefault="00267A8A">
            <w:pPr>
              <w:spacing w:beforeLines="60" w:before="144" w:afterLines="60" w:after="14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281F4FB4" wp14:editId="5441755F">
                  <wp:extent cx="1638300" cy="1092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  <w:bookmarkEnd w:id="11"/>
    </w:tbl>
    <w:p w:rsidR="00C14ED0" w:rsidRDefault="00C14ED0">
      <w:pPr>
        <w:spacing w:before="0" w:after="200" w:line="276" w:lineRule="auto"/>
        <w:jc w:val="left"/>
        <w:rPr>
          <w:rFonts w:eastAsiaTheme="majorEastAsia"/>
          <w:b/>
          <w:bCs/>
          <w:smallCaps/>
          <w:noProof/>
          <w:szCs w:val="28"/>
        </w:rPr>
      </w:pPr>
    </w:p>
    <w:sectPr w:rsidR="00C14E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274" w:right="1440" w:bottom="180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D0" w:rsidRDefault="00267A8A">
      <w:pPr>
        <w:spacing w:before="0" w:after="0"/>
      </w:pPr>
      <w:r>
        <w:separator/>
      </w:r>
    </w:p>
  </w:endnote>
  <w:endnote w:type="continuationSeparator" w:id="0">
    <w:p w:rsidR="00C14ED0" w:rsidRDefault="00267A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267A8A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267A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D0" w:rsidRDefault="00267A8A">
      <w:pPr>
        <w:spacing w:before="0" w:after="0"/>
      </w:pPr>
      <w:r>
        <w:separator/>
      </w:r>
    </w:p>
  </w:footnote>
  <w:footnote w:type="continuationSeparator" w:id="0">
    <w:p w:rsidR="00C14ED0" w:rsidRDefault="00267A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0" w:rsidRDefault="00C14E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865"/>
    <w:multiLevelType w:val="hybridMultilevel"/>
    <w:tmpl w:val="712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9F7"/>
    <w:multiLevelType w:val="multilevel"/>
    <w:tmpl w:val="EA1247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D23"/>
    <w:multiLevelType w:val="hybridMultilevel"/>
    <w:tmpl w:val="569065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">
    <w:nsid w:val="143D0A16"/>
    <w:multiLevelType w:val="singleLevel"/>
    <w:tmpl w:val="733AE0FC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Rfrenceinstitutionnelle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SectionTitle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Rfrenceinterinstitutionnelle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Sous-titreobjet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RfrenceinterinstitutionnellePagedecouverture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Sous-titreobjetPagedecouverture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Rfrenceinterne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Statut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StatutPagedecouverture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322D2909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5B0C1C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42FD"/>
    <w:multiLevelType w:val="hybridMultilevel"/>
    <w:tmpl w:val="5C3E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724B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5B0C1C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082D7A"/>
    <w:multiLevelType w:val="hybridMultilevel"/>
    <w:tmpl w:val="B95A2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D414F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F7F34"/>
    <w:multiLevelType w:val="hybridMultilevel"/>
    <w:tmpl w:val="659ED538"/>
    <w:lvl w:ilvl="0" w:tplc="A3D22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3F0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57C3230A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5B0C1C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9C5CF1"/>
    <w:multiLevelType w:val="hybridMultilevel"/>
    <w:tmpl w:val="1B26D214"/>
    <w:lvl w:ilvl="0" w:tplc="DF78C098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D3310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5B0C1C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50D48"/>
    <w:multiLevelType w:val="hybridMultilevel"/>
    <w:tmpl w:val="FEDCCAAC"/>
    <w:lvl w:ilvl="0" w:tplc="DB829A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15"/>
  </w:num>
  <w:num w:numId="18">
    <w:abstractNumId w:val="0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1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4"/>
  </w:num>
  <w:num w:numId="38">
    <w:abstractNumId w:val="3"/>
  </w:num>
  <w:num w:numId="39">
    <w:abstractNumId w:val="1"/>
  </w:num>
  <w:num w:numId="40">
    <w:abstractNumId w:val="14"/>
  </w:num>
  <w:num w:numId="41">
    <w:abstractNumId w:val="6"/>
  </w:num>
  <w:num w:numId="42">
    <w:abstractNumId w:val="12"/>
  </w:num>
  <w:num w:numId="43">
    <w:abstractNumId w:val="1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876A54D31A54E76B8A83AEB59111B57"/>
    <w:docVar w:name="LW_CROSSREFERENCE" w:val="&lt;UNUSED&gt;"/>
    <w:docVar w:name="LW_DocType" w:val="NORMAL"/>
    <w:docVar w:name="LW_EMISSION" w:val="20.6.2017"/>
    <w:docVar w:name="LW_EMISSION_ISODATE" w:val="2017-06-2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74?\u1098?\u1088?\u1096?\u1077?\u1085?\u1080?\u1090?\u1077? \u1076?\u1077?\u1081?\u1085?\u1086?\u1089?\u1090?\u1080? \u1087?\u1086? \u1087?\u1088?\u1086?\u1075?\u1088?\u1072?\u1084?\u1072?\u1090?\u1072? \u1079?\u1072? \u1087?\u1086?\u1076?\u1087?\u1086?\u1084?\u1072?\u1075?\u1072?\u1085?\u1077? \u1085?\u1072? \u1080?\u1079?\u1074?\u1077?\u1078?\u1076?\u1072?\u1085?\u1077?\u1090?\u1086? \u1086?\u1090? \u1077?\u1082?\u1089?\u1087?\u1083?\u1086?\u1072?\u1090?\u1072?\u1094?\u1080?\u1103? \u1085?\u1072? \u1103?\u1076?\u1088?\u1077?\u1085?\u1080? \u1089?\u1098?\u1086?\u1088?\u1098?\u1078?\u1077?\u1085?\u1080?\u1103? \u1074? \u1041?\u1098?\u1083?\u1075?\u1072?\u1088?\u1080?\u1103?, \u1051?\u1080?\u1090?\u1074?\u1072? \u1080? \u1057?\u1083?\u1086?\u1074?\u1072?\u1082?\u1080?\u1103? \u1087?\u1088?\u1077?\u1079? 2016 \u1075?. \u1080? \u1087?\u1088?\u1077?\u1076?\u1093?\u1086?\u1076?\u1085?\u1080? \u1075?\u1086?\u1076?\u1080?\u1085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7) 32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w:rsids>
    <w:rsidRoot w:val="00C14ED0"/>
    <w:rsid w:val="00267A8A"/>
    <w:rsid w:val="00C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Point0letter">
    <w:name w:val="Point 0 (letter)"/>
    <w:basedOn w:val="Normal"/>
    <w:pPr>
      <w:numPr>
        <w:ilvl w:val="1"/>
        <w:numId w:val="1"/>
      </w:numPr>
    </w:pPr>
  </w:style>
  <w:style w:type="paragraph" w:customStyle="1" w:styleId="Point0number">
    <w:name w:val="Point 0 (number)"/>
    <w:basedOn w:val="Normal"/>
    <w:pPr>
      <w:numPr>
        <w:numId w:val="1"/>
      </w:numPr>
    </w:pPr>
  </w:style>
  <w:style w:type="paragraph" w:customStyle="1" w:styleId="Point1letter">
    <w:name w:val="Point 1 (letter)"/>
    <w:basedOn w:val="Normal"/>
    <w:pPr>
      <w:numPr>
        <w:ilvl w:val="3"/>
        <w:numId w:val="1"/>
      </w:numPr>
    </w:pPr>
  </w:style>
  <w:style w:type="paragraph" w:customStyle="1" w:styleId="Point1number">
    <w:name w:val="Point 1 (number)"/>
    <w:basedOn w:val="Normal"/>
    <w:pPr>
      <w:numPr>
        <w:ilvl w:val="2"/>
        <w:numId w:val="1"/>
      </w:numPr>
    </w:pPr>
  </w:style>
  <w:style w:type="paragraph" w:customStyle="1" w:styleId="Point2letter">
    <w:name w:val="Point 2 (letter)"/>
    <w:basedOn w:val="Normal"/>
    <w:pPr>
      <w:numPr>
        <w:ilvl w:val="5"/>
        <w:numId w:val="1"/>
      </w:numPr>
    </w:pPr>
  </w:style>
  <w:style w:type="paragraph" w:customStyle="1" w:styleId="Point2number">
    <w:name w:val="Point 2 (number)"/>
    <w:basedOn w:val="Normal"/>
    <w:pPr>
      <w:numPr>
        <w:ilvl w:val="4"/>
        <w:numId w:val="1"/>
      </w:numPr>
    </w:pPr>
  </w:style>
  <w:style w:type="paragraph" w:customStyle="1" w:styleId="Point3letter">
    <w:name w:val="Point 3 (letter)"/>
    <w:basedOn w:val="Normal"/>
    <w:pPr>
      <w:numPr>
        <w:ilvl w:val="7"/>
        <w:numId w:val="1"/>
      </w:numPr>
    </w:pPr>
  </w:style>
  <w:style w:type="paragraph" w:customStyle="1" w:styleId="Point3number">
    <w:name w:val="Point 3 (number)"/>
    <w:basedOn w:val="Normal"/>
    <w:pPr>
      <w:numPr>
        <w:ilvl w:val="6"/>
        <w:numId w:val="1"/>
      </w:numPr>
    </w:pPr>
  </w:style>
  <w:style w:type="paragraph" w:customStyle="1" w:styleId="Point4letter">
    <w:name w:val="Point 4 (letter)"/>
    <w:basedOn w:val="Normal"/>
    <w:pPr>
      <w:numPr>
        <w:ilvl w:val="8"/>
        <w:numId w:val="1"/>
      </w:numPr>
    </w:pPr>
  </w:style>
  <w:style w:type="paragraph" w:customStyle="1" w:styleId="Rfrenceinstitutionnelle">
    <w:name w:val="Référence institutionnelle"/>
    <w:basedOn w:val="Normal"/>
    <w:next w:val="Normal"/>
    <w:pPr>
      <w:numPr>
        <w:numId w:val="2"/>
      </w:numPr>
      <w:tabs>
        <w:tab w:val="clear" w:pos="850"/>
      </w:tabs>
      <w:spacing w:before="0" w:after="240"/>
      <w:ind w:left="5103" w:firstLine="0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numPr>
        <w:ilvl w:val="2"/>
        <w:numId w:val="2"/>
      </w:numPr>
      <w:tabs>
        <w:tab w:val="clear" w:pos="1417"/>
      </w:tabs>
      <w:spacing w:before="0" w:after="0"/>
      <w:ind w:left="5103" w:firstLine="0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Normal"/>
    <w:pPr>
      <w:numPr>
        <w:ilvl w:val="4"/>
      </w:numPr>
      <w:tabs>
        <w:tab w:val="clear" w:pos="1984"/>
      </w:tabs>
      <w:ind w:left="5103" w:firstLine="0"/>
    </w:pPr>
  </w:style>
  <w:style w:type="paragraph" w:customStyle="1" w:styleId="Rfrenceinterne">
    <w:name w:val="Référence interne"/>
    <w:basedOn w:val="Normal"/>
    <w:next w:val="Rfrenceinterinstitutionnelle"/>
    <w:pPr>
      <w:numPr>
        <w:ilvl w:val="6"/>
        <w:numId w:val="2"/>
      </w:numPr>
      <w:tabs>
        <w:tab w:val="clear" w:pos="2551"/>
      </w:tabs>
      <w:spacing w:before="0" w:after="0"/>
      <w:ind w:left="5103" w:firstLine="0"/>
      <w:jc w:val="left"/>
    </w:pPr>
  </w:style>
  <w:style w:type="paragraph" w:customStyle="1" w:styleId="SectionTitle">
    <w:name w:val="SectionTitle"/>
    <w:basedOn w:val="Normal"/>
    <w:next w:val="Heading1"/>
    <w:pPr>
      <w:keepNext/>
      <w:numPr>
        <w:ilvl w:val="1"/>
        <w:numId w:val="2"/>
      </w:numPr>
      <w:tabs>
        <w:tab w:val="clear" w:pos="850"/>
      </w:tabs>
      <w:spacing w:after="360"/>
      <w:ind w:left="0" w:firstLine="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numPr>
        <w:ilvl w:val="3"/>
        <w:numId w:val="2"/>
      </w:numPr>
      <w:tabs>
        <w:tab w:val="clear" w:pos="1417"/>
      </w:tabs>
      <w:spacing w:before="0" w:after="0"/>
      <w:ind w:left="0" w:firstLine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pPr>
      <w:numPr>
        <w:ilvl w:val="5"/>
      </w:numPr>
      <w:tabs>
        <w:tab w:val="clear" w:pos="1984"/>
      </w:tabs>
      <w:ind w:left="0" w:firstLine="0"/>
    </w:pPr>
  </w:style>
  <w:style w:type="paragraph" w:customStyle="1" w:styleId="Statut">
    <w:name w:val="Statut"/>
    <w:basedOn w:val="Normal"/>
    <w:next w:val="Normal"/>
    <w:pPr>
      <w:numPr>
        <w:ilvl w:val="7"/>
        <w:numId w:val="2"/>
      </w:numPr>
      <w:tabs>
        <w:tab w:val="clear" w:pos="2551"/>
      </w:tabs>
      <w:spacing w:before="360" w:after="0"/>
      <w:ind w:left="0" w:firstLine="0"/>
      <w:jc w:val="center"/>
    </w:pPr>
  </w:style>
  <w:style w:type="paragraph" w:customStyle="1" w:styleId="StatutPagedecouverture">
    <w:name w:val="Statut (Page de couverture)"/>
    <w:basedOn w:val="Statut"/>
    <w:next w:val="Normal"/>
    <w:pPr>
      <w:numPr>
        <w:ilvl w:val="8"/>
      </w:numPr>
      <w:tabs>
        <w:tab w:val="clear" w:pos="3118"/>
      </w:tabs>
      <w:ind w:left="0" w:firstLine="0"/>
    </w:pPr>
  </w:style>
  <w:style w:type="paragraph" w:customStyle="1" w:styleId="ListDash">
    <w:name w:val="List Dash"/>
    <w:basedOn w:val="Normal"/>
    <w:pPr>
      <w:spacing w:after="0"/>
      <w:ind w:firstLine="283"/>
    </w:pPr>
    <w:rPr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Text3">
    <w:name w:val="Text 3"/>
    <w:basedOn w:val="Normal"/>
    <w:pPr>
      <w:spacing w:before="0"/>
    </w:pPr>
    <w:rPr>
      <w:sz w:val="22"/>
      <w:szCs w:val="20"/>
    </w:rPr>
  </w:style>
  <w:style w:type="paragraph" w:styleId="ListBullet3">
    <w:name w:val="List Bullet 3"/>
    <w:basedOn w:val="Text3"/>
    <w:pPr>
      <w:numPr>
        <w:numId w:val="37"/>
      </w:numPr>
      <w:tabs>
        <w:tab w:val="clear" w:pos="283"/>
      </w:tabs>
      <w:ind w:left="454" w:hanging="454"/>
    </w:pPr>
  </w:style>
  <w:style w:type="paragraph" w:styleId="ListBullet4">
    <w:name w:val="List Bullet 4"/>
    <w:basedOn w:val="Normal"/>
    <w:pPr>
      <w:numPr>
        <w:numId w:val="38"/>
      </w:numPr>
      <w:tabs>
        <w:tab w:val="clear" w:pos="283"/>
      </w:tabs>
      <w:spacing w:before="0"/>
      <w:ind w:left="454" w:hanging="454"/>
    </w:pPr>
    <w:rPr>
      <w:sz w:val="22"/>
      <w:szCs w:val="20"/>
    </w:rPr>
  </w:style>
  <w:style w:type="paragraph" w:styleId="BodyText">
    <w:name w:val="Body Text"/>
    <w:basedOn w:val="Normal"/>
    <w:link w:val="BodyTextChar"/>
    <w:pPr>
      <w:spacing w:after="0"/>
    </w:pPr>
    <w:rPr>
      <w:snapToGrid w:val="0"/>
      <w:szCs w:val="2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napToGrid w:val="0"/>
      <w:sz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mallCaps/>
      <w:noProof/>
      <w:color w:val="365F91" w:themeColor="accent1" w:themeShade="BF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smallCaps/>
      <w:noProof/>
      <w:color w:val="365F91" w:themeColor="accent1" w:themeShade="BF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Point0letter">
    <w:name w:val="Point 0 (letter)"/>
    <w:basedOn w:val="Normal"/>
    <w:pPr>
      <w:numPr>
        <w:ilvl w:val="1"/>
        <w:numId w:val="1"/>
      </w:numPr>
    </w:pPr>
  </w:style>
  <w:style w:type="paragraph" w:customStyle="1" w:styleId="Point0number">
    <w:name w:val="Point 0 (number)"/>
    <w:basedOn w:val="Normal"/>
    <w:pPr>
      <w:numPr>
        <w:numId w:val="1"/>
      </w:numPr>
    </w:pPr>
  </w:style>
  <w:style w:type="paragraph" w:customStyle="1" w:styleId="Point1letter">
    <w:name w:val="Point 1 (letter)"/>
    <w:basedOn w:val="Normal"/>
    <w:pPr>
      <w:numPr>
        <w:ilvl w:val="3"/>
        <w:numId w:val="1"/>
      </w:numPr>
    </w:pPr>
  </w:style>
  <w:style w:type="paragraph" w:customStyle="1" w:styleId="Point1number">
    <w:name w:val="Point 1 (number)"/>
    <w:basedOn w:val="Normal"/>
    <w:pPr>
      <w:numPr>
        <w:ilvl w:val="2"/>
        <w:numId w:val="1"/>
      </w:numPr>
    </w:pPr>
  </w:style>
  <w:style w:type="paragraph" w:customStyle="1" w:styleId="Point2letter">
    <w:name w:val="Point 2 (letter)"/>
    <w:basedOn w:val="Normal"/>
    <w:pPr>
      <w:numPr>
        <w:ilvl w:val="5"/>
        <w:numId w:val="1"/>
      </w:numPr>
    </w:pPr>
  </w:style>
  <w:style w:type="paragraph" w:customStyle="1" w:styleId="Point2number">
    <w:name w:val="Point 2 (number)"/>
    <w:basedOn w:val="Normal"/>
    <w:pPr>
      <w:numPr>
        <w:ilvl w:val="4"/>
        <w:numId w:val="1"/>
      </w:numPr>
    </w:pPr>
  </w:style>
  <w:style w:type="paragraph" w:customStyle="1" w:styleId="Point3letter">
    <w:name w:val="Point 3 (letter)"/>
    <w:basedOn w:val="Normal"/>
    <w:pPr>
      <w:numPr>
        <w:ilvl w:val="7"/>
        <w:numId w:val="1"/>
      </w:numPr>
    </w:pPr>
  </w:style>
  <w:style w:type="paragraph" w:customStyle="1" w:styleId="Point3number">
    <w:name w:val="Point 3 (number)"/>
    <w:basedOn w:val="Normal"/>
    <w:pPr>
      <w:numPr>
        <w:ilvl w:val="6"/>
        <w:numId w:val="1"/>
      </w:numPr>
    </w:pPr>
  </w:style>
  <w:style w:type="paragraph" w:customStyle="1" w:styleId="Point4letter">
    <w:name w:val="Point 4 (letter)"/>
    <w:basedOn w:val="Normal"/>
    <w:pPr>
      <w:numPr>
        <w:ilvl w:val="8"/>
        <w:numId w:val="1"/>
      </w:numPr>
    </w:pPr>
  </w:style>
  <w:style w:type="paragraph" w:customStyle="1" w:styleId="Rfrenceinstitutionnelle">
    <w:name w:val="Référence institutionnelle"/>
    <w:basedOn w:val="Normal"/>
    <w:next w:val="Normal"/>
    <w:pPr>
      <w:numPr>
        <w:numId w:val="2"/>
      </w:numPr>
      <w:tabs>
        <w:tab w:val="clear" w:pos="850"/>
      </w:tabs>
      <w:spacing w:before="0" w:after="240"/>
      <w:ind w:left="5103" w:firstLine="0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numPr>
        <w:ilvl w:val="2"/>
        <w:numId w:val="2"/>
      </w:numPr>
      <w:tabs>
        <w:tab w:val="clear" w:pos="1417"/>
      </w:tabs>
      <w:spacing w:before="0" w:after="0"/>
      <w:ind w:left="5103" w:firstLine="0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Normal"/>
    <w:pPr>
      <w:numPr>
        <w:ilvl w:val="4"/>
      </w:numPr>
      <w:tabs>
        <w:tab w:val="clear" w:pos="1984"/>
      </w:tabs>
      <w:ind w:left="5103" w:firstLine="0"/>
    </w:pPr>
  </w:style>
  <w:style w:type="paragraph" w:customStyle="1" w:styleId="Rfrenceinterne">
    <w:name w:val="Référence interne"/>
    <w:basedOn w:val="Normal"/>
    <w:next w:val="Rfrenceinterinstitutionnelle"/>
    <w:pPr>
      <w:numPr>
        <w:ilvl w:val="6"/>
        <w:numId w:val="2"/>
      </w:numPr>
      <w:tabs>
        <w:tab w:val="clear" w:pos="2551"/>
      </w:tabs>
      <w:spacing w:before="0" w:after="0"/>
      <w:ind w:left="5103" w:firstLine="0"/>
      <w:jc w:val="left"/>
    </w:pPr>
  </w:style>
  <w:style w:type="paragraph" w:customStyle="1" w:styleId="SectionTitle">
    <w:name w:val="SectionTitle"/>
    <w:basedOn w:val="Normal"/>
    <w:next w:val="Heading1"/>
    <w:pPr>
      <w:keepNext/>
      <w:numPr>
        <w:ilvl w:val="1"/>
        <w:numId w:val="2"/>
      </w:numPr>
      <w:tabs>
        <w:tab w:val="clear" w:pos="850"/>
      </w:tabs>
      <w:spacing w:after="360"/>
      <w:ind w:left="0" w:firstLine="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numPr>
        <w:ilvl w:val="3"/>
        <w:numId w:val="2"/>
      </w:numPr>
      <w:tabs>
        <w:tab w:val="clear" w:pos="1417"/>
      </w:tabs>
      <w:spacing w:before="0" w:after="0"/>
      <w:ind w:left="0" w:firstLine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pPr>
      <w:numPr>
        <w:ilvl w:val="5"/>
      </w:numPr>
      <w:tabs>
        <w:tab w:val="clear" w:pos="1984"/>
      </w:tabs>
      <w:ind w:left="0" w:firstLine="0"/>
    </w:pPr>
  </w:style>
  <w:style w:type="paragraph" w:customStyle="1" w:styleId="Statut">
    <w:name w:val="Statut"/>
    <w:basedOn w:val="Normal"/>
    <w:next w:val="Normal"/>
    <w:pPr>
      <w:numPr>
        <w:ilvl w:val="7"/>
        <w:numId w:val="2"/>
      </w:numPr>
      <w:tabs>
        <w:tab w:val="clear" w:pos="2551"/>
      </w:tabs>
      <w:spacing w:before="360" w:after="0"/>
      <w:ind w:left="0" w:firstLine="0"/>
      <w:jc w:val="center"/>
    </w:pPr>
  </w:style>
  <w:style w:type="paragraph" w:customStyle="1" w:styleId="StatutPagedecouverture">
    <w:name w:val="Statut (Page de couverture)"/>
    <w:basedOn w:val="Statut"/>
    <w:next w:val="Normal"/>
    <w:pPr>
      <w:numPr>
        <w:ilvl w:val="8"/>
      </w:numPr>
      <w:tabs>
        <w:tab w:val="clear" w:pos="3118"/>
      </w:tabs>
      <w:ind w:left="0" w:firstLine="0"/>
    </w:pPr>
  </w:style>
  <w:style w:type="paragraph" w:customStyle="1" w:styleId="ListDash">
    <w:name w:val="List Dash"/>
    <w:basedOn w:val="Normal"/>
    <w:pPr>
      <w:spacing w:after="0"/>
      <w:ind w:firstLine="283"/>
    </w:pPr>
    <w:rPr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Text3">
    <w:name w:val="Text 3"/>
    <w:basedOn w:val="Normal"/>
    <w:pPr>
      <w:spacing w:before="0"/>
    </w:pPr>
    <w:rPr>
      <w:sz w:val="22"/>
      <w:szCs w:val="20"/>
    </w:rPr>
  </w:style>
  <w:style w:type="paragraph" w:styleId="ListBullet3">
    <w:name w:val="List Bullet 3"/>
    <w:basedOn w:val="Text3"/>
    <w:pPr>
      <w:numPr>
        <w:numId w:val="37"/>
      </w:numPr>
      <w:tabs>
        <w:tab w:val="clear" w:pos="283"/>
      </w:tabs>
      <w:ind w:left="454" w:hanging="454"/>
    </w:pPr>
  </w:style>
  <w:style w:type="paragraph" w:styleId="ListBullet4">
    <w:name w:val="List Bullet 4"/>
    <w:basedOn w:val="Normal"/>
    <w:pPr>
      <w:numPr>
        <w:numId w:val="38"/>
      </w:numPr>
      <w:tabs>
        <w:tab w:val="clear" w:pos="283"/>
      </w:tabs>
      <w:spacing w:before="0"/>
      <w:ind w:left="454" w:hanging="454"/>
    </w:pPr>
    <w:rPr>
      <w:sz w:val="22"/>
      <w:szCs w:val="20"/>
    </w:rPr>
  </w:style>
  <w:style w:type="paragraph" w:styleId="BodyText">
    <w:name w:val="Body Text"/>
    <w:basedOn w:val="Normal"/>
    <w:link w:val="BodyTextChar"/>
    <w:pPr>
      <w:spacing w:after="0"/>
    </w:pPr>
    <w:rPr>
      <w:snapToGrid w:val="0"/>
      <w:szCs w:val="2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napToGrid w:val="0"/>
      <w:sz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mallCaps/>
      <w:noProof/>
      <w:color w:val="365F91" w:themeColor="accent1" w:themeShade="BF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smallCaps/>
      <w:noProof/>
      <w:color w:val="365F91" w:themeColor="accent1" w:themeShade="BF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46F7-599D-4BFB-9E81-68AA948F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Brunetti</dc:creator>
  <cp:lastModifiedBy>BARTH Carmen (SG)</cp:lastModifiedBy>
  <cp:revision>20</cp:revision>
  <cp:lastPrinted>2016-01-12T09:40:00Z</cp:lastPrinted>
  <dcterms:created xsi:type="dcterms:W3CDTF">2016-02-08T09:03:00Z</dcterms:created>
  <dcterms:modified xsi:type="dcterms:W3CDTF">2017-06-16T08:43:00Z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