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6F" w:rsidRDefault="00CD62E5">
      <w:pPr>
        <w:pStyle w:val="Pagedecouverture"/>
        <w:rPr>
          <w:noProof/>
          <w:lang w:eastAsia="en-GB"/>
        </w:rPr>
      </w:pPr>
      <w:bookmarkStart w:id="0" w:name="LW_BM_COVERPAGE"/>
      <w:bookmarkStart w:id="1" w:name="_Toc290283331"/>
      <w:bookmarkStart w:id="2" w:name="_Toc402519957"/>
      <w:bookmarkStart w:id="3" w:name="_Toc402520009"/>
      <w:bookmarkStart w:id="4" w:name="_Toc404257972"/>
      <w:bookmarkStart w:id="5" w:name="_Toc404260783"/>
      <w:bookmarkStart w:id="6" w:name="_Toc435435114"/>
      <w:bookmarkStart w:id="7" w:name="_Toc290283321"/>
      <w:bookmarkStart w:id="8" w:name="_Toc402519947"/>
      <w:bookmarkStart w:id="9" w:name="_Toc402519999"/>
      <w:bookmarkStart w:id="10" w:name="_GoBack"/>
      <w:bookmarkEnd w:id="10"/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B233E45AE4542CAB9F21584317AA921" style="width:450.3pt;height:394.3pt">
            <v:imagedata r:id="rId9" o:title=""/>
          </v:shape>
        </w:pict>
      </w:r>
    </w:p>
    <w:bookmarkEnd w:id="0"/>
    <w:p w:rsidR="0037276F" w:rsidRDefault="0037276F">
      <w:pPr>
        <w:rPr>
          <w:noProof/>
          <w:lang w:eastAsia="en-GB"/>
        </w:rPr>
        <w:sectPr w:rsidR="0037276F" w:rsidSect="00CD62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37276F" w:rsidRDefault="00CD62E5">
      <w:pPr>
        <w:keepNext/>
        <w:spacing w:after="0"/>
        <w:jc w:val="center"/>
        <w:rPr>
          <w:i/>
          <w:noProof/>
          <w:color w:val="000000"/>
          <w:sz w:val="20"/>
          <w:szCs w:val="22"/>
          <w:lang w:eastAsia="en-GB"/>
        </w:rPr>
      </w:pPr>
      <w:bookmarkStart w:id="11" w:name="_Toc402508901"/>
      <w:bookmarkEnd w:id="1"/>
      <w:bookmarkEnd w:id="2"/>
      <w:bookmarkEnd w:id="3"/>
      <w:bookmarkEnd w:id="4"/>
      <w:bookmarkEnd w:id="5"/>
      <w:bookmarkEnd w:id="6"/>
      <w:r>
        <w:rPr>
          <w:i/>
          <w:noProof/>
          <w:color w:val="000000"/>
          <w:sz w:val="20"/>
          <w:szCs w:val="22"/>
          <w:lang w:eastAsia="en-GB"/>
        </w:rPr>
        <w:lastRenderedPageBreak/>
        <w:t>Table 1 - Main performance indicators.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6"/>
        <w:gridCol w:w="1701"/>
        <w:gridCol w:w="1701"/>
        <w:gridCol w:w="1702"/>
        <w:gridCol w:w="1701"/>
        <w:gridCol w:w="1701"/>
        <w:gridCol w:w="1702"/>
      </w:tblGrid>
      <w:tr w:rsidR="0037276F">
        <w:trPr>
          <w:tblHeader/>
        </w:trPr>
        <w:tc>
          <w:tcPr>
            <w:tcW w:w="3966" w:type="dxa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37276F">
            <w:pPr>
              <w:spacing w:beforeLines="60" w:before="144" w:afterLines="60" w:after="144"/>
              <w:rPr>
                <w:noProof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CD62E5">
            <w:pPr>
              <w:spacing w:beforeLines="60" w:before="144" w:afterLines="60" w:after="14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color w:val="000000"/>
                <w:sz w:val="20"/>
                <w:szCs w:val="22"/>
                <w:lang w:eastAsia="en-GB"/>
              </w:rPr>
              <w:t>Kozloduy NPP Units 1-4</w:t>
            </w:r>
            <w:r>
              <w:rPr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†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CD62E5">
            <w:pPr>
              <w:spacing w:beforeLines="60" w:before="144" w:afterLines="60" w:after="14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color w:val="000000"/>
                <w:sz w:val="20"/>
                <w:szCs w:val="22"/>
                <w:lang w:eastAsia="en-GB"/>
              </w:rPr>
              <w:t>Ignalina NPP</w:t>
            </w:r>
            <w:r>
              <w:rPr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†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CD62E5">
            <w:pPr>
              <w:spacing w:beforeLines="60" w:before="144" w:afterLines="60" w:after="14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color w:val="000000"/>
                <w:sz w:val="20"/>
                <w:szCs w:val="22"/>
                <w:lang w:eastAsia="en-GB"/>
              </w:rPr>
              <w:t>Bohunice V1 NPP</w:t>
            </w:r>
            <w:r>
              <w:rPr>
                <w:noProof/>
                <w:color w:val="000000"/>
                <w:sz w:val="20"/>
                <w:szCs w:val="20"/>
                <w:vertAlign w:val="superscript"/>
                <w:lang w:eastAsia="en-GB"/>
              </w:rPr>
              <w:t>†</w:t>
            </w:r>
          </w:p>
        </w:tc>
      </w:tr>
      <w:tr w:rsidR="0037276F">
        <w:trPr>
          <w:cantSplit/>
        </w:trPr>
        <w:tc>
          <w:tcPr>
            <w:tcW w:w="3966" w:type="dxa"/>
            <w:tcBorders>
              <w:top w:val="single" w:sz="12" w:space="0" w:color="auto"/>
            </w:tcBorders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Are the </w:t>
            </w:r>
            <w:r>
              <w:rPr>
                <w:noProof/>
                <w:sz w:val="20"/>
              </w:rPr>
              <w:t>reactor cores defueled?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Unit 1:</w:t>
            </w:r>
            <w:r>
              <w:rPr>
                <w:noProof/>
                <w:sz w:val="20"/>
              </w:rPr>
              <w:br/>
              <w:t>fully defueled</w:t>
            </w:r>
            <w:r>
              <w:rPr>
                <w:noProof/>
                <w:sz w:val="20"/>
              </w:rPr>
              <w:br/>
              <w:t xml:space="preserve">Unit 2: </w:t>
            </w:r>
            <w:r>
              <w:rPr>
                <w:noProof/>
                <w:sz w:val="20"/>
              </w:rPr>
              <w:br/>
              <w:t>31% defueled - 1134 assemblies remaining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</w:p>
        </w:tc>
        <w:tc>
          <w:tcPr>
            <w:tcW w:w="1702" w:type="dxa"/>
            <w:tcBorders>
              <w:top w:val="single" w:sz="12" w:space="0" w:color="auto"/>
            </w:tcBorders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</w:tr>
      <w:tr w:rsidR="0037276F">
        <w:trPr>
          <w:cantSplit/>
        </w:trPr>
        <w:tc>
          <w:tcPr>
            <w:tcW w:w="3966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Are the reactor ponds defueled?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Unit 1:</w:t>
            </w:r>
            <w:r>
              <w:rPr>
                <w:noProof/>
                <w:sz w:val="20"/>
              </w:rPr>
              <w:br/>
              <w:t>0%</w:t>
            </w:r>
            <w:r>
              <w:rPr>
                <w:noProof/>
                <w:sz w:val="20"/>
              </w:rPr>
              <w:br/>
              <w:t>7084 assemblies remaining</w:t>
            </w:r>
            <w:r>
              <w:rPr>
                <w:noProof/>
                <w:sz w:val="20"/>
              </w:rPr>
              <w:br/>
              <w:t>Unit 2:</w:t>
            </w:r>
            <w:r>
              <w:rPr>
                <w:noProof/>
                <w:sz w:val="20"/>
              </w:rPr>
              <w:br/>
              <w:t>0%</w:t>
            </w:r>
            <w:r>
              <w:rPr>
                <w:noProof/>
                <w:sz w:val="20"/>
              </w:rPr>
              <w:br/>
              <w:t>7246 assemblies remaining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</w:tr>
      <w:tr w:rsidR="0037276F">
        <w:trPr>
          <w:cantSplit/>
        </w:trPr>
        <w:tc>
          <w:tcPr>
            <w:tcW w:w="3966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Has a decommissioning license been issued?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 (Units 1-2)</w:t>
            </w:r>
          </w:p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 (Units 3-4)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27 Nov 2014</w:t>
            </w:r>
          </w:p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28 July 2016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Ignalina NPP Unit 1 operating license conditions were adapted to authorise dismantling and decontamination of equipment.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23 Dec 2014</w:t>
            </w:r>
            <w:r>
              <w:rPr>
                <w:noProof/>
                <w:sz w:val="20"/>
              </w:rPr>
              <w:tab/>
            </w:r>
            <w:r>
              <w:rPr>
                <w:noProof/>
                <w:sz w:val="20"/>
              </w:rPr>
              <w:br/>
              <w:t>Stage II</w:t>
            </w:r>
          </w:p>
        </w:tc>
      </w:tr>
      <w:tr w:rsidR="0037276F">
        <w:trPr>
          <w:cantSplit/>
        </w:trPr>
        <w:tc>
          <w:tcPr>
            <w:tcW w:w="3966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Hav</w:t>
            </w:r>
            <w:r>
              <w:rPr>
                <w:noProof/>
                <w:sz w:val="20"/>
              </w:rPr>
              <w:t>e the primary circuits been dismantled?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 to date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 to date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4%</w:t>
            </w:r>
          </w:p>
        </w:tc>
      </w:tr>
      <w:tr w:rsidR="0037276F">
        <w:trPr>
          <w:cantSplit/>
        </w:trPr>
        <w:tc>
          <w:tcPr>
            <w:tcW w:w="3966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Have the turbine hall systems been dismantled?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33% Units 1-4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Unit 1: </w:t>
            </w:r>
            <w:r>
              <w:rPr>
                <w:noProof/>
                <w:sz w:val="20"/>
              </w:rPr>
              <w:br/>
              <w:t>99% dismantled</w:t>
            </w:r>
            <w:r>
              <w:rPr>
                <w:noProof/>
                <w:sz w:val="20"/>
              </w:rPr>
              <w:br/>
              <w:t>Unit 2:</w:t>
            </w:r>
            <w:r>
              <w:rPr>
                <w:noProof/>
                <w:sz w:val="20"/>
              </w:rPr>
              <w:br/>
              <w:t>30% dismantled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100%</w:t>
            </w:r>
          </w:p>
        </w:tc>
      </w:tr>
      <w:tr w:rsidR="0037276F">
        <w:trPr>
          <w:cantSplit/>
        </w:trPr>
        <w:tc>
          <w:tcPr>
            <w:tcW w:w="3966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Have the reactor vessels been </w:t>
            </w:r>
            <w:r>
              <w:rPr>
                <w:noProof/>
                <w:sz w:val="20"/>
              </w:rPr>
              <w:t>dismantled?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 to date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 to date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</w:t>
            </w:r>
            <w:r>
              <w:rPr>
                <w:noProof/>
                <w:sz w:val="20"/>
                <w:vertAlign w:val="superscript"/>
              </w:rPr>
              <w:t>*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NA to date</w:t>
            </w:r>
          </w:p>
        </w:tc>
      </w:tr>
      <w:tr w:rsidR="0037276F">
        <w:trPr>
          <w:cantSplit/>
        </w:trPr>
        <w:tc>
          <w:tcPr>
            <w:tcW w:w="3966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Has the decommissioning waste been treated?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Metals free</w:t>
            </w:r>
            <w:r>
              <w:rPr>
                <w:noProof/>
                <w:sz w:val="20"/>
              </w:rPr>
              <w:noBreakHyphen/>
              <w:t>released</w:t>
            </w:r>
            <w:r>
              <w:rPr>
                <w:noProof/>
                <w:sz w:val="20"/>
              </w:rPr>
              <w:br/>
              <w:t>13049 t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Radioactive waste: 10.6 % treated since 2014</w:t>
            </w:r>
            <w:r>
              <w:rPr>
                <w:noProof/>
                <w:sz w:val="20"/>
              </w:rPr>
              <w:br/>
              <w:t>4764.5 m</w:t>
            </w:r>
            <w:r>
              <w:rPr>
                <w:noProof/>
                <w:sz w:val="20"/>
                <w:vertAlign w:val="superscript"/>
              </w:rPr>
              <w:t>3</w:t>
            </w:r>
            <w:r>
              <w:rPr>
                <w:noProof/>
                <w:sz w:val="20"/>
              </w:rPr>
              <w:t xml:space="preserve"> out of 45000 m</w:t>
            </w:r>
            <w:r>
              <w:rPr>
                <w:noProof/>
                <w:sz w:val="20"/>
                <w:vertAlign w:val="superscript"/>
              </w:rPr>
              <w:t>3</w:t>
            </w:r>
            <w:r>
              <w:rPr>
                <w:noProof/>
                <w:sz w:val="20"/>
              </w:rPr>
              <w:t xml:space="preserve"> estimated total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Ongoing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Conv. waste 74692t </w:t>
            </w:r>
          </w:p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Rad-waste</w:t>
            </w:r>
          </w:p>
          <w:p w:rsidR="0037276F" w:rsidRDefault="00CD62E5">
            <w:pPr>
              <w:spacing w:beforeLines="40" w:before="96" w:afterLines="40" w:after="96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408 FWP</w:t>
            </w:r>
            <w:r>
              <w:rPr>
                <w:noProof/>
                <w:sz w:val="20"/>
                <w:vertAlign w:val="superscript"/>
              </w:rPr>
              <w:t>‡</w:t>
            </w:r>
          </w:p>
        </w:tc>
      </w:tr>
      <w:tr w:rsidR="0037276F">
        <w:trPr>
          <w:cantSplit/>
        </w:trPr>
        <w:tc>
          <w:tcPr>
            <w:tcW w:w="3966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Project schedule: are the main milestones, defined in the decommissioning plans, met?</w:t>
            </w: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  <w:r>
              <w:rPr>
                <w:noProof/>
                <w:sz w:val="20"/>
                <w:vertAlign w:val="superscript"/>
              </w:rPr>
              <w:t>**</w:t>
            </w:r>
          </w:p>
        </w:tc>
        <w:tc>
          <w:tcPr>
            <w:tcW w:w="1701" w:type="dxa"/>
          </w:tcPr>
          <w:p w:rsidR="0037276F" w:rsidRDefault="0037276F">
            <w:pPr>
              <w:spacing w:beforeLines="40" w:before="96" w:afterLines="40" w:after="96"/>
              <w:rPr>
                <w:noProof/>
                <w:sz w:val="20"/>
              </w:rPr>
            </w:pP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Yes</w:t>
            </w:r>
            <w:r>
              <w:rPr>
                <w:noProof/>
                <w:sz w:val="20"/>
                <w:vertAlign w:val="superscript"/>
              </w:rPr>
              <w:t>**</w:t>
            </w:r>
          </w:p>
        </w:tc>
        <w:tc>
          <w:tcPr>
            <w:tcW w:w="1701" w:type="dxa"/>
          </w:tcPr>
          <w:p w:rsidR="0037276F" w:rsidRDefault="0037276F">
            <w:pPr>
              <w:spacing w:beforeLines="40" w:before="96" w:afterLines="40" w:after="96"/>
              <w:rPr>
                <w:noProof/>
                <w:sz w:val="20"/>
              </w:rPr>
            </w:pPr>
          </w:p>
        </w:tc>
        <w:tc>
          <w:tcPr>
            <w:tcW w:w="1701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Partially</w:t>
            </w:r>
            <w:r>
              <w:rPr>
                <w:noProof/>
                <w:sz w:val="20"/>
                <w:vertAlign w:val="superscript"/>
              </w:rPr>
              <w:t>**</w:t>
            </w:r>
          </w:p>
        </w:tc>
        <w:tc>
          <w:tcPr>
            <w:tcW w:w="1702" w:type="dxa"/>
          </w:tcPr>
          <w:p w:rsidR="0037276F" w:rsidRDefault="00CD62E5">
            <w:pPr>
              <w:spacing w:beforeLines="40" w:before="96" w:afterLines="40" w:after="96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 over 7</w:t>
            </w:r>
          </w:p>
        </w:tc>
      </w:tr>
    </w:tbl>
    <w:p w:rsidR="0037276F" w:rsidRDefault="00CD62E5">
      <w:pPr>
        <w:tabs>
          <w:tab w:val="left" w:pos="426"/>
        </w:tabs>
        <w:rPr>
          <w:rFonts w:eastAsiaTheme="majorEastAsia"/>
          <w:noProof/>
          <w:sz w:val="20"/>
          <w:lang w:eastAsia="en-GB"/>
        </w:rPr>
      </w:pPr>
      <w:r>
        <w:rPr>
          <w:noProof/>
          <w:color w:val="000000"/>
          <w:sz w:val="20"/>
          <w:szCs w:val="20"/>
          <w:lang w:eastAsia="en-GB"/>
        </w:rPr>
        <w:t>†</w:t>
      </w:r>
      <w:r>
        <w:rPr>
          <w:noProof/>
          <w:color w:val="000000"/>
          <w:sz w:val="20"/>
          <w:szCs w:val="20"/>
          <w:vertAlign w:val="superscript"/>
          <w:lang w:eastAsia="en-GB"/>
        </w:rPr>
        <w:tab/>
      </w:r>
      <w:r>
        <w:rPr>
          <w:noProof/>
          <w:color w:val="000000"/>
          <w:sz w:val="20"/>
          <w:szCs w:val="20"/>
          <w:lang w:eastAsia="en-GB"/>
        </w:rPr>
        <w:t>Ref. 30/06/2016</w:t>
      </w:r>
      <w:r>
        <w:rPr>
          <w:noProof/>
          <w:color w:val="000000"/>
          <w:sz w:val="20"/>
          <w:szCs w:val="20"/>
          <w:lang w:eastAsia="en-GB"/>
        </w:rPr>
        <w:tab/>
      </w:r>
      <w:r>
        <w:rPr>
          <w:noProof/>
          <w:color w:val="000000"/>
          <w:sz w:val="20"/>
          <w:szCs w:val="20"/>
          <w:vertAlign w:val="superscript"/>
          <w:lang w:eastAsia="en-GB"/>
        </w:rPr>
        <w:br/>
      </w:r>
      <w:r>
        <w:rPr>
          <w:rFonts w:eastAsiaTheme="majorEastAsia"/>
          <w:noProof/>
          <w:sz w:val="20"/>
          <w:lang w:eastAsia="en-GB"/>
        </w:rPr>
        <w:t>*</w:t>
      </w:r>
      <w:r>
        <w:rPr>
          <w:rFonts w:eastAsiaTheme="majorEastAsia"/>
          <w:noProof/>
          <w:sz w:val="20"/>
          <w:lang w:eastAsia="en-GB"/>
        </w:rPr>
        <w:tab/>
        <w:t xml:space="preserve">These activities were not planned to start by the end of the reporting </w:t>
      </w:r>
      <w:r>
        <w:rPr>
          <w:rFonts w:eastAsiaTheme="majorEastAsia"/>
          <w:noProof/>
          <w:sz w:val="20"/>
          <w:lang w:eastAsia="en-GB"/>
        </w:rPr>
        <w:t>period, in line with the approved baseline.</w:t>
      </w:r>
      <w:r>
        <w:rPr>
          <w:rFonts w:eastAsiaTheme="majorEastAsia"/>
          <w:noProof/>
          <w:sz w:val="20"/>
          <w:lang w:eastAsia="en-GB"/>
        </w:rPr>
        <w:tab/>
      </w:r>
      <w:r>
        <w:rPr>
          <w:rFonts w:eastAsiaTheme="majorEastAsia"/>
          <w:noProof/>
          <w:sz w:val="20"/>
          <w:lang w:eastAsia="en-GB"/>
        </w:rPr>
        <w:br/>
        <w:t>**</w:t>
      </w:r>
      <w:r>
        <w:rPr>
          <w:rFonts w:eastAsiaTheme="majorEastAsia"/>
          <w:noProof/>
          <w:sz w:val="20"/>
          <w:lang w:eastAsia="en-GB"/>
        </w:rPr>
        <w:tab/>
        <w:t>The main milestones are identified in the detailed objectives</w:t>
      </w:r>
      <w:r>
        <w:rPr>
          <w:rFonts w:eastAsiaTheme="majorEastAsia"/>
          <w:noProof/>
          <w:sz w:val="20"/>
          <w:lang w:eastAsia="en-GB"/>
        </w:rPr>
        <w:tab/>
      </w:r>
      <w:r>
        <w:rPr>
          <w:rFonts w:eastAsiaTheme="majorEastAsia"/>
          <w:noProof/>
          <w:sz w:val="20"/>
          <w:lang w:eastAsia="en-GB"/>
        </w:rPr>
        <w:br/>
      </w:r>
      <w:r>
        <w:rPr>
          <w:noProof/>
          <w:sz w:val="20"/>
        </w:rPr>
        <w:t>‡</w:t>
      </w:r>
      <w:r>
        <w:rPr>
          <w:noProof/>
          <w:sz w:val="20"/>
        </w:rPr>
        <w:tab/>
      </w:r>
      <w:r>
        <w:rPr>
          <w:rFonts w:eastAsiaTheme="majorEastAsia"/>
          <w:noProof/>
          <w:sz w:val="20"/>
          <w:lang w:eastAsia="en-GB"/>
        </w:rPr>
        <w:t>FWP = Final Waste Package for radioactive waste disposal</w:t>
      </w:r>
      <w:r>
        <w:rPr>
          <w:rFonts w:eastAsiaTheme="majorEastAsia"/>
          <w:noProof/>
          <w:sz w:val="20"/>
          <w:lang w:eastAsia="en-GB"/>
        </w:rPr>
        <w:tab/>
        <w:t>.</w:t>
      </w:r>
    </w:p>
    <w:p w:rsidR="0037276F" w:rsidRDefault="00CD62E5">
      <w:pPr>
        <w:rPr>
          <w:rFonts w:eastAsiaTheme="majorEastAsia"/>
          <w:noProof/>
          <w:lang w:eastAsia="en-GB"/>
        </w:rPr>
      </w:pPr>
      <w:r>
        <w:rPr>
          <w:rFonts w:eastAsiaTheme="majorEastAsia"/>
          <w:noProof/>
          <w:lang w:eastAsia="en-GB"/>
        </w:rPr>
        <w:br w:type="page"/>
      </w:r>
    </w:p>
    <w:p w:rsidR="0037276F" w:rsidRDefault="00CD62E5">
      <w:pPr>
        <w:keepNext/>
        <w:spacing w:after="0"/>
        <w:jc w:val="center"/>
        <w:rPr>
          <w:i/>
          <w:noProof/>
          <w:color w:val="000000"/>
          <w:sz w:val="20"/>
          <w:szCs w:val="22"/>
          <w:lang w:eastAsia="en-GB"/>
        </w:rPr>
      </w:pPr>
      <w:r>
        <w:rPr>
          <w:i/>
          <w:noProof/>
          <w:color w:val="000000"/>
          <w:sz w:val="20"/>
          <w:szCs w:val="22"/>
          <w:lang w:eastAsia="en-GB"/>
        </w:rPr>
        <w:t xml:space="preserve">Table 2 - Additional performance indicators - </w:t>
      </w:r>
      <w:r>
        <w:rPr>
          <w:i/>
          <w:noProof/>
          <w:color w:val="000000"/>
          <w:sz w:val="20"/>
          <w:szCs w:val="20"/>
          <w:lang w:eastAsia="en-GB"/>
        </w:rPr>
        <w:t>(€ million)</w:t>
      </w:r>
      <w:r>
        <w:rPr>
          <w:i/>
          <w:noProof/>
          <w:color w:val="000000"/>
          <w:sz w:val="20"/>
          <w:szCs w:val="22"/>
          <w:lang w:eastAsia="en-GB"/>
        </w:rPr>
        <w:t>.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5"/>
        <w:gridCol w:w="3122"/>
        <w:gridCol w:w="3122"/>
        <w:gridCol w:w="3122"/>
      </w:tblGrid>
      <w:tr w:rsidR="0037276F">
        <w:trPr>
          <w:jc w:val="center"/>
        </w:trPr>
        <w:tc>
          <w:tcPr>
            <w:tcW w:w="3965" w:type="dxa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37276F">
            <w:pPr>
              <w:spacing w:beforeLines="60" w:before="144" w:afterLines="60" w:after="144"/>
              <w:rPr>
                <w:noProof/>
                <w:sz w:val="20"/>
              </w:rPr>
            </w:pP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CD62E5">
            <w:pPr>
              <w:spacing w:beforeLines="60" w:before="144" w:afterLines="60" w:after="144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eastAsia="en-GB"/>
              </w:rPr>
              <w:t>Kozloduy NPP Units 1-4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CD62E5">
            <w:pPr>
              <w:spacing w:beforeLines="60" w:before="144" w:afterLines="60" w:after="144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eastAsia="en-GB"/>
              </w:rPr>
              <w:t>Ignalina NPP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</w:tcBorders>
          </w:tcPr>
          <w:p w:rsidR="0037276F" w:rsidRDefault="00CD62E5">
            <w:pPr>
              <w:spacing w:beforeLines="60" w:before="144" w:afterLines="60" w:after="144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color w:val="000000"/>
                <w:sz w:val="22"/>
                <w:szCs w:val="22"/>
                <w:lang w:eastAsia="en-GB"/>
              </w:rPr>
              <w:t>Bohunice V1 NPP</w:t>
            </w:r>
          </w:p>
        </w:tc>
      </w:tr>
      <w:tr w:rsidR="0037276F">
        <w:trPr>
          <w:jc w:val="center"/>
        </w:trPr>
        <w:tc>
          <w:tcPr>
            <w:tcW w:w="3965" w:type="dxa"/>
            <w:tcBorders>
              <w:top w:val="single" w:sz="12" w:space="0" w:color="auto"/>
            </w:tcBorders>
          </w:tcPr>
          <w:p w:rsidR="0037276F" w:rsidRDefault="0037276F">
            <w:pPr>
              <w:spacing w:before="0" w:after="0"/>
              <w:rPr>
                <w:noProof/>
                <w:sz w:val="20"/>
              </w:rPr>
            </w:pPr>
          </w:p>
        </w:tc>
        <w:tc>
          <w:tcPr>
            <w:tcW w:w="9366" w:type="dxa"/>
            <w:gridSpan w:val="3"/>
            <w:tcBorders>
              <w:top w:val="single" w:sz="12" w:space="0" w:color="auto"/>
            </w:tcBorders>
          </w:tcPr>
          <w:p w:rsidR="0037276F" w:rsidRDefault="00CD62E5">
            <w:pPr>
              <w:spacing w:before="0" w:after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[01/01/2014 - 30/06/2016]</w:t>
            </w:r>
          </w:p>
        </w:tc>
      </w:tr>
      <w:tr w:rsidR="0037276F">
        <w:trPr>
          <w:jc w:val="center"/>
        </w:trPr>
        <w:tc>
          <w:tcPr>
            <w:tcW w:w="3965" w:type="dxa"/>
            <w:vAlign w:val="center"/>
          </w:tcPr>
          <w:p w:rsidR="0037276F" w:rsidRDefault="00CD62E5">
            <w:pPr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Planned Value (PV)</w:t>
            </w:r>
          </w:p>
        </w:tc>
        <w:tc>
          <w:tcPr>
            <w:tcW w:w="3122" w:type="dxa"/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104</w:t>
            </w:r>
          </w:p>
        </w:tc>
        <w:tc>
          <w:tcPr>
            <w:tcW w:w="3122" w:type="dxa"/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317</w:t>
            </w:r>
          </w:p>
        </w:tc>
        <w:tc>
          <w:tcPr>
            <w:tcW w:w="3122" w:type="dxa"/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104</w:t>
            </w:r>
          </w:p>
        </w:tc>
      </w:tr>
      <w:tr w:rsidR="0037276F">
        <w:trPr>
          <w:jc w:val="center"/>
        </w:trPr>
        <w:tc>
          <w:tcPr>
            <w:tcW w:w="3965" w:type="dxa"/>
            <w:tcBorders>
              <w:bottom w:val="single" w:sz="4" w:space="0" w:color="auto"/>
            </w:tcBorders>
            <w:vAlign w:val="center"/>
          </w:tcPr>
          <w:p w:rsidR="0037276F" w:rsidRDefault="00CD62E5">
            <w:pPr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Earned Value (EV)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92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254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</w:tc>
      </w:tr>
      <w:tr w:rsidR="0037276F">
        <w:trPr>
          <w:jc w:val="center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37276F" w:rsidRDefault="00CD62E5">
            <w:pPr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Actual Cost (AC)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86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244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37276F" w:rsidRDefault="00CD62E5">
            <w:pPr>
              <w:tabs>
                <w:tab w:val="left" w:pos="930"/>
              </w:tabs>
              <w:jc w:val="center"/>
              <w:rPr>
                <w:noProof/>
              </w:rPr>
            </w:pPr>
            <w:r>
              <w:rPr>
                <w:noProof/>
              </w:rPr>
              <w:t>87</w:t>
            </w:r>
          </w:p>
        </w:tc>
      </w:tr>
      <w:tr w:rsidR="0037276F">
        <w:trPr>
          <w:jc w:val="center"/>
        </w:trPr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76F" w:rsidRDefault="00CD62E5">
            <w:pPr>
              <w:spacing w:before="40" w:after="4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Schedule performance SPI = EV / PV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7276F" w:rsidRDefault="00CD62E5">
            <w:pPr>
              <w:spacing w:before="40" w:after="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21C5D82F" wp14:editId="3E033859">
                  <wp:extent cx="1638300" cy="1092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7276F" w:rsidRDefault="00CD62E5">
            <w:pPr>
              <w:spacing w:before="40" w:after="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1C958DCB" wp14:editId="306D67F5">
                  <wp:extent cx="1638300" cy="1092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7276F" w:rsidRDefault="00CD62E5">
            <w:pPr>
              <w:spacing w:before="40" w:after="4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7039F938" wp14:editId="7B1AC3AA">
                  <wp:extent cx="1638300" cy="1092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76F">
        <w:trPr>
          <w:jc w:val="center"/>
        </w:trPr>
        <w:tc>
          <w:tcPr>
            <w:tcW w:w="3965" w:type="dxa"/>
            <w:tcBorders>
              <w:top w:val="single" w:sz="4" w:space="0" w:color="auto"/>
            </w:tcBorders>
            <w:vAlign w:val="center"/>
          </w:tcPr>
          <w:p w:rsidR="0037276F" w:rsidRDefault="00CD62E5">
            <w:pPr>
              <w:spacing w:before="40" w:after="40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Cost performance CPI = EV / AC</w:t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7276F" w:rsidRDefault="00CD62E5">
            <w:pPr>
              <w:spacing w:beforeLines="60" w:before="144" w:afterLines="60" w:after="144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4CD1475E" wp14:editId="13ABCFAC">
                  <wp:extent cx="1638300" cy="1092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7276F" w:rsidRDefault="00CD62E5">
            <w:pPr>
              <w:spacing w:beforeLines="60" w:before="144" w:afterLines="60" w:after="144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414AA9E3" wp14:editId="68645057">
                  <wp:extent cx="1638300" cy="1092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7276F" w:rsidRDefault="00CD62E5">
            <w:pPr>
              <w:spacing w:beforeLines="60" w:before="144" w:afterLines="60" w:after="144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6B6B0281" wp14:editId="034BF418">
                  <wp:extent cx="1638300" cy="1092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648"/>
                          <a:stretch/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"/>
      <w:bookmarkEnd w:id="8"/>
      <w:bookmarkEnd w:id="9"/>
      <w:bookmarkEnd w:id="11"/>
    </w:tbl>
    <w:p w:rsidR="0037276F" w:rsidRDefault="0037276F">
      <w:pPr>
        <w:spacing w:before="0" w:after="200" w:line="276" w:lineRule="auto"/>
        <w:jc w:val="left"/>
        <w:rPr>
          <w:rFonts w:eastAsiaTheme="majorEastAsia"/>
          <w:b/>
          <w:bCs/>
          <w:smallCaps/>
          <w:noProof/>
          <w:szCs w:val="28"/>
          <w:lang w:eastAsia="en-GB"/>
        </w:rPr>
      </w:pPr>
    </w:p>
    <w:sectPr w:rsidR="0037276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274" w:right="1440" w:bottom="180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6F" w:rsidRDefault="00CD62E5">
      <w:pPr>
        <w:spacing w:before="0" w:after="0"/>
      </w:pPr>
      <w:r>
        <w:separator/>
      </w:r>
    </w:p>
  </w:endnote>
  <w:endnote w:type="continuationSeparator" w:id="0">
    <w:p w:rsidR="0037276F" w:rsidRDefault="00CD62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CD62E5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CD62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6F" w:rsidRDefault="00CD62E5">
      <w:pPr>
        <w:spacing w:before="0" w:after="0"/>
      </w:pPr>
      <w:r>
        <w:separator/>
      </w:r>
    </w:p>
  </w:footnote>
  <w:footnote w:type="continuationSeparator" w:id="0">
    <w:p w:rsidR="0037276F" w:rsidRDefault="00CD62E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6F" w:rsidRDefault="00372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865"/>
    <w:multiLevelType w:val="hybridMultilevel"/>
    <w:tmpl w:val="7128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B39F7"/>
    <w:multiLevelType w:val="multilevel"/>
    <w:tmpl w:val="EA1247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B6D23"/>
    <w:multiLevelType w:val="hybridMultilevel"/>
    <w:tmpl w:val="569065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2685D"/>
    <w:multiLevelType w:val="singleLevel"/>
    <w:tmpl w:val="978A2CCC"/>
    <w:lvl w:ilvl="0">
      <w:start w:val="1"/>
      <w:numFmt w:val="bullet"/>
      <w:lvlRestart w:val="0"/>
      <w:pStyle w:val="ListBullet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">
    <w:nsid w:val="143D0A16"/>
    <w:multiLevelType w:val="singleLevel"/>
    <w:tmpl w:val="733AE0FC"/>
    <w:lvl w:ilvl="0">
      <w:start w:val="1"/>
      <w:numFmt w:val="bullet"/>
      <w:lvlRestart w:val="0"/>
      <w:pStyle w:val="ListBullet3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1B3C78B8"/>
    <w:multiLevelType w:val="multilevel"/>
    <w:tmpl w:val="2ED4F4D0"/>
    <w:name w:val="Point"/>
    <w:lvl w:ilvl="0">
      <w:start w:val="1"/>
      <w:numFmt w:val="decimal"/>
      <w:lvlRestart w:val="0"/>
      <w:pStyle w:val="Rfrenceinstitutionnelle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SectionTitle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Rfrenceinterinstitutionnelle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Sous-titreobjet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RfrenceinterinstitutionnellePagedecouverture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Sous-titreobjetPagedecouverture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Rfrenceinterne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Statut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StatutPagedecouverture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6">
    <w:nsid w:val="322D2909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5B0C1C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42FD"/>
    <w:multiLevelType w:val="hybridMultilevel"/>
    <w:tmpl w:val="5C3E3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D724B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5B0C1C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082D7A"/>
    <w:multiLevelType w:val="hybridMultilevel"/>
    <w:tmpl w:val="B95A2F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5D414F8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F7F34"/>
    <w:multiLevelType w:val="hybridMultilevel"/>
    <w:tmpl w:val="659ED538"/>
    <w:lvl w:ilvl="0" w:tplc="A3D22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63F0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>
    <w:nsid w:val="57C3230A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45B0C1C6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9C5CF1"/>
    <w:multiLevelType w:val="hybridMultilevel"/>
    <w:tmpl w:val="1B26D214"/>
    <w:lvl w:ilvl="0" w:tplc="DF78C098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D3310"/>
    <w:multiLevelType w:val="hybridMultilevel"/>
    <w:tmpl w:val="4CC6DE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45B0C1C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50D48"/>
    <w:multiLevelType w:val="hybridMultilevel"/>
    <w:tmpl w:val="FEDCCAAC"/>
    <w:lvl w:ilvl="0" w:tplc="DB829A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95D7F"/>
    <w:multiLevelType w:val="multilevel"/>
    <w:tmpl w:val="F126F780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2"/>
  </w:num>
  <w:num w:numId="17">
    <w:abstractNumId w:val="15"/>
  </w:num>
  <w:num w:numId="18">
    <w:abstractNumId w:val="0"/>
  </w:num>
  <w:num w:numId="19">
    <w:abstractNumId w:val="13"/>
  </w:num>
  <w:num w:numId="20">
    <w:abstractNumId w:val="7"/>
  </w:num>
  <w:num w:numId="21">
    <w:abstractNumId w:val="9"/>
  </w:num>
  <w:num w:numId="22">
    <w:abstractNumId w:val="8"/>
  </w:num>
  <w:num w:numId="23">
    <w:abstractNumId w:val="1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4"/>
  </w:num>
  <w:num w:numId="38">
    <w:abstractNumId w:val="3"/>
  </w:num>
  <w:num w:numId="39">
    <w:abstractNumId w:val="1"/>
  </w:num>
  <w:num w:numId="40">
    <w:abstractNumId w:val="14"/>
  </w:num>
  <w:num w:numId="41">
    <w:abstractNumId w:val="6"/>
  </w:num>
  <w:num w:numId="42">
    <w:abstractNumId w:val="12"/>
  </w:num>
  <w:num w:numId="43">
    <w:abstractNumId w:val="1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to the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3B233E45AE4542CAB9F21584317AA921"/>
    <w:docVar w:name="LW_CROSSREFERENCE" w:val="&lt;UNUSED&gt;"/>
    <w:docVar w:name="LW_DocType" w:val="NORMAL"/>
    <w:docVar w:name="LW_EMISSION" w:val="20.6.2017"/>
    <w:docVar w:name="LW_EMISSION_ISODATE" w:val="2017-06-20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the implemantation of the work under the nuclear decommissioning assistance programme to Bulgaria, Lithuania an Slovakia in 2016 and previous years"/>
    <w:docVar w:name="LW_PART_NBR" w:val="1"/>
    <w:docVar w:name="LW_PART_NBR_TOTAL" w:val="1"/>
    <w:docVar w:name="LW_REF.INST.NEW" w:val="COM"/>
    <w:docVar w:name="LW_REF.INST.NEW_ADOPTED" w:val="final"/>
    <w:docVar w:name="LW_REF.INST.NEW_TEXT" w:val="(2017) 328"/>
    <w:docVar w:name="LW_REF.INTERNE" w:val="&lt;UNUSED&gt;"/>
    <w:docVar w:name="LW_SUPERTITRE" w:val="&lt;UNUSED&gt;"/>
    <w:docVar w:name="LW_TITRE.OBJ.CP" w:val="&lt;UNUSED&gt;"/>
    <w:docVar w:name="LW_TYPE.DOC.CP" w:val="ANNEX_x000b_"/>
    <w:docVar w:name="LW_TYPEACTEPRINCIPAL.CP" w:val="REPORT FROM THE COMMISSION TO THE EUROPEAN PARLIAMENT AND THE COUNCIL"/>
  </w:docVars>
  <w:rsids>
    <w:rsidRoot w:val="0037276F"/>
    <w:rsid w:val="0037276F"/>
    <w:rsid w:val="00C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Point0letter">
    <w:name w:val="Point 0 (letter)"/>
    <w:basedOn w:val="Normal"/>
    <w:pPr>
      <w:numPr>
        <w:ilvl w:val="1"/>
        <w:numId w:val="1"/>
      </w:numPr>
    </w:pPr>
  </w:style>
  <w:style w:type="paragraph" w:customStyle="1" w:styleId="Point0number">
    <w:name w:val="Point 0 (number)"/>
    <w:basedOn w:val="Normal"/>
    <w:pPr>
      <w:numPr>
        <w:numId w:val="1"/>
      </w:numPr>
    </w:pPr>
  </w:style>
  <w:style w:type="paragraph" w:customStyle="1" w:styleId="Point1letter">
    <w:name w:val="Point 1 (letter)"/>
    <w:basedOn w:val="Normal"/>
    <w:pPr>
      <w:numPr>
        <w:ilvl w:val="3"/>
        <w:numId w:val="1"/>
      </w:numPr>
    </w:pPr>
  </w:style>
  <w:style w:type="paragraph" w:customStyle="1" w:styleId="Point1number">
    <w:name w:val="Point 1 (number)"/>
    <w:basedOn w:val="Normal"/>
    <w:pPr>
      <w:numPr>
        <w:ilvl w:val="2"/>
        <w:numId w:val="1"/>
      </w:numPr>
    </w:pPr>
  </w:style>
  <w:style w:type="paragraph" w:customStyle="1" w:styleId="Point2letter">
    <w:name w:val="Point 2 (letter)"/>
    <w:basedOn w:val="Normal"/>
    <w:pPr>
      <w:numPr>
        <w:ilvl w:val="5"/>
        <w:numId w:val="1"/>
      </w:numPr>
    </w:pPr>
  </w:style>
  <w:style w:type="paragraph" w:customStyle="1" w:styleId="Point2number">
    <w:name w:val="Point 2 (number)"/>
    <w:basedOn w:val="Normal"/>
    <w:pPr>
      <w:numPr>
        <w:ilvl w:val="4"/>
        <w:numId w:val="1"/>
      </w:numPr>
    </w:pPr>
  </w:style>
  <w:style w:type="paragraph" w:customStyle="1" w:styleId="Point3letter">
    <w:name w:val="Point 3 (letter)"/>
    <w:basedOn w:val="Normal"/>
    <w:pPr>
      <w:numPr>
        <w:ilvl w:val="7"/>
        <w:numId w:val="1"/>
      </w:numPr>
    </w:pPr>
  </w:style>
  <w:style w:type="paragraph" w:customStyle="1" w:styleId="Point3number">
    <w:name w:val="Point 3 (number)"/>
    <w:basedOn w:val="Normal"/>
    <w:pPr>
      <w:numPr>
        <w:ilvl w:val="6"/>
        <w:numId w:val="1"/>
      </w:numPr>
    </w:pPr>
  </w:style>
  <w:style w:type="paragraph" w:customStyle="1" w:styleId="Point4letter">
    <w:name w:val="Point 4 (letter)"/>
    <w:basedOn w:val="Normal"/>
    <w:pPr>
      <w:numPr>
        <w:ilvl w:val="8"/>
        <w:numId w:val="1"/>
      </w:numPr>
    </w:pPr>
  </w:style>
  <w:style w:type="paragraph" w:customStyle="1" w:styleId="Rfrenceinstitutionnelle">
    <w:name w:val="Référence institutionnelle"/>
    <w:basedOn w:val="Normal"/>
    <w:next w:val="Normal"/>
    <w:pPr>
      <w:numPr>
        <w:numId w:val="2"/>
      </w:numPr>
      <w:tabs>
        <w:tab w:val="clear" w:pos="850"/>
      </w:tabs>
      <w:spacing w:before="0" w:after="240"/>
      <w:ind w:left="5103" w:firstLine="0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numPr>
        <w:ilvl w:val="2"/>
        <w:numId w:val="2"/>
      </w:numPr>
      <w:tabs>
        <w:tab w:val="clear" w:pos="1417"/>
      </w:tabs>
      <w:spacing w:before="0" w:after="0"/>
      <w:ind w:left="5103" w:firstLine="0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Normal"/>
    <w:pPr>
      <w:numPr>
        <w:ilvl w:val="4"/>
      </w:numPr>
      <w:tabs>
        <w:tab w:val="clear" w:pos="1984"/>
      </w:tabs>
      <w:ind w:left="5103" w:firstLine="0"/>
    </w:pPr>
  </w:style>
  <w:style w:type="paragraph" w:customStyle="1" w:styleId="Rfrenceinterne">
    <w:name w:val="Référence interne"/>
    <w:basedOn w:val="Normal"/>
    <w:next w:val="Rfrenceinterinstitutionnelle"/>
    <w:pPr>
      <w:numPr>
        <w:ilvl w:val="6"/>
        <w:numId w:val="2"/>
      </w:numPr>
      <w:tabs>
        <w:tab w:val="clear" w:pos="2551"/>
      </w:tabs>
      <w:spacing w:before="0" w:after="0"/>
      <w:ind w:left="5103" w:firstLine="0"/>
      <w:jc w:val="left"/>
    </w:pPr>
  </w:style>
  <w:style w:type="paragraph" w:customStyle="1" w:styleId="SectionTitle">
    <w:name w:val="SectionTitle"/>
    <w:basedOn w:val="Normal"/>
    <w:next w:val="Heading1"/>
    <w:pPr>
      <w:keepNext/>
      <w:numPr>
        <w:ilvl w:val="1"/>
        <w:numId w:val="2"/>
      </w:numPr>
      <w:tabs>
        <w:tab w:val="clear" w:pos="850"/>
      </w:tabs>
      <w:spacing w:after="360"/>
      <w:ind w:left="0" w:firstLine="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numPr>
        <w:ilvl w:val="3"/>
        <w:numId w:val="2"/>
      </w:numPr>
      <w:tabs>
        <w:tab w:val="clear" w:pos="1417"/>
      </w:tabs>
      <w:spacing w:before="0" w:after="0"/>
      <w:ind w:left="0" w:firstLine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pPr>
      <w:numPr>
        <w:ilvl w:val="5"/>
      </w:numPr>
      <w:tabs>
        <w:tab w:val="clear" w:pos="1984"/>
      </w:tabs>
      <w:ind w:left="0" w:firstLine="0"/>
    </w:pPr>
  </w:style>
  <w:style w:type="paragraph" w:customStyle="1" w:styleId="Statut">
    <w:name w:val="Statut"/>
    <w:basedOn w:val="Normal"/>
    <w:next w:val="Normal"/>
    <w:pPr>
      <w:numPr>
        <w:ilvl w:val="7"/>
        <w:numId w:val="2"/>
      </w:numPr>
      <w:tabs>
        <w:tab w:val="clear" w:pos="2551"/>
      </w:tabs>
      <w:spacing w:before="360" w:after="0"/>
      <w:ind w:left="0" w:firstLine="0"/>
      <w:jc w:val="center"/>
    </w:pPr>
  </w:style>
  <w:style w:type="paragraph" w:customStyle="1" w:styleId="StatutPagedecouverture">
    <w:name w:val="Statut (Page de couverture)"/>
    <w:basedOn w:val="Statut"/>
    <w:next w:val="Normal"/>
    <w:pPr>
      <w:numPr>
        <w:ilvl w:val="8"/>
      </w:numPr>
      <w:tabs>
        <w:tab w:val="clear" w:pos="3118"/>
      </w:tabs>
      <w:ind w:left="0" w:firstLine="0"/>
    </w:pPr>
  </w:style>
  <w:style w:type="paragraph" w:customStyle="1" w:styleId="ListDash">
    <w:name w:val="List Dash"/>
    <w:basedOn w:val="Normal"/>
    <w:pPr>
      <w:spacing w:after="0"/>
      <w:ind w:firstLine="283"/>
    </w:pPr>
    <w:rPr>
      <w:noProof/>
      <w:szCs w:val="2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Text3">
    <w:name w:val="Text 3"/>
    <w:basedOn w:val="Normal"/>
    <w:pPr>
      <w:spacing w:before="0"/>
    </w:pPr>
    <w:rPr>
      <w:sz w:val="22"/>
      <w:szCs w:val="20"/>
    </w:rPr>
  </w:style>
  <w:style w:type="paragraph" w:styleId="ListBullet3">
    <w:name w:val="List Bullet 3"/>
    <w:basedOn w:val="Text3"/>
    <w:pPr>
      <w:numPr>
        <w:numId w:val="37"/>
      </w:numPr>
      <w:tabs>
        <w:tab w:val="clear" w:pos="283"/>
      </w:tabs>
      <w:ind w:left="454" w:hanging="454"/>
    </w:pPr>
  </w:style>
  <w:style w:type="paragraph" w:styleId="ListBullet4">
    <w:name w:val="List Bullet 4"/>
    <w:basedOn w:val="Normal"/>
    <w:pPr>
      <w:numPr>
        <w:numId w:val="38"/>
      </w:numPr>
      <w:tabs>
        <w:tab w:val="clear" w:pos="283"/>
      </w:tabs>
      <w:spacing w:before="0"/>
      <w:ind w:left="454" w:hanging="454"/>
    </w:pPr>
    <w:rPr>
      <w:sz w:val="22"/>
      <w:szCs w:val="20"/>
    </w:rPr>
  </w:style>
  <w:style w:type="paragraph" w:styleId="BodyText">
    <w:name w:val="Body Text"/>
    <w:basedOn w:val="Normal"/>
    <w:link w:val="BodyTextChar"/>
    <w:pPr>
      <w:spacing w:after="0"/>
    </w:pPr>
    <w:rPr>
      <w:snapToGrid w:val="0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napToGrid w:val="0"/>
      <w:sz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mallCaps/>
      <w:noProof/>
      <w:color w:val="365F91" w:themeColor="accent1" w:themeShade="BF"/>
      <w:lang w:eastAsia="en-GB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smallCaps/>
      <w:noProof/>
      <w:color w:val="365F91" w:themeColor="accent1" w:themeShade="BF"/>
      <w:lang w:eastAsia="en-GB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Pr>
      <w:shd w:val="clear" w:color="auto" w:fill="auto"/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ManualHeading1">
    <w:name w:val="Manual Heading 1"/>
    <w:basedOn w:val="Normal"/>
    <w:next w:val="Normal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Point0letter">
    <w:name w:val="Point 0 (letter)"/>
    <w:basedOn w:val="Normal"/>
    <w:pPr>
      <w:numPr>
        <w:ilvl w:val="1"/>
        <w:numId w:val="1"/>
      </w:numPr>
    </w:pPr>
  </w:style>
  <w:style w:type="paragraph" w:customStyle="1" w:styleId="Point0number">
    <w:name w:val="Point 0 (number)"/>
    <w:basedOn w:val="Normal"/>
    <w:pPr>
      <w:numPr>
        <w:numId w:val="1"/>
      </w:numPr>
    </w:pPr>
  </w:style>
  <w:style w:type="paragraph" w:customStyle="1" w:styleId="Point1letter">
    <w:name w:val="Point 1 (letter)"/>
    <w:basedOn w:val="Normal"/>
    <w:pPr>
      <w:numPr>
        <w:ilvl w:val="3"/>
        <w:numId w:val="1"/>
      </w:numPr>
    </w:pPr>
  </w:style>
  <w:style w:type="paragraph" w:customStyle="1" w:styleId="Point1number">
    <w:name w:val="Point 1 (number)"/>
    <w:basedOn w:val="Normal"/>
    <w:pPr>
      <w:numPr>
        <w:ilvl w:val="2"/>
        <w:numId w:val="1"/>
      </w:numPr>
    </w:pPr>
  </w:style>
  <w:style w:type="paragraph" w:customStyle="1" w:styleId="Point2letter">
    <w:name w:val="Point 2 (letter)"/>
    <w:basedOn w:val="Normal"/>
    <w:pPr>
      <w:numPr>
        <w:ilvl w:val="5"/>
        <w:numId w:val="1"/>
      </w:numPr>
    </w:pPr>
  </w:style>
  <w:style w:type="paragraph" w:customStyle="1" w:styleId="Point2number">
    <w:name w:val="Point 2 (number)"/>
    <w:basedOn w:val="Normal"/>
    <w:pPr>
      <w:numPr>
        <w:ilvl w:val="4"/>
        <w:numId w:val="1"/>
      </w:numPr>
    </w:pPr>
  </w:style>
  <w:style w:type="paragraph" w:customStyle="1" w:styleId="Point3letter">
    <w:name w:val="Point 3 (letter)"/>
    <w:basedOn w:val="Normal"/>
    <w:pPr>
      <w:numPr>
        <w:ilvl w:val="7"/>
        <w:numId w:val="1"/>
      </w:numPr>
    </w:pPr>
  </w:style>
  <w:style w:type="paragraph" w:customStyle="1" w:styleId="Point3number">
    <w:name w:val="Point 3 (number)"/>
    <w:basedOn w:val="Normal"/>
    <w:pPr>
      <w:numPr>
        <w:ilvl w:val="6"/>
        <w:numId w:val="1"/>
      </w:numPr>
    </w:pPr>
  </w:style>
  <w:style w:type="paragraph" w:customStyle="1" w:styleId="Point4letter">
    <w:name w:val="Point 4 (letter)"/>
    <w:basedOn w:val="Normal"/>
    <w:pPr>
      <w:numPr>
        <w:ilvl w:val="8"/>
        <w:numId w:val="1"/>
      </w:numPr>
    </w:pPr>
  </w:style>
  <w:style w:type="paragraph" w:customStyle="1" w:styleId="Rfrenceinstitutionnelle">
    <w:name w:val="Référence institutionnelle"/>
    <w:basedOn w:val="Normal"/>
    <w:next w:val="Normal"/>
    <w:pPr>
      <w:numPr>
        <w:numId w:val="2"/>
      </w:numPr>
      <w:tabs>
        <w:tab w:val="clear" w:pos="850"/>
      </w:tabs>
      <w:spacing w:before="0" w:after="240"/>
      <w:ind w:left="5103" w:firstLine="0"/>
      <w:jc w:val="left"/>
    </w:pPr>
  </w:style>
  <w:style w:type="paragraph" w:customStyle="1" w:styleId="Rfrenceinterinstitutionnelle">
    <w:name w:val="Référence interinstitutionnelle"/>
    <w:basedOn w:val="Normal"/>
    <w:next w:val="Normal"/>
    <w:pPr>
      <w:numPr>
        <w:ilvl w:val="2"/>
        <w:numId w:val="2"/>
      </w:numPr>
      <w:tabs>
        <w:tab w:val="clear" w:pos="1417"/>
      </w:tabs>
      <w:spacing w:before="0" w:after="0"/>
      <w:ind w:left="5103" w:firstLine="0"/>
      <w:jc w:val="left"/>
    </w:pPr>
  </w:style>
  <w:style w:type="paragraph" w:customStyle="1" w:styleId="RfrenceinterinstitutionnellePagedecouverture">
    <w:name w:val="Référence interinstitutionnelle (Page de couverture)"/>
    <w:basedOn w:val="Rfrenceinterinstitutionnelle"/>
    <w:next w:val="Normal"/>
    <w:pPr>
      <w:numPr>
        <w:ilvl w:val="4"/>
      </w:numPr>
      <w:tabs>
        <w:tab w:val="clear" w:pos="1984"/>
      </w:tabs>
      <w:ind w:left="5103" w:firstLine="0"/>
    </w:pPr>
  </w:style>
  <w:style w:type="paragraph" w:customStyle="1" w:styleId="Rfrenceinterne">
    <w:name w:val="Référence interne"/>
    <w:basedOn w:val="Normal"/>
    <w:next w:val="Rfrenceinterinstitutionnelle"/>
    <w:pPr>
      <w:numPr>
        <w:ilvl w:val="6"/>
        <w:numId w:val="2"/>
      </w:numPr>
      <w:tabs>
        <w:tab w:val="clear" w:pos="2551"/>
      </w:tabs>
      <w:spacing w:before="0" w:after="0"/>
      <w:ind w:left="5103" w:firstLine="0"/>
      <w:jc w:val="left"/>
    </w:pPr>
  </w:style>
  <w:style w:type="paragraph" w:customStyle="1" w:styleId="SectionTitle">
    <w:name w:val="SectionTitle"/>
    <w:basedOn w:val="Normal"/>
    <w:next w:val="Heading1"/>
    <w:pPr>
      <w:keepNext/>
      <w:numPr>
        <w:ilvl w:val="1"/>
        <w:numId w:val="2"/>
      </w:numPr>
      <w:tabs>
        <w:tab w:val="clear" w:pos="850"/>
      </w:tabs>
      <w:spacing w:after="360"/>
      <w:ind w:left="0" w:firstLine="0"/>
      <w:jc w:val="center"/>
    </w:pPr>
    <w:rPr>
      <w:b/>
      <w:smallCaps/>
      <w:sz w:val="28"/>
    </w:rPr>
  </w:style>
  <w:style w:type="paragraph" w:customStyle="1" w:styleId="Sous-titreobjet">
    <w:name w:val="Sous-titre objet"/>
    <w:basedOn w:val="Normal"/>
    <w:pPr>
      <w:numPr>
        <w:ilvl w:val="3"/>
        <w:numId w:val="2"/>
      </w:numPr>
      <w:tabs>
        <w:tab w:val="clear" w:pos="1417"/>
      </w:tabs>
      <w:spacing w:before="0" w:after="0"/>
      <w:ind w:left="0" w:firstLine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pPr>
      <w:numPr>
        <w:ilvl w:val="5"/>
      </w:numPr>
      <w:tabs>
        <w:tab w:val="clear" w:pos="1984"/>
      </w:tabs>
      <w:ind w:left="0" w:firstLine="0"/>
    </w:pPr>
  </w:style>
  <w:style w:type="paragraph" w:customStyle="1" w:styleId="Statut">
    <w:name w:val="Statut"/>
    <w:basedOn w:val="Normal"/>
    <w:next w:val="Normal"/>
    <w:pPr>
      <w:numPr>
        <w:ilvl w:val="7"/>
        <w:numId w:val="2"/>
      </w:numPr>
      <w:tabs>
        <w:tab w:val="clear" w:pos="2551"/>
      </w:tabs>
      <w:spacing w:before="360" w:after="0"/>
      <w:ind w:left="0" w:firstLine="0"/>
      <w:jc w:val="center"/>
    </w:pPr>
  </w:style>
  <w:style w:type="paragraph" w:customStyle="1" w:styleId="StatutPagedecouverture">
    <w:name w:val="Statut (Page de couverture)"/>
    <w:basedOn w:val="Statut"/>
    <w:next w:val="Normal"/>
    <w:pPr>
      <w:numPr>
        <w:ilvl w:val="8"/>
      </w:numPr>
      <w:tabs>
        <w:tab w:val="clear" w:pos="3118"/>
      </w:tabs>
      <w:ind w:left="0" w:firstLine="0"/>
    </w:pPr>
  </w:style>
  <w:style w:type="paragraph" w:customStyle="1" w:styleId="ListDash">
    <w:name w:val="List Dash"/>
    <w:basedOn w:val="Normal"/>
    <w:pPr>
      <w:spacing w:after="0"/>
      <w:ind w:firstLine="283"/>
    </w:pPr>
    <w:rPr>
      <w:noProof/>
      <w:szCs w:val="2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line="276" w:lineRule="auto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customStyle="1" w:styleId="Text3">
    <w:name w:val="Text 3"/>
    <w:basedOn w:val="Normal"/>
    <w:pPr>
      <w:spacing w:before="0"/>
    </w:pPr>
    <w:rPr>
      <w:sz w:val="22"/>
      <w:szCs w:val="20"/>
    </w:rPr>
  </w:style>
  <w:style w:type="paragraph" w:styleId="ListBullet3">
    <w:name w:val="List Bullet 3"/>
    <w:basedOn w:val="Text3"/>
    <w:pPr>
      <w:numPr>
        <w:numId w:val="37"/>
      </w:numPr>
      <w:tabs>
        <w:tab w:val="clear" w:pos="283"/>
      </w:tabs>
      <w:ind w:left="454" w:hanging="454"/>
    </w:pPr>
  </w:style>
  <w:style w:type="paragraph" w:styleId="ListBullet4">
    <w:name w:val="List Bullet 4"/>
    <w:basedOn w:val="Normal"/>
    <w:pPr>
      <w:numPr>
        <w:numId w:val="38"/>
      </w:numPr>
      <w:tabs>
        <w:tab w:val="clear" w:pos="283"/>
      </w:tabs>
      <w:spacing w:before="0"/>
      <w:ind w:left="454" w:hanging="454"/>
    </w:pPr>
    <w:rPr>
      <w:sz w:val="22"/>
      <w:szCs w:val="20"/>
    </w:rPr>
  </w:style>
  <w:style w:type="paragraph" w:styleId="BodyText">
    <w:name w:val="Body Text"/>
    <w:basedOn w:val="Normal"/>
    <w:link w:val="BodyTextChar"/>
    <w:pPr>
      <w:spacing w:after="0"/>
    </w:pPr>
    <w:rPr>
      <w:snapToGrid w:val="0"/>
      <w:szCs w:val="22"/>
      <w:lang w:val="bg-BG" w:eastAsia="bg-BG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napToGrid w:val="0"/>
      <w:sz w:val="24"/>
      <w:lang w:val="bg-BG"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mallCaps/>
      <w:noProof/>
      <w:color w:val="365F91" w:themeColor="accent1" w:themeShade="BF"/>
      <w:lang w:eastAsia="en-GB"/>
    </w:rPr>
  </w:style>
  <w:style w:type="character" w:customStyle="1" w:styleId="FooterCoverPageChar">
    <w:name w:val="Footer Cover Page Char"/>
    <w:basedOn w:val="Heading1Char"/>
    <w:link w:val="Foot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  <w:lang w:eastAsia="en-GB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smallCaps/>
      <w:noProof/>
      <w:color w:val="365F91" w:themeColor="accent1" w:themeShade="BF"/>
      <w:lang w:eastAsia="en-GB"/>
    </w:rPr>
  </w:style>
  <w:style w:type="character" w:customStyle="1" w:styleId="HeaderCoverPageChar">
    <w:name w:val="Header Cover Page Char"/>
    <w:basedOn w:val="Heading1Char"/>
    <w:link w:val="HeaderCoverPage"/>
    <w:rPr>
      <w:rFonts w:ascii="Times New Roman" w:eastAsia="Times New Roman" w:hAnsi="Times New Roman" w:cs="Times New Roman"/>
      <w:b w:val="0"/>
      <w:bCs w:val="0"/>
      <w:smallCaps/>
      <w:noProof/>
      <w:color w:val="365F91" w:themeColor="accent1" w:themeShade="B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33FC-C855-48A5-A2CE-C3C778D4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Brunetti</dc:creator>
  <cp:lastModifiedBy>BARTH Carmen (SG)</cp:lastModifiedBy>
  <cp:revision>18</cp:revision>
  <cp:lastPrinted>2016-01-12T09:40:00Z</cp:lastPrinted>
  <dcterms:created xsi:type="dcterms:W3CDTF">2016-02-08T09:03:00Z</dcterms:created>
  <dcterms:modified xsi:type="dcterms:W3CDTF">2017-06-16T08:51:00Z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