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4.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charts/chart7.xml" ContentType="application/vnd.openxmlformats-officedocument.drawingml.chart+xml"/>
  <Override PartName="/word/theme/themeOverride6.xml" ContentType="application/vnd.openxmlformats-officedocument.themeOverride+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35FB73D98E041C983A24362CF0219CA" style="width:450.8pt;height:2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pPr>
        <w:pStyle w:val="TOCHeading"/>
        <w:rPr>
          <w:noProof/>
        </w:rPr>
      </w:pPr>
      <w:bookmarkStart w:id="1" w:name="_GoBack"/>
      <w:bookmarkEnd w:id="1"/>
      <w:r>
        <w:rPr>
          <w:noProof/>
        </w:rPr>
        <w:lastRenderedPageBreak/>
        <w:t>TABLE OF CONTENTS</w:t>
      </w:r>
    </w:p>
    <w:p>
      <w:pPr>
        <w:pStyle w:val="TOC1"/>
        <w:rPr>
          <w:noProof/>
        </w:rPr>
      </w:pPr>
    </w:p>
    <w:p>
      <w:pPr>
        <w:pStyle w:val="TOC1"/>
        <w:rPr>
          <w:rFonts w:asciiTheme="minorHAnsi" w:eastAsiaTheme="minorEastAsia" w:hAnsiTheme="minorHAnsi" w:cstheme="minorBidi"/>
          <w:noProof/>
          <w:sz w:val="22"/>
          <w:szCs w:val="22"/>
          <w:lang w:bidi="ar-SA"/>
        </w:rPr>
      </w:pPr>
      <w:r>
        <w:rPr>
          <w:noProof/>
        </w:rPr>
        <w:fldChar w:fldCharType="begin"/>
      </w:r>
      <w:r>
        <w:rPr>
          <w:noProof/>
        </w:rPr>
        <w:instrText xml:space="preserve"> TOC \o "1-3" \h \z \u </w:instrText>
      </w:r>
      <w:r>
        <w:rPr>
          <w:noProof/>
        </w:rPr>
        <w:fldChar w:fldCharType="separate"/>
      </w:r>
      <w:hyperlink w:anchor="_Toc480898934" w:history="1">
        <w:r>
          <w:rPr>
            <w:rStyle w:val="Hyperlink"/>
            <w:noProof/>
          </w:rPr>
          <w:t>1.</w:t>
        </w:r>
        <w:r>
          <w:rPr>
            <w:rFonts w:asciiTheme="minorHAnsi" w:eastAsiaTheme="minorEastAsia" w:hAnsiTheme="minorHAnsi" w:cstheme="minorBidi"/>
            <w:noProof/>
            <w:sz w:val="22"/>
            <w:szCs w:val="22"/>
            <w:lang w:bidi="ar-SA"/>
          </w:rPr>
          <w:tab/>
        </w:r>
        <w:r>
          <w:rPr>
            <w:rStyle w:val="Hyperlink"/>
            <w:noProof/>
          </w:rPr>
          <w:t>Introduction</w:t>
        </w:r>
        <w:r>
          <w:rPr>
            <w:noProof/>
            <w:webHidden/>
          </w:rPr>
          <w:tab/>
        </w:r>
        <w:r>
          <w:rPr>
            <w:noProof/>
            <w:webHidden/>
          </w:rPr>
          <w:fldChar w:fldCharType="begin"/>
        </w:r>
        <w:r>
          <w:rPr>
            <w:noProof/>
            <w:webHidden/>
          </w:rPr>
          <w:instrText xml:space="preserve"> PAGEREF _Toc480898934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80898935" w:history="1">
        <w:r>
          <w:rPr>
            <w:rStyle w:val="Hyperlink"/>
            <w:noProof/>
          </w:rPr>
          <w:t>2.</w:t>
        </w:r>
        <w:r>
          <w:rPr>
            <w:rFonts w:asciiTheme="minorHAnsi" w:eastAsiaTheme="minorEastAsia" w:hAnsiTheme="minorHAnsi" w:cstheme="minorBidi"/>
            <w:noProof/>
            <w:sz w:val="22"/>
            <w:szCs w:val="22"/>
            <w:lang w:bidi="ar-SA"/>
          </w:rPr>
          <w:tab/>
        </w:r>
        <w:r>
          <w:rPr>
            <w:rStyle w:val="Hyperlink"/>
            <w:noProof/>
          </w:rPr>
          <w:t>Trend in contract staff numbers in the Commission since 2004</w:t>
        </w:r>
        <w:r>
          <w:rPr>
            <w:noProof/>
            <w:webHidden/>
          </w:rPr>
          <w:tab/>
        </w:r>
        <w:r>
          <w:rPr>
            <w:noProof/>
            <w:webHidden/>
          </w:rPr>
          <w:fldChar w:fldCharType="begin"/>
        </w:r>
        <w:r>
          <w:rPr>
            <w:noProof/>
            <w:webHidden/>
          </w:rPr>
          <w:instrText xml:space="preserve"> PAGEREF _Toc480898935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80898936" w:history="1">
        <w:r>
          <w:rPr>
            <w:rStyle w:val="Hyperlink"/>
            <w:noProof/>
          </w:rPr>
          <w:t>3.</w:t>
        </w:r>
        <w:r>
          <w:rPr>
            <w:rFonts w:asciiTheme="minorHAnsi" w:eastAsiaTheme="minorEastAsia" w:hAnsiTheme="minorHAnsi" w:cstheme="minorBidi"/>
            <w:noProof/>
            <w:sz w:val="22"/>
            <w:szCs w:val="22"/>
            <w:lang w:bidi="ar-SA"/>
          </w:rPr>
          <w:tab/>
        </w:r>
        <w:r>
          <w:rPr>
            <w:rStyle w:val="Hyperlink"/>
            <w:noProof/>
          </w:rPr>
          <w:t>Breakdown by gender and by function group of Commission's contract staff</w:t>
        </w:r>
        <w:r>
          <w:rPr>
            <w:noProof/>
            <w:webHidden/>
          </w:rPr>
          <w:tab/>
        </w:r>
        <w:r>
          <w:rPr>
            <w:noProof/>
            <w:webHidden/>
          </w:rPr>
          <w:fldChar w:fldCharType="begin"/>
        </w:r>
        <w:r>
          <w:rPr>
            <w:noProof/>
            <w:webHidden/>
          </w:rPr>
          <w:instrText xml:space="preserve"> PAGEREF _Toc480898936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80898937" w:history="1">
        <w:r>
          <w:rPr>
            <w:rStyle w:val="Hyperlink"/>
            <w:noProof/>
          </w:rPr>
          <w:t>4.</w:t>
        </w:r>
        <w:r>
          <w:rPr>
            <w:rFonts w:asciiTheme="minorHAnsi" w:eastAsiaTheme="minorEastAsia" w:hAnsiTheme="minorHAnsi" w:cstheme="minorBidi"/>
            <w:noProof/>
            <w:sz w:val="22"/>
            <w:szCs w:val="22"/>
            <w:lang w:bidi="ar-SA"/>
          </w:rPr>
          <w:tab/>
        </w:r>
        <w:r>
          <w:rPr>
            <w:rStyle w:val="Hyperlink"/>
            <w:noProof/>
          </w:rPr>
          <w:t>Breakdown by nationality of Commission's contract staff</w:t>
        </w:r>
        <w:r>
          <w:rPr>
            <w:noProof/>
            <w:webHidden/>
          </w:rPr>
          <w:tab/>
        </w:r>
        <w:r>
          <w:rPr>
            <w:noProof/>
            <w:webHidden/>
          </w:rPr>
          <w:fldChar w:fldCharType="begin"/>
        </w:r>
        <w:r>
          <w:rPr>
            <w:noProof/>
            <w:webHidden/>
          </w:rPr>
          <w:instrText xml:space="preserve"> PAGEREF _Toc480898937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80898938" w:history="1">
        <w:r>
          <w:rPr>
            <w:rStyle w:val="Hyperlink"/>
            <w:noProof/>
          </w:rPr>
          <w:t>5.</w:t>
        </w:r>
        <w:r>
          <w:rPr>
            <w:rFonts w:asciiTheme="minorHAnsi" w:eastAsiaTheme="minorEastAsia" w:hAnsiTheme="minorHAnsi" w:cstheme="minorBidi"/>
            <w:noProof/>
            <w:sz w:val="22"/>
            <w:szCs w:val="22"/>
            <w:lang w:bidi="ar-SA"/>
          </w:rPr>
          <w:tab/>
        </w:r>
        <w:r>
          <w:rPr>
            <w:rStyle w:val="Hyperlink"/>
            <w:noProof/>
          </w:rPr>
          <w:t>Breakdown by DG of Commission's contract staff</w:t>
        </w:r>
        <w:r>
          <w:rPr>
            <w:noProof/>
            <w:webHidden/>
          </w:rPr>
          <w:tab/>
        </w:r>
        <w:r>
          <w:rPr>
            <w:noProof/>
            <w:webHidden/>
          </w:rPr>
          <w:fldChar w:fldCharType="begin"/>
        </w:r>
        <w:r>
          <w:rPr>
            <w:noProof/>
            <w:webHidden/>
          </w:rPr>
          <w:instrText xml:space="preserve"> PAGEREF _Toc480898938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80898939" w:history="1">
        <w:r>
          <w:rPr>
            <w:rStyle w:val="Hyperlink"/>
            <w:noProof/>
          </w:rPr>
          <w:t>5.1.</w:t>
        </w:r>
        <w:r>
          <w:rPr>
            <w:rFonts w:asciiTheme="minorHAnsi" w:eastAsiaTheme="minorEastAsia" w:hAnsiTheme="minorHAnsi" w:cstheme="minorBidi"/>
            <w:noProof/>
            <w:sz w:val="22"/>
            <w:szCs w:val="22"/>
            <w:lang w:bidi="ar-SA"/>
          </w:rPr>
          <w:tab/>
        </w:r>
        <w:r>
          <w:rPr>
            <w:rStyle w:val="Hyperlink"/>
            <w:noProof/>
          </w:rPr>
          <w:t>Breakdown by gender and by DG</w:t>
        </w:r>
        <w:r>
          <w:rPr>
            <w:noProof/>
            <w:webHidden/>
          </w:rPr>
          <w:tab/>
        </w:r>
        <w:r>
          <w:rPr>
            <w:noProof/>
            <w:webHidden/>
          </w:rPr>
          <w:fldChar w:fldCharType="begin"/>
        </w:r>
        <w:r>
          <w:rPr>
            <w:noProof/>
            <w:webHidden/>
          </w:rPr>
          <w:instrText xml:space="preserve"> PAGEREF _Toc480898939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80898940" w:history="1">
        <w:r>
          <w:rPr>
            <w:rStyle w:val="Hyperlink"/>
            <w:noProof/>
          </w:rPr>
          <w:t>5.2.</w:t>
        </w:r>
        <w:r>
          <w:rPr>
            <w:rFonts w:asciiTheme="minorHAnsi" w:eastAsiaTheme="minorEastAsia" w:hAnsiTheme="minorHAnsi" w:cstheme="minorBidi"/>
            <w:noProof/>
            <w:sz w:val="22"/>
            <w:szCs w:val="22"/>
            <w:lang w:bidi="ar-SA"/>
          </w:rPr>
          <w:tab/>
        </w:r>
        <w:r>
          <w:rPr>
            <w:rStyle w:val="Hyperlink"/>
            <w:noProof/>
          </w:rPr>
          <w:t>Breakdown by contract type</w:t>
        </w:r>
        <w:r>
          <w:rPr>
            <w:noProof/>
            <w:webHidden/>
          </w:rPr>
          <w:tab/>
        </w:r>
        <w:r>
          <w:rPr>
            <w:noProof/>
            <w:webHidden/>
          </w:rPr>
          <w:fldChar w:fldCharType="begin"/>
        </w:r>
        <w:r>
          <w:rPr>
            <w:noProof/>
            <w:webHidden/>
          </w:rPr>
          <w:instrText xml:space="preserve"> PAGEREF _Toc480898940 \h </w:instrText>
        </w:r>
        <w:r>
          <w:rPr>
            <w:noProof/>
            <w:webHidden/>
          </w:rPr>
        </w:r>
        <w:r>
          <w:rPr>
            <w:noProof/>
            <w:webHidden/>
          </w:rPr>
          <w:fldChar w:fldCharType="separate"/>
        </w:r>
        <w:r>
          <w:rPr>
            <w:noProof/>
            <w:webHidden/>
          </w:rPr>
          <w:t>16</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80898941" w:history="1">
        <w:r>
          <w:rPr>
            <w:rStyle w:val="Hyperlink"/>
            <w:noProof/>
          </w:rPr>
          <w:t>5.2.1</w:t>
        </w:r>
        <w:r>
          <w:rPr>
            <w:rFonts w:asciiTheme="minorHAnsi" w:eastAsiaTheme="minorEastAsia" w:hAnsiTheme="minorHAnsi" w:cstheme="minorBidi"/>
            <w:noProof/>
            <w:sz w:val="22"/>
            <w:szCs w:val="22"/>
            <w:lang w:bidi="ar-SA"/>
          </w:rPr>
          <w:tab/>
        </w:r>
        <w:r>
          <w:rPr>
            <w:rStyle w:val="Hyperlink"/>
            <w:noProof/>
          </w:rPr>
          <w:t>Contract staff 3a</w:t>
        </w:r>
        <w:r>
          <w:rPr>
            <w:noProof/>
            <w:webHidden/>
          </w:rPr>
          <w:tab/>
        </w:r>
        <w:r>
          <w:rPr>
            <w:noProof/>
            <w:webHidden/>
          </w:rPr>
          <w:fldChar w:fldCharType="begin"/>
        </w:r>
        <w:r>
          <w:rPr>
            <w:noProof/>
            <w:webHidden/>
          </w:rPr>
          <w:instrText xml:space="preserve"> PAGEREF _Toc480898941 \h </w:instrText>
        </w:r>
        <w:r>
          <w:rPr>
            <w:noProof/>
            <w:webHidden/>
          </w:rPr>
        </w:r>
        <w:r>
          <w:rPr>
            <w:noProof/>
            <w:webHidden/>
          </w:rPr>
          <w:fldChar w:fldCharType="separate"/>
        </w:r>
        <w:r>
          <w:rPr>
            <w:noProof/>
            <w:webHidden/>
          </w:rPr>
          <w:t>16</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80898942" w:history="1">
        <w:r>
          <w:rPr>
            <w:rStyle w:val="Hyperlink"/>
            <w:noProof/>
          </w:rPr>
          <w:t>5.2.2</w:t>
        </w:r>
        <w:r>
          <w:rPr>
            <w:rFonts w:asciiTheme="minorHAnsi" w:eastAsiaTheme="minorEastAsia" w:hAnsiTheme="minorHAnsi" w:cstheme="minorBidi"/>
            <w:noProof/>
            <w:sz w:val="22"/>
            <w:szCs w:val="22"/>
            <w:lang w:bidi="ar-SA"/>
          </w:rPr>
          <w:tab/>
        </w:r>
        <w:r>
          <w:rPr>
            <w:rStyle w:val="Hyperlink"/>
            <w:noProof/>
          </w:rPr>
          <w:t>Contract staff 3b</w:t>
        </w:r>
        <w:r>
          <w:rPr>
            <w:noProof/>
            <w:webHidden/>
          </w:rPr>
          <w:tab/>
        </w:r>
        <w:r>
          <w:rPr>
            <w:noProof/>
            <w:webHidden/>
          </w:rPr>
          <w:fldChar w:fldCharType="begin"/>
        </w:r>
        <w:r>
          <w:rPr>
            <w:noProof/>
            <w:webHidden/>
          </w:rPr>
          <w:instrText xml:space="preserve"> PAGEREF _Toc480898942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80898943" w:history="1">
        <w:r>
          <w:rPr>
            <w:rStyle w:val="Hyperlink"/>
            <w:noProof/>
          </w:rPr>
          <w:t>6.</w:t>
        </w:r>
        <w:r>
          <w:rPr>
            <w:rFonts w:asciiTheme="minorHAnsi" w:eastAsiaTheme="minorEastAsia" w:hAnsiTheme="minorHAnsi" w:cstheme="minorBidi"/>
            <w:noProof/>
            <w:sz w:val="22"/>
            <w:szCs w:val="22"/>
            <w:lang w:bidi="ar-SA"/>
          </w:rPr>
          <w:tab/>
        </w:r>
        <w:r>
          <w:rPr>
            <w:rStyle w:val="Hyperlink"/>
            <w:noProof/>
          </w:rPr>
          <w:t>Breakdown of contract staff between the other institutions and agencies</w:t>
        </w:r>
        <w:r>
          <w:rPr>
            <w:noProof/>
            <w:webHidden/>
          </w:rPr>
          <w:tab/>
        </w:r>
        <w:r>
          <w:rPr>
            <w:noProof/>
            <w:webHidden/>
          </w:rPr>
          <w:fldChar w:fldCharType="begin"/>
        </w:r>
        <w:r>
          <w:rPr>
            <w:noProof/>
            <w:webHidden/>
          </w:rPr>
          <w:instrText xml:space="preserve"> PAGEREF _Toc480898943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80898944" w:history="1">
        <w:r>
          <w:rPr>
            <w:rStyle w:val="Hyperlink"/>
            <w:noProof/>
          </w:rPr>
          <w:t>6.1.</w:t>
        </w:r>
        <w:r>
          <w:rPr>
            <w:rFonts w:asciiTheme="minorHAnsi" w:eastAsiaTheme="minorEastAsia" w:hAnsiTheme="minorHAnsi" w:cstheme="minorBidi"/>
            <w:noProof/>
            <w:sz w:val="22"/>
            <w:szCs w:val="22"/>
            <w:lang w:bidi="ar-SA"/>
          </w:rPr>
          <w:tab/>
        </w:r>
        <w:r>
          <w:rPr>
            <w:rStyle w:val="Hyperlink"/>
            <w:noProof/>
          </w:rPr>
          <w:t>Breakdown of contract staff among the other institutions</w:t>
        </w:r>
        <w:r>
          <w:rPr>
            <w:noProof/>
            <w:webHidden/>
          </w:rPr>
          <w:tab/>
        </w:r>
        <w:r>
          <w:rPr>
            <w:noProof/>
            <w:webHidden/>
          </w:rPr>
          <w:fldChar w:fldCharType="begin"/>
        </w:r>
        <w:r>
          <w:rPr>
            <w:noProof/>
            <w:webHidden/>
          </w:rPr>
          <w:instrText xml:space="preserve"> PAGEREF _Toc480898944 \h </w:instrText>
        </w:r>
        <w:r>
          <w:rPr>
            <w:noProof/>
            <w:webHidden/>
          </w:rPr>
        </w:r>
        <w:r>
          <w:rPr>
            <w:noProof/>
            <w:webHidden/>
          </w:rPr>
          <w:fldChar w:fldCharType="separate"/>
        </w:r>
        <w:r>
          <w:rPr>
            <w:noProof/>
            <w:webHidden/>
          </w:rPr>
          <w:t>19</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80898945" w:history="1">
        <w:r>
          <w:rPr>
            <w:rStyle w:val="Hyperlink"/>
            <w:noProof/>
          </w:rPr>
          <w:t>6.1.1</w:t>
        </w:r>
        <w:r>
          <w:rPr>
            <w:rFonts w:asciiTheme="minorHAnsi" w:eastAsiaTheme="minorEastAsia" w:hAnsiTheme="minorHAnsi" w:cstheme="minorBidi"/>
            <w:noProof/>
            <w:sz w:val="22"/>
            <w:szCs w:val="22"/>
            <w:lang w:bidi="ar-SA"/>
          </w:rPr>
          <w:tab/>
        </w:r>
        <w:r>
          <w:rPr>
            <w:rStyle w:val="Hyperlink"/>
            <w:noProof/>
          </w:rPr>
          <w:t>Breakdown by gender and by function group in the other institutions</w:t>
        </w:r>
        <w:r>
          <w:rPr>
            <w:noProof/>
            <w:webHidden/>
          </w:rPr>
          <w:tab/>
        </w:r>
        <w:r>
          <w:rPr>
            <w:noProof/>
            <w:webHidden/>
          </w:rPr>
          <w:fldChar w:fldCharType="begin"/>
        </w:r>
        <w:r>
          <w:rPr>
            <w:noProof/>
            <w:webHidden/>
          </w:rPr>
          <w:instrText xml:space="preserve"> PAGEREF _Toc480898945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80898947" w:history="1">
        <w:r>
          <w:rPr>
            <w:rStyle w:val="Hyperlink"/>
            <w:noProof/>
          </w:rPr>
          <w:t>6.1.2</w:t>
        </w:r>
        <w:r>
          <w:rPr>
            <w:rFonts w:asciiTheme="minorHAnsi" w:eastAsiaTheme="minorEastAsia" w:hAnsiTheme="minorHAnsi" w:cstheme="minorBidi"/>
            <w:noProof/>
            <w:sz w:val="22"/>
            <w:szCs w:val="22"/>
            <w:lang w:bidi="ar-SA"/>
          </w:rPr>
          <w:tab/>
        </w:r>
        <w:r>
          <w:rPr>
            <w:rStyle w:val="Hyperlink"/>
            <w:noProof/>
          </w:rPr>
          <w:t>Breakdown by nationality in the other institutions</w:t>
        </w:r>
        <w:r>
          <w:rPr>
            <w:noProof/>
            <w:webHidden/>
          </w:rPr>
          <w:tab/>
        </w:r>
        <w:r>
          <w:rPr>
            <w:noProof/>
            <w:webHidden/>
          </w:rPr>
          <w:fldChar w:fldCharType="begin"/>
        </w:r>
        <w:r>
          <w:rPr>
            <w:noProof/>
            <w:webHidden/>
          </w:rPr>
          <w:instrText xml:space="preserve"> PAGEREF _Toc480898947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80898948" w:history="1">
        <w:r>
          <w:rPr>
            <w:rStyle w:val="Hyperlink"/>
            <w:noProof/>
          </w:rPr>
          <w:t>6.2.</w:t>
        </w:r>
        <w:r>
          <w:rPr>
            <w:rFonts w:asciiTheme="minorHAnsi" w:eastAsiaTheme="minorEastAsia" w:hAnsiTheme="minorHAnsi" w:cstheme="minorBidi"/>
            <w:noProof/>
            <w:sz w:val="22"/>
            <w:szCs w:val="22"/>
            <w:lang w:bidi="ar-SA"/>
          </w:rPr>
          <w:tab/>
        </w:r>
        <w:r>
          <w:rPr>
            <w:rStyle w:val="Hyperlink"/>
            <w:noProof/>
          </w:rPr>
          <w:t>Breakdown of contract staff in the agencies</w:t>
        </w:r>
        <w:r>
          <w:rPr>
            <w:noProof/>
            <w:webHidden/>
          </w:rPr>
          <w:tab/>
        </w:r>
        <w:r>
          <w:rPr>
            <w:noProof/>
            <w:webHidden/>
          </w:rPr>
          <w:fldChar w:fldCharType="begin"/>
        </w:r>
        <w:r>
          <w:rPr>
            <w:noProof/>
            <w:webHidden/>
          </w:rPr>
          <w:instrText xml:space="preserve"> PAGEREF _Toc480898948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80898949" w:history="1">
        <w:r>
          <w:rPr>
            <w:rStyle w:val="Hyperlink"/>
            <w:noProof/>
          </w:rPr>
          <w:t>6.2.1</w:t>
        </w:r>
        <w:r>
          <w:rPr>
            <w:rFonts w:asciiTheme="minorHAnsi" w:eastAsiaTheme="minorEastAsia" w:hAnsiTheme="minorHAnsi" w:cstheme="minorBidi"/>
            <w:noProof/>
            <w:sz w:val="22"/>
            <w:szCs w:val="22"/>
            <w:lang w:bidi="ar-SA"/>
          </w:rPr>
          <w:tab/>
        </w:r>
        <w:r>
          <w:rPr>
            <w:rStyle w:val="Hyperlink"/>
            <w:noProof/>
          </w:rPr>
          <w:t>Breakdown by gender and by function group in the agencies</w:t>
        </w:r>
        <w:r>
          <w:rPr>
            <w:noProof/>
            <w:webHidden/>
          </w:rPr>
          <w:tab/>
        </w:r>
        <w:r>
          <w:rPr>
            <w:noProof/>
            <w:webHidden/>
          </w:rPr>
          <w:fldChar w:fldCharType="begin"/>
        </w:r>
        <w:r>
          <w:rPr>
            <w:noProof/>
            <w:webHidden/>
          </w:rPr>
          <w:instrText xml:space="preserve"> PAGEREF _Toc480898949 \h </w:instrText>
        </w:r>
        <w:r>
          <w:rPr>
            <w:noProof/>
            <w:webHidden/>
          </w:rPr>
        </w:r>
        <w:r>
          <w:rPr>
            <w:noProof/>
            <w:webHidden/>
          </w:rPr>
          <w:fldChar w:fldCharType="separate"/>
        </w:r>
        <w:r>
          <w:rPr>
            <w:noProof/>
            <w:webHidden/>
          </w:rPr>
          <w:t>22</w:t>
        </w:r>
        <w:r>
          <w:rPr>
            <w:noProof/>
            <w:webHidden/>
          </w:rPr>
          <w:fldChar w:fldCharType="end"/>
        </w:r>
      </w:hyperlink>
    </w:p>
    <w:p>
      <w:pPr>
        <w:pStyle w:val="TOC3"/>
        <w:rPr>
          <w:rFonts w:asciiTheme="minorHAnsi" w:eastAsiaTheme="minorEastAsia" w:hAnsiTheme="minorHAnsi" w:cstheme="minorBidi"/>
          <w:noProof/>
          <w:sz w:val="22"/>
          <w:szCs w:val="22"/>
          <w:lang w:bidi="ar-SA"/>
        </w:rPr>
      </w:pPr>
      <w:hyperlink w:anchor="_Toc480898950" w:history="1">
        <w:r>
          <w:rPr>
            <w:rStyle w:val="Hyperlink"/>
            <w:noProof/>
          </w:rPr>
          <w:t>6.2.2</w:t>
        </w:r>
        <w:r>
          <w:rPr>
            <w:rFonts w:asciiTheme="minorHAnsi" w:eastAsiaTheme="minorEastAsia" w:hAnsiTheme="minorHAnsi" w:cstheme="minorBidi"/>
            <w:noProof/>
            <w:sz w:val="22"/>
            <w:szCs w:val="22"/>
            <w:lang w:bidi="ar-SA"/>
          </w:rPr>
          <w:tab/>
        </w:r>
        <w:r>
          <w:rPr>
            <w:rStyle w:val="Hyperlink"/>
            <w:noProof/>
          </w:rPr>
          <w:t>Breakdown by nationality in the agencies</w:t>
        </w:r>
        <w:r>
          <w:rPr>
            <w:noProof/>
            <w:webHidden/>
          </w:rPr>
          <w:tab/>
        </w:r>
        <w:r>
          <w:rPr>
            <w:noProof/>
            <w:webHidden/>
          </w:rPr>
          <w:fldChar w:fldCharType="begin"/>
        </w:r>
        <w:r>
          <w:rPr>
            <w:noProof/>
            <w:webHidden/>
          </w:rPr>
          <w:instrText xml:space="preserve"> PAGEREF _Toc480898950 \h </w:instrText>
        </w:r>
        <w:r>
          <w:rPr>
            <w:noProof/>
            <w:webHidden/>
          </w:rPr>
        </w:r>
        <w:r>
          <w:rPr>
            <w:noProof/>
            <w:webHidden/>
          </w:rPr>
          <w:fldChar w:fldCharType="separate"/>
        </w:r>
        <w:r>
          <w:rPr>
            <w:noProof/>
            <w:webHidden/>
          </w:rPr>
          <w:t>24</w:t>
        </w:r>
        <w:r>
          <w:rPr>
            <w:noProof/>
            <w:webHidden/>
          </w:rPr>
          <w:fldChar w:fldCharType="end"/>
        </w:r>
      </w:hyperlink>
    </w:p>
    <w:p>
      <w:pPr>
        <w:pStyle w:val="TOC1"/>
        <w:rPr>
          <w:rFonts w:asciiTheme="minorHAnsi" w:eastAsiaTheme="minorEastAsia" w:hAnsiTheme="minorHAnsi" w:cstheme="minorBidi"/>
          <w:noProof/>
          <w:sz w:val="22"/>
          <w:szCs w:val="22"/>
        </w:rPr>
      </w:pPr>
      <w:r>
        <w:rPr>
          <w:b/>
          <w:bCs/>
          <w:noProof/>
        </w:rPr>
        <w:fldChar w:fldCharType="end"/>
      </w: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851" w:right="1417" w:bottom="851" w:left="1417" w:header="709" w:footer="709" w:gutter="0"/>
          <w:pgNumType w:start="2"/>
          <w:cols w:space="720"/>
          <w:docGrid w:linePitch="360"/>
        </w:sectPr>
      </w:pPr>
    </w:p>
    <w:p>
      <w:pPr>
        <w:pStyle w:val="ManualHeading1"/>
        <w:rPr>
          <w:noProof/>
        </w:rPr>
      </w:pPr>
      <w:bookmarkStart w:id="2" w:name="_Toc306183901"/>
      <w:bookmarkStart w:id="3" w:name="_Toc411605922"/>
      <w:bookmarkStart w:id="4" w:name="_Toc480898934"/>
      <w:r>
        <w:rPr>
          <w:noProof/>
        </w:rPr>
        <w:t>1.</w:t>
      </w:r>
      <w:r>
        <w:rPr>
          <w:noProof/>
        </w:rPr>
        <w:tab/>
        <w:t>Introduction</w:t>
      </w:r>
      <w:bookmarkEnd w:id="2"/>
      <w:bookmarkEnd w:id="3"/>
      <w:bookmarkEnd w:id="4"/>
    </w:p>
    <w:p>
      <w:pPr>
        <w:tabs>
          <w:tab w:val="left" w:pos="426"/>
        </w:tabs>
        <w:jc w:val="both"/>
        <w:rPr>
          <w:rFonts w:ascii="Times New Roman" w:hAnsi="Times New Roman" w:cs="Times New Roman"/>
          <w:noProof/>
        </w:rPr>
      </w:pPr>
      <w:r>
        <w:rPr>
          <w:rFonts w:ascii="Times New Roman" w:hAnsi="Times New Roman"/>
          <w:noProof/>
        </w:rPr>
        <w:t xml:space="preserve">This report fulfils the obligation arising from Article 79(3) of the Conditions of Employment of Other Servants of the European Union (CEOS), which provides that </w:t>
      </w:r>
      <w:r>
        <w:rPr>
          <w:rFonts w:ascii="Times New Roman" w:hAnsi="Times New Roman"/>
          <w:i/>
          <w:noProof/>
        </w:rPr>
        <w:t>‘the Commission shall provide a yearly report on the use of contract staff including numbers of staff, level and type of posts, geographical balance and budgetary resources per function group</w:t>
      </w:r>
      <w:r>
        <w:rPr>
          <w:rFonts w:ascii="Times New Roman" w:hAnsi="Times New Roman"/>
          <w:noProof/>
        </w:rPr>
        <w:t>’. It offers a detailed snapshot of the contract staff employed in the European institutions at 31 December 2015.</w:t>
      </w:r>
    </w:p>
    <w:p>
      <w:pPr>
        <w:tabs>
          <w:tab w:val="left" w:pos="426"/>
        </w:tabs>
        <w:jc w:val="both"/>
        <w:rPr>
          <w:rFonts w:ascii="Times New Roman" w:hAnsi="Times New Roman" w:cs="Times New Roman"/>
          <w:noProof/>
        </w:rPr>
      </w:pPr>
      <w:r>
        <w:rPr>
          <w:rFonts w:ascii="Times New Roman" w:hAnsi="Times New Roman"/>
          <w:noProof/>
        </w:rPr>
        <w:t>This report includes data for 55 different entities: a) 10 European institutions (including the European External Action Service (EEAS), in operation since 1 January 2011); and b) 45 agencies or Joint Undertakings as defined in Article 1(a) of the Staff Regulations. The data for the Commission are more detailed and include staff financed from operational and research lines, plus staff working in administrative offices, delegations, representations and the Joint Research Centre (JRC).</w:t>
      </w:r>
    </w:p>
    <w:p>
      <w:pPr>
        <w:tabs>
          <w:tab w:val="left" w:pos="426"/>
        </w:tabs>
        <w:jc w:val="both"/>
        <w:rPr>
          <w:rFonts w:ascii="Times New Roman" w:hAnsi="Times New Roman" w:cs="Times New Roman"/>
          <w:noProof/>
        </w:rPr>
      </w:pPr>
      <w:r>
        <w:rPr>
          <w:rFonts w:ascii="Times New Roman" w:hAnsi="Times New Roman"/>
          <w:noProof/>
        </w:rPr>
        <w:t xml:space="preserve">It is to be noted that the budgetary data (sent each year with the draft budget to the Budgetary Authority - Working Document, parts II and III) show contract staff numbers at the time when the draft budget is presented (including contract staff recruited using assigned revenue), i.e.: a statement of the position at 1 April of year N-1 (where N is the year of the draft budget), budgetary implementation in year N-2 and requests for appropriations with estimates of full-time equivalents (FTE) for year N. This is why some differences appear in the numbers for contract staff, depending on the data source. Since several budget lines include appropriations for external personnel without establishing a distinction between the diffferent categories of that personnel, the budget figures convey the best possible estimates based on the likely average costs and the repartition between categories. </w:t>
      </w:r>
    </w:p>
    <w:p>
      <w:pPr>
        <w:tabs>
          <w:tab w:val="left" w:pos="426"/>
        </w:tabs>
        <w:jc w:val="both"/>
        <w:rPr>
          <w:rFonts w:ascii="Times New Roman" w:hAnsi="Times New Roman"/>
          <w:noProof/>
        </w:rPr>
      </w:pPr>
      <w:r>
        <w:rPr>
          <w:rFonts w:ascii="Times New Roman" w:hAnsi="Times New Roman"/>
          <w:noProof/>
        </w:rPr>
        <w:t>The category of contract staff was created in 2004 as part of the reform of the Staff Regulations. Since then, contract staff have made a useful contribution to the work of the institutions by carrying out administrative support activities at a lower cost and by bringing in skills not always readily available within the institutions.</w:t>
      </w:r>
    </w:p>
    <w:p>
      <w:pPr>
        <w:tabs>
          <w:tab w:val="left" w:pos="426"/>
        </w:tabs>
        <w:jc w:val="both"/>
        <w:rPr>
          <w:rFonts w:ascii="Times New Roman" w:hAnsi="Times New Roman"/>
          <w:noProof/>
        </w:rPr>
      </w:pPr>
      <w:r>
        <w:rPr>
          <w:rFonts w:ascii="Times New Roman" w:hAnsi="Times New Roman"/>
          <w:noProof/>
        </w:rPr>
        <w:t xml:space="preserve">Articles 3a and 3b of the CEOS define the role of contract staff and functions that they may perform. </w:t>
      </w:r>
    </w:p>
    <w:p>
      <w:pPr>
        <w:tabs>
          <w:tab w:val="left" w:pos="426"/>
        </w:tabs>
        <w:jc w:val="both"/>
        <w:rPr>
          <w:rFonts w:ascii="Times New Roman" w:hAnsi="Times New Roman"/>
          <w:noProof/>
        </w:rPr>
      </w:pPr>
      <w:r>
        <w:rPr>
          <w:rFonts w:ascii="Times New Roman" w:hAnsi="Times New Roman"/>
          <w:noProof/>
        </w:rPr>
        <w:t xml:space="preserve">Contract staff 3a can be engaged, on either a part time or full-time basis in a post not included in the establishment plan: </w:t>
      </w:r>
    </w:p>
    <w:p>
      <w:pPr>
        <w:pStyle w:val="ListParagraph"/>
        <w:numPr>
          <w:ilvl w:val="0"/>
          <w:numId w:val="4"/>
        </w:numPr>
        <w:tabs>
          <w:tab w:val="left" w:pos="426"/>
        </w:tabs>
        <w:jc w:val="both"/>
        <w:rPr>
          <w:rFonts w:ascii="Times New Roman" w:hAnsi="Times New Roman"/>
          <w:noProof/>
        </w:rPr>
      </w:pPr>
      <w:r>
        <w:rPr>
          <w:rFonts w:ascii="Times New Roman" w:hAnsi="Times New Roman"/>
          <w:noProof/>
        </w:rPr>
        <w:t xml:space="preserve">for the Institutions' services: to carry out exclusively manual or administrative support tasks in function group I, </w:t>
      </w:r>
    </w:p>
    <w:p>
      <w:pPr>
        <w:pStyle w:val="ListParagraph"/>
        <w:numPr>
          <w:ilvl w:val="0"/>
          <w:numId w:val="4"/>
        </w:numPr>
        <w:tabs>
          <w:tab w:val="left" w:pos="426"/>
        </w:tabs>
        <w:jc w:val="both"/>
        <w:rPr>
          <w:rFonts w:ascii="Times New Roman" w:hAnsi="Times New Roman"/>
          <w:noProof/>
        </w:rPr>
      </w:pPr>
      <w:r>
        <w:rPr>
          <w:rFonts w:ascii="Times New Roman" w:hAnsi="Times New Roman"/>
          <w:noProof/>
        </w:rPr>
        <w:t xml:space="preserve">for the EU Representations and Delegations, the Agencies and other entities: to perform the functions specified in Article 80.2 of the CEOS in function groups I, II, III and IV. </w:t>
      </w:r>
    </w:p>
    <w:p>
      <w:pPr>
        <w:tabs>
          <w:tab w:val="left" w:pos="426"/>
        </w:tabs>
        <w:jc w:val="both"/>
        <w:rPr>
          <w:rFonts w:ascii="Times New Roman" w:hAnsi="Times New Roman"/>
          <w:noProof/>
        </w:rPr>
      </w:pPr>
      <w:r>
        <w:rPr>
          <w:rFonts w:ascii="Times New Roman" w:hAnsi="Times New Roman"/>
          <w:noProof/>
        </w:rPr>
        <w:t>This staff benefit from a contract that can be converted into a contract of indefinite duration, after a first renewal.</w:t>
      </w:r>
    </w:p>
    <w:p>
      <w:pPr>
        <w:tabs>
          <w:tab w:val="left" w:pos="426"/>
        </w:tabs>
        <w:jc w:val="both"/>
        <w:rPr>
          <w:rFonts w:ascii="Times New Roman" w:hAnsi="Times New Roman"/>
          <w:noProof/>
        </w:rPr>
      </w:pPr>
      <w:r>
        <w:rPr>
          <w:rFonts w:ascii="Times New Roman" w:hAnsi="Times New Roman"/>
          <w:noProof/>
        </w:rPr>
        <w:t>Contract staff 3b type are employed:</w:t>
      </w:r>
    </w:p>
    <w:p>
      <w:pPr>
        <w:pStyle w:val="ListParagraph"/>
        <w:numPr>
          <w:ilvl w:val="0"/>
          <w:numId w:val="5"/>
        </w:numPr>
        <w:tabs>
          <w:tab w:val="left" w:pos="426"/>
        </w:tabs>
        <w:jc w:val="both"/>
        <w:rPr>
          <w:rFonts w:ascii="Times New Roman" w:hAnsi="Times New Roman"/>
          <w:noProof/>
        </w:rPr>
      </w:pPr>
      <w:r>
        <w:rPr>
          <w:rFonts w:ascii="Times New Roman" w:hAnsi="Times New Roman"/>
          <w:noProof/>
        </w:rPr>
        <w:t>to perform tasks other than those referred to in article 3a of the CEOS in a post not included in the establishment plan, or</w:t>
      </w:r>
    </w:p>
    <w:p>
      <w:pPr>
        <w:pStyle w:val="ListParagraph"/>
        <w:numPr>
          <w:ilvl w:val="0"/>
          <w:numId w:val="5"/>
        </w:numPr>
        <w:tabs>
          <w:tab w:val="left" w:pos="426"/>
        </w:tabs>
        <w:jc w:val="both"/>
        <w:rPr>
          <w:rFonts w:ascii="Times New Roman" w:hAnsi="Times New Roman"/>
          <w:noProof/>
        </w:rPr>
      </w:pPr>
      <w:r>
        <w:rPr>
          <w:rFonts w:ascii="Times New Roman" w:hAnsi="Times New Roman"/>
          <w:noProof/>
        </w:rPr>
        <w:t xml:space="preserve">to replace an official or temporary staff member who is temporarily unable to perform his or her duties. </w:t>
      </w:r>
    </w:p>
    <w:p>
      <w:pPr>
        <w:tabs>
          <w:tab w:val="left" w:pos="426"/>
        </w:tabs>
        <w:jc w:val="both"/>
        <w:rPr>
          <w:rFonts w:ascii="Times New Roman" w:hAnsi="Times New Roman"/>
          <w:noProof/>
        </w:rPr>
      </w:pPr>
      <w:r>
        <w:rPr>
          <w:rFonts w:ascii="Times New Roman" w:hAnsi="Times New Roman"/>
          <w:noProof/>
        </w:rPr>
        <w:t>This staff are engaged for short periods, from a minimum of 3 months to a maximum of 6 years.</w:t>
      </w:r>
    </w:p>
    <w:p>
      <w:pPr>
        <w:tabs>
          <w:tab w:val="left" w:pos="426"/>
        </w:tabs>
        <w:jc w:val="both"/>
        <w:rPr>
          <w:rFonts w:ascii="Times New Roman" w:hAnsi="Times New Roman"/>
          <w:noProof/>
          <w:lang w:val="en-IE"/>
        </w:rPr>
      </w:pPr>
    </w:p>
    <w:p>
      <w:pPr>
        <w:tabs>
          <w:tab w:val="left" w:pos="426"/>
        </w:tabs>
        <w:jc w:val="both"/>
        <w:rPr>
          <w:rFonts w:ascii="Times New Roman" w:hAnsi="Times New Roman" w:cs="Times New Roman"/>
          <w:noProof/>
        </w:rPr>
      </w:pPr>
      <w:r>
        <w:rPr>
          <w:rFonts w:ascii="Times New Roman" w:hAnsi="Times New Roman"/>
          <w:noProof/>
        </w:rPr>
        <w:t>Article 80 of the CEOS establishes a link between each function group (FG) and the duties that contract staff may perform:</w:t>
      </w:r>
    </w:p>
    <w:tbl>
      <w:tblPr>
        <w:tblW w:w="4863" w:type="pct"/>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279"/>
        <w:gridCol w:w="1047"/>
        <w:gridCol w:w="6528"/>
      </w:tblGrid>
      <w:tr>
        <w:tc>
          <w:tcPr>
            <w:tcW w:w="1291" w:type="dxa"/>
            <w:vAlign w:val="center"/>
            <w:hideMark/>
          </w:tcPr>
          <w:p>
            <w:pPr>
              <w:spacing w:before="100" w:after="100"/>
              <w:jc w:val="center"/>
              <w:rPr>
                <w:noProof/>
                <w:color w:val="000000"/>
                <w:sz w:val="21"/>
                <w:szCs w:val="21"/>
              </w:rPr>
            </w:pPr>
            <w:r>
              <w:rPr>
                <w:b/>
                <w:noProof/>
                <w:color w:val="000000"/>
                <w:sz w:val="21"/>
              </w:rPr>
              <w:t>Function group</w:t>
            </w:r>
          </w:p>
        </w:tc>
        <w:tc>
          <w:tcPr>
            <w:tcW w:w="1058" w:type="dxa"/>
            <w:vAlign w:val="center"/>
            <w:hideMark/>
          </w:tcPr>
          <w:p>
            <w:pPr>
              <w:spacing w:before="100" w:after="100"/>
              <w:jc w:val="center"/>
              <w:rPr>
                <w:noProof/>
                <w:color w:val="000000"/>
                <w:sz w:val="21"/>
                <w:szCs w:val="21"/>
              </w:rPr>
            </w:pPr>
            <w:r>
              <w:rPr>
                <w:b/>
                <w:noProof/>
                <w:color w:val="000000"/>
                <w:sz w:val="21"/>
              </w:rPr>
              <w:t>Grade</w:t>
            </w:r>
          </w:p>
        </w:tc>
        <w:tc>
          <w:tcPr>
            <w:tcW w:w="0" w:type="auto"/>
            <w:vAlign w:val="center"/>
            <w:hideMark/>
          </w:tcPr>
          <w:p>
            <w:pPr>
              <w:spacing w:before="100" w:after="100"/>
              <w:jc w:val="center"/>
              <w:rPr>
                <w:noProof/>
                <w:color w:val="000000"/>
                <w:sz w:val="21"/>
                <w:szCs w:val="21"/>
              </w:rPr>
            </w:pPr>
            <w:r>
              <w:rPr>
                <w:b/>
                <w:noProof/>
                <w:color w:val="000000"/>
                <w:sz w:val="21"/>
              </w:rPr>
              <w:t>Tasks</w:t>
            </w:r>
          </w:p>
        </w:tc>
      </w:tr>
      <w:tr>
        <w:tc>
          <w:tcPr>
            <w:tcW w:w="1291" w:type="dxa"/>
            <w:vAlign w:val="center"/>
            <w:hideMark/>
          </w:tcPr>
          <w:p>
            <w:pPr>
              <w:spacing w:before="100" w:after="100"/>
              <w:ind w:left="180"/>
              <w:jc w:val="center"/>
              <w:rPr>
                <w:noProof/>
                <w:color w:val="000000"/>
                <w:sz w:val="21"/>
                <w:szCs w:val="21"/>
              </w:rPr>
            </w:pPr>
            <w:r>
              <w:rPr>
                <w:b/>
                <w:noProof/>
                <w:color w:val="000000"/>
                <w:sz w:val="21"/>
              </w:rPr>
              <w:t>IV</w:t>
            </w:r>
          </w:p>
        </w:tc>
        <w:tc>
          <w:tcPr>
            <w:tcW w:w="1058" w:type="dxa"/>
            <w:vAlign w:val="center"/>
            <w:hideMark/>
          </w:tcPr>
          <w:p>
            <w:pPr>
              <w:spacing w:before="100" w:after="100"/>
              <w:jc w:val="center"/>
              <w:rPr>
                <w:noProof/>
                <w:color w:val="000000"/>
                <w:sz w:val="21"/>
                <w:szCs w:val="21"/>
              </w:rPr>
            </w:pPr>
            <w:r>
              <w:rPr>
                <w:noProof/>
                <w:color w:val="000000"/>
                <w:sz w:val="21"/>
              </w:rPr>
              <w:t>13 to 18</w:t>
            </w:r>
          </w:p>
        </w:tc>
        <w:tc>
          <w:tcPr>
            <w:tcW w:w="6650" w:type="dxa"/>
            <w:vAlign w:val="center"/>
            <w:hideMark/>
          </w:tcPr>
          <w:p>
            <w:pPr>
              <w:spacing w:before="100" w:after="100"/>
              <w:rPr>
                <w:noProof/>
                <w:color w:val="000000"/>
                <w:sz w:val="21"/>
                <w:szCs w:val="21"/>
              </w:rPr>
            </w:pPr>
            <w:r>
              <w:rPr>
                <w:noProof/>
                <w:color w:val="000000"/>
                <w:sz w:val="21"/>
              </w:rPr>
              <w:t>Administrative, advisory, linguistic and equivalent technical tasks, performed under the supervision of officials or temporary staff</w:t>
            </w:r>
          </w:p>
        </w:tc>
      </w:tr>
      <w:tr>
        <w:tc>
          <w:tcPr>
            <w:tcW w:w="1291" w:type="dxa"/>
            <w:vAlign w:val="center"/>
            <w:hideMark/>
          </w:tcPr>
          <w:p>
            <w:pPr>
              <w:spacing w:before="100" w:after="100"/>
              <w:ind w:left="180"/>
              <w:jc w:val="center"/>
              <w:rPr>
                <w:noProof/>
                <w:color w:val="000000"/>
                <w:sz w:val="21"/>
                <w:szCs w:val="21"/>
              </w:rPr>
            </w:pPr>
            <w:r>
              <w:rPr>
                <w:b/>
                <w:noProof/>
                <w:color w:val="000000"/>
                <w:sz w:val="21"/>
              </w:rPr>
              <w:t>III</w:t>
            </w:r>
          </w:p>
        </w:tc>
        <w:tc>
          <w:tcPr>
            <w:tcW w:w="1058" w:type="dxa"/>
            <w:vAlign w:val="center"/>
            <w:hideMark/>
          </w:tcPr>
          <w:p>
            <w:pPr>
              <w:spacing w:before="100" w:after="100"/>
              <w:jc w:val="center"/>
              <w:rPr>
                <w:noProof/>
                <w:color w:val="000000"/>
                <w:sz w:val="21"/>
                <w:szCs w:val="21"/>
              </w:rPr>
            </w:pPr>
            <w:r>
              <w:rPr>
                <w:noProof/>
                <w:color w:val="000000"/>
                <w:sz w:val="21"/>
              </w:rPr>
              <w:t>8 to 12</w:t>
            </w:r>
          </w:p>
        </w:tc>
        <w:tc>
          <w:tcPr>
            <w:tcW w:w="6650" w:type="dxa"/>
            <w:vAlign w:val="center"/>
            <w:hideMark/>
          </w:tcPr>
          <w:p>
            <w:pPr>
              <w:spacing w:before="100" w:after="100"/>
              <w:rPr>
                <w:noProof/>
                <w:color w:val="000000"/>
                <w:sz w:val="21"/>
                <w:szCs w:val="21"/>
              </w:rPr>
            </w:pPr>
            <w:r>
              <w:rPr>
                <w:noProof/>
                <w:color w:val="000000"/>
                <w:sz w:val="21"/>
              </w:rPr>
              <w:t>Executive tasks, drafting, accountancy and other equivalent technical tasks, performed under the supervision of officials or temporary staff</w:t>
            </w:r>
          </w:p>
        </w:tc>
      </w:tr>
      <w:tr>
        <w:tc>
          <w:tcPr>
            <w:tcW w:w="1291" w:type="dxa"/>
            <w:vAlign w:val="center"/>
            <w:hideMark/>
          </w:tcPr>
          <w:p>
            <w:pPr>
              <w:spacing w:before="100" w:after="100"/>
              <w:ind w:left="180"/>
              <w:jc w:val="center"/>
              <w:rPr>
                <w:noProof/>
                <w:color w:val="000000"/>
                <w:sz w:val="21"/>
                <w:szCs w:val="21"/>
              </w:rPr>
            </w:pPr>
            <w:r>
              <w:rPr>
                <w:b/>
                <w:noProof/>
                <w:color w:val="000000"/>
                <w:sz w:val="21"/>
              </w:rPr>
              <w:t>II</w:t>
            </w:r>
          </w:p>
        </w:tc>
        <w:tc>
          <w:tcPr>
            <w:tcW w:w="1058" w:type="dxa"/>
            <w:vAlign w:val="center"/>
            <w:hideMark/>
          </w:tcPr>
          <w:p>
            <w:pPr>
              <w:spacing w:before="100" w:after="100"/>
              <w:jc w:val="center"/>
              <w:rPr>
                <w:noProof/>
                <w:color w:val="000000"/>
                <w:sz w:val="21"/>
                <w:szCs w:val="21"/>
              </w:rPr>
            </w:pPr>
            <w:r>
              <w:rPr>
                <w:noProof/>
                <w:color w:val="000000"/>
                <w:sz w:val="21"/>
              </w:rPr>
              <w:t>4 to 7</w:t>
            </w:r>
          </w:p>
        </w:tc>
        <w:tc>
          <w:tcPr>
            <w:tcW w:w="6650" w:type="dxa"/>
            <w:vAlign w:val="center"/>
            <w:hideMark/>
          </w:tcPr>
          <w:p>
            <w:pPr>
              <w:spacing w:before="100" w:after="100"/>
              <w:rPr>
                <w:noProof/>
                <w:color w:val="000000"/>
                <w:sz w:val="21"/>
                <w:szCs w:val="21"/>
              </w:rPr>
            </w:pPr>
            <w:r>
              <w:rPr>
                <w:noProof/>
                <w:color w:val="000000"/>
                <w:sz w:val="21"/>
              </w:rPr>
              <w:t>Clerical and secretarial tasks, office management and other equivalent tasks, performed under the supervision of officials or temporary staff</w:t>
            </w:r>
          </w:p>
        </w:tc>
      </w:tr>
      <w:tr>
        <w:tc>
          <w:tcPr>
            <w:tcW w:w="1291" w:type="dxa"/>
            <w:vAlign w:val="center"/>
            <w:hideMark/>
          </w:tcPr>
          <w:p>
            <w:pPr>
              <w:spacing w:before="100" w:after="100"/>
              <w:ind w:left="180"/>
              <w:jc w:val="center"/>
              <w:rPr>
                <w:noProof/>
                <w:color w:val="000000"/>
                <w:sz w:val="21"/>
                <w:szCs w:val="21"/>
              </w:rPr>
            </w:pPr>
            <w:r>
              <w:rPr>
                <w:b/>
                <w:noProof/>
                <w:color w:val="000000"/>
                <w:sz w:val="21"/>
              </w:rPr>
              <w:t>I</w:t>
            </w:r>
          </w:p>
        </w:tc>
        <w:tc>
          <w:tcPr>
            <w:tcW w:w="1058" w:type="dxa"/>
            <w:vAlign w:val="center"/>
            <w:hideMark/>
          </w:tcPr>
          <w:p>
            <w:pPr>
              <w:spacing w:before="100" w:after="100"/>
              <w:jc w:val="center"/>
              <w:rPr>
                <w:noProof/>
                <w:color w:val="000000"/>
                <w:sz w:val="21"/>
                <w:szCs w:val="21"/>
              </w:rPr>
            </w:pPr>
            <w:r>
              <w:rPr>
                <w:noProof/>
                <w:color w:val="000000"/>
                <w:sz w:val="21"/>
              </w:rPr>
              <w:t>1 to 3</w:t>
            </w:r>
          </w:p>
        </w:tc>
        <w:tc>
          <w:tcPr>
            <w:tcW w:w="6650" w:type="dxa"/>
            <w:vAlign w:val="center"/>
            <w:hideMark/>
          </w:tcPr>
          <w:p>
            <w:pPr>
              <w:spacing w:before="100" w:after="100"/>
              <w:rPr>
                <w:noProof/>
                <w:color w:val="000000"/>
                <w:sz w:val="21"/>
                <w:szCs w:val="21"/>
              </w:rPr>
            </w:pPr>
            <w:r>
              <w:rPr>
                <w:noProof/>
                <w:color w:val="000000"/>
                <w:sz w:val="21"/>
              </w:rPr>
              <w:t>Manual and administrative support service tasks, performed under the supervision of officials or temporary staff.</w:t>
            </w:r>
          </w:p>
        </w:tc>
      </w:tr>
    </w:tbl>
    <w:p>
      <w:pPr>
        <w:tabs>
          <w:tab w:val="left" w:pos="426"/>
        </w:tabs>
        <w:jc w:val="both"/>
        <w:rPr>
          <w:rFonts w:ascii="Times New Roman" w:hAnsi="Times New Roman" w:cs="Times New Roman"/>
          <w:noProof/>
        </w:rPr>
      </w:pPr>
    </w:p>
    <w:p>
      <w:pPr>
        <w:spacing w:after="0" w:line="240" w:lineRule="auto"/>
        <w:rPr>
          <w:rFonts w:ascii="Times New Roman" w:eastAsia="Times New Roman" w:hAnsi="Times New Roman" w:cs="Times New Roman"/>
          <w:b/>
          <w:smallCaps/>
          <w:noProof/>
          <w:sz w:val="24"/>
          <w:szCs w:val="24"/>
        </w:rPr>
      </w:pPr>
      <w:bookmarkStart w:id="5" w:name="_Toc306183902"/>
      <w:bookmarkStart w:id="6" w:name="_Toc411605923"/>
      <w:bookmarkStart w:id="7" w:name="_Toc480898935"/>
      <w:r>
        <w:rPr>
          <w:noProof/>
        </w:rPr>
        <w:br w:type="page"/>
      </w:r>
    </w:p>
    <w:p>
      <w:pPr>
        <w:pStyle w:val="ManualHeading1"/>
        <w:rPr>
          <w:noProof/>
        </w:rPr>
      </w:pPr>
      <w:r>
        <w:rPr>
          <w:noProof/>
        </w:rPr>
        <w:t>2.</w:t>
      </w:r>
      <w:r>
        <w:rPr>
          <w:noProof/>
        </w:rPr>
        <w:tab/>
        <w:t>Trend in contract staff numbers in the Commission since 2004</w:t>
      </w:r>
      <w:bookmarkEnd w:id="5"/>
      <w:bookmarkEnd w:id="6"/>
      <w:bookmarkEnd w:id="7"/>
    </w:p>
    <w:p>
      <w:pPr>
        <w:tabs>
          <w:tab w:val="left" w:pos="426"/>
        </w:tabs>
        <w:jc w:val="both"/>
        <w:rPr>
          <w:rFonts w:ascii="Times New Roman" w:hAnsi="Times New Roman" w:cs="Times New Roman"/>
          <w:noProof/>
        </w:rPr>
      </w:pPr>
      <w:r>
        <w:rPr>
          <w:rFonts w:ascii="Times New Roman" w:hAnsi="Times New Roman"/>
          <w:noProof/>
        </w:rPr>
        <w:t>On 31 december 2015, 45 Agencies or Joint undertakings and 10 Institutions were employing around 11 700 contract staff members. This total represents an increase of 5.6% compared to 2014. About 57 % of contract agents were employed by the Commission in 2015, against 58 % in 2014 and 2013. This relative decrease in the share of Commission's contract staff is attributable to the higher increase verified in other institutions and agencies: +8.9% against +3.3% for the Commission.</w:t>
      </w:r>
    </w:p>
    <w:p>
      <w:pPr>
        <w:tabs>
          <w:tab w:val="left" w:pos="426"/>
        </w:tabs>
        <w:jc w:val="both"/>
        <w:rPr>
          <w:rFonts w:ascii="Times New Roman" w:hAnsi="Times New Roman" w:cs="Times New Roman"/>
          <w:noProof/>
        </w:rPr>
      </w:pPr>
      <w:r>
        <w:rPr>
          <w:rFonts w:ascii="Times New Roman" w:hAnsi="Times New Roman"/>
          <w:noProof/>
        </w:rPr>
        <w:t>The breakdown between institutions and agencies is examined further down in this report.</w:t>
      </w:r>
    </w:p>
    <w:p>
      <w:pPr>
        <w:tabs>
          <w:tab w:val="left" w:pos="426"/>
        </w:tabs>
        <w:jc w:val="both"/>
        <w:rPr>
          <w:rFonts w:ascii="Times New Roman" w:hAnsi="Times New Roman" w:cs="Times New Roman"/>
          <w:noProof/>
        </w:rPr>
      </w:pPr>
      <w:r>
        <w:rPr>
          <w:rFonts w:ascii="Times New Roman" w:hAnsi="Times New Roman"/>
          <w:noProof/>
        </w:rPr>
        <w:t>The trend within the Commission since 2004 is as follows</w:t>
      </w:r>
      <w:r>
        <w:rPr>
          <w:rStyle w:val="FootnoteReference"/>
          <w:noProof/>
        </w:rPr>
        <w:footnoteReference w:id="1"/>
      </w:r>
      <w:r>
        <w:rPr>
          <w:rFonts w:ascii="Times New Roman" w:hAnsi="Times New Roman"/>
          <w:noProof/>
        </w:rPr>
        <w:t>:</w:t>
      </w:r>
    </w:p>
    <w:p>
      <w:pPr>
        <w:tabs>
          <w:tab w:val="left" w:pos="426"/>
        </w:tabs>
        <w:jc w:val="both"/>
        <w:rPr>
          <w:rFonts w:ascii="Times New Roman" w:hAnsi="Times New Roman"/>
          <w:noProof/>
        </w:rPr>
      </w:pPr>
      <w:r>
        <w:rPr>
          <w:rFonts w:ascii="Times New Roman" w:hAnsi="Times New Roman"/>
          <w:b/>
          <w:noProof/>
        </w:rPr>
        <w:t xml:space="preserve">Table 1 </w:t>
      </w:r>
      <w:r>
        <w:rPr>
          <w:rFonts w:ascii="Times New Roman" w:hAnsi="Times New Roman"/>
          <w:b/>
          <w:noProof/>
        </w:rPr>
        <w:tab/>
        <w:t>Trend within the Commission</w:t>
      </w:r>
    </w:p>
    <w:p>
      <w:pPr>
        <w:tabs>
          <w:tab w:val="left" w:pos="426"/>
        </w:tabs>
        <w:jc w:val="both"/>
        <w:rPr>
          <w:rFonts w:ascii="Times New Roman" w:hAnsi="Times New Roman" w:cs="Times New Roman"/>
          <w:noProof/>
        </w:rPr>
      </w:pPr>
      <w:r>
        <w:rPr>
          <w:noProof/>
          <w:lang w:val="en-US" w:eastAsia="en-US" w:bidi="ar-SA"/>
        </w:rPr>
        <w:drawing>
          <wp:inline distT="0" distB="0" distL="0" distR="0">
            <wp:extent cx="5761355" cy="3486459"/>
            <wp:effectExtent l="0" t="0" r="10795" b="19050"/>
            <wp:docPr id="3" name="Chart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center"/>
        <w:rPr>
          <w:noProof/>
        </w:rPr>
      </w:pPr>
      <w:r>
        <w:rPr>
          <w:noProof/>
          <w:lang w:val="en-US" w:eastAsia="en-US" w:bidi="ar-SA"/>
        </w:rPr>
        <w:drawing>
          <wp:inline distT="0" distB="0" distL="0" distR="0">
            <wp:extent cx="5759355" cy="334370"/>
            <wp:effectExtent l="0" t="0" r="0" b="889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1205" cy="335058"/>
                    </a:xfrm>
                    <a:prstGeom prst="rect">
                      <a:avLst/>
                    </a:prstGeom>
                    <a:noFill/>
                    <a:ln>
                      <a:noFill/>
                    </a:ln>
                  </pic:spPr>
                </pic:pic>
              </a:graphicData>
            </a:graphic>
          </wp:inline>
        </w:drawing>
      </w:r>
    </w:p>
    <w:p>
      <w:pPr>
        <w:tabs>
          <w:tab w:val="left" w:pos="426"/>
        </w:tabs>
        <w:jc w:val="both"/>
        <w:rPr>
          <w:rFonts w:ascii="Times New Roman" w:hAnsi="Times New Roman"/>
          <w:noProof/>
        </w:rPr>
      </w:pPr>
      <w:r>
        <w:rPr>
          <w:rFonts w:ascii="Times New Roman" w:hAnsi="Times New Roman"/>
          <w:noProof/>
        </w:rPr>
        <w:t xml:space="preserve">The initial rise in contract staff numbers working at the Commission is due to a) the mere implementation of the 2004 statutory provisions, implying the gradual replacement of the former categories of auxiliary staff (nearly 3 000 in 2003) and D-level officials and temporary agents, and b) the conversion of permanent official posts into appropriations for contract staff in the administrative offices. </w:t>
      </w:r>
    </w:p>
    <w:p>
      <w:pPr>
        <w:tabs>
          <w:tab w:val="left" w:pos="426"/>
        </w:tabs>
        <w:jc w:val="both"/>
        <w:rPr>
          <w:rFonts w:ascii="Times New Roman" w:hAnsi="Times New Roman"/>
          <w:noProof/>
        </w:rPr>
      </w:pPr>
      <w:r>
        <w:rPr>
          <w:rFonts w:ascii="Times New Roman" w:hAnsi="Times New Roman"/>
          <w:noProof/>
        </w:rPr>
        <w:t>Furthermore, contract staff were also taken on as temporary replacements for permanent staff, as provided for in Article 3b of the CEOS, in order to ensure effective business continuity.</w:t>
      </w:r>
    </w:p>
    <w:p>
      <w:pPr>
        <w:tabs>
          <w:tab w:val="left" w:pos="426"/>
        </w:tabs>
        <w:jc w:val="both"/>
        <w:rPr>
          <w:rFonts w:ascii="Times New Roman" w:hAnsi="Times New Roman"/>
          <w:noProof/>
        </w:rPr>
      </w:pPr>
      <w:r>
        <w:rPr>
          <w:rFonts w:ascii="Times New Roman" w:hAnsi="Times New Roman"/>
          <w:noProof/>
        </w:rPr>
        <w:t>For the abovementioned reasons, contract staff numbers grew each year up to 2009.</w:t>
      </w:r>
    </w:p>
    <w:p>
      <w:pPr>
        <w:tabs>
          <w:tab w:val="left" w:pos="426"/>
        </w:tabs>
        <w:jc w:val="both"/>
        <w:rPr>
          <w:rFonts w:ascii="Times New Roman" w:hAnsi="Times New Roman" w:cs="Times New Roman"/>
          <w:noProof/>
        </w:rPr>
      </w:pPr>
      <w:r>
        <w:rPr>
          <w:rFonts w:ascii="Times New Roman" w:hAnsi="Times New Roman"/>
          <w:noProof/>
        </w:rPr>
        <w:t xml:space="preserve">From 2010 to 2013, the number of contract staff remained stable, with a slight decrease due to several concurrent reasons (e.g., delay in finalisation of the lists of suitable candidates in 2010, transfer of staff to the EEAS at the time of its creation,  etc.) </w:t>
      </w:r>
    </w:p>
    <w:p>
      <w:pPr>
        <w:tabs>
          <w:tab w:val="left" w:pos="426"/>
        </w:tabs>
        <w:jc w:val="both"/>
        <w:rPr>
          <w:rFonts w:ascii="Times New Roman" w:hAnsi="Times New Roman"/>
          <w:noProof/>
        </w:rPr>
      </w:pPr>
      <w:r>
        <w:rPr>
          <w:rFonts w:ascii="Times New Roman" w:hAnsi="Times New Roman"/>
          <w:noProof/>
        </w:rPr>
        <w:t>As of 2014, with the entry into force of the new Staff Regulations, the term of employment of 3b contract staff has been extented to a maximum of six years. This implied that many contract staff who had already completed three years of service and were actually continuing to work for the Commission as agency staff were able to be re-engaged for a further contractual period, allowing the Commission to benefit from contract staff already trained and operational. This increased the number of contract staff, while reducing the number of interim agency staff</w:t>
      </w:r>
      <w:r>
        <w:rPr>
          <w:rStyle w:val="FootnoteReference"/>
          <w:rFonts w:ascii="Times New Roman" w:hAnsi="Times New Roman"/>
          <w:noProof/>
        </w:rPr>
        <w:footnoteReference w:id="2"/>
      </w:r>
      <w:r>
        <w:rPr>
          <w:rFonts w:ascii="Times New Roman" w:hAnsi="Times New Roman"/>
          <w:noProof/>
        </w:rPr>
        <w:t xml:space="preserve"> (paid upon the same budgetary appropriations). </w:t>
      </w:r>
    </w:p>
    <w:p>
      <w:pPr>
        <w:tabs>
          <w:tab w:val="left" w:pos="426"/>
        </w:tabs>
        <w:jc w:val="both"/>
        <w:rPr>
          <w:rFonts w:ascii="Times New Roman" w:hAnsi="Times New Roman"/>
          <w:noProof/>
        </w:rPr>
      </w:pPr>
      <w:r>
        <w:rPr>
          <w:rFonts w:ascii="Times New Roman" w:hAnsi="Times New Roman"/>
          <w:noProof/>
        </w:rPr>
        <w:t>In 2015, the small increase of contract staff in the Commission is mainly due to a change in the Joint Research Center's policy for engagement of non-permanent scientific staff, from grant holders under national law contracts to contract agents FGIV.</w:t>
      </w:r>
    </w:p>
    <w:p>
      <w:pPr>
        <w:rPr>
          <w:noProof/>
        </w:rPr>
      </w:pPr>
    </w:p>
    <w:p>
      <w:pPr>
        <w:spacing w:after="0" w:line="240" w:lineRule="auto"/>
        <w:rPr>
          <w:rFonts w:ascii="Times New Roman" w:eastAsia="Times New Roman" w:hAnsi="Times New Roman" w:cs="Times New Roman"/>
          <w:b/>
          <w:smallCaps/>
          <w:noProof/>
          <w:sz w:val="24"/>
          <w:szCs w:val="24"/>
        </w:rPr>
      </w:pPr>
      <w:bookmarkStart w:id="8" w:name="_Toc306183903"/>
      <w:bookmarkStart w:id="9" w:name="_Toc411605924"/>
      <w:bookmarkStart w:id="10" w:name="_Toc480898936"/>
      <w:r>
        <w:rPr>
          <w:noProof/>
        </w:rPr>
        <w:br w:type="page"/>
      </w:r>
    </w:p>
    <w:p>
      <w:pPr>
        <w:pStyle w:val="ManualHeading1"/>
        <w:rPr>
          <w:noProof/>
        </w:rPr>
      </w:pPr>
      <w:r>
        <w:rPr>
          <w:noProof/>
        </w:rPr>
        <w:t>3.</w:t>
      </w:r>
      <w:r>
        <w:rPr>
          <w:noProof/>
        </w:rPr>
        <w:tab/>
        <w:t xml:space="preserve">Breakdown by gender and by </w:t>
      </w:r>
      <w:bookmarkEnd w:id="8"/>
      <w:r>
        <w:rPr>
          <w:noProof/>
        </w:rPr>
        <w:t>function group</w:t>
      </w:r>
      <w:bookmarkEnd w:id="9"/>
      <w:r>
        <w:rPr>
          <w:noProof/>
        </w:rPr>
        <w:t xml:space="preserve"> of Commission's contract staff</w:t>
      </w:r>
      <w:bookmarkEnd w:id="10"/>
    </w:p>
    <w:p>
      <w:pPr>
        <w:rPr>
          <w:rFonts w:ascii="Times New Roman" w:hAnsi="Times New Roman" w:cs="Times New Roman"/>
          <w:noProof/>
        </w:rPr>
      </w:pPr>
      <w:r>
        <w:rPr>
          <w:rFonts w:ascii="Times New Roman" w:hAnsi="Times New Roman"/>
          <w:noProof/>
        </w:rPr>
        <w:t>The breakdown of contract staff  by gender, function group and grade is shown in the table below.</w:t>
      </w:r>
    </w:p>
    <w:p>
      <w:pPr>
        <w:spacing w:after="120"/>
        <w:jc w:val="center"/>
        <w:rPr>
          <w:rFonts w:ascii="Times New Roman" w:hAnsi="Times New Roman" w:cs="Times New Roman"/>
          <w:b/>
          <w:noProof/>
        </w:rPr>
      </w:pPr>
    </w:p>
    <w:p>
      <w:pPr>
        <w:spacing w:after="120"/>
        <w:rPr>
          <w:rFonts w:ascii="Times New Roman" w:hAnsi="Times New Roman"/>
          <w:b/>
          <w:noProof/>
        </w:rPr>
      </w:pPr>
      <w:r>
        <w:rPr>
          <w:rFonts w:ascii="Times New Roman" w:hAnsi="Times New Roman"/>
          <w:b/>
          <w:noProof/>
        </w:rPr>
        <w:t xml:space="preserve">Table 2A </w:t>
      </w:r>
      <w:r>
        <w:rPr>
          <w:rFonts w:ascii="Times New Roman" w:hAnsi="Times New Roman"/>
          <w:b/>
          <w:noProof/>
        </w:rPr>
        <w:tab/>
      </w:r>
      <w:r>
        <w:rPr>
          <w:rFonts w:ascii="Times New Roman" w:hAnsi="Times New Roman"/>
          <w:b/>
          <w:noProof/>
        </w:rPr>
        <w:tab/>
      </w:r>
      <w:r>
        <w:rPr>
          <w:rFonts w:ascii="Times New Roman" w:hAnsi="Times New Roman"/>
          <w:b/>
          <w:noProof/>
        </w:rPr>
        <w:tab/>
        <w:t>Breakdown by gender, FG and grade in 2015</w:t>
      </w:r>
      <w:r>
        <w:rPr>
          <w:rStyle w:val="FootnoteReference"/>
          <w:b/>
          <w:noProof/>
        </w:rPr>
        <w:footnoteReference w:id="3"/>
      </w:r>
    </w:p>
    <w:p>
      <w:pPr>
        <w:spacing w:after="0"/>
        <w:rPr>
          <w:rFonts w:ascii="Times New Roman" w:hAnsi="Times New Roman"/>
          <w:b/>
          <w:noProof/>
        </w:rPr>
      </w:pPr>
    </w:p>
    <w:p>
      <w:pPr>
        <w:spacing w:after="0"/>
        <w:rPr>
          <w:rFonts w:ascii="Times New Roman" w:hAnsi="Times New Roman" w:cs="Times New Roman"/>
          <w:b/>
          <w:noProof/>
        </w:rPr>
      </w:pPr>
      <w:r>
        <w:rPr>
          <w:noProof/>
          <w:lang w:val="en-US" w:eastAsia="en-US" w:bidi="ar-SA"/>
        </w:rPr>
        <w:drawing>
          <wp:inline distT="0" distB="0" distL="0" distR="0">
            <wp:extent cx="5738884" cy="4455994"/>
            <wp:effectExtent l="0" t="0" r="14605" b="20955"/>
            <wp:docPr id="17" name="Graphique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46348228-9564-4E2C-9AE1-EA00C3F5C4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after="0" w:line="240" w:lineRule="auto"/>
        <w:rPr>
          <w:noProof/>
        </w:rPr>
      </w:pPr>
      <w:r>
        <w:rPr>
          <w:b/>
          <w:noProof/>
          <w:u w:val="single"/>
        </w:rPr>
        <w:br w:type="page"/>
      </w:r>
    </w:p>
    <w:p>
      <w:pPr>
        <w:spacing w:after="0"/>
        <w:rPr>
          <w:rFonts w:ascii="Times New Roman" w:hAnsi="Times New Roman"/>
          <w:b/>
          <w:noProof/>
        </w:rPr>
      </w:pPr>
      <w:r>
        <w:rPr>
          <w:rFonts w:ascii="Times New Roman" w:hAnsi="Times New Roman"/>
          <w:b/>
          <w:noProof/>
        </w:rPr>
        <w:t>Table 2B</w:t>
      </w:r>
    </w:p>
    <w:p>
      <w:pPr>
        <w:rPr>
          <w:b/>
          <w:noProof/>
          <w:u w:val="single"/>
        </w:rPr>
      </w:pPr>
      <w:r>
        <w:rPr>
          <w:noProof/>
          <w:lang w:val="en-US" w:eastAsia="en-US" w:bidi="ar-SA"/>
        </w:rPr>
        <w:drawing>
          <wp:inline distT="0" distB="0" distL="0" distR="0">
            <wp:extent cx="4886325" cy="457962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86325" cy="4579620"/>
                    </a:xfrm>
                    <a:prstGeom prst="rect">
                      <a:avLst/>
                    </a:prstGeom>
                    <a:noFill/>
                    <a:ln>
                      <a:noFill/>
                    </a:ln>
                  </pic:spPr>
                </pic:pic>
              </a:graphicData>
            </a:graphic>
          </wp:inline>
        </w:drawing>
      </w:r>
    </w:p>
    <w:p>
      <w:pPr>
        <w:jc w:val="both"/>
        <w:rPr>
          <w:rFonts w:ascii="Times New Roman" w:hAnsi="Times New Roman"/>
          <w:noProof/>
        </w:rPr>
      </w:pPr>
      <w:r>
        <w:rPr>
          <w:rFonts w:ascii="Times New Roman" w:hAnsi="Times New Roman"/>
          <w:noProof/>
        </w:rPr>
        <w:t xml:space="preserve">On 31 December 2015, 6 652 contract staff were serving at the Commission. The largest function group is FGII, accounting for almost 37 % of contract staff in 2015 - a small decrease compared with the share attained in the previous year, 39%. Most staff in this group carry out secretarial or similar duties, while others are responsible for childcare. </w:t>
      </w:r>
    </w:p>
    <w:p>
      <w:pPr>
        <w:jc w:val="both"/>
        <w:rPr>
          <w:rFonts w:ascii="Times New Roman" w:hAnsi="Times New Roman" w:cs="Times New Roman"/>
          <w:noProof/>
        </w:rPr>
      </w:pPr>
      <w:r>
        <w:rPr>
          <w:rFonts w:ascii="Times New Roman" w:hAnsi="Times New Roman"/>
          <w:noProof/>
        </w:rPr>
        <w:t>The overall split between men and women has remained stable over the years. In 2015, gender balance was achieved in FGIV. The gender breakdown in the other FGs has been stable since 2011. We find a much larger proportion of women in FGII (83.5 % in 2015) and, to a lesser extent, in FGIII (60 % in 2015). In FGI, in contrast, men predominate (63.7 % in 2015).</w:t>
      </w:r>
    </w:p>
    <w:p>
      <w:pPr>
        <w:pStyle w:val="ManualHeading1"/>
        <w:rPr>
          <w:noProof/>
        </w:rPr>
      </w:pPr>
      <w:bookmarkStart w:id="11" w:name="_Toc306183904"/>
      <w:bookmarkStart w:id="12" w:name="_Toc411605925"/>
      <w:bookmarkStart w:id="13" w:name="_Toc480898937"/>
      <w:r>
        <w:rPr>
          <w:noProof/>
        </w:rPr>
        <w:t>4.</w:t>
      </w:r>
      <w:r>
        <w:rPr>
          <w:noProof/>
        </w:rPr>
        <w:tab/>
        <w:t>Breakdown by nationality</w:t>
      </w:r>
      <w:bookmarkEnd w:id="11"/>
      <w:bookmarkEnd w:id="12"/>
      <w:r>
        <w:rPr>
          <w:noProof/>
        </w:rPr>
        <w:t xml:space="preserve"> of Commission's contract staff</w:t>
      </w:r>
      <w:bookmarkEnd w:id="13"/>
    </w:p>
    <w:p>
      <w:pPr>
        <w:keepNext/>
        <w:keepLines/>
        <w:jc w:val="both"/>
        <w:rPr>
          <w:rFonts w:ascii="Times New Roman" w:hAnsi="Times New Roman"/>
          <w:noProof/>
        </w:rPr>
      </w:pPr>
    </w:p>
    <w:p>
      <w:pPr>
        <w:keepNext/>
        <w:keepLines/>
        <w:jc w:val="both"/>
        <w:rPr>
          <w:rFonts w:ascii="Times New Roman" w:hAnsi="Times New Roman"/>
          <w:noProof/>
        </w:rPr>
      </w:pPr>
      <w:r>
        <w:rPr>
          <w:rFonts w:ascii="Times New Roman" w:hAnsi="Times New Roman"/>
          <w:noProof/>
        </w:rPr>
        <w:t>It is worth noting that, as per officials and temporary agents, engagement of contract staff is carried out on the basis of the required profile and the applicants' abilities and language knowledge, without any definition of national quotas.</w:t>
      </w:r>
    </w:p>
    <w:p>
      <w:pPr>
        <w:keepNext/>
        <w:keepLines/>
        <w:jc w:val="both"/>
        <w:rPr>
          <w:rFonts w:ascii="Times New Roman" w:hAnsi="Times New Roman"/>
          <w:noProof/>
        </w:rPr>
      </w:pPr>
      <w:r>
        <w:rPr>
          <w:rFonts w:ascii="Times New Roman" w:hAnsi="Times New Roman"/>
          <w:noProof/>
        </w:rPr>
        <w:t xml:space="preserve">In 2015, all Member States were represented in all function groups with the exception of Austrians in FGI. Nationalities most represented among contract staff are, in descending order, Belgians, Italians, French, Spaniards and Romanians, followed by Greeks and Poles. The share of the first four nationalities has been the same since 2005 (around 60%). The UK and Germany, like Poland and the Netherlands, are rather under-represented in relation to their population. Conversely, Belgium and Italy are over-represented in relation to their population. </w:t>
      </w:r>
    </w:p>
    <w:p>
      <w:pPr>
        <w:jc w:val="both"/>
        <w:rPr>
          <w:rFonts w:ascii="Times New Roman" w:hAnsi="Times New Roman"/>
          <w:noProof/>
        </w:rPr>
      </w:pPr>
      <w:r>
        <w:rPr>
          <w:rFonts w:ascii="Times New Roman" w:hAnsi="Times New Roman"/>
          <w:noProof/>
        </w:rPr>
        <w:t>Following the accession of Croatia to the European Union, on 1 July 2013, 42 Croatian contract staff worked at the Commission on 31 December 2015.</w:t>
      </w:r>
    </w:p>
    <w:p>
      <w:pPr>
        <w:jc w:val="both"/>
        <w:rPr>
          <w:b/>
          <w:noProof/>
        </w:rPr>
      </w:pPr>
      <w:r>
        <w:rPr>
          <w:rFonts w:ascii="Times New Roman" w:hAnsi="Times New Roman"/>
          <w:noProof/>
        </w:rPr>
        <w:t xml:space="preserve">The breakdown by nationality is influenced by a combination of factors, in particular geographical proximity to the location of the European institution’s headquarters (for the Commission, mainly Brussels, Luxembourg and Ispra), salary levels and the duration of the proposed contracts. Candidates are more likely to accept a post with a fixed-term contract if they are resident at or near the site of the institution offering them a job. Indeed, it can be hard for candidates with families to leave their countries of origin and set up home at the institution’s headquarters for a relatively short period of time (on the basis of the general implementing provisions adopted on the basis of the article 79.2 of the CEOS, the duration of the first contract is of just one year). As reported in the tables below, this is in particular true for contract staff FGI and FGII, while contract staff FGIV have a less geographically imbalanced composition. </w:t>
      </w:r>
    </w:p>
    <w:p>
      <w:pPr>
        <w:pStyle w:val="NormalCentered"/>
        <w:tabs>
          <w:tab w:val="left" w:pos="0"/>
        </w:tabs>
        <w:spacing w:before="0" w:after="0"/>
        <w:rPr>
          <w:b/>
          <w:noProof/>
          <w:sz w:val="22"/>
        </w:rPr>
      </w:pPr>
      <w:r>
        <w:rPr>
          <w:b/>
          <w:noProof/>
          <w:sz w:val="22"/>
        </w:rPr>
        <w:t xml:space="preserve">Table 3A </w:t>
      </w:r>
      <w:r>
        <w:rPr>
          <w:b/>
          <w:noProof/>
          <w:sz w:val="22"/>
        </w:rPr>
        <w:tab/>
        <w:t>Breakdown by nationality and gender of Commission's contract staff in 2015</w:t>
      </w:r>
      <w:r>
        <w:rPr>
          <w:rStyle w:val="FootnoteReference"/>
          <w:b/>
          <w:noProof/>
          <w:sz w:val="22"/>
        </w:rPr>
        <w:footnoteReference w:id="4"/>
      </w:r>
    </w:p>
    <w:p>
      <w:pPr>
        <w:pStyle w:val="NormalCentered"/>
        <w:spacing w:after="0"/>
        <w:jc w:val="left"/>
        <w:rPr>
          <w:b/>
          <w:noProof/>
        </w:rPr>
      </w:pPr>
    </w:p>
    <w:p>
      <w:pPr>
        <w:pStyle w:val="NormalCentered"/>
        <w:spacing w:after="0"/>
        <w:jc w:val="left"/>
        <w:rPr>
          <w:b/>
          <w:noProof/>
        </w:rPr>
      </w:pPr>
      <w:r>
        <w:rPr>
          <w:noProof/>
          <w:lang w:val="en-US" w:eastAsia="en-US" w:bidi="ar-SA"/>
        </w:rPr>
        <w:drawing>
          <wp:inline distT="0" distB="0" distL="0" distR="0">
            <wp:extent cx="6334963" cy="3511296"/>
            <wp:effectExtent l="0" t="0" r="27940" b="133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NormalCentered"/>
        <w:spacing w:after="0"/>
        <w:jc w:val="left"/>
        <w:rPr>
          <w:b/>
          <w:noProof/>
        </w:rPr>
      </w:pPr>
    </w:p>
    <w:p>
      <w:pPr>
        <w:pStyle w:val="NormalCentered"/>
        <w:spacing w:after="0"/>
        <w:jc w:val="left"/>
        <w:rPr>
          <w:noProof/>
        </w:rPr>
      </w:pPr>
      <w:r>
        <w:rPr>
          <w:b/>
          <w:noProof/>
        </w:rPr>
        <w:t>Table 3B</w:t>
      </w:r>
    </w:p>
    <w:p>
      <w:pPr>
        <w:pStyle w:val="NormalCentered"/>
        <w:rPr>
          <w:noProof/>
        </w:rPr>
      </w:pPr>
      <w:r>
        <w:rPr>
          <w:noProof/>
          <w:lang w:val="en-US" w:eastAsia="en-US" w:bidi="ar-SA"/>
        </w:rPr>
        <w:drawing>
          <wp:inline distT="0" distB="0" distL="0" distR="0">
            <wp:extent cx="4732655" cy="5895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32655" cy="5895975"/>
                    </a:xfrm>
                    <a:prstGeom prst="rect">
                      <a:avLst/>
                    </a:prstGeom>
                    <a:noFill/>
                    <a:ln>
                      <a:noFill/>
                    </a:ln>
                  </pic:spPr>
                </pic:pic>
              </a:graphicData>
            </a:graphic>
          </wp:inline>
        </w:drawing>
      </w:r>
    </w:p>
    <w:p>
      <w:pPr>
        <w:jc w:val="both"/>
        <w:rPr>
          <w:rFonts w:ascii="Times New Roman" w:hAnsi="Times New Roman"/>
          <w:noProof/>
        </w:rPr>
      </w:pPr>
    </w:p>
    <w:p>
      <w:pPr>
        <w:jc w:val="both"/>
        <w:rPr>
          <w:noProof/>
        </w:rPr>
      </w:pPr>
      <w:r>
        <w:rPr>
          <w:noProof/>
        </w:rPr>
        <w:br w:type="page"/>
      </w:r>
    </w:p>
    <w:p>
      <w:pPr>
        <w:rPr>
          <w:noProof/>
        </w:rPr>
      </w:pPr>
    </w:p>
    <w:p>
      <w:pPr>
        <w:keepNext/>
        <w:keepLines/>
        <w:jc w:val="both"/>
        <w:rPr>
          <w:rFonts w:ascii="Times New Roman" w:hAnsi="Times New Roman" w:cs="Times New Roman"/>
          <w:noProof/>
        </w:rPr>
      </w:pPr>
      <w:r>
        <w:rPr>
          <w:rFonts w:ascii="Times New Roman" w:hAnsi="Times New Roman"/>
          <w:noProof/>
        </w:rPr>
        <w:t xml:space="preserve">Table 4 below gives an analytical breakdown by FG, nationality and gender. </w:t>
      </w:r>
    </w:p>
    <w:p>
      <w:pPr>
        <w:pStyle w:val="NormalCentered"/>
        <w:jc w:val="left"/>
        <w:rPr>
          <w:b/>
          <w:noProof/>
          <w:sz w:val="22"/>
        </w:rPr>
      </w:pPr>
      <w:r>
        <w:rPr>
          <w:b/>
          <w:noProof/>
          <w:sz w:val="22"/>
        </w:rPr>
        <w:t xml:space="preserve">Table 4 </w:t>
      </w:r>
      <w:r>
        <w:rPr>
          <w:b/>
          <w:noProof/>
          <w:sz w:val="22"/>
        </w:rPr>
        <w:tab/>
        <w:t>Contract staff by gender, function group and nationality</w:t>
      </w:r>
      <w:r>
        <w:rPr>
          <w:rStyle w:val="FootnoteReference"/>
          <w:b/>
          <w:noProof/>
          <w:sz w:val="22"/>
        </w:rPr>
        <w:footnoteReference w:id="5"/>
      </w:r>
    </w:p>
    <w:p>
      <w:pPr>
        <w:keepNext/>
        <w:keepLines/>
        <w:jc w:val="both"/>
        <w:rPr>
          <w:rFonts w:ascii="Times New Roman" w:hAnsi="Times New Roman" w:cs="Times New Roman"/>
          <w:b/>
          <w:noProof/>
        </w:rPr>
      </w:pPr>
    </w:p>
    <w:p>
      <w:pPr>
        <w:rPr>
          <w:noProof/>
          <w:sz w:val="16"/>
          <w:szCs w:val="16"/>
        </w:rPr>
      </w:pPr>
    </w:p>
    <w:tbl>
      <w:tblPr>
        <w:tblpPr w:leftFromText="180" w:rightFromText="180" w:vertAnchor="text" w:horzAnchor="margin" w:tblpY="-343"/>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FGIV</w:t>
            </w:r>
          </w:p>
        </w:tc>
      </w:tr>
    </w:tbl>
    <w:p>
      <w:pPr>
        <w:jc w:val="center"/>
        <w:rPr>
          <w:noProof/>
          <w:lang w:bidi="ar-SA"/>
        </w:rPr>
      </w:pPr>
      <w:bookmarkStart w:id="14" w:name="_Toc306183905"/>
    </w:p>
    <w:p>
      <w:pPr>
        <w:jc w:val="center"/>
        <w:rPr>
          <w:noProof/>
          <w:lang w:bidi="ar-SA"/>
        </w:rPr>
      </w:pPr>
      <w:r>
        <w:rPr>
          <w:noProof/>
          <w:lang w:val="en-US" w:eastAsia="en-US" w:bidi="ar-SA"/>
        </w:rPr>
        <w:drawing>
          <wp:inline distT="0" distB="0" distL="0" distR="0">
            <wp:extent cx="5342890" cy="5629910"/>
            <wp:effectExtent l="0" t="0" r="0" b="889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42890" cy="5629910"/>
                    </a:xfrm>
                    <a:prstGeom prst="rect">
                      <a:avLst/>
                    </a:prstGeom>
                    <a:noFill/>
                    <a:ln>
                      <a:noFill/>
                    </a:ln>
                  </pic:spPr>
                </pic:pic>
              </a:graphicData>
            </a:graphic>
          </wp:inline>
        </w:drawing>
      </w:r>
    </w:p>
    <w:p>
      <w:pPr>
        <w:jc w:val="center"/>
        <w:rPr>
          <w:noProof/>
        </w:rPr>
      </w:pPr>
      <w:r>
        <w:rPr>
          <w:noProof/>
        </w:rPr>
        <w:br w:type="page"/>
      </w:r>
    </w:p>
    <w:tbl>
      <w:tblPr>
        <w:tblpPr w:leftFromText="180" w:rightFromText="180" w:vertAnchor="text" w:horzAnchor="margin" w:tblpY="-343"/>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FGIII</w:t>
            </w:r>
          </w:p>
        </w:tc>
      </w:tr>
    </w:tbl>
    <w:p>
      <w:pPr>
        <w:spacing w:after="0"/>
        <w:jc w:val="center"/>
        <w:rPr>
          <w:noProof/>
        </w:rPr>
      </w:pPr>
    </w:p>
    <w:p>
      <w:pPr>
        <w:spacing w:after="0"/>
        <w:jc w:val="center"/>
        <w:rPr>
          <w:noProof/>
        </w:rPr>
      </w:pPr>
    </w:p>
    <w:p>
      <w:pPr>
        <w:jc w:val="center"/>
        <w:rPr>
          <w:noProof/>
        </w:rPr>
      </w:pPr>
      <w:r>
        <w:rPr>
          <w:noProof/>
          <w:lang w:val="en-US" w:eastAsia="en-US" w:bidi="ar-SA"/>
        </w:rPr>
        <w:drawing>
          <wp:inline distT="0" distB="0" distL="0" distR="0">
            <wp:extent cx="5342890" cy="5629910"/>
            <wp:effectExtent l="0" t="0" r="0" b="889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42890" cy="5629910"/>
                    </a:xfrm>
                    <a:prstGeom prst="rect">
                      <a:avLst/>
                    </a:prstGeom>
                    <a:noFill/>
                    <a:ln>
                      <a:noFill/>
                    </a:ln>
                  </pic:spPr>
                </pic:pic>
              </a:graphicData>
            </a:graphic>
          </wp:inline>
        </w:drawing>
      </w:r>
      <w:r>
        <w:rPr>
          <w:noProof/>
        </w:rPr>
        <w:br w:type="page"/>
      </w:r>
    </w:p>
    <w:p>
      <w:pPr>
        <w:spacing w:after="0"/>
        <w:jc w:val="center"/>
        <w:rPr>
          <w:noProof/>
        </w:rPr>
      </w:pPr>
    </w:p>
    <w:p>
      <w:pPr>
        <w:spacing w:after="0"/>
        <w:jc w:val="center"/>
        <w:rPr>
          <w:noProof/>
        </w:rPr>
      </w:pPr>
    </w:p>
    <w:p>
      <w:pPr>
        <w:spacing w:after="0"/>
        <w:jc w:val="center"/>
        <w:rPr>
          <w:noProof/>
        </w:rPr>
      </w:pPr>
    </w:p>
    <w:tbl>
      <w:tblPr>
        <w:tblpPr w:leftFromText="180" w:rightFromText="180" w:vertAnchor="text" w:horzAnchor="margin" w:tblpY="-343"/>
        <w:tblW w:w="1273" w:type="dxa"/>
        <w:tblLook w:val="0000" w:firstRow="0" w:lastRow="0" w:firstColumn="0" w:lastColumn="0" w:noHBand="0" w:noVBand="0"/>
      </w:tblPr>
      <w:tblGrid>
        <w:gridCol w:w="1273"/>
      </w:tblGrid>
      <w:tr>
        <w:trPr>
          <w:trHeight w:val="269"/>
        </w:trPr>
        <w:tc>
          <w:tcPr>
            <w:tcW w:w="1273"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FGII</w:t>
            </w:r>
          </w:p>
        </w:tc>
      </w:tr>
    </w:tbl>
    <w:p>
      <w:pPr>
        <w:rPr>
          <w:noProof/>
          <w:sz w:val="8"/>
          <w:szCs w:val="8"/>
        </w:rPr>
      </w:pPr>
    </w:p>
    <w:p>
      <w:pPr>
        <w:rPr>
          <w:noProof/>
          <w:sz w:val="8"/>
          <w:szCs w:val="8"/>
        </w:rPr>
      </w:pPr>
      <w:r>
        <w:rPr>
          <w:noProof/>
          <w:lang w:val="en-US" w:eastAsia="en-US" w:bidi="ar-SA"/>
        </w:rPr>
        <w:drawing>
          <wp:inline distT="0" distB="0" distL="0" distR="0">
            <wp:extent cx="5342890" cy="5629910"/>
            <wp:effectExtent l="0" t="0" r="0" b="889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42890" cy="5629910"/>
                    </a:xfrm>
                    <a:prstGeom prst="rect">
                      <a:avLst/>
                    </a:prstGeom>
                    <a:noFill/>
                    <a:ln>
                      <a:noFill/>
                    </a:ln>
                  </pic:spPr>
                </pic:pic>
              </a:graphicData>
            </a:graphic>
          </wp:inline>
        </w:drawing>
      </w:r>
    </w:p>
    <w:p>
      <w:pPr>
        <w:spacing w:after="0" w:line="240" w:lineRule="auto"/>
        <w:rPr>
          <w:noProof/>
          <w:sz w:val="8"/>
          <w:szCs w:val="8"/>
        </w:rPr>
      </w:pPr>
      <w:r>
        <w:rPr>
          <w:noProof/>
          <w:sz w:val="8"/>
          <w:szCs w:val="8"/>
        </w:rPr>
        <w:br w:type="page"/>
      </w:r>
    </w:p>
    <w:p>
      <w:pPr>
        <w:jc w:val="center"/>
        <w:rPr>
          <w:noProof/>
          <w:sz w:val="8"/>
          <w:szCs w:val="8"/>
        </w:rPr>
      </w:pPr>
    </w:p>
    <w:tbl>
      <w:tblPr>
        <w:tblpPr w:leftFromText="180" w:rightFromText="180" w:vertAnchor="text" w:horzAnchor="margin" w:tblpY="108"/>
        <w:tblW w:w="1380" w:type="dxa"/>
        <w:tblLook w:val="0000" w:firstRow="0" w:lastRow="0" w:firstColumn="0" w:lastColumn="0" w:noHBand="0" w:noVBand="0"/>
      </w:tblPr>
      <w:tblGrid>
        <w:gridCol w:w="1380"/>
      </w:tblGrid>
      <w:tr>
        <w:trPr>
          <w:trHeight w:val="345"/>
        </w:trPr>
        <w:tc>
          <w:tcPr>
            <w:tcW w:w="1380"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keepLines/>
              <w:spacing w:after="0"/>
              <w:jc w:val="center"/>
              <w:rPr>
                <w:rFonts w:ascii="Arial" w:hAnsi="Arial" w:cs="Arial"/>
                <w:b/>
                <w:bCs/>
                <w:noProof/>
                <w:color w:val="000000"/>
              </w:rPr>
            </w:pPr>
            <w:r>
              <w:rPr>
                <w:rFonts w:ascii="Arial" w:hAnsi="Arial"/>
                <w:b/>
                <w:noProof/>
                <w:color w:val="000000"/>
              </w:rPr>
              <w:t>FGI</w:t>
            </w:r>
          </w:p>
        </w:tc>
      </w:tr>
    </w:tbl>
    <w:p>
      <w:pPr>
        <w:jc w:val="center"/>
        <w:rPr>
          <w:noProof/>
        </w:rPr>
      </w:pPr>
    </w:p>
    <w:p>
      <w:pPr>
        <w:jc w:val="center"/>
        <w:rPr>
          <w:noProof/>
        </w:rPr>
      </w:pPr>
    </w:p>
    <w:p>
      <w:pPr>
        <w:spacing w:after="0" w:line="240" w:lineRule="auto"/>
        <w:rPr>
          <w:rFonts w:ascii="Times New Roman" w:eastAsia="Times New Roman" w:hAnsi="Times New Roman" w:cs="Times New Roman"/>
          <w:b/>
          <w:smallCaps/>
          <w:noProof/>
          <w:sz w:val="24"/>
          <w:szCs w:val="24"/>
        </w:rPr>
      </w:pPr>
      <w:bookmarkStart w:id="15" w:name="_Toc411605926"/>
      <w:r>
        <w:rPr>
          <w:noProof/>
          <w:lang w:val="en-US" w:eastAsia="en-US" w:bidi="ar-SA"/>
        </w:rPr>
        <w:drawing>
          <wp:inline distT="0" distB="0" distL="0" distR="0">
            <wp:extent cx="5342890" cy="5629910"/>
            <wp:effectExtent l="0" t="0" r="0" b="889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42890" cy="5629910"/>
                    </a:xfrm>
                    <a:prstGeom prst="rect">
                      <a:avLst/>
                    </a:prstGeom>
                    <a:noFill/>
                    <a:ln>
                      <a:noFill/>
                    </a:ln>
                  </pic:spPr>
                </pic:pic>
              </a:graphicData>
            </a:graphic>
          </wp:inline>
        </w:drawing>
      </w:r>
    </w:p>
    <w:p>
      <w:pPr>
        <w:pStyle w:val="ManualHeading1"/>
        <w:ind w:left="0" w:firstLine="0"/>
        <w:rPr>
          <w:noProof/>
        </w:rPr>
      </w:pPr>
      <w:bookmarkStart w:id="16" w:name="_Toc480898938"/>
    </w:p>
    <w:p>
      <w:pPr>
        <w:pStyle w:val="ManualHeading1"/>
        <w:ind w:left="0" w:firstLine="0"/>
        <w:rPr>
          <w:noProof/>
        </w:rPr>
      </w:pPr>
      <w:r>
        <w:rPr>
          <w:noProof/>
        </w:rPr>
        <w:t>5.</w:t>
      </w:r>
      <w:r>
        <w:rPr>
          <w:noProof/>
        </w:rPr>
        <w:tab/>
        <w:t>Breakdown by dg</w:t>
      </w:r>
      <w:bookmarkEnd w:id="14"/>
      <w:bookmarkEnd w:id="15"/>
      <w:r>
        <w:rPr>
          <w:noProof/>
        </w:rPr>
        <w:t xml:space="preserve"> of Commission's contract staff</w:t>
      </w:r>
      <w:bookmarkEnd w:id="16"/>
    </w:p>
    <w:p>
      <w:pPr>
        <w:jc w:val="both"/>
        <w:rPr>
          <w:rFonts w:ascii="Times New Roman" w:hAnsi="Times New Roman"/>
          <w:noProof/>
        </w:rPr>
      </w:pPr>
      <w:r>
        <w:rPr>
          <w:rFonts w:ascii="Times New Roman" w:hAnsi="Times New Roman"/>
          <w:noProof/>
        </w:rPr>
        <w:t xml:space="preserve">In the following section, the data on contract staff is presented by DG. There are significative differences between the DGs, largely because of the nature of their work. DG DEVCO, for example, employs mostly FGIV </w:t>
      </w:r>
      <w:r>
        <w:rPr>
          <w:rStyle w:val="text-big-bold"/>
          <w:rFonts w:ascii="Times New Roman" w:hAnsi="Times New Roman"/>
          <w:noProof/>
        </w:rPr>
        <w:t xml:space="preserve">responsible for aid and international cooperation or working as programme managers, both </w:t>
      </w:r>
      <w:r>
        <w:rPr>
          <w:rFonts w:ascii="Times New Roman" w:hAnsi="Times New Roman"/>
          <w:noProof/>
        </w:rPr>
        <w:t>at headquarters and in the Delegations</w:t>
      </w:r>
      <w:r>
        <w:rPr>
          <w:rStyle w:val="FootnoteReference"/>
          <w:rFonts w:ascii="Times New Roman" w:hAnsi="Times New Roman"/>
          <w:noProof/>
        </w:rPr>
        <w:footnoteReference w:id="6"/>
      </w:r>
      <w:r>
        <w:rPr>
          <w:rFonts w:ascii="Times New Roman" w:hAnsi="Times New Roman"/>
          <w:noProof/>
        </w:rPr>
        <w:t xml:space="preserve">. OIB, on the other hand, employs mostly administrative assistants and childcare workers in FGII. </w:t>
      </w:r>
    </w:p>
    <w:p>
      <w:pPr>
        <w:pStyle w:val="ManualHeading2"/>
        <w:rPr>
          <w:noProof/>
        </w:rPr>
      </w:pPr>
      <w:bookmarkStart w:id="17" w:name="_Toc411605927"/>
      <w:bookmarkStart w:id="18" w:name="_Toc480898939"/>
      <w:r>
        <w:rPr>
          <w:noProof/>
        </w:rPr>
        <w:t>5.1.</w:t>
      </w:r>
      <w:r>
        <w:rPr>
          <w:noProof/>
        </w:rPr>
        <w:tab/>
        <w:t>Breakdown by gender and by DG</w:t>
      </w:r>
      <w:r>
        <w:rPr>
          <w:rStyle w:val="FootnoteReference"/>
          <w:noProof/>
        </w:rPr>
        <w:footnoteReference w:id="7"/>
      </w:r>
      <w:bookmarkEnd w:id="17"/>
      <w:bookmarkEnd w:id="18"/>
    </w:p>
    <w:p>
      <w:pPr>
        <w:pStyle w:val="Text1"/>
        <w:rPr>
          <w:noProof/>
        </w:rPr>
      </w:pPr>
    </w:p>
    <w:p>
      <w:pPr>
        <w:pStyle w:val="Text1"/>
        <w:spacing w:after="240"/>
        <w:ind w:left="0"/>
        <w:rPr>
          <w:b/>
          <w:noProof/>
          <w:sz w:val="22"/>
        </w:rPr>
      </w:pPr>
      <w:r>
        <w:rPr>
          <w:b/>
          <w:noProof/>
          <w:sz w:val="22"/>
        </w:rPr>
        <w:t xml:space="preserve">Table 5 </w:t>
      </w:r>
      <w:r>
        <w:rPr>
          <w:b/>
          <w:noProof/>
          <w:sz w:val="22"/>
        </w:rPr>
        <w:tab/>
        <w:t>Breakdown by gender, DG and two clusters of FGs</w:t>
      </w:r>
    </w:p>
    <w:p>
      <w:pPr>
        <w:rPr>
          <w:b/>
          <w:noProof/>
        </w:rPr>
      </w:pPr>
      <w:r>
        <w:rPr>
          <w:noProof/>
          <w:lang w:val="en-US" w:eastAsia="en-US" w:bidi="ar-SA"/>
        </w:rPr>
        <w:drawing>
          <wp:inline distT="0" distB="0" distL="0" distR="0">
            <wp:extent cx="5761355" cy="6094934"/>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1355" cy="6094934"/>
                    </a:xfrm>
                    <a:prstGeom prst="rect">
                      <a:avLst/>
                    </a:prstGeom>
                    <a:noFill/>
                    <a:ln>
                      <a:noFill/>
                    </a:ln>
                  </pic:spPr>
                </pic:pic>
              </a:graphicData>
            </a:graphic>
          </wp:inline>
        </w:drawing>
      </w:r>
    </w:p>
    <w:p>
      <w:pPr>
        <w:jc w:val="center"/>
        <w:rPr>
          <w:noProof/>
        </w:rPr>
      </w:pPr>
    </w:p>
    <w:p>
      <w:pPr>
        <w:spacing w:after="0" w:line="240" w:lineRule="auto"/>
        <w:rPr>
          <w:noProof/>
        </w:rPr>
      </w:pPr>
      <w:r>
        <w:rPr>
          <w:noProof/>
        </w:rPr>
        <w:br w:type="page"/>
      </w:r>
    </w:p>
    <w:p>
      <w:pPr>
        <w:pStyle w:val="ManualHeading2"/>
        <w:rPr>
          <w:noProof/>
        </w:rPr>
      </w:pPr>
      <w:bookmarkStart w:id="19" w:name="_Toc306183907"/>
      <w:bookmarkStart w:id="20" w:name="_Toc411605928"/>
      <w:bookmarkStart w:id="21" w:name="_Toc480898940"/>
      <w:r>
        <w:rPr>
          <w:noProof/>
        </w:rPr>
        <w:t>5.2.</w:t>
      </w:r>
      <w:r>
        <w:rPr>
          <w:noProof/>
        </w:rPr>
        <w:tab/>
        <w:t>Breakdown by contract type</w:t>
      </w:r>
      <w:r>
        <w:rPr>
          <w:rStyle w:val="FootnoteReference"/>
          <w:noProof/>
        </w:rPr>
        <w:footnoteReference w:id="8"/>
      </w:r>
      <w:bookmarkEnd w:id="19"/>
      <w:bookmarkEnd w:id="20"/>
      <w:bookmarkEnd w:id="21"/>
    </w:p>
    <w:p>
      <w:pPr>
        <w:pStyle w:val="ManualHeading3"/>
        <w:rPr>
          <w:noProof/>
        </w:rPr>
      </w:pPr>
      <w:bookmarkStart w:id="22" w:name="_Toc411605929"/>
      <w:bookmarkStart w:id="23" w:name="_Toc480898941"/>
      <w:r>
        <w:rPr>
          <w:noProof/>
        </w:rPr>
        <w:t>5.2.1</w:t>
      </w:r>
      <w:r>
        <w:rPr>
          <w:noProof/>
        </w:rPr>
        <w:tab/>
        <w:t>Contract staff</w:t>
      </w:r>
      <w:bookmarkEnd w:id="22"/>
      <w:r>
        <w:rPr>
          <w:noProof/>
        </w:rPr>
        <w:t xml:space="preserve"> 3a</w:t>
      </w:r>
      <w:bookmarkEnd w:id="23"/>
    </w:p>
    <w:p>
      <w:pPr>
        <w:pStyle w:val="Text1"/>
        <w:rPr>
          <w:noProof/>
        </w:rPr>
      </w:pPr>
    </w:p>
    <w:p>
      <w:pPr>
        <w:pStyle w:val="Text1"/>
        <w:spacing w:after="240"/>
        <w:ind w:left="0"/>
        <w:rPr>
          <w:b/>
          <w:noProof/>
          <w:sz w:val="22"/>
        </w:rPr>
      </w:pPr>
      <w:r>
        <w:rPr>
          <w:b/>
          <w:noProof/>
          <w:sz w:val="22"/>
        </w:rPr>
        <w:t xml:space="preserve">Table 6 </w:t>
      </w:r>
      <w:r>
        <w:rPr>
          <w:b/>
          <w:noProof/>
          <w:sz w:val="22"/>
        </w:rPr>
        <w:tab/>
        <w:t>3a contract staff by FG, gender and DG</w:t>
      </w:r>
    </w:p>
    <w:p>
      <w:pPr>
        <w:pStyle w:val="Text1"/>
        <w:ind w:left="0"/>
        <w:rPr>
          <w:noProof/>
        </w:rPr>
      </w:pPr>
      <w:r>
        <w:rPr>
          <w:noProof/>
        </w:rPr>
        <w:t xml:space="preserve"> </w:t>
      </w:r>
      <w:r>
        <w:rPr>
          <w:noProof/>
          <w:lang w:val="en-US" w:eastAsia="en-US" w:bidi="ar-SA"/>
        </w:rPr>
        <w:drawing>
          <wp:inline distT="0" distB="0" distL="0" distR="0">
            <wp:extent cx="6157928" cy="5520519"/>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67454" cy="5529059"/>
                    </a:xfrm>
                    <a:prstGeom prst="rect">
                      <a:avLst/>
                    </a:prstGeom>
                    <a:noFill/>
                    <a:ln>
                      <a:noFill/>
                    </a:ln>
                  </pic:spPr>
                </pic:pic>
              </a:graphicData>
            </a:graphic>
          </wp:inline>
        </w:drawing>
      </w:r>
      <w:r>
        <w:rPr>
          <w:noProof/>
        </w:rPr>
        <w:t xml:space="preserve"> </w:t>
      </w:r>
      <w:r>
        <w:rPr>
          <w:noProof/>
        </w:rPr>
        <w:br w:type="page"/>
      </w:r>
    </w:p>
    <w:p>
      <w:pPr>
        <w:pStyle w:val="ManualHeading3"/>
        <w:rPr>
          <w:noProof/>
        </w:rPr>
      </w:pPr>
      <w:bookmarkStart w:id="24" w:name="_Toc411605930"/>
      <w:bookmarkStart w:id="25" w:name="_Toc480898942"/>
      <w:bookmarkStart w:id="26" w:name="_Toc306183908"/>
      <w:r>
        <w:rPr>
          <w:noProof/>
        </w:rPr>
        <w:t>5.2.2</w:t>
      </w:r>
      <w:r>
        <w:rPr>
          <w:noProof/>
        </w:rPr>
        <w:tab/>
        <w:t>Contract staff</w:t>
      </w:r>
      <w:bookmarkEnd w:id="24"/>
      <w:r>
        <w:rPr>
          <w:noProof/>
        </w:rPr>
        <w:t xml:space="preserve"> 3b</w:t>
      </w:r>
      <w:bookmarkEnd w:id="25"/>
    </w:p>
    <w:p>
      <w:pPr>
        <w:pStyle w:val="Text1"/>
        <w:ind w:left="0"/>
        <w:rPr>
          <w:noProof/>
        </w:rPr>
      </w:pPr>
    </w:p>
    <w:p>
      <w:pPr>
        <w:pStyle w:val="Text1"/>
        <w:spacing w:after="240"/>
        <w:ind w:left="0"/>
        <w:rPr>
          <w:b/>
          <w:noProof/>
          <w:sz w:val="22"/>
        </w:rPr>
      </w:pPr>
      <w:r>
        <w:rPr>
          <w:b/>
          <w:noProof/>
          <w:sz w:val="22"/>
        </w:rPr>
        <w:t>Table 7</w:t>
      </w:r>
      <w:r>
        <w:rPr>
          <w:b/>
          <w:noProof/>
          <w:sz w:val="22"/>
        </w:rPr>
        <w:tab/>
      </w:r>
      <w:r>
        <w:rPr>
          <w:b/>
          <w:noProof/>
          <w:sz w:val="22"/>
        </w:rPr>
        <w:tab/>
        <w:t>3b contract staff by FG, gender and DG</w:t>
      </w:r>
    </w:p>
    <w:p>
      <w:pPr>
        <w:pStyle w:val="Text1"/>
        <w:ind w:left="0"/>
        <w:rPr>
          <w:noProof/>
        </w:rPr>
      </w:pPr>
      <w:r>
        <w:rPr>
          <w:noProof/>
          <w:lang w:val="en-US" w:eastAsia="en-US" w:bidi="ar-SA"/>
        </w:rPr>
        <w:drawing>
          <wp:inline distT="0" distB="0" distL="0" distR="0">
            <wp:extent cx="6020409" cy="54172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17659" cy="5414730"/>
                    </a:xfrm>
                    <a:prstGeom prst="rect">
                      <a:avLst/>
                    </a:prstGeom>
                    <a:noFill/>
                    <a:ln>
                      <a:noFill/>
                    </a:ln>
                  </pic:spPr>
                </pic:pic>
              </a:graphicData>
            </a:graphic>
          </wp:inline>
        </w:drawing>
      </w:r>
      <w:r>
        <w:rPr>
          <w:noProof/>
        </w:rPr>
        <w:br w:type="page"/>
      </w:r>
    </w:p>
    <w:p>
      <w:pPr>
        <w:pStyle w:val="ManualHeading1"/>
        <w:rPr>
          <w:noProof/>
        </w:rPr>
      </w:pPr>
      <w:bookmarkStart w:id="27" w:name="_Toc411605931"/>
      <w:bookmarkStart w:id="28" w:name="_Toc480898943"/>
      <w:r>
        <w:rPr>
          <w:noProof/>
        </w:rPr>
        <w:t>6.</w:t>
      </w:r>
      <w:r>
        <w:rPr>
          <w:noProof/>
        </w:rPr>
        <w:tab/>
        <w:t>Breakdown of contract staff between the other institutions and agencies</w:t>
      </w:r>
      <w:bookmarkEnd w:id="27"/>
      <w:bookmarkEnd w:id="28"/>
    </w:p>
    <w:bookmarkEnd w:id="26"/>
    <w:p>
      <w:pPr>
        <w:jc w:val="both"/>
        <w:rPr>
          <w:rFonts w:ascii="Times New Roman" w:hAnsi="Times New Roman" w:cs="Times New Roman"/>
          <w:noProof/>
        </w:rPr>
      </w:pPr>
      <w:r>
        <w:rPr>
          <w:rFonts w:ascii="Times New Roman" w:hAnsi="Times New Roman"/>
          <w:noProof/>
        </w:rPr>
        <w:t xml:space="preserve">The number of contract staff in the other institutions and agencies increased by 8.9 % in 2015, from   4 624 in 2014 to 5 031 in 2015 (following an increase by 10.6% in 2014). </w:t>
      </w:r>
    </w:p>
    <w:p>
      <w:pPr>
        <w:ind w:left="1440" w:hanging="1440"/>
        <w:jc w:val="both"/>
        <w:rPr>
          <w:b/>
          <w:noProof/>
        </w:rPr>
      </w:pPr>
      <w:r>
        <w:rPr>
          <w:rFonts w:ascii="Times New Roman" w:hAnsi="Times New Roman" w:cs="Times New Roman"/>
          <w:b/>
          <w:noProof/>
        </w:rPr>
        <w:t>Table 8</w:t>
      </w:r>
      <w:r>
        <w:rPr>
          <w:rFonts w:ascii="Times New Roman" w:hAnsi="Times New Roman" w:cs="Times New Roman"/>
          <w:b/>
          <w:noProof/>
        </w:rPr>
        <w:tab/>
        <w:t>Trends in the breakdown of contract staff between the other institutions and agencies since 2010</w:t>
      </w:r>
      <w:r>
        <w:rPr>
          <w:rStyle w:val="FootnoteReference"/>
          <w:b/>
          <w:noProof/>
        </w:rPr>
        <w:footnoteReference w:id="9"/>
      </w:r>
    </w:p>
    <w:tbl>
      <w:tblPr>
        <w:tblW w:w="17910" w:type="dxa"/>
        <w:tblInd w:w="108" w:type="dxa"/>
        <w:tblLook w:val="04A0" w:firstRow="1" w:lastRow="0" w:firstColumn="1" w:lastColumn="0" w:noHBand="0" w:noVBand="1"/>
      </w:tblPr>
      <w:tblGrid>
        <w:gridCol w:w="9126"/>
        <w:gridCol w:w="976"/>
        <w:gridCol w:w="976"/>
        <w:gridCol w:w="976"/>
        <w:gridCol w:w="976"/>
        <w:gridCol w:w="976"/>
        <w:gridCol w:w="976"/>
        <w:gridCol w:w="976"/>
        <w:gridCol w:w="976"/>
        <w:gridCol w:w="976"/>
      </w:tblGrid>
      <w:tr>
        <w:trPr>
          <w:trHeight w:val="300"/>
        </w:trPr>
        <w:tc>
          <w:tcPr>
            <w:tcW w:w="9126" w:type="dxa"/>
            <w:tcBorders>
              <w:top w:val="nil"/>
              <w:left w:val="nil"/>
              <w:bottom w:val="nil"/>
              <w:right w:val="nil"/>
            </w:tcBorders>
            <w:shd w:val="clear" w:color="auto" w:fill="auto"/>
            <w:noWrap/>
            <w:vAlign w:val="bottom"/>
            <w:hideMark/>
          </w:tcPr>
          <w:p>
            <w:pPr>
              <w:jc w:val="center"/>
              <w:rPr>
                <w:noProof/>
              </w:rPr>
            </w:pPr>
            <w:r>
              <w:rPr>
                <w:noProof/>
                <w:lang w:val="en-US" w:eastAsia="en-US" w:bidi="ar-SA"/>
              </w:rPr>
              <w:drawing>
                <wp:inline distT="0" distB="0" distL="0" distR="0">
                  <wp:extent cx="5651500" cy="371919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51500" cy="3719195"/>
                          </a:xfrm>
                          <a:prstGeom prst="rect">
                            <a:avLst/>
                          </a:prstGeom>
                          <a:noFill/>
                        </pic:spPr>
                      </pic:pic>
                    </a:graphicData>
                  </a:graphic>
                </wp:inline>
              </w:drawing>
            </w:r>
          </w:p>
          <w:p>
            <w:pPr>
              <w:spacing w:after="0" w:line="240" w:lineRule="auto"/>
              <w:rPr>
                <w:rFonts w:ascii="Calibri" w:eastAsia="Times New Roman" w:hAnsi="Calibri" w:cs="Times New Roman"/>
                <w:noProof/>
                <w:color w:val="000000"/>
                <w:lang w:bidi="ar-SA"/>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bidi="ar-SA"/>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bidi="ar-SA"/>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bidi="ar-SA"/>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bidi="ar-SA"/>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bidi="ar-SA"/>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bidi="ar-SA"/>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bidi="ar-SA"/>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bidi="ar-SA"/>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lang w:bidi="ar-SA"/>
              </w:rPr>
            </w:pPr>
          </w:p>
        </w:tc>
      </w:tr>
    </w:tbl>
    <w:p>
      <w:pPr>
        <w:spacing w:after="0" w:line="240" w:lineRule="auto"/>
        <w:rPr>
          <w:rFonts w:ascii="Calibri" w:eastAsia="Times New Roman" w:hAnsi="Calibri" w:cs="Times New Roman"/>
          <w:i/>
          <w:noProof/>
          <w:color w:val="000000"/>
        </w:rPr>
      </w:pPr>
      <w:bookmarkStart w:id="29" w:name="_Toc411605932"/>
    </w:p>
    <w:p>
      <w:pPr>
        <w:rPr>
          <w:rFonts w:ascii="Times New Roman" w:eastAsia="Times New Roman" w:hAnsi="Times New Roman" w:cs="Times New Roman"/>
          <w:noProof/>
          <w:sz w:val="24"/>
          <w:szCs w:val="24"/>
        </w:rPr>
      </w:pPr>
      <w:r>
        <w:rPr>
          <w:noProof/>
        </w:rPr>
        <w:br w:type="page"/>
      </w:r>
    </w:p>
    <w:p>
      <w:pPr>
        <w:pStyle w:val="ManualHeading2"/>
        <w:rPr>
          <w:noProof/>
        </w:rPr>
      </w:pPr>
    </w:p>
    <w:p>
      <w:pPr>
        <w:pStyle w:val="ManualHeading2"/>
        <w:rPr>
          <w:noProof/>
        </w:rPr>
      </w:pPr>
      <w:bookmarkStart w:id="30" w:name="_Toc480898944"/>
      <w:r>
        <w:rPr>
          <w:noProof/>
        </w:rPr>
        <w:t>6.1.</w:t>
      </w:r>
      <w:r>
        <w:rPr>
          <w:noProof/>
        </w:rPr>
        <w:tab/>
        <w:t>Breakdown of contract staff among the other institutions</w:t>
      </w:r>
      <w:r>
        <w:rPr>
          <w:rStyle w:val="FootnoteReference"/>
          <w:noProof/>
        </w:rPr>
        <w:footnoteReference w:id="10"/>
      </w:r>
      <w:bookmarkEnd w:id="29"/>
      <w:bookmarkEnd w:id="30"/>
    </w:p>
    <w:p>
      <w:pPr>
        <w:jc w:val="both"/>
        <w:rPr>
          <w:rFonts w:ascii="Times New Roman" w:hAnsi="Times New Roman"/>
          <w:noProof/>
        </w:rPr>
      </w:pPr>
      <w:r>
        <w:rPr>
          <w:rFonts w:ascii="Times New Roman" w:hAnsi="Times New Roman"/>
          <w:noProof/>
        </w:rPr>
        <w:t xml:space="preserve">The number of contract staff in the other institutions remained stable when compared to 2014. </w:t>
      </w:r>
    </w:p>
    <w:p>
      <w:pPr>
        <w:pStyle w:val="NormalCentered"/>
        <w:jc w:val="left"/>
        <w:rPr>
          <w:b/>
          <w:noProof/>
          <w:sz w:val="22"/>
        </w:rPr>
      </w:pPr>
      <w:r>
        <w:rPr>
          <w:b/>
          <w:noProof/>
          <w:sz w:val="22"/>
        </w:rPr>
        <w:t xml:space="preserve">Table 9 </w:t>
      </w:r>
      <w:r>
        <w:rPr>
          <w:b/>
          <w:noProof/>
          <w:sz w:val="22"/>
        </w:rPr>
        <w:tab/>
        <w:t>Breakdown of contract staff among the other institutions in 2015</w:t>
      </w:r>
    </w:p>
    <w:p>
      <w:pPr>
        <w:jc w:val="both"/>
        <w:rPr>
          <w:rFonts w:ascii="Times New Roman" w:hAnsi="Times New Roman" w:cs="Times New Roman"/>
          <w:b/>
          <w:noProof/>
        </w:rPr>
      </w:pPr>
    </w:p>
    <w:p>
      <w:pPr>
        <w:spacing w:after="0" w:line="240" w:lineRule="auto"/>
        <w:jc w:val="center"/>
        <w:rPr>
          <w:noProof/>
          <w:sz w:val="20"/>
          <w:szCs w:val="20"/>
        </w:rPr>
      </w:pPr>
    </w:p>
    <w:p>
      <w:pPr>
        <w:spacing w:after="0" w:line="240" w:lineRule="auto"/>
        <w:jc w:val="center"/>
        <w:rPr>
          <w:noProof/>
          <w:sz w:val="20"/>
          <w:szCs w:val="20"/>
        </w:rPr>
        <w:sectPr>
          <w:headerReference w:type="even" r:id="rId36"/>
          <w:headerReference w:type="default" r:id="rId37"/>
          <w:footerReference w:type="even" r:id="rId38"/>
          <w:footerReference w:type="default" r:id="rId39"/>
          <w:headerReference w:type="first" r:id="rId40"/>
          <w:footerReference w:type="first" r:id="rId41"/>
          <w:pgSz w:w="11907" w:h="16839"/>
          <w:pgMar w:top="851" w:right="1417" w:bottom="851" w:left="1417" w:header="709" w:footer="709" w:gutter="0"/>
          <w:cols w:space="708"/>
          <w:docGrid w:linePitch="360"/>
        </w:sectPr>
      </w:pPr>
      <w:r>
        <w:rPr>
          <w:noProof/>
          <w:lang w:val="en-US" w:eastAsia="en-US" w:bidi="ar-SA"/>
        </w:rPr>
        <w:drawing>
          <wp:inline distT="0" distB="0" distL="0" distR="0">
            <wp:extent cx="5761355" cy="3798231"/>
            <wp:effectExtent l="0" t="0" r="10795" b="12065"/>
            <wp:docPr id="6" name="Chart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ManualHeading3"/>
        <w:rPr>
          <w:noProof/>
        </w:rPr>
      </w:pPr>
      <w:bookmarkStart w:id="31" w:name="_Toc411605933"/>
      <w:bookmarkStart w:id="32" w:name="_Toc480898945"/>
      <w:r>
        <w:rPr>
          <w:noProof/>
        </w:rPr>
        <w:t>6.1.1</w:t>
      </w:r>
      <w:r>
        <w:rPr>
          <w:noProof/>
        </w:rPr>
        <w:tab/>
        <w:t>Breakdown by gender and by function group in the other institutions</w:t>
      </w:r>
      <w:bookmarkEnd w:id="31"/>
      <w:r>
        <w:rPr>
          <w:rStyle w:val="FootnoteReference"/>
          <w:noProof/>
        </w:rPr>
        <w:footnoteReference w:id="11"/>
      </w:r>
      <w:bookmarkEnd w:id="32"/>
    </w:p>
    <w:p>
      <w:pPr>
        <w:spacing w:after="0"/>
        <w:rPr>
          <w:rFonts w:ascii="Times New Roman" w:hAnsi="Times New Roman"/>
          <w:b/>
          <w:noProof/>
        </w:rPr>
      </w:pPr>
    </w:p>
    <w:p>
      <w:pPr>
        <w:spacing w:after="0"/>
        <w:rPr>
          <w:rFonts w:ascii="Times New Roman" w:hAnsi="Times New Roman" w:cs="Times New Roman"/>
          <w:b/>
          <w:noProof/>
        </w:rPr>
      </w:pPr>
      <w:r>
        <w:rPr>
          <w:rFonts w:ascii="Times New Roman" w:hAnsi="Times New Roman"/>
          <w:b/>
          <w:noProof/>
        </w:rPr>
        <w:t>Table 10</w:t>
      </w:r>
    </w:p>
    <w:p>
      <w:pPr>
        <w:pStyle w:val="ManualHeading3"/>
        <w:ind w:left="0" w:firstLine="0"/>
        <w:rPr>
          <w:noProof/>
        </w:rPr>
      </w:pPr>
      <w:bookmarkStart w:id="33" w:name="_Toc411605934"/>
      <w:r>
        <w:rPr>
          <w:noProof/>
          <w:lang w:val="en-US" w:eastAsia="en-US" w:bidi="ar-SA"/>
        </w:rPr>
        <w:drawing>
          <wp:inline distT="0" distB="0" distL="0" distR="0">
            <wp:extent cx="9072880" cy="18114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072880" cy="1811466"/>
                    </a:xfrm>
                    <a:prstGeom prst="rect">
                      <a:avLst/>
                    </a:prstGeom>
                    <a:noFill/>
                    <a:ln>
                      <a:noFill/>
                    </a:ln>
                  </pic:spPr>
                </pic:pic>
              </a:graphicData>
            </a:graphic>
          </wp:inline>
        </w:drawing>
      </w:r>
    </w:p>
    <w:p>
      <w:pPr>
        <w:pStyle w:val="ManualHeading3"/>
        <w:ind w:left="0" w:firstLine="0"/>
        <w:rPr>
          <w:noProof/>
        </w:rPr>
      </w:pPr>
    </w:p>
    <w:p>
      <w:pPr>
        <w:pStyle w:val="ManualHeading3"/>
        <w:ind w:left="0" w:firstLine="0"/>
        <w:rPr>
          <w:noProof/>
        </w:rPr>
      </w:pPr>
      <w:bookmarkStart w:id="34" w:name="_Toc480898947"/>
      <w:r>
        <w:rPr>
          <w:noProof/>
        </w:rPr>
        <w:t>6.1.2</w:t>
      </w:r>
      <w:r>
        <w:rPr>
          <w:noProof/>
        </w:rPr>
        <w:tab/>
        <w:t>Breakdown by nationality in the other institutions</w:t>
      </w:r>
      <w:bookmarkEnd w:id="33"/>
      <w:r>
        <w:rPr>
          <w:rStyle w:val="FootnoteReference"/>
          <w:noProof/>
        </w:rPr>
        <w:footnoteReference w:id="12"/>
      </w:r>
      <w:bookmarkEnd w:id="34"/>
    </w:p>
    <w:p>
      <w:pPr>
        <w:spacing w:after="0"/>
        <w:rPr>
          <w:rFonts w:ascii="Times New Roman" w:hAnsi="Times New Roman"/>
          <w:b/>
          <w:noProof/>
        </w:rPr>
      </w:pPr>
    </w:p>
    <w:p>
      <w:pPr>
        <w:spacing w:after="0"/>
        <w:rPr>
          <w:rFonts w:ascii="Times New Roman" w:hAnsi="Times New Roman" w:cs="Times New Roman"/>
          <w:b/>
          <w:noProof/>
        </w:rPr>
      </w:pPr>
      <w:r>
        <w:rPr>
          <w:rFonts w:ascii="Times New Roman" w:hAnsi="Times New Roman"/>
          <w:b/>
          <w:noProof/>
        </w:rPr>
        <w:t>Table 11</w:t>
      </w:r>
    </w:p>
    <w:p>
      <w:pPr>
        <w:spacing w:after="0"/>
        <w:ind w:left="-142"/>
        <w:rPr>
          <w:b/>
          <w:noProof/>
        </w:rPr>
      </w:pPr>
    </w:p>
    <w:p>
      <w:pPr>
        <w:spacing w:after="0"/>
        <w:ind w:left="-142"/>
        <w:rPr>
          <w:b/>
          <w:noProof/>
        </w:rPr>
        <w:sectPr>
          <w:headerReference w:type="even" r:id="rId44"/>
          <w:headerReference w:type="default" r:id="rId45"/>
          <w:footerReference w:type="even" r:id="rId46"/>
          <w:footerReference w:type="default" r:id="rId47"/>
          <w:headerReference w:type="first" r:id="rId48"/>
          <w:footerReference w:type="first" r:id="rId49"/>
          <w:pgSz w:w="16839" w:h="11907" w:orient="landscape"/>
          <w:pgMar w:top="-709" w:right="1417" w:bottom="284" w:left="1134" w:header="709" w:footer="367" w:gutter="0"/>
          <w:cols w:space="708"/>
          <w:docGrid w:linePitch="360"/>
        </w:sectPr>
      </w:pPr>
      <w:r>
        <w:rPr>
          <w:noProof/>
          <w:lang w:val="en-US" w:eastAsia="en-US" w:bidi="ar-SA"/>
        </w:rPr>
        <w:drawing>
          <wp:inline distT="0" distB="0" distL="0" distR="0">
            <wp:extent cx="9072880" cy="162840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072880" cy="1628404"/>
                    </a:xfrm>
                    <a:prstGeom prst="rect">
                      <a:avLst/>
                    </a:prstGeom>
                    <a:noFill/>
                    <a:ln>
                      <a:noFill/>
                    </a:ln>
                  </pic:spPr>
                </pic:pic>
              </a:graphicData>
            </a:graphic>
          </wp:inline>
        </w:drawing>
      </w:r>
    </w:p>
    <w:p>
      <w:pPr>
        <w:pStyle w:val="ManualHeading2"/>
        <w:rPr>
          <w:noProof/>
        </w:rPr>
      </w:pPr>
      <w:bookmarkStart w:id="35" w:name="_Toc409453693"/>
      <w:bookmarkStart w:id="36" w:name="_Toc409453777"/>
      <w:bookmarkStart w:id="37" w:name="_Toc411605935"/>
      <w:bookmarkStart w:id="38" w:name="_Toc480898948"/>
      <w:bookmarkEnd w:id="35"/>
      <w:bookmarkEnd w:id="36"/>
      <w:r>
        <w:rPr>
          <w:noProof/>
        </w:rPr>
        <w:t>6.2.</w:t>
      </w:r>
      <w:r>
        <w:rPr>
          <w:noProof/>
        </w:rPr>
        <w:tab/>
        <w:t>Breakdown of contract staff in the agencies</w:t>
      </w:r>
      <w:bookmarkEnd w:id="37"/>
      <w:bookmarkEnd w:id="38"/>
    </w:p>
    <w:p>
      <w:pPr>
        <w:jc w:val="both"/>
        <w:rPr>
          <w:rFonts w:ascii="Times New Roman" w:hAnsi="Times New Roman"/>
          <w:noProof/>
        </w:rPr>
      </w:pPr>
      <w:r>
        <w:rPr>
          <w:rFonts w:ascii="Times New Roman" w:hAnsi="Times New Roman"/>
          <w:noProof/>
        </w:rPr>
        <w:t xml:space="preserve">There has been a steady increase in the number of contract staff in the agencies. The numbers are as follows: </w:t>
      </w:r>
    </w:p>
    <w:p>
      <w:pPr>
        <w:jc w:val="both"/>
        <w:rPr>
          <w:rFonts w:ascii="Times New Roman" w:hAnsi="Times New Roman"/>
          <w:noProof/>
        </w:rPr>
      </w:pPr>
      <w:r>
        <w:rPr>
          <w:rFonts w:ascii="Times New Roman" w:hAnsi="Times New Roman"/>
          <w:noProof/>
        </w:rPr>
        <w:t xml:space="preserve"> </w:t>
      </w:r>
      <w:r>
        <w:rPr>
          <w:noProof/>
          <w:lang w:val="en-US" w:eastAsia="en-US" w:bidi="ar-SA"/>
        </w:rPr>
        <w:drawing>
          <wp:inline distT="0" distB="0" distL="0" distR="0">
            <wp:extent cx="4217158" cy="38366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17214" cy="383668"/>
                    </a:xfrm>
                    <a:prstGeom prst="rect">
                      <a:avLst/>
                    </a:prstGeom>
                    <a:noFill/>
                    <a:ln>
                      <a:noFill/>
                    </a:ln>
                  </pic:spPr>
                </pic:pic>
              </a:graphicData>
            </a:graphic>
          </wp:inline>
        </w:drawing>
      </w:r>
    </w:p>
    <w:p>
      <w:pPr>
        <w:jc w:val="both"/>
        <w:rPr>
          <w:rFonts w:ascii="Times New Roman" w:hAnsi="Times New Roman"/>
          <w:noProof/>
        </w:rPr>
      </w:pPr>
      <w:r>
        <w:rPr>
          <w:rFonts w:ascii="Times New Roman" w:hAnsi="Times New Roman"/>
          <w:noProof/>
        </w:rPr>
        <w:t xml:space="preserve">As regards decentralised agencies and joint undertakings, there has been a sharp increase of the number of contract staff in 2015 as compared to 2014 (14%). This follows the decisions of the budgetary authority to assign increased resources (thus financing increased staffing levels), in particular to those agencies and joint undertakings which have been recently created or have recently been assigned additional tasks. </w:t>
      </w:r>
    </w:p>
    <w:p>
      <w:pPr>
        <w:jc w:val="both"/>
        <w:rPr>
          <w:rFonts w:ascii="Times New Roman" w:hAnsi="Times New Roman"/>
          <w:noProof/>
        </w:rPr>
      </w:pPr>
      <w:r>
        <w:rPr>
          <w:rFonts w:ascii="Times New Roman" w:hAnsi="Times New Roman"/>
          <w:noProof/>
        </w:rPr>
        <w:t xml:space="preserve">As regards the executive agencies, this increase is mainly due to the engagement of contract staff to perform new tasks deriving from the extension of their mandate to cover the management of the new generation of spending programmes under the 2014-2020 multiannual financial framework. This was made possible, among other factors, by the launching in 2015 of a dedicated selection procedure for contract agents FGIII and IV that covered the specific needs of the executive agencies (finances and project management profiles). In 2015, the Commission further delegated the implementation tasks to these agencies to enhance efficiency and effectiveness of programme management. The staffing levels in the agencies are in line with the Commission’s 'delegation package' approved for the 2014-2020 period. </w:t>
      </w:r>
    </w:p>
    <w:p>
      <w:pPr>
        <w:pStyle w:val="NormalCentered"/>
        <w:jc w:val="left"/>
        <w:rPr>
          <w:b/>
          <w:noProof/>
          <w:sz w:val="22"/>
          <w:szCs w:val="22"/>
        </w:rPr>
      </w:pPr>
      <w:r>
        <w:rPr>
          <w:b/>
          <w:noProof/>
          <w:sz w:val="22"/>
          <w:szCs w:val="22"/>
        </w:rPr>
        <w:t xml:space="preserve">Table 12 </w:t>
      </w:r>
      <w:r>
        <w:rPr>
          <w:b/>
          <w:noProof/>
          <w:sz w:val="22"/>
          <w:szCs w:val="22"/>
        </w:rPr>
        <w:tab/>
        <w:t>Breakdown of contract staff by type of agency in 2015</w:t>
      </w:r>
      <w:r>
        <w:rPr>
          <w:rStyle w:val="FootnoteReference"/>
          <w:b/>
          <w:noProof/>
          <w:sz w:val="22"/>
          <w:szCs w:val="22"/>
        </w:rPr>
        <w:footnoteReference w:id="13"/>
      </w:r>
    </w:p>
    <w:p>
      <w:pPr>
        <w:pStyle w:val="NormalCentered"/>
        <w:jc w:val="left"/>
        <w:rPr>
          <w:b/>
          <w:noProof/>
          <w:sz w:val="22"/>
        </w:rPr>
      </w:pPr>
    </w:p>
    <w:p>
      <w:pPr>
        <w:pStyle w:val="NormalCentered"/>
        <w:rPr>
          <w:b/>
          <w:noProof/>
        </w:rPr>
      </w:pPr>
      <w:r>
        <w:rPr>
          <w:noProof/>
          <w:lang w:val="en-US" w:eastAsia="en-US" w:bidi="ar-SA"/>
        </w:rPr>
        <w:drawing>
          <wp:inline distT="0" distB="0" distL="0" distR="0">
            <wp:extent cx="5760085" cy="3020278"/>
            <wp:effectExtent l="0" t="0" r="12065" b="27940"/>
            <wp:docPr id="22" name="Chart 2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pStyle w:val="NormalCentered"/>
        <w:rPr>
          <w:b/>
          <w:noProof/>
        </w:rPr>
      </w:pPr>
    </w:p>
    <w:p>
      <w:pPr>
        <w:jc w:val="both"/>
        <w:rPr>
          <w:rFonts w:ascii="Times New Roman" w:hAnsi="Times New Roman" w:cs="Times New Roman"/>
          <w:noProof/>
        </w:rPr>
      </w:pPr>
      <w:r>
        <w:rPr>
          <w:rFonts w:ascii="Times New Roman" w:hAnsi="Times New Roman"/>
          <w:noProof/>
        </w:rPr>
        <w:t>In 2015, 52 % of contract staff were employed by the executive agencies and 41 % by the decentralised agencies. The remainder (7 %) are employed by Joint undertakings and the European Institute of Innovation and Technology.</w:t>
      </w:r>
    </w:p>
    <w:p>
      <w:pPr>
        <w:jc w:val="both"/>
        <w:rPr>
          <w:rFonts w:ascii="Times New Roman" w:hAnsi="Times New Roman" w:cs="Times New Roman"/>
          <w:noProof/>
        </w:rPr>
      </w:pPr>
      <w:r>
        <w:rPr>
          <w:rFonts w:ascii="Times New Roman" w:hAnsi="Times New Roman"/>
          <w:noProof/>
        </w:rPr>
        <w:t xml:space="preserve">The increase in the number of contract staff between 2010 and 2015 reflects the increase in the number of agencies and, specifically for the executive agencies, increased tasks. </w:t>
      </w:r>
    </w:p>
    <w:p>
      <w:pPr>
        <w:pStyle w:val="ManualHeading3"/>
        <w:ind w:left="0" w:firstLine="0"/>
        <w:rPr>
          <w:noProof/>
        </w:rPr>
      </w:pPr>
      <w:r>
        <w:rPr>
          <w:noProof/>
        </w:rPr>
        <w:br w:type="page"/>
      </w:r>
      <w:bookmarkStart w:id="39" w:name="_Toc411605936"/>
      <w:bookmarkStart w:id="40" w:name="_Toc480898949"/>
      <w:r>
        <w:rPr>
          <w:noProof/>
        </w:rPr>
        <w:t>6.2.1</w:t>
      </w:r>
      <w:r>
        <w:rPr>
          <w:noProof/>
        </w:rPr>
        <w:tab/>
        <w:t>Breakdown by gender and by function group in the agencies</w:t>
      </w:r>
      <w:bookmarkEnd w:id="39"/>
      <w:bookmarkEnd w:id="40"/>
    </w:p>
    <w:p>
      <w:pPr>
        <w:jc w:val="both"/>
        <w:rPr>
          <w:rFonts w:ascii="Times New Roman" w:hAnsi="Times New Roman" w:cs="Times New Roman"/>
          <w:noProof/>
        </w:rPr>
      </w:pPr>
      <w:r>
        <w:rPr>
          <w:rFonts w:ascii="Times New Roman" w:hAnsi="Times New Roman"/>
          <w:noProof/>
        </w:rPr>
        <w:t>The breakdown by function group is relatively uniform between the decentralised and executive agencies and has remained stable since 2012. The Joint undertakings have slightly increased the number of contract agents in FGIV in order to manage a growing level of tasks assigned under Horizon 2020.</w:t>
      </w:r>
    </w:p>
    <w:p>
      <w:pPr>
        <w:pStyle w:val="NormalCentered"/>
        <w:ind w:left="2160" w:hanging="2160"/>
        <w:jc w:val="left"/>
        <w:rPr>
          <w:b/>
          <w:bCs/>
          <w:noProof/>
          <w:sz w:val="22"/>
          <w:szCs w:val="22"/>
        </w:rPr>
      </w:pPr>
      <w:r>
        <w:rPr>
          <w:b/>
          <w:noProof/>
          <w:sz w:val="22"/>
          <w:szCs w:val="22"/>
        </w:rPr>
        <w:t xml:space="preserve">Table 13 </w:t>
      </w:r>
      <w:r>
        <w:rPr>
          <w:b/>
          <w:noProof/>
          <w:sz w:val="22"/>
          <w:szCs w:val="22"/>
        </w:rPr>
        <w:tab/>
        <w:t>Breakdown by function group in the agencies and Joint undertakings in 2015</w:t>
      </w:r>
      <w:r>
        <w:rPr>
          <w:rStyle w:val="FootnoteReference"/>
          <w:b/>
          <w:noProof/>
          <w:sz w:val="22"/>
          <w:szCs w:val="22"/>
        </w:rPr>
        <w:footnoteReference w:id="14"/>
      </w:r>
    </w:p>
    <w:p>
      <w:pPr>
        <w:pStyle w:val="NormalCentered"/>
        <w:jc w:val="left"/>
        <w:rPr>
          <w:b/>
          <w:bCs/>
          <w:noProof/>
          <w:sz w:val="22"/>
        </w:rPr>
      </w:pPr>
    </w:p>
    <w:p>
      <w:pPr>
        <w:pStyle w:val="NormalCentered"/>
        <w:rPr>
          <w:b/>
          <w:bCs/>
          <w:noProof/>
        </w:rPr>
      </w:pPr>
      <w:r>
        <w:rPr>
          <w:noProof/>
          <w:lang w:val="en-US" w:eastAsia="en-US" w:bidi="ar-SA"/>
        </w:rPr>
        <w:drawing>
          <wp:inline distT="0" distB="0" distL="0" distR="0">
            <wp:extent cx="5760085" cy="3847611"/>
            <wp:effectExtent l="0" t="0" r="12065" b="19685"/>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pStyle w:val="NormalCentered"/>
        <w:rPr>
          <w:b/>
          <w:bCs/>
          <w:noProof/>
        </w:rPr>
      </w:pPr>
    </w:p>
    <w:p>
      <w:pPr>
        <w:pStyle w:val="NormalCentered"/>
        <w:rPr>
          <w:b/>
          <w:bCs/>
          <w:noProof/>
        </w:rPr>
      </w:pPr>
    </w:p>
    <w:p>
      <w:pPr>
        <w:jc w:val="center"/>
        <w:rPr>
          <w:noProof/>
        </w:rPr>
      </w:pPr>
    </w:p>
    <w:p>
      <w:pPr>
        <w:spacing w:after="0"/>
        <w:rPr>
          <w:b/>
          <w:noProof/>
        </w:rPr>
      </w:pPr>
    </w:p>
    <w:p>
      <w:pPr>
        <w:spacing w:after="0"/>
        <w:rPr>
          <w:b/>
          <w:noProof/>
        </w:rPr>
        <w:sectPr>
          <w:headerReference w:type="even" r:id="rId54"/>
          <w:headerReference w:type="default" r:id="rId55"/>
          <w:footerReference w:type="even" r:id="rId56"/>
          <w:footerReference w:type="default" r:id="rId57"/>
          <w:headerReference w:type="first" r:id="rId58"/>
          <w:footerReference w:type="first" r:id="rId59"/>
          <w:pgSz w:w="11907" w:h="16839"/>
          <w:pgMar w:top="851" w:right="1418" w:bottom="851" w:left="1418" w:header="709" w:footer="369" w:gutter="0"/>
          <w:cols w:space="708"/>
          <w:docGrid w:linePitch="360"/>
        </w:sectPr>
      </w:pPr>
    </w:p>
    <w:p>
      <w:pPr>
        <w:spacing w:after="0"/>
        <w:rPr>
          <w:rFonts w:ascii="Times New Roman" w:hAnsi="Times New Roman"/>
          <w:b/>
          <w:noProof/>
        </w:rPr>
      </w:pPr>
      <w:bookmarkStart w:id="41" w:name="_Toc409453524"/>
      <w:bookmarkStart w:id="42" w:name="_Toc409453695"/>
      <w:bookmarkStart w:id="43" w:name="_Toc409453779"/>
      <w:bookmarkEnd w:id="41"/>
      <w:bookmarkEnd w:id="42"/>
      <w:bookmarkEnd w:id="43"/>
      <w:r>
        <w:rPr>
          <w:noProof/>
        </w:rPr>
        <w:t xml:space="preserve"> </w:t>
      </w:r>
      <w:r>
        <w:rPr>
          <w:rFonts w:ascii="Times New Roman" w:hAnsi="Times New Roman"/>
          <w:b/>
          <w:noProof/>
        </w:rPr>
        <w:t>Table 14</w:t>
      </w:r>
      <w:r>
        <w:rPr>
          <w:rFonts w:ascii="Times New Roman" w:hAnsi="Times New Roman"/>
          <w:b/>
          <w:noProof/>
        </w:rPr>
        <w:tab/>
      </w:r>
      <w:r>
        <w:rPr>
          <w:b/>
          <w:noProof/>
        </w:rPr>
        <w:t xml:space="preserve"> Breakdown by function group for each agency or Joint undertaking in 2015</w:t>
      </w:r>
    </w:p>
    <w:p>
      <w:pPr>
        <w:spacing w:after="0"/>
        <w:rPr>
          <w:rFonts w:ascii="Times New Roman" w:hAnsi="Times New Roman"/>
          <w:b/>
          <w:noProof/>
        </w:rPr>
      </w:pPr>
    </w:p>
    <w:p>
      <w:pPr>
        <w:rPr>
          <w:noProof/>
        </w:rPr>
      </w:pPr>
      <w:r>
        <w:rPr>
          <w:noProof/>
          <w:lang w:val="en-US" w:eastAsia="en-US" w:bidi="ar-SA"/>
        </w:rPr>
        <w:drawing>
          <wp:inline distT="0" distB="0" distL="0" distR="0">
            <wp:extent cx="9072880" cy="516486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072880" cy="5164869"/>
                    </a:xfrm>
                    <a:prstGeom prst="rect">
                      <a:avLst/>
                    </a:prstGeom>
                    <a:noFill/>
                    <a:ln>
                      <a:noFill/>
                    </a:ln>
                  </pic:spPr>
                </pic:pic>
              </a:graphicData>
            </a:graphic>
          </wp:inline>
        </w:drawing>
      </w:r>
    </w:p>
    <w:p>
      <w:pPr>
        <w:rPr>
          <w:noProof/>
        </w:rPr>
      </w:pPr>
    </w:p>
    <w:p>
      <w:pPr>
        <w:rPr>
          <w:noProof/>
        </w:rPr>
        <w:sectPr>
          <w:headerReference w:type="even" r:id="rId61"/>
          <w:headerReference w:type="default" r:id="rId62"/>
          <w:footerReference w:type="even" r:id="rId63"/>
          <w:footerReference w:type="default" r:id="rId64"/>
          <w:headerReference w:type="first" r:id="rId65"/>
          <w:footerReference w:type="first" r:id="rId66"/>
          <w:pgSz w:w="16839" w:h="11907" w:orient="landscape"/>
          <w:pgMar w:top="-709" w:right="1417" w:bottom="284" w:left="1134" w:header="709" w:footer="367" w:gutter="0"/>
          <w:cols w:space="708"/>
          <w:docGrid w:linePitch="360"/>
        </w:sectPr>
      </w:pPr>
    </w:p>
    <w:p>
      <w:pPr>
        <w:pStyle w:val="ManualHeading3"/>
        <w:rPr>
          <w:noProof/>
        </w:rPr>
      </w:pPr>
      <w:bookmarkStart w:id="44" w:name="_Toc411605937"/>
      <w:bookmarkStart w:id="45" w:name="_Toc480898950"/>
      <w:r>
        <w:rPr>
          <w:noProof/>
        </w:rPr>
        <w:t>6.2.2</w:t>
      </w:r>
      <w:r>
        <w:rPr>
          <w:noProof/>
        </w:rPr>
        <w:tab/>
        <w:t>Breakdown by nationality in the agencies</w:t>
      </w:r>
      <w:bookmarkEnd w:id="44"/>
      <w:bookmarkEnd w:id="45"/>
    </w:p>
    <w:p>
      <w:pPr>
        <w:jc w:val="both"/>
        <w:rPr>
          <w:rFonts w:ascii="Times New Roman" w:hAnsi="Times New Roman" w:cs="Times New Roman"/>
          <w:noProof/>
        </w:rPr>
      </w:pPr>
      <w:r>
        <w:rPr>
          <w:rFonts w:ascii="Times New Roman" w:hAnsi="Times New Roman"/>
          <w:noProof/>
        </w:rPr>
        <w:t>As outlined above for the Commission, table 15 below confirms that the location of the agencies plays a major role in determining the nationalities of their contract staff.</w:t>
      </w:r>
    </w:p>
    <w:p>
      <w:pPr>
        <w:jc w:val="both"/>
        <w:rPr>
          <w:rFonts w:ascii="Times New Roman" w:hAnsi="Times New Roman"/>
          <w:noProof/>
        </w:rPr>
      </w:pPr>
      <w:r>
        <w:rPr>
          <w:rFonts w:ascii="Times New Roman" w:hAnsi="Times New Roman"/>
          <w:noProof/>
        </w:rPr>
        <w:t>The executive agencies, located on the same main sites of the Commission, present trends similar to those of the Commission: the most represented EU citizens being Belgians, Italians, Spaniards and French.</w:t>
      </w:r>
    </w:p>
    <w:p>
      <w:pPr>
        <w:jc w:val="both"/>
        <w:rPr>
          <w:rFonts w:ascii="Times New Roman" w:hAnsi="Times New Roman" w:cs="Times New Roman"/>
          <w:noProof/>
        </w:rPr>
      </w:pPr>
      <w:r>
        <w:rPr>
          <w:rFonts w:ascii="Times New Roman" w:hAnsi="Times New Roman"/>
          <w:noProof/>
        </w:rPr>
        <w:t>Similarly, the breakdown by nationality of contract staff in the decentralised agencies and Joint undertakings reflects their location.</w:t>
      </w:r>
    </w:p>
    <w:p>
      <w:pPr>
        <w:pStyle w:val="NormalCentered"/>
        <w:rPr>
          <w:b/>
          <w:noProof/>
        </w:rPr>
      </w:pPr>
    </w:p>
    <w:p>
      <w:pPr>
        <w:pStyle w:val="NormalCentered"/>
        <w:jc w:val="left"/>
        <w:rPr>
          <w:b/>
          <w:noProof/>
          <w:sz w:val="22"/>
          <w:szCs w:val="22"/>
        </w:rPr>
      </w:pPr>
      <w:r>
        <w:rPr>
          <w:b/>
          <w:noProof/>
          <w:sz w:val="22"/>
          <w:szCs w:val="22"/>
        </w:rPr>
        <w:t xml:space="preserve">Table 15 </w:t>
      </w:r>
      <w:r>
        <w:rPr>
          <w:b/>
          <w:noProof/>
          <w:sz w:val="22"/>
          <w:szCs w:val="22"/>
        </w:rPr>
        <w:tab/>
        <w:t>Breakdown by nationality in the agencies and Joint undertakings in 2015</w:t>
      </w:r>
      <w:r>
        <w:rPr>
          <w:rStyle w:val="FootnoteReference"/>
          <w:b/>
          <w:noProof/>
          <w:sz w:val="22"/>
          <w:szCs w:val="22"/>
        </w:rPr>
        <w:footnoteReference w:id="15"/>
      </w:r>
    </w:p>
    <w:p>
      <w:pPr>
        <w:pStyle w:val="NormalCentered"/>
        <w:jc w:val="left"/>
        <w:rPr>
          <w:b/>
          <w:noProof/>
          <w:sz w:val="22"/>
        </w:rPr>
      </w:pPr>
    </w:p>
    <w:p>
      <w:pPr>
        <w:pStyle w:val="NormalCentered"/>
        <w:jc w:val="left"/>
        <w:rPr>
          <w:b/>
          <w:noProof/>
          <w:sz w:val="22"/>
        </w:rPr>
      </w:pPr>
      <w:r>
        <w:rPr>
          <w:noProof/>
          <w:lang w:val="en-US" w:eastAsia="en-US" w:bidi="ar-SA"/>
        </w:rPr>
        <w:drawing>
          <wp:inline distT="0" distB="0" distL="0" distR="0">
            <wp:extent cx="5760085" cy="2865345"/>
            <wp:effectExtent l="0" t="0" r="12065" b="114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pPr>
        <w:pStyle w:val="NormalCentered"/>
        <w:jc w:val="left"/>
        <w:rPr>
          <w:b/>
          <w:noProof/>
          <w:sz w:val="22"/>
        </w:rPr>
      </w:pPr>
    </w:p>
    <w:p>
      <w:pPr>
        <w:pStyle w:val="NormalCentered"/>
        <w:jc w:val="left"/>
        <w:rPr>
          <w:b/>
          <w:noProof/>
          <w:sz w:val="22"/>
        </w:rPr>
      </w:pPr>
    </w:p>
    <w:p>
      <w:pPr>
        <w:pStyle w:val="Text1"/>
        <w:rPr>
          <w:noProof/>
        </w:rPr>
        <w:sectPr>
          <w:headerReference w:type="even" r:id="rId68"/>
          <w:headerReference w:type="default" r:id="rId69"/>
          <w:footerReference w:type="even" r:id="rId70"/>
          <w:footerReference w:type="default" r:id="rId71"/>
          <w:headerReference w:type="first" r:id="rId72"/>
          <w:footerReference w:type="first" r:id="rId73"/>
          <w:pgSz w:w="11907" w:h="16839"/>
          <w:pgMar w:top="851" w:right="1418" w:bottom="851" w:left="1418" w:header="709" w:footer="369" w:gutter="0"/>
          <w:cols w:space="708"/>
          <w:docGrid w:linePitch="360"/>
        </w:sectPr>
      </w:pPr>
    </w:p>
    <w:p>
      <w:pPr>
        <w:spacing w:after="0"/>
        <w:ind w:left="-567" w:firstLine="142"/>
        <w:jc w:val="center"/>
        <w:rPr>
          <w:noProof/>
        </w:rPr>
      </w:pPr>
    </w:p>
    <w:p>
      <w:pPr>
        <w:spacing w:after="0"/>
        <w:ind w:left="-567" w:firstLine="142"/>
        <w:jc w:val="right"/>
        <w:rPr>
          <w:b/>
          <w:noProof/>
        </w:rPr>
      </w:pPr>
    </w:p>
    <w:p>
      <w:pPr>
        <w:pStyle w:val="NormalCentered"/>
        <w:jc w:val="left"/>
        <w:rPr>
          <w:noProof/>
          <w:sz w:val="22"/>
          <w:szCs w:val="22"/>
        </w:rPr>
      </w:pPr>
      <w:r>
        <w:rPr>
          <w:b/>
          <w:noProof/>
          <w:sz w:val="22"/>
        </w:rPr>
        <w:t>Table 16</w:t>
      </w:r>
      <w:r>
        <w:rPr>
          <w:b/>
          <w:noProof/>
          <w:sz w:val="22"/>
        </w:rPr>
        <w:tab/>
      </w:r>
      <w:r>
        <w:rPr>
          <w:rFonts w:asciiTheme="minorHAnsi" w:eastAsiaTheme="minorHAnsi" w:hAnsiTheme="minorHAnsi" w:cstheme="minorBidi"/>
          <w:b/>
          <w:noProof/>
          <w:sz w:val="22"/>
          <w:szCs w:val="22"/>
        </w:rPr>
        <w:t xml:space="preserve"> </w:t>
      </w:r>
      <w:r>
        <w:rPr>
          <w:b/>
          <w:noProof/>
          <w:sz w:val="22"/>
          <w:szCs w:val="22"/>
        </w:rPr>
        <w:t>Breakdown by nationality for each agency or Joint undertaking in 2015</w:t>
      </w:r>
    </w:p>
    <w:p>
      <w:pPr>
        <w:spacing w:after="0"/>
        <w:ind w:left="-567" w:firstLine="142"/>
        <w:jc w:val="center"/>
        <w:rPr>
          <w:noProof/>
        </w:rPr>
      </w:pPr>
    </w:p>
    <w:p>
      <w:pPr>
        <w:rPr>
          <w:noProof/>
        </w:rPr>
      </w:pPr>
      <w:r>
        <w:rPr>
          <w:noProof/>
          <w:lang w:val="en-US" w:eastAsia="en-US" w:bidi="ar-SA"/>
        </w:rPr>
        <w:drawing>
          <wp:inline distT="0" distB="0" distL="0" distR="0">
            <wp:extent cx="9072880" cy="41582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072880" cy="4158273"/>
                    </a:xfrm>
                    <a:prstGeom prst="rect">
                      <a:avLst/>
                    </a:prstGeom>
                    <a:noFill/>
                    <a:ln>
                      <a:noFill/>
                    </a:ln>
                  </pic:spPr>
                </pic:pic>
              </a:graphicData>
            </a:graphic>
          </wp:inline>
        </w:drawing>
      </w:r>
    </w:p>
    <w:sectPr>
      <w:headerReference w:type="even" r:id="rId75"/>
      <w:headerReference w:type="default" r:id="rId76"/>
      <w:footerReference w:type="even" r:id="rId77"/>
      <w:footerReference w:type="default" r:id="rId78"/>
      <w:headerReference w:type="first" r:id="rId79"/>
      <w:footerReference w:type="first" r:id="rId80"/>
      <w:pgSz w:w="16839" w:h="11907" w:orient="landscape"/>
      <w:pgMar w:top="-709" w:right="1417" w:bottom="284" w:left="1134" w:header="709" w:footer="3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36040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4640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9626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2356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9786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6442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1088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sz w:val="16"/>
        </w:rPr>
        <w:t>Source: Commission HR analytics platform.</w:t>
      </w:r>
    </w:p>
  </w:footnote>
  <w:footnote w:id="2">
    <w:p>
      <w:pPr>
        <w:pStyle w:val="FootnoteText"/>
      </w:pPr>
      <w:r>
        <w:rPr>
          <w:rStyle w:val="FootnoteReference"/>
        </w:rPr>
        <w:footnoteRef/>
      </w:r>
      <w:r>
        <w:t xml:space="preserve"> </w:t>
      </w:r>
      <w:r>
        <w:rPr>
          <w:sz w:val="16"/>
        </w:rPr>
        <w:t>In particular, the number of agency staff fell from 415 on 1 July 2013 to 171 on 1 July 2015.</w:t>
      </w:r>
    </w:p>
  </w:footnote>
  <w:footnote w:id="3">
    <w:p>
      <w:pPr>
        <w:pStyle w:val="FootnoteText"/>
      </w:pPr>
      <w:r>
        <w:rPr>
          <w:rStyle w:val="FootnoteReference"/>
        </w:rPr>
        <w:footnoteRef/>
      </w:r>
      <w:r>
        <w:t xml:space="preserve"> </w:t>
      </w:r>
      <w:r>
        <w:rPr>
          <w:sz w:val="16"/>
        </w:rPr>
        <w:t>Source: Commission HR analytics platform.</w:t>
      </w:r>
    </w:p>
  </w:footnote>
  <w:footnote w:id="4">
    <w:p>
      <w:pPr>
        <w:pStyle w:val="FootnoteText"/>
      </w:pPr>
      <w:r>
        <w:rPr>
          <w:rStyle w:val="FootnoteReference"/>
        </w:rPr>
        <w:footnoteRef/>
      </w:r>
      <w:r>
        <w:t xml:space="preserve"> </w:t>
      </w:r>
      <w:r>
        <w:rPr>
          <w:sz w:val="16"/>
        </w:rPr>
        <w:t>Source: Commission HR analytics platform.</w:t>
      </w:r>
    </w:p>
  </w:footnote>
  <w:footnote w:id="5">
    <w:p>
      <w:pPr>
        <w:pStyle w:val="FootnoteText"/>
      </w:pPr>
      <w:r>
        <w:rPr>
          <w:rStyle w:val="FootnoteReference"/>
        </w:rPr>
        <w:footnoteRef/>
      </w:r>
      <w:r>
        <w:t xml:space="preserve"> </w:t>
      </w:r>
      <w:r>
        <w:rPr>
          <w:sz w:val="16"/>
        </w:rPr>
        <w:t>Source: Commission HR analytics platform.</w:t>
      </w:r>
    </w:p>
  </w:footnote>
  <w:footnote w:id="6">
    <w:p>
      <w:pPr>
        <w:pStyle w:val="FootnoteText"/>
        <w:ind w:left="0" w:firstLine="0"/>
      </w:pPr>
      <w:r>
        <w:rPr>
          <w:rStyle w:val="FootnoteReference"/>
        </w:rPr>
        <w:footnoteRef/>
      </w:r>
      <w:r>
        <w:t xml:space="preserve"> </w:t>
      </w:r>
      <w:r>
        <w:rPr>
          <w:sz w:val="16"/>
        </w:rPr>
        <w:t>It is worth noting that following the creation of the DG NEAR in 2015, approx. 200 contract staff working in the neighbourhood policy was transferred from DG DEVCO to DG NEAR</w:t>
      </w:r>
    </w:p>
  </w:footnote>
  <w:footnote w:id="7">
    <w:p>
      <w:pPr>
        <w:pStyle w:val="FootnoteText"/>
        <w:rPr>
          <w:lang w:val="fr-BE"/>
        </w:rPr>
      </w:pPr>
      <w:r>
        <w:rPr>
          <w:rStyle w:val="FootnoteReference"/>
        </w:rPr>
        <w:footnoteRef/>
      </w:r>
      <w:r>
        <w:rPr>
          <w:lang w:val="fr-BE"/>
        </w:rPr>
        <w:t xml:space="preserve"> </w:t>
      </w:r>
      <w:r>
        <w:rPr>
          <w:sz w:val="16"/>
          <w:lang w:val="fr-BE"/>
        </w:rPr>
        <w:t>Source: Commission HR analytics platform.</w:t>
      </w:r>
    </w:p>
  </w:footnote>
  <w:footnote w:id="8">
    <w:p>
      <w:pPr>
        <w:pStyle w:val="FootnoteText"/>
        <w:rPr>
          <w:lang w:val="fr-BE"/>
        </w:rPr>
      </w:pPr>
      <w:r>
        <w:rPr>
          <w:rStyle w:val="FootnoteReference"/>
        </w:rPr>
        <w:footnoteRef/>
      </w:r>
      <w:r>
        <w:rPr>
          <w:lang w:val="fr-BE"/>
        </w:rPr>
        <w:t xml:space="preserve"> </w:t>
      </w:r>
      <w:r>
        <w:rPr>
          <w:sz w:val="16"/>
          <w:lang w:val="fr-BE"/>
        </w:rPr>
        <w:t>Source: Commission HR analytics platform.</w:t>
      </w:r>
    </w:p>
  </w:footnote>
  <w:footnote w:id="9">
    <w:p>
      <w:pPr>
        <w:pStyle w:val="FootnoteText"/>
        <w:rPr>
          <w:lang w:val="fr-BE"/>
        </w:rPr>
      </w:pPr>
      <w:r>
        <w:rPr>
          <w:rStyle w:val="FootnoteReference"/>
        </w:rPr>
        <w:footnoteRef/>
      </w:r>
      <w:r>
        <w:rPr>
          <w:lang w:val="fr-BE"/>
        </w:rPr>
        <w:t xml:space="preserve"> </w:t>
      </w:r>
      <w:r>
        <w:rPr>
          <w:sz w:val="16"/>
          <w:lang w:val="fr-BE"/>
        </w:rPr>
        <w:t>Source: Eurostat and EU institutions.</w:t>
      </w:r>
    </w:p>
  </w:footnote>
  <w:footnote w:id="10">
    <w:p>
      <w:pPr>
        <w:pStyle w:val="FootnoteText"/>
        <w:rPr>
          <w:lang w:val="fr-BE"/>
        </w:rPr>
      </w:pPr>
      <w:r>
        <w:rPr>
          <w:rStyle w:val="FootnoteReference"/>
        </w:rPr>
        <w:footnoteRef/>
      </w:r>
      <w:r>
        <w:rPr>
          <w:lang w:val="fr-BE"/>
        </w:rPr>
        <w:t xml:space="preserve"> </w:t>
      </w:r>
      <w:r>
        <w:rPr>
          <w:sz w:val="16"/>
          <w:lang w:val="fr-BE"/>
        </w:rPr>
        <w:t>Source: Eurostat and EU institutions.</w:t>
      </w:r>
    </w:p>
  </w:footnote>
  <w:footnote w:id="11">
    <w:p>
      <w:pPr>
        <w:pStyle w:val="FootnoteText"/>
        <w:rPr>
          <w:lang w:val="fr-BE"/>
        </w:rPr>
      </w:pPr>
      <w:r>
        <w:rPr>
          <w:rStyle w:val="FootnoteReference"/>
        </w:rPr>
        <w:footnoteRef/>
      </w:r>
      <w:r>
        <w:rPr>
          <w:lang w:val="fr-BE"/>
        </w:rPr>
        <w:t xml:space="preserve"> </w:t>
      </w:r>
      <w:r>
        <w:rPr>
          <w:sz w:val="16"/>
          <w:lang w:val="fr-BE"/>
        </w:rPr>
        <w:t>Source: Eurostat and EU institutions.</w:t>
      </w:r>
    </w:p>
  </w:footnote>
  <w:footnote w:id="12">
    <w:p>
      <w:pPr>
        <w:pStyle w:val="FootnoteText"/>
        <w:rPr>
          <w:lang w:val="fr-BE"/>
        </w:rPr>
      </w:pPr>
      <w:r>
        <w:rPr>
          <w:rStyle w:val="FootnoteReference"/>
        </w:rPr>
        <w:footnoteRef/>
      </w:r>
      <w:r>
        <w:rPr>
          <w:lang w:val="fr-BE"/>
        </w:rPr>
        <w:t xml:space="preserve"> </w:t>
      </w:r>
      <w:r>
        <w:rPr>
          <w:sz w:val="16"/>
          <w:lang w:val="fr-BE"/>
        </w:rPr>
        <w:t>Source: Eurostat and EU institutions.</w:t>
      </w:r>
    </w:p>
  </w:footnote>
  <w:footnote w:id="13">
    <w:p>
      <w:pPr>
        <w:pStyle w:val="FootnoteText"/>
      </w:pPr>
      <w:r>
        <w:rPr>
          <w:rStyle w:val="FootnoteReference"/>
        </w:rPr>
        <w:footnoteRef/>
      </w:r>
      <w:r>
        <w:t xml:space="preserve"> </w:t>
      </w:r>
      <w:r>
        <w:rPr>
          <w:sz w:val="16"/>
        </w:rPr>
        <w:t>Source: Eurostat and Sysper.</w:t>
      </w:r>
    </w:p>
  </w:footnote>
  <w:footnote w:id="14">
    <w:p>
      <w:pPr>
        <w:pStyle w:val="FootnoteText"/>
      </w:pPr>
      <w:r>
        <w:rPr>
          <w:rStyle w:val="FootnoteReference"/>
        </w:rPr>
        <w:footnoteRef/>
      </w:r>
      <w:r>
        <w:t xml:space="preserve"> </w:t>
      </w:r>
      <w:r>
        <w:rPr>
          <w:sz w:val="16"/>
        </w:rPr>
        <w:t>Source: Eurostat and Sysper.</w:t>
      </w:r>
    </w:p>
  </w:footnote>
  <w:footnote w:id="15">
    <w:p>
      <w:pPr>
        <w:pStyle w:val="FootnoteText"/>
      </w:pPr>
      <w:r>
        <w:rPr>
          <w:rStyle w:val="FootnoteReference"/>
        </w:rPr>
        <w:footnoteRef/>
      </w:r>
      <w:r>
        <w:t xml:space="preserve"> </w:t>
      </w:r>
      <w:r>
        <w:rPr>
          <w:sz w:val="16"/>
        </w:rPr>
        <w:t>Source: Eurostat and Sysper, only EU28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2F3C"/>
    <w:multiLevelType w:val="hybridMultilevel"/>
    <w:tmpl w:val="315C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445F9"/>
    <w:multiLevelType w:val="multilevel"/>
    <w:tmpl w:val="405C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01DC8"/>
    <w:multiLevelType w:val="hybridMultilevel"/>
    <w:tmpl w:val="9B44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B3016F"/>
    <w:multiLevelType w:val="multilevel"/>
    <w:tmpl w:val="3CB6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EA3F55"/>
    <w:multiLevelType w:val="hybridMultilevel"/>
    <w:tmpl w:val="BCF0F4E6"/>
    <w:lvl w:ilvl="0" w:tplc="97B0E5B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ois lecomte">
    <w15:presenceInfo w15:providerId="Windows Live" w15:userId="c1a86ef45cf84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35FB73D98E041C983A24362CF0219CA"/>
    <w:docVar w:name="LW_CROSSREFERENCE" w:val="&lt;UNUSED&gt;"/>
    <w:docVar w:name="LW_DocType" w:val="NORMAL"/>
    <w:docVar w:name="LW_EMISSION" w:val="22.6.2017"/>
    <w:docVar w:name="LW_EMISSION_ISODATE" w:val="2017-06-22"/>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34"/>
    <w:docVar w:name="LW_REF.INTERNE" w:val="&lt;UNUSED&gt;"/>
    <w:docVar w:name="LW_SOUS.TITRE.OBJ.CP" w:val="&lt;UNUSED&gt;"/>
    <w:docVar w:name="LW_SUPERTITRE" w:val="&lt;UNUSED&gt;"/>
    <w:docVar w:name="LW_TITRE.OBJ.CP" w:val="on the use of contract staff in 2015"/>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shd w:val="clear" w:color="auto" w:fill="BFBFBF" w:themeFill="background1" w:themeFillShade="BF"/>
      <w:spacing w:before="240" w:after="60" w:line="240" w:lineRule="auto"/>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pPr>
      <w:keepNext/>
      <w:spacing w:before="240" w:after="60" w:line="240" w:lineRule="auto"/>
      <w:ind w:left="720" w:hanging="360"/>
      <w:outlineLvl w:val="1"/>
    </w:pPr>
    <w:rPr>
      <w:rFonts w:eastAsiaTheme="majorEastAsia" w:cstheme="majorBidi"/>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28"/>
      <w:szCs w:val="32"/>
      <w:shd w:val="clear" w:color="auto" w:fill="BFBFBF" w:themeFill="background1" w:themeFillShade="BF"/>
    </w:rPr>
  </w:style>
  <w:style w:type="character" w:customStyle="1" w:styleId="Heading2Char">
    <w:name w:val="Heading 2 Char"/>
    <w:basedOn w:val="DefaultParagraphFont"/>
    <w:link w:val="Heading2"/>
    <w:uiPriority w:val="9"/>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noProof/>
      <w:sz w:val="24"/>
      <w:szCs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en-GB"/>
    </w:rPr>
  </w:style>
  <w:style w:type="character" w:customStyle="1" w:styleId="FooterCoverPageChar">
    <w:name w:val="Footer Cover Page Char"/>
    <w:basedOn w:val="TOCHeadingChar"/>
    <w:link w:val="FooterCoverPage"/>
    <w:rPr>
      <w:rFonts w:ascii="Times New Roman" w:eastAsia="Times New Roman" w:hAnsi="Times New Roman" w:cs="Times New Roman"/>
      <w:b w:val="0"/>
      <w:noProof/>
      <w:sz w:val="24"/>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noProof/>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shd w:val="clear" w:color="auto" w:fill="BFBFBF" w:themeFill="background1" w:themeFillShade="BF"/>
      <w:spacing w:before="240" w:after="60" w:line="240" w:lineRule="auto"/>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pPr>
      <w:keepNext/>
      <w:spacing w:before="240" w:after="60" w:line="240" w:lineRule="auto"/>
      <w:ind w:left="720" w:hanging="360"/>
      <w:outlineLvl w:val="1"/>
    </w:pPr>
    <w:rPr>
      <w:rFonts w:eastAsiaTheme="majorEastAsia" w:cstheme="majorBidi"/>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28"/>
      <w:szCs w:val="32"/>
      <w:shd w:val="clear" w:color="auto" w:fill="BFBFBF" w:themeFill="background1" w:themeFillShade="BF"/>
    </w:rPr>
  </w:style>
  <w:style w:type="character" w:customStyle="1" w:styleId="Heading2Char">
    <w:name w:val="Heading 2 Char"/>
    <w:basedOn w:val="DefaultParagraphFont"/>
    <w:link w:val="Heading2"/>
    <w:uiPriority w:val="9"/>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noProof/>
      <w:sz w:val="24"/>
      <w:szCs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en-GB"/>
    </w:rPr>
  </w:style>
  <w:style w:type="character" w:customStyle="1" w:styleId="FooterCoverPageChar">
    <w:name w:val="Footer Cover Page Char"/>
    <w:basedOn w:val="TOCHeadingChar"/>
    <w:link w:val="FooterCoverPage"/>
    <w:rPr>
      <w:rFonts w:ascii="Times New Roman" w:eastAsia="Times New Roman" w:hAnsi="Times New Roman" w:cs="Times New Roman"/>
      <w:b w:val="0"/>
      <w:noProof/>
      <w:sz w:val="24"/>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noProof/>
      <w:sz w:val="24"/>
      <w:szCs w:val="24"/>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84313">
      <w:bodyDiv w:val="1"/>
      <w:marLeft w:val="0"/>
      <w:marRight w:val="0"/>
      <w:marTop w:val="0"/>
      <w:marBottom w:val="0"/>
      <w:divBdr>
        <w:top w:val="none" w:sz="0" w:space="0" w:color="auto"/>
        <w:left w:val="none" w:sz="0" w:space="0" w:color="auto"/>
        <w:bottom w:val="none" w:sz="0" w:space="0" w:color="auto"/>
        <w:right w:val="none" w:sz="0" w:space="0" w:color="auto"/>
      </w:divBdr>
      <w:divsChild>
        <w:div w:id="1269972850">
          <w:marLeft w:val="0"/>
          <w:marRight w:val="0"/>
          <w:marTop w:val="0"/>
          <w:marBottom w:val="0"/>
          <w:divBdr>
            <w:top w:val="none" w:sz="0" w:space="0" w:color="auto"/>
            <w:left w:val="none" w:sz="0" w:space="0" w:color="auto"/>
            <w:bottom w:val="none" w:sz="0" w:space="0" w:color="auto"/>
            <w:right w:val="none" w:sz="0" w:space="0" w:color="auto"/>
          </w:divBdr>
          <w:divsChild>
            <w:div w:id="421613088">
              <w:marLeft w:val="0"/>
              <w:marRight w:val="0"/>
              <w:marTop w:val="0"/>
              <w:marBottom w:val="0"/>
              <w:divBdr>
                <w:top w:val="none" w:sz="0" w:space="0" w:color="auto"/>
                <w:left w:val="none" w:sz="0" w:space="0" w:color="auto"/>
                <w:bottom w:val="none" w:sz="0" w:space="0" w:color="auto"/>
                <w:right w:val="none" w:sz="0" w:space="0" w:color="auto"/>
              </w:divBdr>
              <w:divsChild>
                <w:div w:id="415713352">
                  <w:marLeft w:val="0"/>
                  <w:marRight w:val="0"/>
                  <w:marTop w:val="0"/>
                  <w:marBottom w:val="0"/>
                  <w:divBdr>
                    <w:top w:val="none" w:sz="0" w:space="0" w:color="auto"/>
                    <w:left w:val="none" w:sz="0" w:space="0" w:color="auto"/>
                    <w:bottom w:val="none" w:sz="0" w:space="0" w:color="auto"/>
                    <w:right w:val="none" w:sz="0" w:space="0" w:color="auto"/>
                  </w:divBdr>
                  <w:divsChild>
                    <w:div w:id="1679037745">
                      <w:marLeft w:val="0"/>
                      <w:marRight w:val="0"/>
                      <w:marTop w:val="0"/>
                      <w:marBottom w:val="0"/>
                      <w:divBdr>
                        <w:top w:val="none" w:sz="0" w:space="0" w:color="auto"/>
                        <w:left w:val="none" w:sz="0" w:space="0" w:color="auto"/>
                        <w:bottom w:val="none" w:sz="0" w:space="0" w:color="auto"/>
                        <w:right w:val="none" w:sz="0" w:space="0" w:color="auto"/>
                      </w:divBdr>
                      <w:divsChild>
                        <w:div w:id="1485195091">
                          <w:marLeft w:val="0"/>
                          <w:marRight w:val="0"/>
                          <w:marTop w:val="0"/>
                          <w:marBottom w:val="0"/>
                          <w:divBdr>
                            <w:top w:val="none" w:sz="0" w:space="0" w:color="auto"/>
                            <w:left w:val="none" w:sz="0" w:space="0" w:color="auto"/>
                            <w:bottom w:val="none" w:sz="0" w:space="0" w:color="auto"/>
                            <w:right w:val="none" w:sz="0" w:space="0" w:color="auto"/>
                          </w:divBdr>
                          <w:divsChild>
                            <w:div w:id="1520316421">
                              <w:marLeft w:val="-225"/>
                              <w:marRight w:val="-225"/>
                              <w:marTop w:val="0"/>
                              <w:marBottom w:val="0"/>
                              <w:divBdr>
                                <w:top w:val="none" w:sz="0" w:space="0" w:color="auto"/>
                                <w:left w:val="none" w:sz="0" w:space="0" w:color="auto"/>
                                <w:bottom w:val="none" w:sz="0" w:space="0" w:color="auto"/>
                                <w:right w:val="none" w:sz="0" w:space="0" w:color="auto"/>
                              </w:divBdr>
                              <w:divsChild>
                                <w:div w:id="659043397">
                                  <w:marLeft w:val="0"/>
                                  <w:marRight w:val="0"/>
                                  <w:marTop w:val="0"/>
                                  <w:marBottom w:val="0"/>
                                  <w:divBdr>
                                    <w:top w:val="none" w:sz="0" w:space="0" w:color="auto"/>
                                    <w:left w:val="none" w:sz="0" w:space="0" w:color="auto"/>
                                    <w:bottom w:val="none" w:sz="0" w:space="0" w:color="auto"/>
                                    <w:right w:val="none" w:sz="0" w:space="0" w:color="auto"/>
                                  </w:divBdr>
                                  <w:divsChild>
                                    <w:div w:id="2125686662">
                                      <w:marLeft w:val="-225"/>
                                      <w:marRight w:val="-225"/>
                                      <w:marTop w:val="0"/>
                                      <w:marBottom w:val="0"/>
                                      <w:divBdr>
                                        <w:top w:val="none" w:sz="0" w:space="0" w:color="auto"/>
                                        <w:left w:val="none" w:sz="0" w:space="0" w:color="auto"/>
                                        <w:bottom w:val="none" w:sz="0" w:space="0" w:color="auto"/>
                                        <w:right w:val="none" w:sz="0" w:space="0" w:color="auto"/>
                                      </w:divBdr>
                                      <w:divsChild>
                                        <w:div w:id="934820341">
                                          <w:marLeft w:val="0"/>
                                          <w:marRight w:val="0"/>
                                          <w:marTop w:val="0"/>
                                          <w:marBottom w:val="0"/>
                                          <w:divBdr>
                                            <w:top w:val="none" w:sz="0" w:space="0" w:color="auto"/>
                                            <w:left w:val="none" w:sz="0" w:space="0" w:color="auto"/>
                                            <w:bottom w:val="none" w:sz="0" w:space="0" w:color="auto"/>
                                            <w:right w:val="none" w:sz="0" w:space="0" w:color="auto"/>
                                          </w:divBdr>
                                          <w:divsChild>
                                            <w:div w:id="413167205">
                                              <w:marLeft w:val="0"/>
                                              <w:marRight w:val="0"/>
                                              <w:marTop w:val="0"/>
                                              <w:marBottom w:val="0"/>
                                              <w:divBdr>
                                                <w:top w:val="none" w:sz="0" w:space="0" w:color="auto"/>
                                                <w:left w:val="none" w:sz="0" w:space="0" w:color="auto"/>
                                                <w:bottom w:val="none" w:sz="0" w:space="0" w:color="auto"/>
                                                <w:right w:val="none" w:sz="0" w:space="0" w:color="auto"/>
                                              </w:divBdr>
                                              <w:divsChild>
                                                <w:div w:id="294263467">
                                                  <w:marLeft w:val="-225"/>
                                                  <w:marRight w:val="-225"/>
                                                  <w:marTop w:val="0"/>
                                                  <w:marBottom w:val="0"/>
                                                  <w:divBdr>
                                                    <w:top w:val="none" w:sz="0" w:space="0" w:color="auto"/>
                                                    <w:left w:val="none" w:sz="0" w:space="0" w:color="auto"/>
                                                    <w:bottom w:val="none" w:sz="0" w:space="0" w:color="auto"/>
                                                    <w:right w:val="none" w:sz="0" w:space="0" w:color="auto"/>
                                                  </w:divBdr>
                                                  <w:divsChild>
                                                    <w:div w:id="1148782660">
                                                      <w:marLeft w:val="0"/>
                                                      <w:marRight w:val="0"/>
                                                      <w:marTop w:val="0"/>
                                                      <w:marBottom w:val="0"/>
                                                      <w:divBdr>
                                                        <w:top w:val="none" w:sz="0" w:space="0" w:color="auto"/>
                                                        <w:left w:val="none" w:sz="0" w:space="0" w:color="auto"/>
                                                        <w:bottom w:val="none" w:sz="0" w:space="0" w:color="auto"/>
                                                        <w:right w:val="none" w:sz="0" w:space="0" w:color="auto"/>
                                                      </w:divBdr>
                                                      <w:divsChild>
                                                        <w:div w:id="1357191495">
                                                          <w:marLeft w:val="-225"/>
                                                          <w:marRight w:val="-225"/>
                                                          <w:marTop w:val="0"/>
                                                          <w:marBottom w:val="0"/>
                                                          <w:divBdr>
                                                            <w:top w:val="none" w:sz="0" w:space="0" w:color="auto"/>
                                                            <w:left w:val="none" w:sz="0" w:space="0" w:color="auto"/>
                                                            <w:bottom w:val="none" w:sz="0" w:space="0" w:color="auto"/>
                                                            <w:right w:val="none" w:sz="0" w:space="0" w:color="auto"/>
                                                          </w:divBdr>
                                                          <w:divsChild>
                                                            <w:div w:id="478426264">
                                                              <w:marLeft w:val="0"/>
                                                              <w:marRight w:val="0"/>
                                                              <w:marTop w:val="0"/>
                                                              <w:marBottom w:val="0"/>
                                                              <w:divBdr>
                                                                <w:top w:val="none" w:sz="0" w:space="0" w:color="auto"/>
                                                                <w:left w:val="none" w:sz="0" w:space="0" w:color="auto"/>
                                                                <w:bottom w:val="none" w:sz="0" w:space="0" w:color="auto"/>
                                                                <w:right w:val="none" w:sz="0" w:space="0" w:color="auto"/>
                                                              </w:divBdr>
                                                              <w:divsChild>
                                                                <w:div w:id="1490291133">
                                                                  <w:marLeft w:val="0"/>
                                                                  <w:marRight w:val="0"/>
                                                                  <w:marTop w:val="0"/>
                                                                  <w:marBottom w:val="0"/>
                                                                  <w:divBdr>
                                                                    <w:top w:val="none" w:sz="0" w:space="0" w:color="auto"/>
                                                                    <w:left w:val="none" w:sz="0" w:space="0" w:color="auto"/>
                                                                    <w:bottom w:val="none" w:sz="0" w:space="0" w:color="auto"/>
                                                                    <w:right w:val="none" w:sz="0" w:space="0" w:color="auto"/>
                                                                  </w:divBdr>
                                                                  <w:divsChild>
                                                                    <w:div w:id="454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2889424">
      <w:bodyDiv w:val="1"/>
      <w:marLeft w:val="0"/>
      <w:marRight w:val="0"/>
      <w:marTop w:val="0"/>
      <w:marBottom w:val="0"/>
      <w:divBdr>
        <w:top w:val="none" w:sz="0" w:space="0" w:color="auto"/>
        <w:left w:val="none" w:sz="0" w:space="0" w:color="auto"/>
        <w:bottom w:val="none" w:sz="0" w:space="0" w:color="auto"/>
        <w:right w:val="none" w:sz="0" w:space="0" w:color="auto"/>
      </w:divBdr>
    </w:div>
    <w:div w:id="564292209">
      <w:bodyDiv w:val="1"/>
      <w:marLeft w:val="0"/>
      <w:marRight w:val="0"/>
      <w:marTop w:val="0"/>
      <w:marBottom w:val="0"/>
      <w:divBdr>
        <w:top w:val="none" w:sz="0" w:space="0" w:color="auto"/>
        <w:left w:val="none" w:sz="0" w:space="0" w:color="auto"/>
        <w:bottom w:val="none" w:sz="0" w:space="0" w:color="auto"/>
        <w:right w:val="none" w:sz="0" w:space="0" w:color="auto"/>
      </w:divBdr>
      <w:divsChild>
        <w:div w:id="2117367804">
          <w:marLeft w:val="0"/>
          <w:marRight w:val="0"/>
          <w:marTop w:val="0"/>
          <w:marBottom w:val="0"/>
          <w:divBdr>
            <w:top w:val="none" w:sz="0" w:space="0" w:color="auto"/>
            <w:left w:val="none" w:sz="0" w:space="0" w:color="auto"/>
            <w:bottom w:val="none" w:sz="0" w:space="0" w:color="auto"/>
            <w:right w:val="none" w:sz="0" w:space="0" w:color="auto"/>
          </w:divBdr>
          <w:divsChild>
            <w:div w:id="510264981">
              <w:marLeft w:val="0"/>
              <w:marRight w:val="0"/>
              <w:marTop w:val="0"/>
              <w:marBottom w:val="0"/>
              <w:divBdr>
                <w:top w:val="none" w:sz="0" w:space="0" w:color="auto"/>
                <w:left w:val="none" w:sz="0" w:space="0" w:color="auto"/>
                <w:bottom w:val="none" w:sz="0" w:space="0" w:color="auto"/>
                <w:right w:val="none" w:sz="0" w:space="0" w:color="auto"/>
              </w:divBdr>
              <w:divsChild>
                <w:div w:id="1251085524">
                  <w:marLeft w:val="0"/>
                  <w:marRight w:val="0"/>
                  <w:marTop w:val="0"/>
                  <w:marBottom w:val="0"/>
                  <w:divBdr>
                    <w:top w:val="none" w:sz="0" w:space="0" w:color="auto"/>
                    <w:left w:val="none" w:sz="0" w:space="0" w:color="auto"/>
                    <w:bottom w:val="none" w:sz="0" w:space="0" w:color="auto"/>
                    <w:right w:val="none" w:sz="0" w:space="0" w:color="auto"/>
                  </w:divBdr>
                  <w:divsChild>
                    <w:div w:id="291520565">
                      <w:marLeft w:val="0"/>
                      <w:marRight w:val="0"/>
                      <w:marTop w:val="0"/>
                      <w:marBottom w:val="0"/>
                      <w:divBdr>
                        <w:top w:val="none" w:sz="0" w:space="0" w:color="auto"/>
                        <w:left w:val="none" w:sz="0" w:space="0" w:color="auto"/>
                        <w:bottom w:val="none" w:sz="0" w:space="0" w:color="auto"/>
                        <w:right w:val="none" w:sz="0" w:space="0" w:color="auto"/>
                      </w:divBdr>
                      <w:divsChild>
                        <w:div w:id="403455107">
                          <w:marLeft w:val="0"/>
                          <w:marRight w:val="0"/>
                          <w:marTop w:val="0"/>
                          <w:marBottom w:val="0"/>
                          <w:divBdr>
                            <w:top w:val="none" w:sz="0" w:space="0" w:color="auto"/>
                            <w:left w:val="none" w:sz="0" w:space="0" w:color="auto"/>
                            <w:bottom w:val="none" w:sz="0" w:space="0" w:color="auto"/>
                            <w:right w:val="none" w:sz="0" w:space="0" w:color="auto"/>
                          </w:divBdr>
                          <w:divsChild>
                            <w:div w:id="665088612">
                              <w:marLeft w:val="-225"/>
                              <w:marRight w:val="-225"/>
                              <w:marTop w:val="0"/>
                              <w:marBottom w:val="0"/>
                              <w:divBdr>
                                <w:top w:val="none" w:sz="0" w:space="0" w:color="auto"/>
                                <w:left w:val="none" w:sz="0" w:space="0" w:color="auto"/>
                                <w:bottom w:val="none" w:sz="0" w:space="0" w:color="auto"/>
                                <w:right w:val="none" w:sz="0" w:space="0" w:color="auto"/>
                              </w:divBdr>
                              <w:divsChild>
                                <w:div w:id="66349398">
                                  <w:marLeft w:val="0"/>
                                  <w:marRight w:val="0"/>
                                  <w:marTop w:val="0"/>
                                  <w:marBottom w:val="0"/>
                                  <w:divBdr>
                                    <w:top w:val="none" w:sz="0" w:space="0" w:color="auto"/>
                                    <w:left w:val="none" w:sz="0" w:space="0" w:color="auto"/>
                                    <w:bottom w:val="none" w:sz="0" w:space="0" w:color="auto"/>
                                    <w:right w:val="none" w:sz="0" w:space="0" w:color="auto"/>
                                  </w:divBdr>
                                  <w:divsChild>
                                    <w:div w:id="934240760">
                                      <w:marLeft w:val="-225"/>
                                      <w:marRight w:val="-225"/>
                                      <w:marTop w:val="0"/>
                                      <w:marBottom w:val="0"/>
                                      <w:divBdr>
                                        <w:top w:val="none" w:sz="0" w:space="0" w:color="auto"/>
                                        <w:left w:val="none" w:sz="0" w:space="0" w:color="auto"/>
                                        <w:bottom w:val="none" w:sz="0" w:space="0" w:color="auto"/>
                                        <w:right w:val="none" w:sz="0" w:space="0" w:color="auto"/>
                                      </w:divBdr>
                                      <w:divsChild>
                                        <w:div w:id="1645506663">
                                          <w:marLeft w:val="0"/>
                                          <w:marRight w:val="0"/>
                                          <w:marTop w:val="0"/>
                                          <w:marBottom w:val="0"/>
                                          <w:divBdr>
                                            <w:top w:val="none" w:sz="0" w:space="0" w:color="auto"/>
                                            <w:left w:val="none" w:sz="0" w:space="0" w:color="auto"/>
                                            <w:bottom w:val="none" w:sz="0" w:space="0" w:color="auto"/>
                                            <w:right w:val="none" w:sz="0" w:space="0" w:color="auto"/>
                                          </w:divBdr>
                                          <w:divsChild>
                                            <w:div w:id="1027291436">
                                              <w:marLeft w:val="0"/>
                                              <w:marRight w:val="0"/>
                                              <w:marTop w:val="0"/>
                                              <w:marBottom w:val="0"/>
                                              <w:divBdr>
                                                <w:top w:val="none" w:sz="0" w:space="0" w:color="auto"/>
                                                <w:left w:val="none" w:sz="0" w:space="0" w:color="auto"/>
                                                <w:bottom w:val="none" w:sz="0" w:space="0" w:color="auto"/>
                                                <w:right w:val="none" w:sz="0" w:space="0" w:color="auto"/>
                                              </w:divBdr>
                                              <w:divsChild>
                                                <w:div w:id="1642883494">
                                                  <w:marLeft w:val="-225"/>
                                                  <w:marRight w:val="-225"/>
                                                  <w:marTop w:val="0"/>
                                                  <w:marBottom w:val="0"/>
                                                  <w:divBdr>
                                                    <w:top w:val="none" w:sz="0" w:space="0" w:color="auto"/>
                                                    <w:left w:val="none" w:sz="0" w:space="0" w:color="auto"/>
                                                    <w:bottom w:val="none" w:sz="0" w:space="0" w:color="auto"/>
                                                    <w:right w:val="none" w:sz="0" w:space="0" w:color="auto"/>
                                                  </w:divBdr>
                                                  <w:divsChild>
                                                    <w:div w:id="1128933885">
                                                      <w:marLeft w:val="0"/>
                                                      <w:marRight w:val="0"/>
                                                      <w:marTop w:val="0"/>
                                                      <w:marBottom w:val="0"/>
                                                      <w:divBdr>
                                                        <w:top w:val="none" w:sz="0" w:space="0" w:color="auto"/>
                                                        <w:left w:val="none" w:sz="0" w:space="0" w:color="auto"/>
                                                        <w:bottom w:val="none" w:sz="0" w:space="0" w:color="auto"/>
                                                        <w:right w:val="none" w:sz="0" w:space="0" w:color="auto"/>
                                                      </w:divBdr>
                                                      <w:divsChild>
                                                        <w:div w:id="823207827">
                                                          <w:marLeft w:val="-225"/>
                                                          <w:marRight w:val="-225"/>
                                                          <w:marTop w:val="0"/>
                                                          <w:marBottom w:val="0"/>
                                                          <w:divBdr>
                                                            <w:top w:val="none" w:sz="0" w:space="0" w:color="auto"/>
                                                            <w:left w:val="none" w:sz="0" w:space="0" w:color="auto"/>
                                                            <w:bottom w:val="none" w:sz="0" w:space="0" w:color="auto"/>
                                                            <w:right w:val="none" w:sz="0" w:space="0" w:color="auto"/>
                                                          </w:divBdr>
                                                          <w:divsChild>
                                                            <w:div w:id="192885945">
                                                              <w:marLeft w:val="0"/>
                                                              <w:marRight w:val="0"/>
                                                              <w:marTop w:val="0"/>
                                                              <w:marBottom w:val="0"/>
                                                              <w:divBdr>
                                                                <w:top w:val="none" w:sz="0" w:space="0" w:color="auto"/>
                                                                <w:left w:val="none" w:sz="0" w:space="0" w:color="auto"/>
                                                                <w:bottom w:val="none" w:sz="0" w:space="0" w:color="auto"/>
                                                                <w:right w:val="none" w:sz="0" w:space="0" w:color="auto"/>
                                                              </w:divBdr>
                                                              <w:divsChild>
                                                                <w:div w:id="923030257">
                                                                  <w:marLeft w:val="0"/>
                                                                  <w:marRight w:val="0"/>
                                                                  <w:marTop w:val="0"/>
                                                                  <w:marBottom w:val="0"/>
                                                                  <w:divBdr>
                                                                    <w:top w:val="none" w:sz="0" w:space="0" w:color="auto"/>
                                                                    <w:left w:val="none" w:sz="0" w:space="0" w:color="auto"/>
                                                                    <w:bottom w:val="none" w:sz="0" w:space="0" w:color="auto"/>
                                                                    <w:right w:val="none" w:sz="0" w:space="0" w:color="auto"/>
                                                                  </w:divBdr>
                                                                  <w:divsChild>
                                                                    <w:div w:id="1109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037052">
      <w:bodyDiv w:val="1"/>
      <w:marLeft w:val="0"/>
      <w:marRight w:val="0"/>
      <w:marTop w:val="0"/>
      <w:marBottom w:val="0"/>
      <w:divBdr>
        <w:top w:val="none" w:sz="0" w:space="0" w:color="auto"/>
        <w:left w:val="none" w:sz="0" w:space="0" w:color="auto"/>
        <w:bottom w:val="none" w:sz="0" w:space="0" w:color="auto"/>
        <w:right w:val="none" w:sz="0" w:space="0" w:color="auto"/>
      </w:divBdr>
    </w:div>
    <w:div w:id="1892842001">
      <w:bodyDiv w:val="1"/>
      <w:marLeft w:val="0"/>
      <w:marRight w:val="0"/>
      <w:marTop w:val="0"/>
      <w:marBottom w:val="0"/>
      <w:divBdr>
        <w:top w:val="none" w:sz="0" w:space="0" w:color="auto"/>
        <w:left w:val="none" w:sz="0" w:space="0" w:color="auto"/>
        <w:bottom w:val="none" w:sz="0" w:space="0" w:color="auto"/>
        <w:right w:val="none" w:sz="0" w:space="0" w:color="auto"/>
      </w:divBdr>
    </w:div>
    <w:div w:id="1991246618">
      <w:bodyDiv w:val="1"/>
      <w:marLeft w:val="0"/>
      <w:marRight w:val="0"/>
      <w:marTop w:val="0"/>
      <w:marBottom w:val="0"/>
      <w:divBdr>
        <w:top w:val="none" w:sz="0" w:space="0" w:color="auto"/>
        <w:left w:val="none" w:sz="0" w:space="0" w:color="auto"/>
        <w:bottom w:val="none" w:sz="0" w:space="0" w:color="auto"/>
        <w:right w:val="none" w:sz="0" w:space="0" w:color="auto"/>
      </w:divBdr>
      <w:divsChild>
        <w:div w:id="425805979">
          <w:marLeft w:val="0"/>
          <w:marRight w:val="0"/>
          <w:marTop w:val="0"/>
          <w:marBottom w:val="0"/>
          <w:divBdr>
            <w:top w:val="none" w:sz="0" w:space="0" w:color="auto"/>
            <w:left w:val="none" w:sz="0" w:space="0" w:color="auto"/>
            <w:bottom w:val="none" w:sz="0" w:space="0" w:color="auto"/>
            <w:right w:val="none" w:sz="0" w:space="0" w:color="auto"/>
          </w:divBdr>
          <w:divsChild>
            <w:div w:id="10036521">
              <w:marLeft w:val="0"/>
              <w:marRight w:val="0"/>
              <w:marTop w:val="0"/>
              <w:marBottom w:val="0"/>
              <w:divBdr>
                <w:top w:val="none" w:sz="0" w:space="0" w:color="auto"/>
                <w:left w:val="none" w:sz="0" w:space="0" w:color="auto"/>
                <w:bottom w:val="none" w:sz="0" w:space="0" w:color="auto"/>
                <w:right w:val="none" w:sz="0" w:space="0" w:color="auto"/>
              </w:divBdr>
              <w:divsChild>
                <w:div w:id="163709108">
                  <w:marLeft w:val="0"/>
                  <w:marRight w:val="0"/>
                  <w:marTop w:val="0"/>
                  <w:marBottom w:val="0"/>
                  <w:divBdr>
                    <w:top w:val="none" w:sz="0" w:space="0" w:color="auto"/>
                    <w:left w:val="none" w:sz="0" w:space="0" w:color="auto"/>
                    <w:bottom w:val="none" w:sz="0" w:space="0" w:color="auto"/>
                    <w:right w:val="none" w:sz="0" w:space="0" w:color="auto"/>
                  </w:divBdr>
                  <w:divsChild>
                    <w:div w:id="1914310357">
                      <w:marLeft w:val="0"/>
                      <w:marRight w:val="0"/>
                      <w:marTop w:val="0"/>
                      <w:marBottom w:val="0"/>
                      <w:divBdr>
                        <w:top w:val="none" w:sz="0" w:space="0" w:color="auto"/>
                        <w:left w:val="none" w:sz="0" w:space="0" w:color="auto"/>
                        <w:bottom w:val="none" w:sz="0" w:space="0" w:color="auto"/>
                        <w:right w:val="none" w:sz="0" w:space="0" w:color="auto"/>
                      </w:divBdr>
                      <w:divsChild>
                        <w:div w:id="824592098">
                          <w:marLeft w:val="0"/>
                          <w:marRight w:val="0"/>
                          <w:marTop w:val="0"/>
                          <w:marBottom w:val="0"/>
                          <w:divBdr>
                            <w:top w:val="none" w:sz="0" w:space="0" w:color="auto"/>
                            <w:left w:val="none" w:sz="0" w:space="0" w:color="auto"/>
                            <w:bottom w:val="none" w:sz="0" w:space="0" w:color="auto"/>
                            <w:right w:val="none" w:sz="0" w:space="0" w:color="auto"/>
                          </w:divBdr>
                          <w:divsChild>
                            <w:div w:id="2025982087">
                              <w:marLeft w:val="-225"/>
                              <w:marRight w:val="-225"/>
                              <w:marTop w:val="0"/>
                              <w:marBottom w:val="0"/>
                              <w:divBdr>
                                <w:top w:val="none" w:sz="0" w:space="0" w:color="auto"/>
                                <w:left w:val="none" w:sz="0" w:space="0" w:color="auto"/>
                                <w:bottom w:val="none" w:sz="0" w:space="0" w:color="auto"/>
                                <w:right w:val="none" w:sz="0" w:space="0" w:color="auto"/>
                              </w:divBdr>
                              <w:divsChild>
                                <w:div w:id="2131393731">
                                  <w:marLeft w:val="0"/>
                                  <w:marRight w:val="0"/>
                                  <w:marTop w:val="0"/>
                                  <w:marBottom w:val="0"/>
                                  <w:divBdr>
                                    <w:top w:val="none" w:sz="0" w:space="0" w:color="auto"/>
                                    <w:left w:val="none" w:sz="0" w:space="0" w:color="auto"/>
                                    <w:bottom w:val="none" w:sz="0" w:space="0" w:color="auto"/>
                                    <w:right w:val="none" w:sz="0" w:space="0" w:color="auto"/>
                                  </w:divBdr>
                                  <w:divsChild>
                                    <w:div w:id="71783436">
                                      <w:marLeft w:val="-225"/>
                                      <w:marRight w:val="-225"/>
                                      <w:marTop w:val="0"/>
                                      <w:marBottom w:val="0"/>
                                      <w:divBdr>
                                        <w:top w:val="none" w:sz="0" w:space="0" w:color="auto"/>
                                        <w:left w:val="none" w:sz="0" w:space="0" w:color="auto"/>
                                        <w:bottom w:val="none" w:sz="0" w:space="0" w:color="auto"/>
                                        <w:right w:val="none" w:sz="0" w:space="0" w:color="auto"/>
                                      </w:divBdr>
                                      <w:divsChild>
                                        <w:div w:id="1126965744">
                                          <w:marLeft w:val="0"/>
                                          <w:marRight w:val="0"/>
                                          <w:marTop w:val="0"/>
                                          <w:marBottom w:val="0"/>
                                          <w:divBdr>
                                            <w:top w:val="none" w:sz="0" w:space="0" w:color="auto"/>
                                            <w:left w:val="none" w:sz="0" w:space="0" w:color="auto"/>
                                            <w:bottom w:val="none" w:sz="0" w:space="0" w:color="auto"/>
                                            <w:right w:val="none" w:sz="0" w:space="0" w:color="auto"/>
                                          </w:divBdr>
                                          <w:divsChild>
                                            <w:div w:id="1713918390">
                                              <w:marLeft w:val="0"/>
                                              <w:marRight w:val="0"/>
                                              <w:marTop w:val="0"/>
                                              <w:marBottom w:val="0"/>
                                              <w:divBdr>
                                                <w:top w:val="none" w:sz="0" w:space="0" w:color="auto"/>
                                                <w:left w:val="none" w:sz="0" w:space="0" w:color="auto"/>
                                                <w:bottom w:val="none" w:sz="0" w:space="0" w:color="auto"/>
                                                <w:right w:val="none" w:sz="0" w:space="0" w:color="auto"/>
                                              </w:divBdr>
                                              <w:divsChild>
                                                <w:div w:id="1829176917">
                                                  <w:marLeft w:val="-225"/>
                                                  <w:marRight w:val="-225"/>
                                                  <w:marTop w:val="0"/>
                                                  <w:marBottom w:val="0"/>
                                                  <w:divBdr>
                                                    <w:top w:val="none" w:sz="0" w:space="0" w:color="auto"/>
                                                    <w:left w:val="none" w:sz="0" w:space="0" w:color="auto"/>
                                                    <w:bottom w:val="none" w:sz="0" w:space="0" w:color="auto"/>
                                                    <w:right w:val="none" w:sz="0" w:space="0" w:color="auto"/>
                                                  </w:divBdr>
                                                  <w:divsChild>
                                                    <w:div w:id="1264801117">
                                                      <w:marLeft w:val="0"/>
                                                      <w:marRight w:val="0"/>
                                                      <w:marTop w:val="0"/>
                                                      <w:marBottom w:val="0"/>
                                                      <w:divBdr>
                                                        <w:top w:val="none" w:sz="0" w:space="0" w:color="auto"/>
                                                        <w:left w:val="none" w:sz="0" w:space="0" w:color="auto"/>
                                                        <w:bottom w:val="none" w:sz="0" w:space="0" w:color="auto"/>
                                                        <w:right w:val="none" w:sz="0" w:space="0" w:color="auto"/>
                                                      </w:divBdr>
                                                      <w:divsChild>
                                                        <w:div w:id="1310095113">
                                                          <w:marLeft w:val="-225"/>
                                                          <w:marRight w:val="-225"/>
                                                          <w:marTop w:val="0"/>
                                                          <w:marBottom w:val="0"/>
                                                          <w:divBdr>
                                                            <w:top w:val="none" w:sz="0" w:space="0" w:color="auto"/>
                                                            <w:left w:val="none" w:sz="0" w:space="0" w:color="auto"/>
                                                            <w:bottom w:val="none" w:sz="0" w:space="0" w:color="auto"/>
                                                            <w:right w:val="none" w:sz="0" w:space="0" w:color="auto"/>
                                                          </w:divBdr>
                                                          <w:divsChild>
                                                            <w:div w:id="1755055867">
                                                              <w:marLeft w:val="0"/>
                                                              <w:marRight w:val="0"/>
                                                              <w:marTop w:val="0"/>
                                                              <w:marBottom w:val="0"/>
                                                              <w:divBdr>
                                                                <w:top w:val="none" w:sz="0" w:space="0" w:color="auto"/>
                                                                <w:left w:val="none" w:sz="0" w:space="0" w:color="auto"/>
                                                                <w:bottom w:val="none" w:sz="0" w:space="0" w:color="auto"/>
                                                                <w:right w:val="none" w:sz="0" w:space="0" w:color="auto"/>
                                                              </w:divBdr>
                                                              <w:divsChild>
                                                                <w:div w:id="188841085">
                                                                  <w:marLeft w:val="0"/>
                                                                  <w:marRight w:val="0"/>
                                                                  <w:marTop w:val="0"/>
                                                                  <w:marBottom w:val="0"/>
                                                                  <w:divBdr>
                                                                    <w:top w:val="none" w:sz="0" w:space="0" w:color="auto"/>
                                                                    <w:left w:val="none" w:sz="0" w:space="0" w:color="auto"/>
                                                                    <w:bottom w:val="none" w:sz="0" w:space="0" w:color="auto"/>
                                                                    <w:right w:val="none" w:sz="0" w:space="0" w:color="auto"/>
                                                                  </w:divBdr>
                                                                  <w:divsChild>
                                                                    <w:div w:id="1955551287">
                                                                      <w:marLeft w:val="0"/>
                                                                      <w:marRight w:val="0"/>
                                                                      <w:marTop w:val="0"/>
                                                                      <w:marBottom w:val="0"/>
                                                                      <w:divBdr>
                                                                        <w:top w:val="none" w:sz="0" w:space="0" w:color="auto"/>
                                                                        <w:left w:val="none" w:sz="0" w:space="0" w:color="auto"/>
                                                                        <w:bottom w:val="none" w:sz="0" w:space="0" w:color="auto"/>
                                                                        <w:right w:val="none" w:sz="0" w:space="0" w:color="auto"/>
                                                                      </w:divBdr>
                                                                    </w:div>
                                                                    <w:div w:id="875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546021">
      <w:bodyDiv w:val="1"/>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423846046">
              <w:marLeft w:val="0"/>
              <w:marRight w:val="0"/>
              <w:marTop w:val="0"/>
              <w:marBottom w:val="0"/>
              <w:divBdr>
                <w:top w:val="none" w:sz="0" w:space="0" w:color="auto"/>
                <w:left w:val="none" w:sz="0" w:space="0" w:color="auto"/>
                <w:bottom w:val="none" w:sz="0" w:space="0" w:color="auto"/>
                <w:right w:val="none" w:sz="0" w:space="0" w:color="auto"/>
              </w:divBdr>
              <w:divsChild>
                <w:div w:id="325599624">
                  <w:marLeft w:val="0"/>
                  <w:marRight w:val="0"/>
                  <w:marTop w:val="0"/>
                  <w:marBottom w:val="0"/>
                  <w:divBdr>
                    <w:top w:val="none" w:sz="0" w:space="0" w:color="auto"/>
                    <w:left w:val="none" w:sz="0" w:space="0" w:color="auto"/>
                    <w:bottom w:val="none" w:sz="0" w:space="0" w:color="auto"/>
                    <w:right w:val="none" w:sz="0" w:space="0" w:color="auto"/>
                  </w:divBdr>
                  <w:divsChild>
                    <w:div w:id="56245666">
                      <w:marLeft w:val="0"/>
                      <w:marRight w:val="0"/>
                      <w:marTop w:val="0"/>
                      <w:marBottom w:val="0"/>
                      <w:divBdr>
                        <w:top w:val="none" w:sz="0" w:space="0" w:color="auto"/>
                        <w:left w:val="none" w:sz="0" w:space="0" w:color="auto"/>
                        <w:bottom w:val="none" w:sz="0" w:space="0" w:color="auto"/>
                        <w:right w:val="none" w:sz="0" w:space="0" w:color="auto"/>
                      </w:divBdr>
                      <w:divsChild>
                        <w:div w:id="1693189000">
                          <w:marLeft w:val="0"/>
                          <w:marRight w:val="0"/>
                          <w:marTop w:val="0"/>
                          <w:marBottom w:val="0"/>
                          <w:divBdr>
                            <w:top w:val="none" w:sz="0" w:space="0" w:color="auto"/>
                            <w:left w:val="none" w:sz="0" w:space="0" w:color="auto"/>
                            <w:bottom w:val="none" w:sz="0" w:space="0" w:color="auto"/>
                            <w:right w:val="none" w:sz="0" w:space="0" w:color="auto"/>
                          </w:divBdr>
                          <w:divsChild>
                            <w:div w:id="1199050639">
                              <w:marLeft w:val="-225"/>
                              <w:marRight w:val="-225"/>
                              <w:marTop w:val="0"/>
                              <w:marBottom w:val="0"/>
                              <w:divBdr>
                                <w:top w:val="none" w:sz="0" w:space="0" w:color="auto"/>
                                <w:left w:val="none" w:sz="0" w:space="0" w:color="auto"/>
                                <w:bottom w:val="none" w:sz="0" w:space="0" w:color="auto"/>
                                <w:right w:val="none" w:sz="0" w:space="0" w:color="auto"/>
                              </w:divBdr>
                              <w:divsChild>
                                <w:div w:id="925500395">
                                  <w:marLeft w:val="0"/>
                                  <w:marRight w:val="0"/>
                                  <w:marTop w:val="0"/>
                                  <w:marBottom w:val="0"/>
                                  <w:divBdr>
                                    <w:top w:val="none" w:sz="0" w:space="0" w:color="auto"/>
                                    <w:left w:val="none" w:sz="0" w:space="0" w:color="auto"/>
                                    <w:bottom w:val="none" w:sz="0" w:space="0" w:color="auto"/>
                                    <w:right w:val="none" w:sz="0" w:space="0" w:color="auto"/>
                                  </w:divBdr>
                                  <w:divsChild>
                                    <w:div w:id="2001617035">
                                      <w:marLeft w:val="-225"/>
                                      <w:marRight w:val="-225"/>
                                      <w:marTop w:val="0"/>
                                      <w:marBottom w:val="0"/>
                                      <w:divBdr>
                                        <w:top w:val="none" w:sz="0" w:space="0" w:color="auto"/>
                                        <w:left w:val="none" w:sz="0" w:space="0" w:color="auto"/>
                                        <w:bottom w:val="none" w:sz="0" w:space="0" w:color="auto"/>
                                        <w:right w:val="none" w:sz="0" w:space="0" w:color="auto"/>
                                      </w:divBdr>
                                      <w:divsChild>
                                        <w:div w:id="1521041592">
                                          <w:marLeft w:val="0"/>
                                          <w:marRight w:val="0"/>
                                          <w:marTop w:val="0"/>
                                          <w:marBottom w:val="0"/>
                                          <w:divBdr>
                                            <w:top w:val="none" w:sz="0" w:space="0" w:color="auto"/>
                                            <w:left w:val="none" w:sz="0" w:space="0" w:color="auto"/>
                                            <w:bottom w:val="none" w:sz="0" w:space="0" w:color="auto"/>
                                            <w:right w:val="none" w:sz="0" w:space="0" w:color="auto"/>
                                          </w:divBdr>
                                          <w:divsChild>
                                            <w:div w:id="497616638">
                                              <w:marLeft w:val="0"/>
                                              <w:marRight w:val="0"/>
                                              <w:marTop w:val="0"/>
                                              <w:marBottom w:val="0"/>
                                              <w:divBdr>
                                                <w:top w:val="none" w:sz="0" w:space="0" w:color="auto"/>
                                                <w:left w:val="none" w:sz="0" w:space="0" w:color="auto"/>
                                                <w:bottom w:val="none" w:sz="0" w:space="0" w:color="auto"/>
                                                <w:right w:val="none" w:sz="0" w:space="0" w:color="auto"/>
                                              </w:divBdr>
                                              <w:divsChild>
                                                <w:div w:id="869949024">
                                                  <w:marLeft w:val="-225"/>
                                                  <w:marRight w:val="-225"/>
                                                  <w:marTop w:val="0"/>
                                                  <w:marBottom w:val="0"/>
                                                  <w:divBdr>
                                                    <w:top w:val="none" w:sz="0" w:space="0" w:color="auto"/>
                                                    <w:left w:val="none" w:sz="0" w:space="0" w:color="auto"/>
                                                    <w:bottom w:val="none" w:sz="0" w:space="0" w:color="auto"/>
                                                    <w:right w:val="none" w:sz="0" w:space="0" w:color="auto"/>
                                                  </w:divBdr>
                                                  <w:divsChild>
                                                    <w:div w:id="1479497292">
                                                      <w:marLeft w:val="0"/>
                                                      <w:marRight w:val="0"/>
                                                      <w:marTop w:val="0"/>
                                                      <w:marBottom w:val="0"/>
                                                      <w:divBdr>
                                                        <w:top w:val="none" w:sz="0" w:space="0" w:color="auto"/>
                                                        <w:left w:val="none" w:sz="0" w:space="0" w:color="auto"/>
                                                        <w:bottom w:val="none" w:sz="0" w:space="0" w:color="auto"/>
                                                        <w:right w:val="none" w:sz="0" w:space="0" w:color="auto"/>
                                                      </w:divBdr>
                                                      <w:divsChild>
                                                        <w:div w:id="332688407">
                                                          <w:marLeft w:val="-225"/>
                                                          <w:marRight w:val="-225"/>
                                                          <w:marTop w:val="0"/>
                                                          <w:marBottom w:val="0"/>
                                                          <w:divBdr>
                                                            <w:top w:val="none" w:sz="0" w:space="0" w:color="auto"/>
                                                            <w:left w:val="none" w:sz="0" w:space="0" w:color="auto"/>
                                                            <w:bottom w:val="none" w:sz="0" w:space="0" w:color="auto"/>
                                                            <w:right w:val="none" w:sz="0" w:space="0" w:color="auto"/>
                                                          </w:divBdr>
                                                          <w:divsChild>
                                                            <w:div w:id="815562735">
                                                              <w:marLeft w:val="0"/>
                                                              <w:marRight w:val="0"/>
                                                              <w:marTop w:val="0"/>
                                                              <w:marBottom w:val="0"/>
                                                              <w:divBdr>
                                                                <w:top w:val="none" w:sz="0" w:space="0" w:color="auto"/>
                                                                <w:left w:val="none" w:sz="0" w:space="0" w:color="auto"/>
                                                                <w:bottom w:val="none" w:sz="0" w:space="0" w:color="auto"/>
                                                                <w:right w:val="none" w:sz="0" w:space="0" w:color="auto"/>
                                                              </w:divBdr>
                                                              <w:divsChild>
                                                                <w:div w:id="1813450714">
                                                                  <w:marLeft w:val="0"/>
                                                                  <w:marRight w:val="0"/>
                                                                  <w:marTop w:val="0"/>
                                                                  <w:marBottom w:val="0"/>
                                                                  <w:divBdr>
                                                                    <w:top w:val="none" w:sz="0" w:space="0" w:color="auto"/>
                                                                    <w:left w:val="none" w:sz="0" w:space="0" w:color="auto"/>
                                                                    <w:bottom w:val="none" w:sz="0" w:space="0" w:color="auto"/>
                                                                    <w:right w:val="none" w:sz="0" w:space="0" w:color="auto"/>
                                                                  </w:divBdr>
                                                                  <w:divsChild>
                                                                    <w:div w:id="1782532520">
                                                                      <w:marLeft w:val="0"/>
                                                                      <w:marRight w:val="0"/>
                                                                      <w:marTop w:val="0"/>
                                                                      <w:marBottom w:val="0"/>
                                                                      <w:divBdr>
                                                                        <w:top w:val="none" w:sz="0" w:space="0" w:color="auto"/>
                                                                        <w:left w:val="none" w:sz="0" w:space="0" w:color="auto"/>
                                                                        <w:bottom w:val="none" w:sz="0" w:space="0" w:color="auto"/>
                                                                        <w:right w:val="none" w:sz="0" w:space="0" w:color="auto"/>
                                                                      </w:divBdr>
                                                                    </w:div>
                                                                    <w:div w:id="9176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hart" Target="charts/chart3.xml"/><Relationship Id="rId39" Type="http://schemas.openxmlformats.org/officeDocument/2006/relationships/footer" Target="footer8.xml"/><Relationship Id="rId21" Type="http://schemas.openxmlformats.org/officeDocument/2006/relationships/footer" Target="footer6.xml"/><Relationship Id="rId34" Type="http://schemas.openxmlformats.org/officeDocument/2006/relationships/image" Target="media/image11.emf"/><Relationship Id="rId42" Type="http://schemas.openxmlformats.org/officeDocument/2006/relationships/chart" Target="charts/chart4.xml"/><Relationship Id="rId47" Type="http://schemas.openxmlformats.org/officeDocument/2006/relationships/footer" Target="footer11.xml"/><Relationship Id="rId50" Type="http://schemas.openxmlformats.org/officeDocument/2006/relationships/image" Target="media/image14.emf"/><Relationship Id="rId55" Type="http://schemas.openxmlformats.org/officeDocument/2006/relationships/header" Target="header14.xml"/><Relationship Id="rId63" Type="http://schemas.openxmlformats.org/officeDocument/2006/relationships/footer" Target="footer16.xml"/><Relationship Id="rId68" Type="http://schemas.openxmlformats.org/officeDocument/2006/relationships/header" Target="header19.xml"/><Relationship Id="rId76" Type="http://schemas.openxmlformats.org/officeDocument/2006/relationships/header" Target="header23.xml"/><Relationship Id="rId7" Type="http://schemas.openxmlformats.org/officeDocument/2006/relationships/footnotes" Target="footnotes.xml"/><Relationship Id="rId71"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6.emf"/><Relationship Id="rId11" Type="http://schemas.openxmlformats.org/officeDocument/2006/relationships/header" Target="header2.xml"/><Relationship Id="rId24" Type="http://schemas.openxmlformats.org/officeDocument/2006/relationships/chart" Target="charts/chart2.xml"/><Relationship Id="rId32" Type="http://schemas.openxmlformats.org/officeDocument/2006/relationships/image" Target="media/image9.emf"/><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eader" Target="header11.xml"/><Relationship Id="rId53" Type="http://schemas.openxmlformats.org/officeDocument/2006/relationships/chart" Target="charts/chart6.xml"/><Relationship Id="rId58" Type="http://schemas.openxmlformats.org/officeDocument/2006/relationships/header" Target="header15.xml"/><Relationship Id="rId66" Type="http://schemas.openxmlformats.org/officeDocument/2006/relationships/footer" Target="footer18.xml"/><Relationship Id="rId74" Type="http://schemas.openxmlformats.org/officeDocument/2006/relationships/image" Target="media/image17.emf"/><Relationship Id="rId79" Type="http://schemas.openxmlformats.org/officeDocument/2006/relationships/header" Target="header24.xml"/><Relationship Id="rId5" Type="http://schemas.openxmlformats.org/officeDocument/2006/relationships/settings" Target="settings.xml"/><Relationship Id="rId61" Type="http://schemas.openxmlformats.org/officeDocument/2006/relationships/header" Target="header16.xml"/><Relationship Id="rId82"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8.emf"/><Relationship Id="rId44" Type="http://schemas.openxmlformats.org/officeDocument/2006/relationships/header" Target="header10.xml"/><Relationship Id="rId52" Type="http://schemas.openxmlformats.org/officeDocument/2006/relationships/chart" Target="charts/chart5.xml"/><Relationship Id="rId60" Type="http://schemas.openxmlformats.org/officeDocument/2006/relationships/image" Target="media/image16.emf"/><Relationship Id="rId65" Type="http://schemas.openxmlformats.org/officeDocument/2006/relationships/header" Target="header18.xml"/><Relationship Id="rId73" Type="http://schemas.openxmlformats.org/officeDocument/2006/relationships/footer" Target="footer21.xml"/><Relationship Id="rId78" Type="http://schemas.openxmlformats.org/officeDocument/2006/relationships/footer" Target="footer23.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image" Target="media/image12.png"/><Relationship Id="rId43" Type="http://schemas.openxmlformats.org/officeDocument/2006/relationships/image" Target="media/image13.emf"/><Relationship Id="rId48" Type="http://schemas.openxmlformats.org/officeDocument/2006/relationships/header" Target="header12.xml"/><Relationship Id="rId56" Type="http://schemas.openxmlformats.org/officeDocument/2006/relationships/footer" Target="footer13.xml"/><Relationship Id="rId64" Type="http://schemas.openxmlformats.org/officeDocument/2006/relationships/footer" Target="footer17.xml"/><Relationship Id="rId69" Type="http://schemas.openxmlformats.org/officeDocument/2006/relationships/header" Target="header20.xml"/><Relationship Id="rId77" Type="http://schemas.openxmlformats.org/officeDocument/2006/relationships/footer" Target="footer22.xml"/><Relationship Id="rId8" Type="http://schemas.openxmlformats.org/officeDocument/2006/relationships/endnotes" Target="endnotes.xml"/><Relationship Id="rId51" Type="http://schemas.openxmlformats.org/officeDocument/2006/relationships/image" Target="media/image15.emf"/><Relationship Id="rId72" Type="http://schemas.openxmlformats.org/officeDocument/2006/relationships/header" Target="header21.xml"/><Relationship Id="rId80" Type="http://schemas.openxmlformats.org/officeDocument/2006/relationships/footer" Target="footer2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emf"/><Relationship Id="rId33" Type="http://schemas.openxmlformats.org/officeDocument/2006/relationships/image" Target="media/image10.emf"/><Relationship Id="rId38" Type="http://schemas.openxmlformats.org/officeDocument/2006/relationships/footer" Target="footer7.xml"/><Relationship Id="rId46" Type="http://schemas.openxmlformats.org/officeDocument/2006/relationships/footer" Target="footer10.xml"/><Relationship Id="rId59" Type="http://schemas.openxmlformats.org/officeDocument/2006/relationships/footer" Target="footer15.xml"/><Relationship Id="rId67" Type="http://schemas.openxmlformats.org/officeDocument/2006/relationships/chart" Target="charts/chart7.xml"/><Relationship Id="rId20" Type="http://schemas.openxmlformats.org/officeDocument/2006/relationships/header" Target="header6.xml"/><Relationship Id="rId41" Type="http://schemas.openxmlformats.org/officeDocument/2006/relationships/footer" Target="footer9.xml"/><Relationship Id="rId54" Type="http://schemas.openxmlformats.org/officeDocument/2006/relationships/header" Target="header13.xml"/><Relationship Id="rId62" Type="http://schemas.openxmlformats.org/officeDocument/2006/relationships/header" Target="header17.xml"/><Relationship Id="rId70" Type="http://schemas.openxmlformats.org/officeDocument/2006/relationships/footer" Target="footer19.xml"/><Relationship Id="rId75" Type="http://schemas.openxmlformats.org/officeDocument/2006/relationships/header" Target="header22.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image" Target="media/image5.emf"/><Relationship Id="rId36" Type="http://schemas.openxmlformats.org/officeDocument/2006/relationships/header" Target="header7.xml"/><Relationship Id="rId49" Type="http://schemas.openxmlformats.org/officeDocument/2006/relationships/footer" Target="footer12.xml"/><Relationship Id="rId57" Type="http://schemas.openxmlformats.org/officeDocument/2006/relationships/footer" Target="footer14.xm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HR\B\1\HR_B1\GESTION%20PERSONNEL\05.15%20AC\16%20Divers\Rapport%20AC%20au%20Conseil\Rapport%202015%20v2\FINAL\tableaux%20rapport%20AC%202015%20EN_FINAL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Rapport%202015\tableaux\active\gender%20and%20FG.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net1.cec.eu.int\HR\B\1\HR_B1\GESTION%20PERSONNEL\05.15%20AC\16%20Divers\Rapport%20AC%20au%20Conseil\Rapport%202015%20v2\tableaux\tableaux%20rapport%20AC%202015%20EN_FINAL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2" Type="http://schemas.openxmlformats.org/officeDocument/2006/relationships/oleObject" Target="file:///\\net1.cec.eu.int\HR\B\1\HR_B1\GESTION%20PERSONNEL\05.15%20AC\16%20Divers\Rapport%20AC%20au%20Conseil\Rapport%202015%20v2\tableaux\tableaux%20rapport%20AC%202015%20EN%20v2.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net1.cec.eu.int\HR\B\1\HR_B1\GESTION%20PERSONNEL\05.15%20AC\16%20Divers\Rapport%20AC%20au%20Conseil\Rapport%202015%20v2\tableaux\tableaux%20rapport%20AC%202015%20EN%20v2.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net1.cec.eu.int\HR\B\1\HR_B1\GESTION%20PERSONNEL\05.15%20AC\16%20Divers\Rapport%20AC%20au%20Conseil\Rapport%202015%20v2\donn&#233;es\CAs%20Report%202015%20-%20INPUT%20TO%20B1%20version%20travail%20FL%20v2.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table1!$A$2</c:f>
              <c:strCache>
                <c:ptCount val="1"/>
                <c:pt idx="0">
                  <c:v>Staff</c:v>
                </c:pt>
              </c:strCache>
            </c:strRef>
          </c:tx>
          <c:invertIfNegative val="0"/>
          <c:cat>
            <c:numRef>
              <c:f>table1!$B$1:$M$1</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table1!$B$2:$M$2</c:f>
              <c:numCache>
                <c:formatCode>General</c:formatCode>
                <c:ptCount val="12"/>
                <c:pt idx="0">
                  <c:v>514</c:v>
                </c:pt>
                <c:pt idx="1">
                  <c:v>2787</c:v>
                </c:pt>
                <c:pt idx="2">
                  <c:v>4966</c:v>
                </c:pt>
                <c:pt idx="3">
                  <c:v>5494</c:v>
                </c:pt>
                <c:pt idx="4">
                  <c:v>5756</c:v>
                </c:pt>
                <c:pt idx="5">
                  <c:v>6018</c:v>
                </c:pt>
                <c:pt idx="6">
                  <c:v>5979</c:v>
                </c:pt>
                <c:pt idx="7">
                  <c:v>5977</c:v>
                </c:pt>
                <c:pt idx="8">
                  <c:v>5921</c:v>
                </c:pt>
                <c:pt idx="9">
                  <c:v>5807</c:v>
                </c:pt>
                <c:pt idx="10">
                  <c:v>6440</c:v>
                </c:pt>
                <c:pt idx="11">
                  <c:v>6652</c:v>
                </c:pt>
              </c:numCache>
            </c:numRef>
          </c:val>
          <c:extLst xmlns:c16r2="http://schemas.microsoft.com/office/drawing/2015/06/chart">
            <c:ext xmlns:c16="http://schemas.microsoft.com/office/drawing/2014/chart" uri="{C3380CC4-5D6E-409C-BE32-E72D297353CC}">
              <c16:uniqueId val="{00000000-4166-449A-A4B9-3030AFB2EAA1}"/>
            </c:ext>
          </c:extLst>
        </c:ser>
        <c:dLbls>
          <c:showLegendKey val="0"/>
          <c:showVal val="0"/>
          <c:showCatName val="0"/>
          <c:showSerName val="0"/>
          <c:showPercent val="0"/>
          <c:showBubbleSize val="0"/>
        </c:dLbls>
        <c:gapWidth val="150"/>
        <c:axId val="65661568"/>
        <c:axId val="7549312"/>
      </c:barChart>
      <c:catAx>
        <c:axId val="65661568"/>
        <c:scaling>
          <c:orientation val="minMax"/>
        </c:scaling>
        <c:delete val="0"/>
        <c:axPos val="b"/>
        <c:numFmt formatCode="General" sourceLinked="1"/>
        <c:majorTickMark val="out"/>
        <c:minorTickMark val="none"/>
        <c:tickLblPos val="nextTo"/>
        <c:crossAx val="7549312"/>
        <c:crosses val="autoZero"/>
        <c:auto val="1"/>
        <c:lblAlgn val="ctr"/>
        <c:lblOffset val="100"/>
        <c:noMultiLvlLbl val="0"/>
      </c:catAx>
      <c:valAx>
        <c:axId val="7549312"/>
        <c:scaling>
          <c:orientation val="minMax"/>
        </c:scaling>
        <c:delete val="0"/>
        <c:axPos val="l"/>
        <c:majorGridlines/>
        <c:numFmt formatCode="General" sourceLinked="1"/>
        <c:majorTickMark val="out"/>
        <c:minorTickMark val="none"/>
        <c:tickLblPos val="nextTo"/>
        <c:crossAx val="6566156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M</c:v>
                </c:pt>
              </c:strCache>
            </c:strRef>
          </c:tx>
          <c:spPr>
            <a:solidFill>
              <a:schemeClr val="accent1"/>
            </a:solidFill>
            <a:ln>
              <a:noFill/>
            </a:ln>
            <a:effectLst/>
          </c:spPr>
          <c:invertIfNegative val="0"/>
          <c:cat>
            <c:strRef>
              <c:f>Sheet1!$A$2:$A$19</c:f>
              <c:strCache>
                <c:ptCount val="18"/>
                <c:pt idx="0">
                  <c:v>FGI01</c:v>
                </c:pt>
                <c:pt idx="1">
                  <c:v>FGI02</c:v>
                </c:pt>
                <c:pt idx="2">
                  <c:v>FGI03</c:v>
                </c:pt>
                <c:pt idx="3">
                  <c:v>FGII04</c:v>
                </c:pt>
                <c:pt idx="4">
                  <c:v>FGII05</c:v>
                </c:pt>
                <c:pt idx="5">
                  <c:v>FGII06</c:v>
                </c:pt>
                <c:pt idx="6">
                  <c:v>FGII07</c:v>
                </c:pt>
                <c:pt idx="7">
                  <c:v>FGIII08</c:v>
                </c:pt>
                <c:pt idx="8">
                  <c:v>FGIII09</c:v>
                </c:pt>
                <c:pt idx="9">
                  <c:v>FGIII10</c:v>
                </c:pt>
                <c:pt idx="10">
                  <c:v>FGIII11</c:v>
                </c:pt>
                <c:pt idx="11">
                  <c:v>FGIII12</c:v>
                </c:pt>
                <c:pt idx="12">
                  <c:v>FGIV13</c:v>
                </c:pt>
                <c:pt idx="13">
                  <c:v>FGIV14</c:v>
                </c:pt>
                <c:pt idx="14">
                  <c:v>FGIV15</c:v>
                </c:pt>
                <c:pt idx="15">
                  <c:v>FGIV16</c:v>
                </c:pt>
                <c:pt idx="16">
                  <c:v>FGIV17</c:v>
                </c:pt>
                <c:pt idx="17">
                  <c:v>FGIV18</c:v>
                </c:pt>
              </c:strCache>
            </c:strRef>
          </c:cat>
          <c:val>
            <c:numRef>
              <c:f>Sheet1!$B$2:$B$19</c:f>
              <c:numCache>
                <c:formatCode>General</c:formatCode>
                <c:ptCount val="18"/>
                <c:pt idx="0">
                  <c:v>56</c:v>
                </c:pt>
                <c:pt idx="1">
                  <c:v>366</c:v>
                </c:pt>
                <c:pt idx="2">
                  <c:v>107</c:v>
                </c:pt>
                <c:pt idx="3">
                  <c:v>95</c:v>
                </c:pt>
                <c:pt idx="4">
                  <c:v>191</c:v>
                </c:pt>
                <c:pt idx="5">
                  <c:v>98</c:v>
                </c:pt>
                <c:pt idx="6">
                  <c:v>22</c:v>
                </c:pt>
                <c:pt idx="7">
                  <c:v>101</c:v>
                </c:pt>
                <c:pt idx="8">
                  <c:v>180</c:v>
                </c:pt>
                <c:pt idx="9">
                  <c:v>118</c:v>
                </c:pt>
                <c:pt idx="10">
                  <c:v>57</c:v>
                </c:pt>
                <c:pt idx="11">
                  <c:v>22</c:v>
                </c:pt>
                <c:pt idx="12">
                  <c:v>59</c:v>
                </c:pt>
                <c:pt idx="13">
                  <c:v>301</c:v>
                </c:pt>
                <c:pt idx="14">
                  <c:v>350</c:v>
                </c:pt>
                <c:pt idx="15">
                  <c:v>208</c:v>
                </c:pt>
                <c:pt idx="16">
                  <c:v>97</c:v>
                </c:pt>
                <c:pt idx="17">
                  <c:v>65</c:v>
                </c:pt>
              </c:numCache>
            </c:numRef>
          </c:val>
          <c:extLst xmlns:c16r2="http://schemas.microsoft.com/office/drawing/2015/06/chart">
            <c:ext xmlns:c16="http://schemas.microsoft.com/office/drawing/2014/chart" uri="{C3380CC4-5D6E-409C-BE32-E72D297353CC}">
              <c16:uniqueId val="{00000000-C880-4A3D-9E29-54D4D8136518}"/>
            </c:ext>
          </c:extLst>
        </c:ser>
        <c:ser>
          <c:idx val="1"/>
          <c:order val="1"/>
          <c:tx>
            <c:strRef>
              <c:f>Sheet1!$C$1</c:f>
              <c:strCache>
                <c:ptCount val="1"/>
                <c:pt idx="0">
                  <c:v>F</c:v>
                </c:pt>
              </c:strCache>
            </c:strRef>
          </c:tx>
          <c:spPr>
            <a:solidFill>
              <a:schemeClr val="accent2"/>
            </a:solidFill>
            <a:ln>
              <a:noFill/>
            </a:ln>
            <a:effectLst/>
          </c:spPr>
          <c:invertIfNegative val="0"/>
          <c:cat>
            <c:strRef>
              <c:f>Sheet1!$A$2:$A$19</c:f>
              <c:strCache>
                <c:ptCount val="18"/>
                <c:pt idx="0">
                  <c:v>FGI01</c:v>
                </c:pt>
                <c:pt idx="1">
                  <c:v>FGI02</c:v>
                </c:pt>
                <c:pt idx="2">
                  <c:v>FGI03</c:v>
                </c:pt>
                <c:pt idx="3">
                  <c:v>FGII04</c:v>
                </c:pt>
                <c:pt idx="4">
                  <c:v>FGII05</c:v>
                </c:pt>
                <c:pt idx="5">
                  <c:v>FGII06</c:v>
                </c:pt>
                <c:pt idx="6">
                  <c:v>FGII07</c:v>
                </c:pt>
                <c:pt idx="7">
                  <c:v>FGIII08</c:v>
                </c:pt>
                <c:pt idx="8">
                  <c:v>FGIII09</c:v>
                </c:pt>
                <c:pt idx="9">
                  <c:v>FGIII10</c:v>
                </c:pt>
                <c:pt idx="10">
                  <c:v>FGIII11</c:v>
                </c:pt>
                <c:pt idx="11">
                  <c:v>FGIII12</c:v>
                </c:pt>
                <c:pt idx="12">
                  <c:v>FGIV13</c:v>
                </c:pt>
                <c:pt idx="13">
                  <c:v>FGIV14</c:v>
                </c:pt>
                <c:pt idx="14">
                  <c:v>FGIV15</c:v>
                </c:pt>
                <c:pt idx="15">
                  <c:v>FGIV16</c:v>
                </c:pt>
                <c:pt idx="16">
                  <c:v>FGIV17</c:v>
                </c:pt>
                <c:pt idx="17">
                  <c:v>FGIV18</c:v>
                </c:pt>
              </c:strCache>
            </c:strRef>
          </c:cat>
          <c:val>
            <c:numRef>
              <c:f>Sheet1!$C$2:$C$19</c:f>
              <c:numCache>
                <c:formatCode>#,##0</c:formatCode>
                <c:ptCount val="18"/>
                <c:pt idx="0">
                  <c:v>34</c:v>
                </c:pt>
                <c:pt idx="1">
                  <c:v>222</c:v>
                </c:pt>
                <c:pt idx="2">
                  <c:v>46</c:v>
                </c:pt>
                <c:pt idx="3">
                  <c:v>413</c:v>
                </c:pt>
                <c:pt idx="4">
                  <c:v>858</c:v>
                </c:pt>
                <c:pt idx="5">
                  <c:v>629</c:v>
                </c:pt>
                <c:pt idx="6">
                  <c:v>139</c:v>
                </c:pt>
                <c:pt idx="7">
                  <c:v>162</c:v>
                </c:pt>
                <c:pt idx="8">
                  <c:v>319</c:v>
                </c:pt>
                <c:pt idx="9">
                  <c:v>173</c:v>
                </c:pt>
                <c:pt idx="10">
                  <c:v>60</c:v>
                </c:pt>
                <c:pt idx="11">
                  <c:v>20</c:v>
                </c:pt>
                <c:pt idx="12">
                  <c:v>83</c:v>
                </c:pt>
                <c:pt idx="13">
                  <c:v>411</c:v>
                </c:pt>
                <c:pt idx="14">
                  <c:v>364</c:v>
                </c:pt>
                <c:pt idx="15">
                  <c:v>142</c:v>
                </c:pt>
                <c:pt idx="16">
                  <c:v>48</c:v>
                </c:pt>
                <c:pt idx="17">
                  <c:v>31</c:v>
                </c:pt>
              </c:numCache>
            </c:numRef>
          </c:val>
          <c:extLst xmlns:c16r2="http://schemas.microsoft.com/office/drawing/2015/06/chart">
            <c:ext xmlns:c16="http://schemas.microsoft.com/office/drawing/2014/chart" uri="{C3380CC4-5D6E-409C-BE32-E72D297353CC}">
              <c16:uniqueId val="{00000001-C880-4A3D-9E29-54D4D8136518}"/>
            </c:ext>
          </c:extLst>
        </c:ser>
        <c:dLbls>
          <c:showLegendKey val="0"/>
          <c:showVal val="0"/>
          <c:showCatName val="0"/>
          <c:showSerName val="0"/>
          <c:showPercent val="0"/>
          <c:showBubbleSize val="0"/>
        </c:dLbls>
        <c:gapWidth val="219"/>
        <c:overlap val="-27"/>
        <c:axId val="72361856"/>
        <c:axId val="72363392"/>
      </c:barChart>
      <c:catAx>
        <c:axId val="7236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63392"/>
        <c:crosses val="autoZero"/>
        <c:auto val="1"/>
        <c:lblAlgn val="ctr"/>
        <c:lblOffset val="100"/>
        <c:noMultiLvlLbl val="0"/>
      </c:catAx>
      <c:valAx>
        <c:axId val="72363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6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'tableau n3'!$G$74</c:f>
              <c:strCache>
                <c:ptCount val="1"/>
                <c:pt idx="0">
                  <c:v>F</c:v>
                </c:pt>
              </c:strCache>
            </c:strRef>
          </c:tx>
          <c:spPr>
            <a:solidFill>
              <a:srgbClr val="C31B93"/>
            </a:solidFill>
          </c:spPr>
          <c:invertIfNegative val="0"/>
          <c:cat>
            <c:strRef>
              <c:f>'tableau n3'!$F$75:$F$102</c:f>
              <c:strCache>
                <c:ptCount val="28"/>
                <c:pt idx="0">
                  <c:v>BE</c:v>
                </c:pt>
                <c:pt idx="1">
                  <c:v>IT</c:v>
                </c:pt>
                <c:pt idx="2">
                  <c:v>FR</c:v>
                </c:pt>
                <c:pt idx="3">
                  <c:v>ES</c:v>
                </c:pt>
                <c:pt idx="4">
                  <c:v>RO</c:v>
                </c:pt>
                <c:pt idx="5">
                  <c:v>EL</c:v>
                </c:pt>
                <c:pt idx="6">
                  <c:v>PL</c:v>
                </c:pt>
                <c:pt idx="7">
                  <c:v>DE</c:v>
                </c:pt>
                <c:pt idx="8">
                  <c:v>PT</c:v>
                </c:pt>
                <c:pt idx="9">
                  <c:v>BG</c:v>
                </c:pt>
                <c:pt idx="10">
                  <c:v>UK</c:v>
                </c:pt>
                <c:pt idx="11">
                  <c:v>HU</c:v>
                </c:pt>
                <c:pt idx="12">
                  <c:v>NL</c:v>
                </c:pt>
                <c:pt idx="13">
                  <c:v>LT</c:v>
                </c:pt>
                <c:pt idx="14">
                  <c:v>SK</c:v>
                </c:pt>
                <c:pt idx="15">
                  <c:v>FI</c:v>
                </c:pt>
                <c:pt idx="16">
                  <c:v>AT</c:v>
                </c:pt>
                <c:pt idx="17">
                  <c:v>CZ</c:v>
                </c:pt>
                <c:pt idx="18">
                  <c:v>SE</c:v>
                </c:pt>
                <c:pt idx="19">
                  <c:v>IE</c:v>
                </c:pt>
                <c:pt idx="20">
                  <c:v>Sl</c:v>
                </c:pt>
                <c:pt idx="21">
                  <c:v>HR</c:v>
                </c:pt>
                <c:pt idx="22">
                  <c:v>LV</c:v>
                </c:pt>
                <c:pt idx="23">
                  <c:v>EE</c:v>
                </c:pt>
                <c:pt idx="24">
                  <c:v>DK</c:v>
                </c:pt>
                <c:pt idx="25">
                  <c:v>CY</c:v>
                </c:pt>
                <c:pt idx="26">
                  <c:v>MT</c:v>
                </c:pt>
                <c:pt idx="27">
                  <c:v>LU</c:v>
                </c:pt>
              </c:strCache>
            </c:strRef>
          </c:cat>
          <c:val>
            <c:numRef>
              <c:f>'tableau n3'!$G$75:$G$102</c:f>
              <c:numCache>
                <c:formatCode>@</c:formatCode>
                <c:ptCount val="28"/>
                <c:pt idx="0">
                  <c:v>901</c:v>
                </c:pt>
                <c:pt idx="1">
                  <c:v>749</c:v>
                </c:pt>
                <c:pt idx="2">
                  <c:v>518</c:v>
                </c:pt>
                <c:pt idx="3">
                  <c:v>383</c:v>
                </c:pt>
                <c:pt idx="4">
                  <c:v>274</c:v>
                </c:pt>
                <c:pt idx="5">
                  <c:v>186</c:v>
                </c:pt>
                <c:pt idx="6">
                  <c:v>184</c:v>
                </c:pt>
                <c:pt idx="7">
                  <c:v>136</c:v>
                </c:pt>
                <c:pt idx="8">
                  <c:v>121</c:v>
                </c:pt>
                <c:pt idx="9">
                  <c:v>101</c:v>
                </c:pt>
                <c:pt idx="10">
                  <c:v>89</c:v>
                </c:pt>
                <c:pt idx="11">
                  <c:v>74</c:v>
                </c:pt>
                <c:pt idx="12">
                  <c:v>45</c:v>
                </c:pt>
                <c:pt idx="13">
                  <c:v>49</c:v>
                </c:pt>
                <c:pt idx="14">
                  <c:v>41</c:v>
                </c:pt>
                <c:pt idx="15">
                  <c:v>36</c:v>
                </c:pt>
                <c:pt idx="16">
                  <c:v>26</c:v>
                </c:pt>
                <c:pt idx="17">
                  <c:v>36</c:v>
                </c:pt>
                <c:pt idx="18">
                  <c:v>34</c:v>
                </c:pt>
                <c:pt idx="19">
                  <c:v>28</c:v>
                </c:pt>
                <c:pt idx="20">
                  <c:v>23</c:v>
                </c:pt>
                <c:pt idx="21">
                  <c:v>30</c:v>
                </c:pt>
                <c:pt idx="22">
                  <c:v>26</c:v>
                </c:pt>
                <c:pt idx="23">
                  <c:v>24</c:v>
                </c:pt>
                <c:pt idx="24">
                  <c:v>15</c:v>
                </c:pt>
                <c:pt idx="25">
                  <c:v>16</c:v>
                </c:pt>
                <c:pt idx="26">
                  <c:v>8</c:v>
                </c:pt>
                <c:pt idx="27">
                  <c:v>2</c:v>
                </c:pt>
              </c:numCache>
            </c:numRef>
          </c:val>
        </c:ser>
        <c:ser>
          <c:idx val="1"/>
          <c:order val="1"/>
          <c:tx>
            <c:strRef>
              <c:f>'tableau n3'!$H$74</c:f>
              <c:strCache>
                <c:ptCount val="1"/>
                <c:pt idx="0">
                  <c:v>M</c:v>
                </c:pt>
              </c:strCache>
            </c:strRef>
          </c:tx>
          <c:spPr>
            <a:solidFill>
              <a:schemeClr val="accent1"/>
            </a:solidFill>
          </c:spPr>
          <c:invertIfNegative val="0"/>
          <c:cat>
            <c:strRef>
              <c:f>'tableau n3'!$F$75:$F$102</c:f>
              <c:strCache>
                <c:ptCount val="28"/>
                <c:pt idx="0">
                  <c:v>BE</c:v>
                </c:pt>
                <c:pt idx="1">
                  <c:v>IT</c:v>
                </c:pt>
                <c:pt idx="2">
                  <c:v>FR</c:v>
                </c:pt>
                <c:pt idx="3">
                  <c:v>ES</c:v>
                </c:pt>
                <c:pt idx="4">
                  <c:v>RO</c:v>
                </c:pt>
                <c:pt idx="5">
                  <c:v>EL</c:v>
                </c:pt>
                <c:pt idx="6">
                  <c:v>PL</c:v>
                </c:pt>
                <c:pt idx="7">
                  <c:v>DE</c:v>
                </c:pt>
                <c:pt idx="8">
                  <c:v>PT</c:v>
                </c:pt>
                <c:pt idx="9">
                  <c:v>BG</c:v>
                </c:pt>
                <c:pt idx="10">
                  <c:v>UK</c:v>
                </c:pt>
                <c:pt idx="11">
                  <c:v>HU</c:v>
                </c:pt>
                <c:pt idx="12">
                  <c:v>NL</c:v>
                </c:pt>
                <c:pt idx="13">
                  <c:v>LT</c:v>
                </c:pt>
                <c:pt idx="14">
                  <c:v>SK</c:v>
                </c:pt>
                <c:pt idx="15">
                  <c:v>FI</c:v>
                </c:pt>
                <c:pt idx="16">
                  <c:v>AT</c:v>
                </c:pt>
                <c:pt idx="17">
                  <c:v>CZ</c:v>
                </c:pt>
                <c:pt idx="18">
                  <c:v>SE</c:v>
                </c:pt>
                <c:pt idx="19">
                  <c:v>IE</c:v>
                </c:pt>
                <c:pt idx="20">
                  <c:v>Sl</c:v>
                </c:pt>
                <c:pt idx="21">
                  <c:v>HR</c:v>
                </c:pt>
                <c:pt idx="22">
                  <c:v>LV</c:v>
                </c:pt>
                <c:pt idx="23">
                  <c:v>EE</c:v>
                </c:pt>
                <c:pt idx="24">
                  <c:v>DK</c:v>
                </c:pt>
                <c:pt idx="25">
                  <c:v>CY</c:v>
                </c:pt>
                <c:pt idx="26">
                  <c:v>MT</c:v>
                </c:pt>
                <c:pt idx="27">
                  <c:v>LU</c:v>
                </c:pt>
              </c:strCache>
            </c:strRef>
          </c:cat>
          <c:val>
            <c:numRef>
              <c:f>'tableau n3'!$H$75:$H$102</c:f>
              <c:numCache>
                <c:formatCode>@</c:formatCode>
                <c:ptCount val="28"/>
                <c:pt idx="0">
                  <c:v>430</c:v>
                </c:pt>
                <c:pt idx="1">
                  <c:v>535</c:v>
                </c:pt>
                <c:pt idx="2">
                  <c:v>302</c:v>
                </c:pt>
                <c:pt idx="3">
                  <c:v>246</c:v>
                </c:pt>
                <c:pt idx="4">
                  <c:v>114</c:v>
                </c:pt>
                <c:pt idx="5">
                  <c:v>144</c:v>
                </c:pt>
                <c:pt idx="6">
                  <c:v>88</c:v>
                </c:pt>
                <c:pt idx="7">
                  <c:v>97</c:v>
                </c:pt>
                <c:pt idx="8">
                  <c:v>84</c:v>
                </c:pt>
                <c:pt idx="9">
                  <c:v>66</c:v>
                </c:pt>
                <c:pt idx="10">
                  <c:v>49</c:v>
                </c:pt>
                <c:pt idx="11">
                  <c:v>39</c:v>
                </c:pt>
                <c:pt idx="12">
                  <c:v>37</c:v>
                </c:pt>
                <c:pt idx="13">
                  <c:v>30</c:v>
                </c:pt>
                <c:pt idx="14">
                  <c:v>23</c:v>
                </c:pt>
                <c:pt idx="15">
                  <c:v>26</c:v>
                </c:pt>
                <c:pt idx="16">
                  <c:v>28</c:v>
                </c:pt>
                <c:pt idx="17">
                  <c:v>16</c:v>
                </c:pt>
                <c:pt idx="18">
                  <c:v>18</c:v>
                </c:pt>
                <c:pt idx="19">
                  <c:v>21</c:v>
                </c:pt>
                <c:pt idx="20">
                  <c:v>21</c:v>
                </c:pt>
                <c:pt idx="21">
                  <c:v>12</c:v>
                </c:pt>
                <c:pt idx="22">
                  <c:v>14</c:v>
                </c:pt>
                <c:pt idx="23">
                  <c:v>10</c:v>
                </c:pt>
                <c:pt idx="24">
                  <c:v>15</c:v>
                </c:pt>
                <c:pt idx="25">
                  <c:v>13</c:v>
                </c:pt>
                <c:pt idx="26">
                  <c:v>3</c:v>
                </c:pt>
                <c:pt idx="27">
                  <c:v>4</c:v>
                </c:pt>
              </c:numCache>
            </c:numRef>
          </c:val>
        </c:ser>
        <c:dLbls>
          <c:showLegendKey val="0"/>
          <c:showVal val="0"/>
          <c:showCatName val="0"/>
          <c:showSerName val="0"/>
          <c:showPercent val="0"/>
          <c:showBubbleSize val="0"/>
        </c:dLbls>
        <c:gapWidth val="150"/>
        <c:overlap val="100"/>
        <c:axId val="72393856"/>
        <c:axId val="72395392"/>
      </c:barChart>
      <c:catAx>
        <c:axId val="72393856"/>
        <c:scaling>
          <c:orientation val="minMax"/>
        </c:scaling>
        <c:delete val="0"/>
        <c:axPos val="b"/>
        <c:majorTickMark val="out"/>
        <c:minorTickMark val="none"/>
        <c:tickLblPos val="nextTo"/>
        <c:crossAx val="72395392"/>
        <c:crosses val="autoZero"/>
        <c:auto val="1"/>
        <c:lblAlgn val="ctr"/>
        <c:lblOffset val="100"/>
        <c:noMultiLvlLbl val="0"/>
      </c:catAx>
      <c:valAx>
        <c:axId val="72395392"/>
        <c:scaling>
          <c:orientation val="minMax"/>
        </c:scaling>
        <c:delete val="0"/>
        <c:axPos val="l"/>
        <c:majorGridlines/>
        <c:numFmt formatCode="@" sourceLinked="1"/>
        <c:majorTickMark val="out"/>
        <c:minorTickMark val="none"/>
        <c:tickLblPos val="nextTo"/>
        <c:crossAx val="7239385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'table 9'!$B$1</c:f>
              <c:strCache>
                <c:ptCount val="1"/>
              </c:strCache>
            </c:strRef>
          </c:tx>
          <c:dPt>
            <c:idx val="0"/>
            <c:bubble3D val="0"/>
            <c:spPr>
              <a:solidFill>
                <a:srgbClr val="00B0F0"/>
              </a:solidFill>
            </c:spPr>
          </c:dPt>
          <c:dLbls>
            <c:numFmt formatCode="General" sourceLinked="0"/>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'table 9'!$A$2:$A$10</c:f>
              <c:strCache>
                <c:ptCount val="9"/>
                <c:pt idx="0">
                  <c:v>EUROPEAN PARLIAMENT</c:v>
                </c:pt>
                <c:pt idx="1">
                  <c:v>EUROPEAN EXTERNAL ACTION SERVICE</c:v>
                </c:pt>
                <c:pt idx="2">
                  <c:v>COUNCIL OF THE EUROPEAN UNION</c:v>
                </c:pt>
                <c:pt idx="3">
                  <c:v>COURT OF JUSTICE</c:v>
                </c:pt>
                <c:pt idx="4">
                  <c:v>COURT OF AUDITORS</c:v>
                </c:pt>
                <c:pt idx="5">
                  <c:v>COMMITTEE OF THE REGIONS</c:v>
                </c:pt>
                <c:pt idx="6">
                  <c:v>EUROPEAN ECONOMIC AND SOCIAL COMMITTEE</c:v>
                </c:pt>
                <c:pt idx="7">
                  <c:v>EUROPEAN DATA PROTECTION SUPERVISOR</c:v>
                </c:pt>
                <c:pt idx="8">
                  <c:v>EUROPEAN OMBUDSMAN</c:v>
                </c:pt>
              </c:strCache>
            </c:strRef>
          </c:cat>
          <c:val>
            <c:numRef>
              <c:f>'table 9'!$B$2:$B$10</c:f>
              <c:numCache>
                <c:formatCode>General</c:formatCode>
                <c:ptCount val="9"/>
                <c:pt idx="0">
                  <c:v>1218</c:v>
                </c:pt>
                <c:pt idx="1">
                  <c:v>357</c:v>
                </c:pt>
                <c:pt idx="2">
                  <c:v>209</c:v>
                </c:pt>
                <c:pt idx="3">
                  <c:v>130</c:v>
                </c:pt>
                <c:pt idx="4">
                  <c:v>61</c:v>
                </c:pt>
                <c:pt idx="5">
                  <c:v>46</c:v>
                </c:pt>
                <c:pt idx="6">
                  <c:v>44</c:v>
                </c:pt>
                <c:pt idx="7">
                  <c:v>14</c:v>
                </c:pt>
                <c:pt idx="8">
                  <c:v>7</c:v>
                </c:pt>
              </c:numCache>
            </c:numRef>
          </c:val>
          <c:extLst xmlns:c16r2="http://schemas.microsoft.com/office/drawing/2015/06/chart">
            <c:ext xmlns:c16="http://schemas.microsoft.com/office/drawing/2014/chart" uri="{C3380CC4-5D6E-409C-BE32-E72D297353CC}">
              <c16:uniqueId val="{00000000-2823-4E7C-B77D-B48FBD6F1183}"/>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'tableau n12'!$A$2</c:f>
              <c:strCache>
                <c:ptCount val="1"/>
                <c:pt idx="0">
                  <c:v>Decentralised agencies</c:v>
                </c:pt>
              </c:strCache>
            </c:strRef>
          </c:tx>
          <c:invertIfNegative val="0"/>
          <c:cat>
            <c:numRef>
              <c:f>'tableau n12'!$B$1:$E$1</c:f>
              <c:numCache>
                <c:formatCode>General</c:formatCode>
                <c:ptCount val="4"/>
                <c:pt idx="0">
                  <c:v>2012</c:v>
                </c:pt>
                <c:pt idx="1">
                  <c:v>2013</c:v>
                </c:pt>
                <c:pt idx="2">
                  <c:v>2014</c:v>
                </c:pt>
                <c:pt idx="3">
                  <c:v>2015</c:v>
                </c:pt>
              </c:numCache>
            </c:numRef>
          </c:cat>
          <c:val>
            <c:numRef>
              <c:f>'tableau n12'!$B$2:$E$2</c:f>
              <c:numCache>
                <c:formatCode>General</c:formatCode>
                <c:ptCount val="4"/>
                <c:pt idx="0">
                  <c:v>1052</c:v>
                </c:pt>
                <c:pt idx="1">
                  <c:v>1125</c:v>
                </c:pt>
                <c:pt idx="2">
                  <c:v>1248</c:v>
                </c:pt>
                <c:pt idx="3">
                  <c:v>1202</c:v>
                </c:pt>
              </c:numCache>
            </c:numRef>
          </c:val>
          <c:extLst xmlns:c16r2="http://schemas.microsoft.com/office/drawing/2015/06/chart">
            <c:ext xmlns:c16="http://schemas.microsoft.com/office/drawing/2014/chart" uri="{C3380CC4-5D6E-409C-BE32-E72D297353CC}">
              <c16:uniqueId val="{00000000-6D77-4E53-8AE6-1F55BEB76EEB}"/>
            </c:ext>
          </c:extLst>
        </c:ser>
        <c:ser>
          <c:idx val="1"/>
          <c:order val="1"/>
          <c:tx>
            <c:strRef>
              <c:f>'tableau n12'!$A$3</c:f>
              <c:strCache>
                <c:ptCount val="1"/>
                <c:pt idx="0">
                  <c:v>Executive agencies</c:v>
                </c:pt>
              </c:strCache>
            </c:strRef>
          </c:tx>
          <c:invertIfNegative val="0"/>
          <c:cat>
            <c:numRef>
              <c:f>'tableau n12'!$B$1:$E$1</c:f>
              <c:numCache>
                <c:formatCode>General</c:formatCode>
                <c:ptCount val="4"/>
                <c:pt idx="0">
                  <c:v>2012</c:v>
                </c:pt>
                <c:pt idx="1">
                  <c:v>2013</c:v>
                </c:pt>
                <c:pt idx="2">
                  <c:v>2014</c:v>
                </c:pt>
                <c:pt idx="3">
                  <c:v>2015</c:v>
                </c:pt>
              </c:numCache>
            </c:numRef>
          </c:cat>
          <c:val>
            <c:numRef>
              <c:f>'tableau n12'!$B$3:$E$3</c:f>
              <c:numCache>
                <c:formatCode>General</c:formatCode>
                <c:ptCount val="4"/>
                <c:pt idx="0">
                  <c:v>1191</c:v>
                </c:pt>
                <c:pt idx="1">
                  <c:v>1222</c:v>
                </c:pt>
                <c:pt idx="2">
                  <c:v>1154</c:v>
                </c:pt>
                <c:pt idx="3">
                  <c:v>1536</c:v>
                </c:pt>
              </c:numCache>
            </c:numRef>
          </c:val>
          <c:extLst xmlns:c16r2="http://schemas.microsoft.com/office/drawing/2015/06/chart">
            <c:ext xmlns:c16="http://schemas.microsoft.com/office/drawing/2014/chart" uri="{C3380CC4-5D6E-409C-BE32-E72D297353CC}">
              <c16:uniqueId val="{00000001-6D77-4E53-8AE6-1F55BEB76EEB}"/>
            </c:ext>
          </c:extLst>
        </c:ser>
        <c:ser>
          <c:idx val="2"/>
          <c:order val="2"/>
          <c:tx>
            <c:strRef>
              <c:f>'tableau n12'!$A$4</c:f>
              <c:strCache>
                <c:ptCount val="1"/>
                <c:pt idx="0">
                  <c:v>Joint undertakings &amp; EIT</c:v>
                </c:pt>
              </c:strCache>
            </c:strRef>
          </c:tx>
          <c:invertIfNegative val="0"/>
          <c:cat>
            <c:numRef>
              <c:f>'tableau n12'!$B$1:$E$1</c:f>
              <c:numCache>
                <c:formatCode>General</c:formatCode>
                <c:ptCount val="4"/>
                <c:pt idx="0">
                  <c:v>2012</c:v>
                </c:pt>
                <c:pt idx="1">
                  <c:v>2013</c:v>
                </c:pt>
                <c:pt idx="2">
                  <c:v>2014</c:v>
                </c:pt>
                <c:pt idx="3">
                  <c:v>2015</c:v>
                </c:pt>
              </c:numCache>
            </c:numRef>
          </c:cat>
          <c:val>
            <c:numRef>
              <c:f>'tableau n12'!$B$4:$E$4</c:f>
              <c:numCache>
                <c:formatCode>General</c:formatCode>
                <c:ptCount val="4"/>
                <c:pt idx="0">
                  <c:v>165</c:v>
                </c:pt>
                <c:pt idx="1">
                  <c:v>175</c:v>
                </c:pt>
                <c:pt idx="2">
                  <c:v>180</c:v>
                </c:pt>
                <c:pt idx="3">
                  <c:v>212</c:v>
                </c:pt>
              </c:numCache>
            </c:numRef>
          </c:val>
          <c:extLst xmlns:c16r2="http://schemas.microsoft.com/office/drawing/2015/06/chart">
            <c:ext xmlns:c16="http://schemas.microsoft.com/office/drawing/2014/chart" uri="{C3380CC4-5D6E-409C-BE32-E72D297353CC}">
              <c16:uniqueId val="{00000002-6D77-4E53-8AE6-1F55BEB76EEB}"/>
            </c:ext>
          </c:extLst>
        </c:ser>
        <c:dLbls>
          <c:showLegendKey val="0"/>
          <c:showVal val="0"/>
          <c:showCatName val="0"/>
          <c:showSerName val="0"/>
          <c:showPercent val="0"/>
          <c:showBubbleSize val="0"/>
        </c:dLbls>
        <c:gapWidth val="150"/>
        <c:axId val="72441856"/>
        <c:axId val="72443392"/>
      </c:barChart>
      <c:catAx>
        <c:axId val="72441856"/>
        <c:scaling>
          <c:orientation val="minMax"/>
        </c:scaling>
        <c:delete val="0"/>
        <c:axPos val="b"/>
        <c:numFmt formatCode="General" sourceLinked="1"/>
        <c:majorTickMark val="out"/>
        <c:minorTickMark val="none"/>
        <c:tickLblPos val="nextTo"/>
        <c:crossAx val="72443392"/>
        <c:crosses val="autoZero"/>
        <c:auto val="1"/>
        <c:lblAlgn val="ctr"/>
        <c:lblOffset val="100"/>
        <c:noMultiLvlLbl val="0"/>
      </c:catAx>
      <c:valAx>
        <c:axId val="72443392"/>
        <c:scaling>
          <c:orientation val="minMax"/>
        </c:scaling>
        <c:delete val="0"/>
        <c:axPos val="l"/>
        <c:majorGridlines/>
        <c:numFmt formatCode="General" sourceLinked="1"/>
        <c:majorTickMark val="out"/>
        <c:minorTickMark val="none"/>
        <c:tickLblPos val="nextTo"/>
        <c:crossAx val="72441856"/>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'tableau 13'!$T$63</c:f>
              <c:strCache>
                <c:ptCount val="1"/>
                <c:pt idx="0">
                  <c:v>FGI</c:v>
                </c:pt>
              </c:strCache>
            </c:strRef>
          </c:tx>
          <c:invertIfNegative val="0"/>
          <c:cat>
            <c:strRef>
              <c:f>'tableau 13'!$S$64:$S$66</c:f>
              <c:strCache>
                <c:ptCount val="3"/>
                <c:pt idx="0">
                  <c:v>Decentralised agencies</c:v>
                </c:pt>
                <c:pt idx="1">
                  <c:v>Joint undertakings &amp; EIT</c:v>
                </c:pt>
                <c:pt idx="2">
                  <c:v>Executive agencies</c:v>
                </c:pt>
              </c:strCache>
            </c:strRef>
          </c:cat>
          <c:val>
            <c:numRef>
              <c:f>'tableau 13'!$T$64:$T$66</c:f>
              <c:numCache>
                <c:formatCode>0.0%</c:formatCode>
                <c:ptCount val="3"/>
                <c:pt idx="0">
                  <c:v>3.7313432835820892E-2</c:v>
                </c:pt>
                <c:pt idx="1">
                  <c:v>0</c:v>
                </c:pt>
                <c:pt idx="2">
                  <c:v>1.2369791666666666E-2</c:v>
                </c:pt>
              </c:numCache>
            </c:numRef>
          </c:val>
          <c:extLst xmlns:c16r2="http://schemas.microsoft.com/office/drawing/2015/06/chart">
            <c:ext xmlns:c16="http://schemas.microsoft.com/office/drawing/2014/chart" uri="{C3380CC4-5D6E-409C-BE32-E72D297353CC}">
              <c16:uniqueId val="{00000000-BC99-4AB3-9D57-89435DA8B275}"/>
            </c:ext>
          </c:extLst>
        </c:ser>
        <c:ser>
          <c:idx val="1"/>
          <c:order val="1"/>
          <c:tx>
            <c:strRef>
              <c:f>'tableau 13'!$U$63</c:f>
              <c:strCache>
                <c:ptCount val="1"/>
                <c:pt idx="0">
                  <c:v>FGII</c:v>
                </c:pt>
              </c:strCache>
            </c:strRef>
          </c:tx>
          <c:invertIfNegative val="0"/>
          <c:cat>
            <c:strRef>
              <c:f>'tableau 13'!$S$64:$S$66</c:f>
              <c:strCache>
                <c:ptCount val="3"/>
                <c:pt idx="0">
                  <c:v>Decentralised agencies</c:v>
                </c:pt>
                <c:pt idx="1">
                  <c:v>Joint undertakings &amp; EIT</c:v>
                </c:pt>
                <c:pt idx="2">
                  <c:v>Executive agencies</c:v>
                </c:pt>
              </c:strCache>
            </c:strRef>
          </c:cat>
          <c:val>
            <c:numRef>
              <c:f>'tableau 13'!$U$64:$U$66</c:f>
              <c:numCache>
                <c:formatCode>0.0%</c:formatCode>
                <c:ptCount val="3"/>
                <c:pt idx="0">
                  <c:v>0.25456053067993367</c:v>
                </c:pt>
                <c:pt idx="1">
                  <c:v>0.16037735849056603</c:v>
                </c:pt>
                <c:pt idx="2">
                  <c:v>0.28971354166666669</c:v>
                </c:pt>
              </c:numCache>
            </c:numRef>
          </c:val>
          <c:extLst xmlns:c16r2="http://schemas.microsoft.com/office/drawing/2015/06/chart">
            <c:ext xmlns:c16="http://schemas.microsoft.com/office/drawing/2014/chart" uri="{C3380CC4-5D6E-409C-BE32-E72D297353CC}">
              <c16:uniqueId val="{00000001-BC99-4AB3-9D57-89435DA8B275}"/>
            </c:ext>
          </c:extLst>
        </c:ser>
        <c:ser>
          <c:idx val="2"/>
          <c:order val="2"/>
          <c:tx>
            <c:strRef>
              <c:f>'tableau 13'!$V$63</c:f>
              <c:strCache>
                <c:ptCount val="1"/>
                <c:pt idx="0">
                  <c:v>FGIII</c:v>
                </c:pt>
              </c:strCache>
            </c:strRef>
          </c:tx>
          <c:invertIfNegative val="0"/>
          <c:cat>
            <c:strRef>
              <c:f>'tableau 13'!$S$64:$S$66</c:f>
              <c:strCache>
                <c:ptCount val="3"/>
                <c:pt idx="0">
                  <c:v>Decentralised agencies</c:v>
                </c:pt>
                <c:pt idx="1">
                  <c:v>Joint undertakings &amp; EIT</c:v>
                </c:pt>
                <c:pt idx="2">
                  <c:v>Executive agencies</c:v>
                </c:pt>
              </c:strCache>
            </c:strRef>
          </c:cat>
          <c:val>
            <c:numRef>
              <c:f>'tableau 13'!$V$64:$V$66</c:f>
              <c:numCache>
                <c:formatCode>0.0%</c:formatCode>
                <c:ptCount val="3"/>
                <c:pt idx="0">
                  <c:v>0.35986733001658378</c:v>
                </c:pt>
                <c:pt idx="1">
                  <c:v>0.30188679245283018</c:v>
                </c:pt>
                <c:pt idx="2">
                  <c:v>0.396484375</c:v>
                </c:pt>
              </c:numCache>
            </c:numRef>
          </c:val>
          <c:extLst xmlns:c16r2="http://schemas.microsoft.com/office/drawing/2015/06/chart">
            <c:ext xmlns:c16="http://schemas.microsoft.com/office/drawing/2014/chart" uri="{C3380CC4-5D6E-409C-BE32-E72D297353CC}">
              <c16:uniqueId val="{00000002-BC99-4AB3-9D57-89435DA8B275}"/>
            </c:ext>
          </c:extLst>
        </c:ser>
        <c:ser>
          <c:idx val="3"/>
          <c:order val="3"/>
          <c:tx>
            <c:strRef>
              <c:f>'tableau 13'!$W$63</c:f>
              <c:strCache>
                <c:ptCount val="1"/>
                <c:pt idx="0">
                  <c:v>FGIV</c:v>
                </c:pt>
              </c:strCache>
            </c:strRef>
          </c:tx>
          <c:invertIfNegative val="0"/>
          <c:cat>
            <c:strRef>
              <c:f>'tableau 13'!$S$64:$S$66</c:f>
              <c:strCache>
                <c:ptCount val="3"/>
                <c:pt idx="0">
                  <c:v>Decentralised agencies</c:v>
                </c:pt>
                <c:pt idx="1">
                  <c:v>Joint undertakings &amp; EIT</c:v>
                </c:pt>
                <c:pt idx="2">
                  <c:v>Executive agencies</c:v>
                </c:pt>
              </c:strCache>
            </c:strRef>
          </c:cat>
          <c:val>
            <c:numRef>
              <c:f>'tableau 13'!$W$64:$W$66</c:f>
              <c:numCache>
                <c:formatCode>0.0%</c:formatCode>
                <c:ptCount val="3"/>
                <c:pt idx="0">
                  <c:v>0.34825870646766172</c:v>
                </c:pt>
                <c:pt idx="1">
                  <c:v>0.53773584905660377</c:v>
                </c:pt>
                <c:pt idx="2">
                  <c:v>0.30143229166666669</c:v>
                </c:pt>
              </c:numCache>
            </c:numRef>
          </c:val>
          <c:extLst xmlns:c16r2="http://schemas.microsoft.com/office/drawing/2015/06/chart">
            <c:ext xmlns:c16="http://schemas.microsoft.com/office/drawing/2014/chart" uri="{C3380CC4-5D6E-409C-BE32-E72D297353CC}">
              <c16:uniqueId val="{00000003-BC99-4AB3-9D57-89435DA8B275}"/>
            </c:ext>
          </c:extLst>
        </c:ser>
        <c:dLbls>
          <c:showLegendKey val="0"/>
          <c:showVal val="0"/>
          <c:showCatName val="0"/>
          <c:showSerName val="0"/>
          <c:showPercent val="0"/>
          <c:showBubbleSize val="0"/>
        </c:dLbls>
        <c:gapWidth val="150"/>
        <c:overlap val="100"/>
        <c:axId val="79365248"/>
        <c:axId val="79366784"/>
      </c:barChart>
      <c:catAx>
        <c:axId val="79365248"/>
        <c:scaling>
          <c:orientation val="minMax"/>
        </c:scaling>
        <c:delete val="0"/>
        <c:axPos val="b"/>
        <c:numFmt formatCode="General" sourceLinked="0"/>
        <c:majorTickMark val="out"/>
        <c:minorTickMark val="none"/>
        <c:tickLblPos val="nextTo"/>
        <c:crossAx val="79366784"/>
        <c:crosses val="autoZero"/>
        <c:auto val="1"/>
        <c:lblAlgn val="ctr"/>
        <c:lblOffset val="100"/>
        <c:noMultiLvlLbl val="0"/>
      </c:catAx>
      <c:valAx>
        <c:axId val="79366784"/>
        <c:scaling>
          <c:orientation val="minMax"/>
          <c:max val="1"/>
        </c:scaling>
        <c:delete val="0"/>
        <c:axPos val="l"/>
        <c:majorGridlines/>
        <c:numFmt formatCode="0%" sourceLinked="0"/>
        <c:majorTickMark val="out"/>
        <c:minorTickMark val="none"/>
        <c:tickLblPos val="nextTo"/>
        <c:crossAx val="79365248"/>
        <c:crosses val="autoZero"/>
        <c:crossBetween val="between"/>
        <c:majorUnit val="0.2"/>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table15!$B$6:$B$33</c:f>
              <c:strCache>
                <c:ptCount val="28"/>
                <c:pt idx="0">
                  <c:v>BE</c:v>
                </c:pt>
                <c:pt idx="1">
                  <c:v>IT</c:v>
                </c:pt>
                <c:pt idx="2">
                  <c:v>ES</c:v>
                </c:pt>
                <c:pt idx="3">
                  <c:v>FR</c:v>
                </c:pt>
                <c:pt idx="4">
                  <c:v>RO</c:v>
                </c:pt>
                <c:pt idx="5">
                  <c:v>EL</c:v>
                </c:pt>
                <c:pt idx="6">
                  <c:v>PL</c:v>
                </c:pt>
                <c:pt idx="7">
                  <c:v>DE</c:v>
                </c:pt>
                <c:pt idx="8">
                  <c:v>BG</c:v>
                </c:pt>
                <c:pt idx="9">
                  <c:v>PT</c:v>
                </c:pt>
                <c:pt idx="10">
                  <c:v>UK</c:v>
                </c:pt>
                <c:pt idx="11">
                  <c:v>NL</c:v>
                </c:pt>
                <c:pt idx="12">
                  <c:v>HU</c:v>
                </c:pt>
                <c:pt idx="13">
                  <c:v>FI</c:v>
                </c:pt>
                <c:pt idx="14">
                  <c:v>LT</c:v>
                </c:pt>
                <c:pt idx="15">
                  <c:v>SE</c:v>
                </c:pt>
                <c:pt idx="16">
                  <c:v>SK</c:v>
                </c:pt>
                <c:pt idx="17">
                  <c:v>AT</c:v>
                </c:pt>
                <c:pt idx="18">
                  <c:v>CZ</c:v>
                </c:pt>
                <c:pt idx="19">
                  <c:v>IE</c:v>
                </c:pt>
                <c:pt idx="20">
                  <c:v>SI</c:v>
                </c:pt>
                <c:pt idx="21">
                  <c:v>DK</c:v>
                </c:pt>
                <c:pt idx="22">
                  <c:v>EE</c:v>
                </c:pt>
                <c:pt idx="23">
                  <c:v>LV</c:v>
                </c:pt>
                <c:pt idx="24">
                  <c:v>HR</c:v>
                </c:pt>
                <c:pt idx="25">
                  <c:v>CY</c:v>
                </c:pt>
                <c:pt idx="26">
                  <c:v>LU</c:v>
                </c:pt>
                <c:pt idx="27">
                  <c:v>MT</c:v>
                </c:pt>
              </c:strCache>
            </c:strRef>
          </c:cat>
          <c:val>
            <c:numRef>
              <c:f>table15!$C$6:$C$33</c:f>
              <c:numCache>
                <c:formatCode>General</c:formatCode>
                <c:ptCount val="28"/>
                <c:pt idx="0">
                  <c:v>463</c:v>
                </c:pt>
                <c:pt idx="1">
                  <c:v>438</c:v>
                </c:pt>
                <c:pt idx="2">
                  <c:v>326</c:v>
                </c:pt>
                <c:pt idx="3">
                  <c:v>270</c:v>
                </c:pt>
                <c:pt idx="4">
                  <c:v>175</c:v>
                </c:pt>
                <c:pt idx="5">
                  <c:v>170</c:v>
                </c:pt>
                <c:pt idx="6">
                  <c:v>170</c:v>
                </c:pt>
                <c:pt idx="7">
                  <c:v>126</c:v>
                </c:pt>
                <c:pt idx="8">
                  <c:v>106</c:v>
                </c:pt>
                <c:pt idx="9">
                  <c:v>88</c:v>
                </c:pt>
                <c:pt idx="10">
                  <c:v>71</c:v>
                </c:pt>
                <c:pt idx="11">
                  <c:v>65</c:v>
                </c:pt>
                <c:pt idx="12">
                  <c:v>54</c:v>
                </c:pt>
                <c:pt idx="13">
                  <c:v>46</c:v>
                </c:pt>
                <c:pt idx="14">
                  <c:v>43</c:v>
                </c:pt>
                <c:pt idx="15">
                  <c:v>41</c:v>
                </c:pt>
                <c:pt idx="16">
                  <c:v>38</c:v>
                </c:pt>
                <c:pt idx="17">
                  <c:v>26</c:v>
                </c:pt>
                <c:pt idx="18">
                  <c:v>25</c:v>
                </c:pt>
                <c:pt idx="19">
                  <c:v>20</c:v>
                </c:pt>
                <c:pt idx="20">
                  <c:v>18</c:v>
                </c:pt>
                <c:pt idx="21">
                  <c:v>16</c:v>
                </c:pt>
                <c:pt idx="22">
                  <c:v>15</c:v>
                </c:pt>
                <c:pt idx="23">
                  <c:v>14</c:v>
                </c:pt>
                <c:pt idx="24">
                  <c:v>9</c:v>
                </c:pt>
                <c:pt idx="25">
                  <c:v>5</c:v>
                </c:pt>
                <c:pt idx="26">
                  <c:v>5</c:v>
                </c:pt>
                <c:pt idx="27">
                  <c:v>4</c:v>
                </c:pt>
              </c:numCache>
            </c:numRef>
          </c:val>
          <c:extLst xmlns:c16r2="http://schemas.microsoft.com/office/drawing/2015/06/chart">
            <c:ext xmlns:c16="http://schemas.microsoft.com/office/drawing/2014/chart" uri="{C3380CC4-5D6E-409C-BE32-E72D297353CC}">
              <c16:uniqueId val="{00000000-B614-4FFC-A786-2EC4FCEB2CAF}"/>
            </c:ext>
          </c:extLst>
        </c:ser>
        <c:dLbls>
          <c:showLegendKey val="0"/>
          <c:showVal val="0"/>
          <c:showCatName val="0"/>
          <c:showSerName val="0"/>
          <c:showPercent val="0"/>
          <c:showBubbleSize val="0"/>
        </c:dLbls>
        <c:gapWidth val="150"/>
        <c:axId val="79395072"/>
        <c:axId val="79409152"/>
      </c:barChart>
      <c:catAx>
        <c:axId val="79395072"/>
        <c:scaling>
          <c:orientation val="minMax"/>
        </c:scaling>
        <c:delete val="0"/>
        <c:axPos val="b"/>
        <c:numFmt formatCode="General" sourceLinked="0"/>
        <c:majorTickMark val="out"/>
        <c:minorTickMark val="none"/>
        <c:tickLblPos val="nextTo"/>
        <c:crossAx val="79409152"/>
        <c:crosses val="autoZero"/>
        <c:auto val="1"/>
        <c:lblAlgn val="ctr"/>
        <c:lblOffset val="100"/>
        <c:noMultiLvlLbl val="0"/>
      </c:catAx>
      <c:valAx>
        <c:axId val="79409152"/>
        <c:scaling>
          <c:orientation val="minMax"/>
        </c:scaling>
        <c:delete val="0"/>
        <c:axPos val="l"/>
        <c:majorGridlines/>
        <c:numFmt formatCode="General" sourceLinked="1"/>
        <c:majorTickMark val="out"/>
        <c:minorTickMark val="none"/>
        <c:tickLblPos val="nextTo"/>
        <c:crossAx val="7939507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5D1EC-B987-45BA-8554-B3C93F05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25</Pages>
  <Words>2631</Words>
  <Characters>13659</Characters>
  <Application>Microsoft Office Word</Application>
  <DocSecurity>0</DocSecurity>
  <Lines>350</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2017-06-15T13:30:00Z</cp:lastPrinted>
  <dcterms:created xsi:type="dcterms:W3CDTF">2017-06-13T08:26:00Z</dcterms:created>
  <dcterms:modified xsi:type="dcterms:W3CDTF">2017-06-22T07:31:00Z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