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3D689DAE7A40FE82EB523B06776533" style="width:451.25pt;height:406.9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rFonts w:eastAsia="Calibri"/>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Avec l’adhésion de la République de Croatie, l’Union européenne a élargi son union douanière. Par conséquent, elle était tenue, selon les règles de l’Organisation mondiale du commerce (OMC) (article XXIV, paragraphe 6, du GATT de 1994), d’ouvrir des négociations avec les membres de l’OMC ayant des droits de négociation en ce qui concerne la liste d’engagements de la Croatie afin de convenir à terme d’une compensation. Une telle compensation est nécessaire si l’adoption du régime tarifaire extérieur de l’UE entraîne une augmentation des droits au-delà du niveau pour lequel le pays adhérent s’est engagé dans le cadre de l’OMC.</w:t>
      </w:r>
    </w:p>
    <w:p>
      <w:pPr>
        <w:rPr>
          <w:noProof/>
        </w:rPr>
      </w:pPr>
      <w:r>
        <w:rPr>
          <w:noProof/>
        </w:rPr>
        <w:t>Le 15 juillet 2013, le Conseil a autorisé la Commission à ouvrir des négociations au titre de l’article XXIV, paragraphe 6, du GATT de 1994. La Commission a négocié, avec les membres de l’OMC détenant des droits de négociation, la question du retrait de concessions spécifiques lié au retrait de la liste d’engagements de la République de Croatie dans le cadre de son adhésion à l’Union européenne.</w:t>
      </w:r>
    </w:p>
    <w:p>
      <w:pPr>
        <w:rPr>
          <w:rFonts w:eastAsia="Arial Unicode MS"/>
          <w:noProof/>
        </w:rPr>
      </w:pPr>
      <w:r>
        <w:rPr>
          <w:noProof/>
        </w:rPr>
        <w:t>Les négociations avec la Nouvelle-Zélande ont abouti à un projet d’accord sous forme d’échange de lettres qui a été paraphé à Genève le 18 mai 2017 (ci-après l’«accord»). En conséquence, la Commission européenne propose au Conseil d’autoriser la signature de l’accord.</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rPr>
          <w:rFonts w:eastAsia="Arial Unicode MS"/>
          <w:noProof/>
        </w:rPr>
      </w:pPr>
      <w:r>
        <w:rPr>
          <w:noProof/>
        </w:rPr>
        <w:t>La proposition est cohérente avec la pratique de l’UE suivie lors de ses précédents élargissements.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rPr>
          <w:rFonts w:eastAsia="Arial Unicode MS"/>
          <w:noProof/>
        </w:rPr>
      </w:pPr>
      <w:r>
        <w:rPr>
          <w:noProof/>
        </w:rPr>
        <w:t>La proposition suit la pratique de l’UE qui est cohérente avec les politiques de celle-ci en matière industrielle, agricole et d’action extérieure.</w:t>
      </w:r>
    </w:p>
    <w:p>
      <w:pPr>
        <w:pStyle w:val="ManualHeading1"/>
        <w:rPr>
          <w:rFonts w:eastAsia="Calibri"/>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rPr>
          <w:noProof/>
        </w:rPr>
      </w:pPr>
      <w:r>
        <w:rPr>
          <w:noProof/>
        </w:rPr>
        <w:t>Article 207 du traité sur le fonctionnement de l’Union européenne, en liaison avec son article 218, paragraphe 5, pour la signature d’accords internationaux.</w:t>
      </w:r>
    </w:p>
    <w:p>
      <w:pPr>
        <w:pStyle w:val="ManualHeading2"/>
        <w:rPr>
          <w:rFonts w:eastAsia="Arial Unicode MS"/>
          <w:noProof/>
        </w:rPr>
      </w:pPr>
      <w:r>
        <w:rPr>
          <w:noProof/>
        </w:rPr>
        <w:t>•</w:t>
      </w:r>
      <w:r>
        <w:rPr>
          <w:noProof/>
        </w:rPr>
        <w:tab/>
        <w:t>Subsidiarité (en cas de compétence non exclusive)</w:t>
      </w:r>
    </w:p>
    <w:p>
      <w:pPr>
        <w:rPr>
          <w:rFonts w:eastAsia="Arial Unicode MS"/>
          <w:b/>
          <w:noProof/>
          <w:u w:color="000000"/>
          <w:bdr w:val="nil"/>
        </w:rPr>
      </w:pPr>
      <w:r>
        <w:rPr>
          <w:noProof/>
        </w:rPr>
        <w:t>La proposition relève de la compétence exclusive de l’Union énoncée à l’article 3, paragraphe 1, point e), du traité sur le fonctionnement de l’Union européenne. Le principe de subsidiarité ne s’applique donc pas.</w:t>
      </w:r>
    </w:p>
    <w:p>
      <w:pPr>
        <w:pStyle w:val="ManualHeading2"/>
        <w:rPr>
          <w:rFonts w:eastAsia="Arial Unicode MS"/>
          <w:noProof/>
        </w:rPr>
      </w:pPr>
      <w:r>
        <w:rPr>
          <w:noProof/>
        </w:rPr>
        <w:t>•</w:t>
      </w:r>
      <w:r>
        <w:rPr>
          <w:noProof/>
        </w:rPr>
        <w:tab/>
        <w:t>Proportionnalité</w:t>
      </w:r>
    </w:p>
    <w:p>
      <w:pPr>
        <w:rPr>
          <w:rFonts w:eastAsia="Arial Unicode MS"/>
          <w:noProof/>
        </w:rPr>
      </w:pPr>
      <w:r>
        <w:rPr>
          <w:noProof/>
        </w:rPr>
        <w:t>La Nouvelle-Zélande a été affectée par le retrait des concessions de la Croatie. Les compensations ne dépassent pas les droits de la Nouvelle-Zélande à cet égard. La proposition est conforme au principe de proportionnalité.</w:t>
      </w:r>
    </w:p>
    <w:p>
      <w:pPr>
        <w:pStyle w:val="ManualHeading2"/>
        <w:rPr>
          <w:rFonts w:eastAsia="Arial Unicode MS"/>
          <w:noProof/>
        </w:rPr>
      </w:pPr>
      <w:r>
        <w:rPr>
          <w:noProof/>
        </w:rPr>
        <w:t>•</w:t>
      </w:r>
      <w:r>
        <w:rPr>
          <w:noProof/>
        </w:rPr>
        <w:tab/>
        <w:t>Choix de l’instrument</w:t>
      </w:r>
    </w:p>
    <w:p>
      <w:pPr>
        <w:rPr>
          <w:rFonts w:eastAsia="Arial Unicode MS"/>
          <w:noProof/>
        </w:rPr>
      </w:pPr>
      <w:r>
        <w:rPr>
          <w:noProof/>
        </w:rPr>
        <w:t>Une décision du Conseil autorisant la signature de l’accord est requise en vertu de l’article 218, paragraphe 5, du TFUE.</w:t>
      </w:r>
    </w:p>
    <w:p>
      <w:pPr>
        <w:pStyle w:val="ManualHeading1"/>
        <w:rPr>
          <w:rFonts w:eastAsia="Calibri"/>
          <w:noProof/>
        </w:rPr>
      </w:pPr>
      <w:r>
        <w:rPr>
          <w:noProof/>
        </w:rPr>
        <w:t>3.</w:t>
      </w:r>
      <w:r>
        <w:rPr>
          <w:noProof/>
        </w:rPr>
        <w:tab/>
        <w:t>CONSULTATION DES PARTIES INTÉRESSÉES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rPr>
          <w:rFonts w:eastAsia="Arial Unicode MS"/>
          <w:noProof/>
        </w:rPr>
      </w:pPr>
      <w:r>
        <w:rPr>
          <w:noProof/>
        </w:rPr>
        <w:t>Le Conseil (comité de la politique commerciale) a été régulièrement consulté sur le contenu et l’avancement des négociations. Le Parlement européen (commission INTA) a été informé.</w:t>
      </w:r>
    </w:p>
    <w:p>
      <w:pPr>
        <w:pStyle w:val="ManualHeading1"/>
        <w:rPr>
          <w:rFonts w:eastAsia="Calibri"/>
          <w:noProof/>
        </w:rPr>
      </w:pPr>
      <w:r>
        <w:rPr>
          <w:noProof/>
        </w:rPr>
        <w:t>4.</w:t>
      </w:r>
      <w:r>
        <w:rPr>
          <w:noProof/>
        </w:rPr>
        <w:tab/>
        <w:t>INCIDENCE BUDGÉTAIRE</w:t>
      </w:r>
    </w:p>
    <w:p>
      <w:pPr>
        <w:pBdr>
          <w:top w:val="nil"/>
          <w:left w:val="nil"/>
          <w:bottom w:val="nil"/>
          <w:right w:val="nil"/>
          <w:between w:val="nil"/>
          <w:bar w:val="nil"/>
        </w:pBdr>
        <w:rPr>
          <w:rFonts w:eastAsia="Arial Unicode MS"/>
          <w:noProof/>
        </w:rPr>
      </w:pPr>
      <w:r>
        <w:rPr>
          <w:noProof/>
        </w:rPr>
        <w:t>Voir fiche financière.</w:t>
      </w:r>
    </w:p>
    <w:p>
      <w:pPr>
        <w:pStyle w:val="ManualHeading1"/>
        <w:rPr>
          <w:rFonts w:eastAsia="Calibri"/>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w:t>
      </w:r>
    </w:p>
    <w:p>
      <w:pPr>
        <w:rPr>
          <w:noProof/>
        </w:rPr>
      </w:pPr>
      <w:r>
        <w:rPr>
          <w:noProof/>
        </w:rPr>
        <w:t>La Commission propose au Conseil que l’accord sous forme d’échange de lettres avec la Nouvelle-Zélande soit signé au nom de l’Union. Une proposition distincte relative à la conclusion de cet accord est soumise en parallèle au Conseil.</w:t>
      </w:r>
    </w:p>
    <w:p>
      <w:pPr>
        <w:rPr>
          <w:rFonts w:eastAsia="Arial Unicode MS"/>
          <w:noProof/>
        </w:rPr>
      </w:pPr>
      <w:r>
        <w:rPr>
          <w:noProof/>
        </w:rPr>
        <w:t>Les résultats de l’accord sont les suivants:</w:t>
      </w:r>
    </w:p>
    <w:p>
      <w:pPr>
        <w:pStyle w:val="Text1"/>
        <w:rPr>
          <w:noProof/>
        </w:rPr>
      </w:pPr>
      <w:r>
        <w:rPr>
          <w:noProof/>
        </w:rPr>
        <w:t>ajout de 1 875 tonnes au contingent tarifaire de l’UE «viandes des animaux de l’espèce bovine, congelées – abats comestibles des animaux de l’espèce bovine, congelés», positions tarifaires 0202 et 0206.29.91, avec maintien du taux contingentaire actuel de 20 %. Le nouveau contingent tarifaire s’élève à 54 875 tonnes;</w:t>
      </w:r>
    </w:p>
    <w:p>
      <w:pPr>
        <w:pStyle w:val="Text1"/>
        <w:rPr>
          <w:noProof/>
        </w:rPr>
      </w:pPr>
      <w:r>
        <w:rPr>
          <w:noProof/>
        </w:rPr>
        <w:t>ajout de 135 tonnes (en poids carcasse) au volume attribué à la Nouvelle-Zélande dans le cadre du contingent tarifaire de l’UE «viandes des animaux des espèces ovine ou caprine, fraîches, réfrigérées ou congelées», position tarifaire 0204, avec maintien du taux contingentaire actuel de 0 %. Le nouveau volume attribué à la Nouvelle-Zélande dans le cadre du contingent tarifaire en question s’élève à 228 389 tonnes.</w:t>
      </w:r>
    </w:p>
    <w:p>
      <w:pPr>
        <w:rPr>
          <w:rFonts w:eastAsia="Arial Unicode MS"/>
          <w:noProof/>
        </w:rPr>
      </w:pPr>
      <w:r>
        <w:rPr>
          <w:noProof/>
        </w:rPr>
        <w:t>La Commission adoptera des règlements d’exécution afin d’étendre et de gérer les contingents concernés, conformément à l’article 187, point a), du règlement portant organisation commune des marchés (OCM) [règlement (CE) nº 1308/2013].</w:t>
      </w:r>
    </w:p>
    <w:p>
      <w:pPr>
        <w:rPr>
          <w:rFonts w:eastAsia="Arial Unicode MS"/>
          <w:noProof/>
        </w:rPr>
      </w:pPr>
      <w:r>
        <w:rPr>
          <w:noProof/>
        </w:rPr>
        <w:t>Ces mesures de mise en œuvre sont en cours d’élaboration parallèlement à la présente proposition.</w:t>
      </w:r>
    </w:p>
    <w:p>
      <w:pPr>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2017/0135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sous forme d’échange de lettres entre l’Union européenne et la Nouvelle-Zélande au titre de l’article XXIV, paragraphe 6, et de l’article XXVIII de l’accord général sur les tarifs douaniers et le commerce (GATT) de 1994 concernant la modification de concessions sur la liste d’engagements de la République de Croatie dans le cadre de son adhésion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15 juillet 2013, le Conseil a autorisé la Commission à ouvrir des négociations avec certains autres membres de l’Organisation mondiale du commerce au titre de l’article XXIV, paragraphe 6, de l’accord général sur les tarifs douaniers et le commerce (GATT) de 1994 dans le cadre de l’adhésion à l’Union européenne de la République de Croatie.</w:t>
      </w:r>
    </w:p>
    <w:p>
      <w:pPr>
        <w:pStyle w:val="ManualConsidrant"/>
        <w:rPr>
          <w:noProof/>
        </w:rPr>
      </w:pPr>
      <w:r>
        <w:rPr>
          <w:noProof/>
        </w:rPr>
        <w:t>(2)</w:t>
      </w:r>
      <w:r>
        <w:rPr>
          <w:noProof/>
        </w:rPr>
        <w:tab/>
        <w:t>Les négociations ont été menées par la Commission conformément aux directives de négociation arrêtées par le Conseil.</w:t>
      </w:r>
    </w:p>
    <w:p>
      <w:pPr>
        <w:pStyle w:val="ManualConsidrant"/>
        <w:rPr>
          <w:noProof/>
        </w:rPr>
      </w:pPr>
      <w:r>
        <w:rPr>
          <w:noProof/>
        </w:rPr>
        <w:t>(3)</w:t>
      </w:r>
      <w:r>
        <w:rPr>
          <w:noProof/>
        </w:rPr>
        <w:tab/>
        <w:t>Ces négociations ont été menées à bonne fin et l’accord sous forme d’échange de lettres entre l’Union européenne et la Nouvelle-Zélande au titre de l’article XXIV, paragraphe 6, et de l’article XXVIII du GATT de 1994 concernant la modification de concessions sur la liste d’engagements de la République de Croatie dans le cadre de son adhésion à l’Union européenne a été paraphé le 18 mai 2017.</w:t>
      </w:r>
    </w:p>
    <w:p>
      <w:pPr>
        <w:pStyle w:val="ManualConsidrant"/>
        <w:rPr>
          <w:noProof/>
        </w:rPr>
      </w:pPr>
      <w:r>
        <w:rPr>
          <w:noProof/>
        </w:rPr>
        <w:t>(4)</w:t>
      </w:r>
      <w:r>
        <w:rPr>
          <w:noProof/>
        </w:rPr>
        <w:tab/>
        <w:t>Il convient de signer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au nom de l’Union, de l’accord sous forme d’échange de lettres entre l’Union européenne et la Nouvelle-Zélande au titre de l’article XXIV, paragraphe 6, et de l’article XXVIII du GATT de 1994 concernant la modification de concessions sur la liste d’engagements de la République de Croatie dans le cadre de son adhésion à l’Union européenne est autorisée, sous réserve de la conclusion dudit accord</w:t>
      </w:r>
      <w:r>
        <w:rPr>
          <w:rStyle w:val="FootnoteReference"/>
          <w:noProof/>
        </w:rPr>
        <w:footnoteReference w:id="1"/>
      </w:r>
      <w:r>
        <w:rPr>
          <w:noProof/>
        </w:rPr>
        <w:t>.</w:t>
      </w:r>
    </w:p>
    <w:p>
      <w:pPr>
        <w:pStyle w:val="Titrearticle"/>
        <w:rPr>
          <w:noProof/>
        </w:rPr>
      </w:pPr>
      <w:r>
        <w:rPr>
          <w:noProof/>
        </w:rPr>
        <w:t>Article 2</w:t>
      </w:r>
    </w:p>
    <w:p>
      <w:pPr>
        <w:rPr>
          <w:noProof/>
        </w:rPr>
      </w:pPr>
      <w:r>
        <w:rPr>
          <w:noProof/>
        </w:rPr>
        <w:t>Le président du Conseil est autorisé à désigner la ou les personnes habilitées à signer l’accord au nom de l’Union.</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40" w:code="9"/>
          <w:pgMar w:top="1134" w:right="1418" w:bottom="1134" w:left="1418" w:header="720" w:footer="720" w:gutter="0"/>
          <w:cols w:space="720"/>
          <w:docGrid w:linePitch="326"/>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rPr>
            </w:pPr>
            <w:bookmarkStart w:id="1" w:name="_CopyToNewDocument_"/>
            <w:bookmarkEnd w:id="1"/>
            <w:r>
              <w:rPr>
                <w:noProof/>
              </w:rPr>
              <w:t>FICHE FINANCIÈRE</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rPr>
            </w:pPr>
          </w:p>
        </w:tc>
        <w:tc>
          <w:tcPr>
            <w:tcW w:w="1984" w:type="dxa"/>
            <w:gridSpan w:val="3"/>
          </w:tcPr>
          <w:p>
            <w:pPr>
              <w:pStyle w:val="Fichefinanciretextetable"/>
              <w:spacing w:before="60" w:after="60"/>
              <w:rPr>
                <w:noProof/>
                <w:highlight w:val="yellow"/>
              </w:rPr>
            </w:pPr>
            <w:r>
              <w:rPr>
                <w:noProof/>
              </w:rPr>
              <w:t>DATE:</w:t>
            </w:r>
          </w:p>
        </w:tc>
      </w:tr>
      <w:tr>
        <w:tc>
          <w:tcPr>
            <w:tcW w:w="600" w:type="dxa"/>
            <w:tcBorders>
              <w:right w:val="nil"/>
            </w:tcBorders>
          </w:tcPr>
          <w:p>
            <w:pPr>
              <w:pStyle w:val="Fichefinanciretextetable"/>
              <w:rPr>
                <w:noProof/>
              </w:rPr>
            </w:pPr>
            <w:r>
              <w:rPr>
                <w:noProof/>
              </w:rPr>
              <w:t>1.</w:t>
            </w:r>
          </w:p>
        </w:tc>
        <w:tc>
          <w:tcPr>
            <w:tcW w:w="6848" w:type="dxa"/>
            <w:gridSpan w:val="3"/>
            <w:tcBorders>
              <w:left w:val="nil"/>
              <w:right w:val="nil"/>
            </w:tcBorders>
          </w:tcPr>
          <w:p>
            <w:pPr>
              <w:pStyle w:val="Fichefinanciretextetable"/>
              <w:spacing w:before="60"/>
              <w:rPr>
                <w:noProof/>
              </w:rPr>
            </w:pPr>
            <w:r>
              <w:rPr>
                <w:noProof/>
              </w:rPr>
              <w:t>LIGNE BUDGÉTAIRE:</w:t>
            </w:r>
          </w:p>
          <w:p>
            <w:pPr>
              <w:pStyle w:val="Fichefinanciretextetable"/>
              <w:spacing w:after="60"/>
              <w:rPr>
                <w:noProof/>
              </w:rPr>
            </w:pPr>
            <w:r>
              <w:rPr>
                <w:noProof/>
              </w:rPr>
              <w:t>Chapitre 12 – Droits de douane et autres droits</w:t>
            </w:r>
          </w:p>
        </w:tc>
        <w:tc>
          <w:tcPr>
            <w:tcW w:w="1984" w:type="dxa"/>
            <w:gridSpan w:val="3"/>
            <w:tcBorders>
              <w:left w:val="nil"/>
            </w:tcBorders>
          </w:tcPr>
          <w:p>
            <w:pPr>
              <w:pStyle w:val="Fichefinanciretextetable"/>
              <w:rPr>
                <w:noProof/>
                <w:highlight w:val="yellow"/>
              </w:rPr>
            </w:pPr>
          </w:p>
        </w:tc>
      </w:tr>
      <w:tr>
        <w:tc>
          <w:tcPr>
            <w:tcW w:w="600" w:type="dxa"/>
            <w:tcBorders>
              <w:bottom w:val="nil"/>
              <w:right w:val="nil"/>
            </w:tcBorders>
          </w:tcPr>
          <w:p>
            <w:pPr>
              <w:pStyle w:val="Fichefinanciretextetable"/>
              <w:rPr>
                <w:noProof/>
              </w:rPr>
            </w:pPr>
            <w:r>
              <w:rPr>
                <w:noProof/>
              </w:rPr>
              <w:t>2.</w:t>
            </w:r>
          </w:p>
        </w:tc>
        <w:tc>
          <w:tcPr>
            <w:tcW w:w="8832" w:type="dxa"/>
            <w:gridSpan w:val="6"/>
            <w:tcBorders>
              <w:left w:val="nil"/>
            </w:tcBorders>
          </w:tcPr>
          <w:p>
            <w:pPr>
              <w:pStyle w:val="Fichefinanciretextetable"/>
              <w:spacing w:before="60"/>
              <w:rPr>
                <w:noProof/>
              </w:rPr>
            </w:pPr>
            <w:r>
              <w:rPr>
                <w:noProof/>
              </w:rPr>
              <w:t>INTITULÉ:</w:t>
            </w:r>
          </w:p>
          <w:p>
            <w:pPr>
              <w:pStyle w:val="Fichefinanciretextetable"/>
              <w:spacing w:after="60"/>
              <w:ind w:right="136"/>
              <w:rPr>
                <w:noProof/>
              </w:rPr>
            </w:pPr>
            <w:r>
              <w:rPr>
                <w:noProof/>
              </w:rPr>
              <w:t>Proposition de décision du Conseil relative à la signature, au nom de l’Union européenne, de l’accord sous forme d’échange de lettres entre l’Union européenne et la Nouvelle-Zélande au titre de l’article XXIV, paragraphe 6, et de l’article XXVIII de l’accord général sur les tarifs douaniers et le commerce (GATT) de 1994 concernant la modification de concessions sur la liste d’engagements de la République de Croatie dans le cadre de son adhésion à l’Union européenne</w:t>
            </w:r>
          </w:p>
        </w:tc>
      </w:tr>
      <w:tr>
        <w:tc>
          <w:tcPr>
            <w:tcW w:w="600" w:type="dxa"/>
            <w:tcBorders>
              <w:bottom w:val="nil"/>
              <w:right w:val="nil"/>
            </w:tcBorders>
          </w:tcPr>
          <w:p>
            <w:pPr>
              <w:pStyle w:val="Fichefinanciretextetable"/>
              <w:rPr>
                <w:noProof/>
              </w:rPr>
            </w:pPr>
            <w:r>
              <w:rPr>
                <w:noProof/>
              </w:rPr>
              <w:t>3.</w:t>
            </w:r>
          </w:p>
        </w:tc>
        <w:tc>
          <w:tcPr>
            <w:tcW w:w="8832" w:type="dxa"/>
            <w:gridSpan w:val="6"/>
            <w:tcBorders>
              <w:left w:val="nil"/>
            </w:tcBorders>
          </w:tcPr>
          <w:p>
            <w:pPr>
              <w:pStyle w:val="Fichefinanciretextetable"/>
              <w:spacing w:before="60"/>
              <w:rPr>
                <w:noProof/>
              </w:rPr>
            </w:pPr>
            <w:r>
              <w:rPr>
                <w:noProof/>
              </w:rPr>
              <w:t>BASE JURIDIQUE:</w:t>
            </w:r>
          </w:p>
          <w:p>
            <w:pPr>
              <w:pStyle w:val="Fichefinanciretextetable"/>
              <w:spacing w:after="60"/>
              <w:rPr>
                <w:noProof/>
              </w:rPr>
            </w:pPr>
            <w:r>
              <w:rPr>
                <w:noProof/>
              </w:rPr>
              <w:t>Traité sur le fonctionnement de l’Union européenne, et notamment ses articles 207 et 218.</w:t>
            </w:r>
          </w:p>
        </w:tc>
      </w:tr>
      <w:tr>
        <w:tc>
          <w:tcPr>
            <w:tcW w:w="600" w:type="dxa"/>
            <w:tcBorders>
              <w:right w:val="nil"/>
            </w:tcBorders>
          </w:tcPr>
          <w:p>
            <w:pPr>
              <w:pStyle w:val="Fichefinanciretextetable"/>
              <w:rPr>
                <w:noProof/>
              </w:rPr>
            </w:pPr>
            <w:r>
              <w:rPr>
                <w:noProof/>
              </w:rPr>
              <w:t>4.</w:t>
            </w:r>
          </w:p>
        </w:tc>
        <w:tc>
          <w:tcPr>
            <w:tcW w:w="8832" w:type="dxa"/>
            <w:gridSpan w:val="6"/>
            <w:tcBorders>
              <w:left w:val="nil"/>
            </w:tcBorders>
          </w:tcPr>
          <w:p>
            <w:pPr>
              <w:pStyle w:val="Fichefinanciretextetable"/>
              <w:spacing w:before="60"/>
              <w:rPr>
                <w:noProof/>
              </w:rPr>
            </w:pPr>
            <w:r>
              <w:rPr>
                <w:noProof/>
              </w:rPr>
              <w:t>OBJECTIFS:</w:t>
            </w:r>
          </w:p>
          <w:p>
            <w:pPr>
              <w:pStyle w:val="Fichefinanciretextetable"/>
              <w:spacing w:after="60"/>
              <w:ind w:right="136"/>
              <w:jc w:val="both"/>
              <w:rPr>
                <w:noProof/>
              </w:rPr>
            </w:pPr>
            <w:r>
              <w:rPr>
                <w:noProof/>
              </w:rPr>
              <w:t>Autoriser la signature de l’accord sous forme d’échange de lettres entre l’Union européenne et la Nouvelle-Zélande.</w:t>
            </w:r>
          </w:p>
        </w:tc>
      </w:tr>
      <w:tr>
        <w:tc>
          <w:tcPr>
            <w:tcW w:w="600" w:type="dxa"/>
            <w:tcBorders>
              <w:bottom w:val="nil"/>
              <w:right w:val="nil"/>
            </w:tcBorders>
          </w:tcPr>
          <w:p>
            <w:pPr>
              <w:pStyle w:val="Fichefinanciretextetable"/>
              <w:rPr>
                <w:noProof/>
              </w:rPr>
            </w:pPr>
            <w:r>
              <w:rPr>
                <w:noProof/>
              </w:rPr>
              <w:t>5.</w:t>
            </w:r>
          </w:p>
        </w:tc>
        <w:tc>
          <w:tcPr>
            <w:tcW w:w="4155" w:type="dxa"/>
            <w:tcBorders>
              <w:left w:val="nil"/>
            </w:tcBorders>
          </w:tcPr>
          <w:p>
            <w:pPr>
              <w:pStyle w:val="Fichefinanciretextetable"/>
              <w:rPr>
                <w:noProof/>
              </w:rPr>
            </w:pPr>
            <w:r>
              <w:rPr>
                <w:noProof/>
              </w:rPr>
              <w:t>INCIDENCES FINANCIÈRES</w:t>
            </w:r>
          </w:p>
        </w:tc>
        <w:tc>
          <w:tcPr>
            <w:tcW w:w="1559" w:type="dxa"/>
          </w:tcPr>
          <w:p>
            <w:pPr>
              <w:pStyle w:val="Fichefinanciretextetable"/>
              <w:jc w:val="center"/>
              <w:rPr>
                <w:noProof/>
              </w:rPr>
            </w:pPr>
            <w:r>
              <w:rPr>
                <w:noProof/>
              </w:rPr>
              <w:t>EXERCICE EN COURS 2017</w:t>
            </w:r>
            <w:r>
              <w:rPr>
                <w:noProof/>
              </w:rPr>
              <w:br/>
              <w:t>(Mio EUR)</w:t>
            </w:r>
          </w:p>
        </w:tc>
        <w:tc>
          <w:tcPr>
            <w:tcW w:w="1559" w:type="dxa"/>
            <w:gridSpan w:val="2"/>
          </w:tcPr>
          <w:p>
            <w:pPr>
              <w:pStyle w:val="Fichefinanciretextetable"/>
              <w:jc w:val="center"/>
              <w:rPr>
                <w:noProof/>
              </w:rPr>
            </w:pPr>
            <w:r>
              <w:rPr>
                <w:noProof/>
              </w:rPr>
              <w:t>EXERCICE SUIVANT 2018</w:t>
            </w:r>
            <w:r>
              <w:rPr>
                <w:noProof/>
              </w:rPr>
              <w:br/>
              <w:t>(Mio EUR)</w:t>
            </w:r>
          </w:p>
        </w:tc>
        <w:tc>
          <w:tcPr>
            <w:tcW w:w="1559" w:type="dxa"/>
            <w:gridSpan w:val="2"/>
          </w:tcPr>
          <w:p>
            <w:pPr>
              <w:pStyle w:val="Fichefinanciretextetable"/>
              <w:jc w:val="center"/>
              <w:rPr>
                <w:noProof/>
              </w:rPr>
            </w:pPr>
            <w:r>
              <w:rPr>
                <w:noProof/>
              </w:rPr>
              <w:t>EXERCICE</w:t>
            </w:r>
            <w:r>
              <w:rPr>
                <w:noProof/>
              </w:rPr>
              <w:br/>
              <w:t>2019</w:t>
            </w:r>
            <w:r>
              <w:rPr>
                <w:noProof/>
              </w:rPr>
              <w:br/>
              <w:t>(Mio EUR)</w:t>
            </w:r>
          </w:p>
        </w:tc>
      </w:tr>
      <w:tr>
        <w:tc>
          <w:tcPr>
            <w:tcW w:w="600" w:type="dxa"/>
            <w:tcBorders>
              <w:bottom w:val="nil"/>
              <w:right w:val="nil"/>
            </w:tcBorders>
          </w:tcPr>
          <w:p>
            <w:pPr>
              <w:pStyle w:val="Fichefinanciretextetable"/>
              <w:rPr>
                <w:noProof/>
              </w:rPr>
            </w:pPr>
            <w:r>
              <w:rPr>
                <w:noProof/>
              </w:rPr>
              <w:t>5.0</w:t>
            </w:r>
          </w:p>
        </w:tc>
        <w:tc>
          <w:tcPr>
            <w:tcW w:w="4155" w:type="dxa"/>
            <w:tcBorders>
              <w:left w:val="nil"/>
            </w:tcBorders>
          </w:tcPr>
          <w:p>
            <w:pPr>
              <w:pStyle w:val="Fichefinanciretextetable"/>
              <w:rPr>
                <w:noProof/>
              </w:rPr>
            </w:pPr>
            <w:r>
              <w:rPr>
                <w:noProof/>
              </w:rPr>
              <w:t>DÉPENSES</w:t>
            </w:r>
          </w:p>
          <w:p>
            <w:pPr>
              <w:pStyle w:val="Fichefinanciretextetable"/>
              <w:rPr>
                <w:noProof/>
              </w:rPr>
            </w:pPr>
            <w:r>
              <w:rPr>
                <w:noProof/>
              </w:rPr>
              <w:t>-</w:t>
            </w:r>
            <w:r>
              <w:rPr>
                <w:noProof/>
              </w:rPr>
              <w:tab/>
              <w:t>À LA CHARGE DU BUDGET DE L’UE</w:t>
            </w:r>
            <w:r>
              <w:rPr>
                <w:noProof/>
              </w:rPr>
              <w:br/>
              <w:t>(RESTITUTIONS/INTERVENTIONS)</w:t>
            </w:r>
          </w:p>
          <w:p>
            <w:pPr>
              <w:pStyle w:val="Fichefinanciretextetable"/>
              <w:rPr>
                <w:noProof/>
              </w:rPr>
            </w:pPr>
            <w:r>
              <w:rPr>
                <w:noProof/>
              </w:rPr>
              <w:t>-</w:t>
            </w:r>
            <w:r>
              <w:rPr>
                <w:noProof/>
              </w:rPr>
              <w:tab/>
              <w:t>DES BUDGETS NATIONAUX</w:t>
            </w:r>
          </w:p>
          <w:p>
            <w:pPr>
              <w:pStyle w:val="Fichefinanciretextetable"/>
              <w:rPr>
                <w:noProof/>
              </w:rPr>
            </w:pPr>
            <w:r>
              <w:rPr>
                <w:noProof/>
              </w:rPr>
              <w:t>-</w:t>
            </w:r>
            <w:r>
              <w:rPr>
                <w:noProof/>
              </w:rPr>
              <w:tab/>
              <w:t>D’AUTRES SECTEURS</w:t>
            </w:r>
          </w:p>
        </w:tc>
        <w:tc>
          <w:tcPr>
            <w:tcW w:w="1559" w:type="dxa"/>
          </w:tcPr>
          <w:p>
            <w:pPr>
              <w:pStyle w:val="Fichefinanciretextetable"/>
              <w:jc w:val="center"/>
              <w:rPr>
                <w:noProof/>
              </w:rPr>
            </w:pPr>
            <w:r>
              <w:rPr>
                <w:noProof/>
              </w:rPr>
              <w:br/>
            </w:r>
            <w:r>
              <w:rPr>
                <w:noProof/>
              </w:rPr>
              <w:br/>
              <w:t>-</w:t>
            </w:r>
          </w:p>
        </w:tc>
        <w:tc>
          <w:tcPr>
            <w:tcW w:w="1559" w:type="dxa"/>
            <w:gridSpan w:val="2"/>
          </w:tcPr>
          <w:p>
            <w:pPr>
              <w:pStyle w:val="Fichefinanciretextetable"/>
              <w:spacing w:after="60"/>
              <w:jc w:val="center"/>
              <w:rPr>
                <w:noProof/>
              </w:rPr>
            </w:pPr>
            <w:r>
              <w:rPr>
                <w:noProof/>
              </w:rPr>
              <w:br/>
            </w:r>
            <w:r>
              <w:rPr>
                <w:noProof/>
              </w:rPr>
              <w:br/>
              <w:t>-</w:t>
            </w:r>
          </w:p>
        </w:tc>
        <w:tc>
          <w:tcPr>
            <w:tcW w:w="1559" w:type="dxa"/>
            <w:gridSpan w:val="2"/>
          </w:tcPr>
          <w:p>
            <w:pPr>
              <w:pStyle w:val="Fichefinanciretextetable"/>
              <w:jc w:val="center"/>
              <w:rPr>
                <w:noProof/>
              </w:rPr>
            </w:pPr>
            <w:r>
              <w:rPr>
                <w:noProof/>
              </w:rPr>
              <w:br/>
            </w:r>
            <w:r>
              <w:rPr>
                <w:noProof/>
              </w:rPr>
              <w:br/>
              <w:t>-</w:t>
            </w:r>
          </w:p>
        </w:tc>
      </w:tr>
      <w:tr>
        <w:tc>
          <w:tcPr>
            <w:tcW w:w="600" w:type="dxa"/>
            <w:tcBorders>
              <w:right w:val="nil"/>
            </w:tcBorders>
          </w:tcPr>
          <w:p>
            <w:pPr>
              <w:pStyle w:val="Fichefinanciretextetable"/>
              <w:rPr>
                <w:noProof/>
              </w:rPr>
            </w:pPr>
            <w:r>
              <w:rPr>
                <w:noProof/>
              </w:rPr>
              <w:t>5.1</w:t>
            </w:r>
          </w:p>
        </w:tc>
        <w:tc>
          <w:tcPr>
            <w:tcW w:w="4155" w:type="dxa"/>
            <w:tcBorders>
              <w:left w:val="nil"/>
            </w:tcBorders>
          </w:tcPr>
          <w:p>
            <w:pPr>
              <w:pStyle w:val="Fichefinanciretextetable"/>
              <w:rPr>
                <w:noProof/>
              </w:rPr>
            </w:pPr>
            <w:r>
              <w:rPr>
                <w:noProof/>
              </w:rPr>
              <w:t>RECETTES</w:t>
            </w:r>
          </w:p>
          <w:p>
            <w:pPr>
              <w:pStyle w:val="Fichefinanciretextetable"/>
              <w:rPr>
                <w:noProof/>
              </w:rPr>
            </w:pPr>
            <w:r>
              <w:rPr>
                <w:noProof/>
              </w:rPr>
              <w:t>-</w:t>
            </w:r>
            <w:r>
              <w:rPr>
                <w:noProof/>
              </w:rPr>
              <w:tab/>
              <w:t xml:space="preserve">RESSOURCES PROPRES DE L’UE </w:t>
            </w:r>
            <w:r>
              <w:rPr>
                <w:noProof/>
              </w:rPr>
              <w:br/>
              <w:t>(PRÉLÈVEMENTS/DROITS DE DOUANE)</w:t>
            </w:r>
          </w:p>
          <w:p>
            <w:pPr>
              <w:pStyle w:val="Fichefinanciretextetable"/>
              <w:rPr>
                <w:noProof/>
              </w:rPr>
            </w:pPr>
            <w:r>
              <w:rPr>
                <w:noProof/>
              </w:rPr>
              <w:t>-</w:t>
            </w:r>
            <w:r>
              <w:rPr>
                <w:noProof/>
              </w:rPr>
              <w:tab/>
              <w:t>SUR LE PLAN NATIONAL</w:t>
            </w:r>
          </w:p>
        </w:tc>
        <w:tc>
          <w:tcPr>
            <w:tcW w:w="1559" w:type="dxa"/>
          </w:tcPr>
          <w:p>
            <w:pPr>
              <w:pStyle w:val="Fichefinanciretextetable"/>
              <w:jc w:val="center"/>
              <w:rPr>
                <w:noProof/>
              </w:rPr>
            </w:pPr>
            <w:r>
              <w:rPr>
                <w:noProof/>
              </w:rPr>
              <w:br/>
              <w:t>-</w:t>
            </w:r>
          </w:p>
        </w:tc>
        <w:tc>
          <w:tcPr>
            <w:tcW w:w="1559" w:type="dxa"/>
            <w:gridSpan w:val="2"/>
          </w:tcPr>
          <w:p>
            <w:pPr>
              <w:pStyle w:val="Fichefinanciretextetable"/>
              <w:jc w:val="center"/>
              <w:rPr>
                <w:noProof/>
              </w:rPr>
            </w:pPr>
            <w:r>
              <w:rPr>
                <w:noProof/>
              </w:rPr>
              <w:br/>
              <w:t>-</w:t>
            </w:r>
          </w:p>
        </w:tc>
        <w:tc>
          <w:tcPr>
            <w:tcW w:w="1559" w:type="dxa"/>
            <w:gridSpan w:val="2"/>
          </w:tcPr>
          <w:p>
            <w:pPr>
              <w:pStyle w:val="Fichefinanciretextetable"/>
              <w:spacing w:before="240"/>
              <w:jc w:val="center"/>
              <w:rPr>
                <w:noProof/>
              </w:rPr>
            </w:pPr>
            <w:r>
              <w:rPr>
                <w:noProof/>
              </w:rPr>
              <w:t>-</w:t>
            </w:r>
          </w:p>
        </w:tc>
      </w:tr>
      <w:tr>
        <w:tc>
          <w:tcPr>
            <w:tcW w:w="600" w:type="dxa"/>
            <w:tcBorders>
              <w:bottom w:val="nil"/>
              <w:right w:val="nil"/>
            </w:tcBorders>
          </w:tcPr>
          <w:p>
            <w:pPr>
              <w:pStyle w:val="Fichefinanciretextetable"/>
              <w:rPr>
                <w:noProof/>
              </w:rPr>
            </w:pPr>
          </w:p>
        </w:tc>
        <w:tc>
          <w:tcPr>
            <w:tcW w:w="4155" w:type="dxa"/>
            <w:tcBorders>
              <w:left w:val="nil"/>
              <w:bottom w:val="nil"/>
            </w:tcBorders>
          </w:tcPr>
          <w:p>
            <w:pPr>
              <w:pStyle w:val="Fichefinanciretextetable"/>
              <w:rPr>
                <w:noProof/>
              </w:rPr>
            </w:pPr>
          </w:p>
        </w:tc>
        <w:tc>
          <w:tcPr>
            <w:tcW w:w="1559" w:type="dxa"/>
            <w:tcBorders>
              <w:bottom w:val="nil"/>
            </w:tcBorders>
          </w:tcPr>
          <w:p>
            <w:pPr>
              <w:pStyle w:val="Fichefinanciretextetable"/>
              <w:jc w:val="center"/>
              <w:rPr>
                <w:noProof/>
              </w:rPr>
            </w:pPr>
            <w:r>
              <w:rPr>
                <w:noProof/>
              </w:rPr>
              <w:t>2017</w:t>
            </w:r>
          </w:p>
        </w:tc>
        <w:tc>
          <w:tcPr>
            <w:tcW w:w="1559" w:type="dxa"/>
            <w:gridSpan w:val="2"/>
            <w:tcBorders>
              <w:bottom w:val="nil"/>
            </w:tcBorders>
          </w:tcPr>
          <w:p>
            <w:pPr>
              <w:pStyle w:val="Fichefinanciretextetable"/>
              <w:jc w:val="center"/>
              <w:rPr>
                <w:noProof/>
              </w:rPr>
            </w:pPr>
            <w:r>
              <w:rPr>
                <w:noProof/>
              </w:rPr>
              <w:t>2018</w:t>
            </w:r>
          </w:p>
        </w:tc>
        <w:tc>
          <w:tcPr>
            <w:tcW w:w="1559" w:type="dxa"/>
            <w:gridSpan w:val="2"/>
            <w:tcBorders>
              <w:bottom w:val="nil"/>
            </w:tcBorders>
          </w:tcPr>
          <w:p>
            <w:pPr>
              <w:pStyle w:val="Fichefinanciretextetable"/>
              <w:jc w:val="center"/>
              <w:rPr>
                <w:noProof/>
              </w:rPr>
            </w:pPr>
            <w:r>
              <w:rPr>
                <w:noProof/>
              </w:rPr>
              <w:t>2019</w:t>
            </w:r>
          </w:p>
        </w:tc>
      </w:tr>
      <w:tr>
        <w:tc>
          <w:tcPr>
            <w:tcW w:w="600" w:type="dxa"/>
            <w:tcBorders>
              <w:top w:val="nil"/>
              <w:bottom w:val="nil"/>
              <w:right w:val="nil"/>
            </w:tcBorders>
          </w:tcPr>
          <w:p>
            <w:pPr>
              <w:pStyle w:val="Fichefinanciretextetable"/>
              <w:rPr>
                <w:noProof/>
              </w:rPr>
            </w:pPr>
            <w:r>
              <w:rPr>
                <w:noProof/>
              </w:rPr>
              <w:t>5.0.1</w:t>
            </w:r>
          </w:p>
        </w:tc>
        <w:tc>
          <w:tcPr>
            <w:tcW w:w="4155" w:type="dxa"/>
            <w:tcBorders>
              <w:top w:val="nil"/>
              <w:left w:val="nil"/>
              <w:bottom w:val="nil"/>
            </w:tcBorders>
          </w:tcPr>
          <w:p>
            <w:pPr>
              <w:pStyle w:val="Fichefinanciretextetable"/>
              <w:spacing w:before="60" w:after="60"/>
              <w:rPr>
                <w:noProof/>
              </w:rPr>
            </w:pPr>
            <w:r>
              <w:rPr>
                <w:noProof/>
              </w:rPr>
              <w:t>PRÉVISIONS DES DÉPENSES</w:t>
            </w:r>
          </w:p>
        </w:tc>
        <w:tc>
          <w:tcPr>
            <w:tcW w:w="1559" w:type="dxa"/>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r>
      <w:tr>
        <w:tc>
          <w:tcPr>
            <w:tcW w:w="600" w:type="dxa"/>
            <w:tcBorders>
              <w:top w:val="nil"/>
              <w:right w:val="nil"/>
            </w:tcBorders>
          </w:tcPr>
          <w:p>
            <w:pPr>
              <w:pStyle w:val="Fichefinanciretextetable"/>
              <w:rPr>
                <w:noProof/>
              </w:rPr>
            </w:pPr>
            <w:r>
              <w:rPr>
                <w:noProof/>
              </w:rPr>
              <w:t>5.1.1</w:t>
            </w:r>
          </w:p>
        </w:tc>
        <w:tc>
          <w:tcPr>
            <w:tcW w:w="4155" w:type="dxa"/>
            <w:tcBorders>
              <w:top w:val="nil"/>
              <w:left w:val="nil"/>
            </w:tcBorders>
          </w:tcPr>
          <w:p>
            <w:pPr>
              <w:pStyle w:val="Fichefinanciretextetable"/>
              <w:spacing w:before="60" w:after="60"/>
              <w:rPr>
                <w:noProof/>
              </w:rPr>
            </w:pPr>
            <w:r>
              <w:rPr>
                <w:noProof/>
              </w:rPr>
              <w:t>PRÉVISIONS DES RECETTES</w:t>
            </w:r>
          </w:p>
        </w:tc>
        <w:tc>
          <w:tcPr>
            <w:tcW w:w="1559" w:type="dxa"/>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r>
      <w:tr>
        <w:tc>
          <w:tcPr>
            <w:tcW w:w="600" w:type="dxa"/>
            <w:tcBorders>
              <w:right w:val="nil"/>
            </w:tcBorders>
          </w:tcPr>
          <w:p>
            <w:pPr>
              <w:pStyle w:val="Fichefinanciretextetable"/>
              <w:rPr>
                <w:noProof/>
              </w:rPr>
            </w:pPr>
            <w:r>
              <w:rPr>
                <w:noProof/>
              </w:rPr>
              <w:t>5.2</w:t>
            </w:r>
          </w:p>
        </w:tc>
        <w:tc>
          <w:tcPr>
            <w:tcW w:w="8832" w:type="dxa"/>
            <w:gridSpan w:val="6"/>
            <w:tcBorders>
              <w:left w:val="nil"/>
            </w:tcBorders>
          </w:tcPr>
          <w:p>
            <w:pPr>
              <w:pStyle w:val="Fichefinanciretextetable"/>
              <w:spacing w:before="60" w:after="60"/>
              <w:rPr>
                <w:noProof/>
              </w:rPr>
            </w:pPr>
            <w:r>
              <w:rPr>
                <w:noProof/>
              </w:rPr>
              <w:t>MODE DE CALCUL: -</w:t>
            </w:r>
          </w:p>
        </w:tc>
      </w:tr>
      <w:tr>
        <w:tc>
          <w:tcPr>
            <w:tcW w:w="600" w:type="dxa"/>
            <w:tcBorders>
              <w:bottom w:val="nil"/>
              <w:right w:val="nil"/>
            </w:tcBorders>
          </w:tcPr>
          <w:p>
            <w:pPr>
              <w:pStyle w:val="Fichefinanciretextetable"/>
              <w:rPr>
                <w:noProof/>
              </w:rPr>
            </w:pPr>
            <w:r>
              <w:rPr>
                <w:noProof/>
              </w:rPr>
              <w:t>6.0</w:t>
            </w:r>
          </w:p>
        </w:tc>
        <w:tc>
          <w:tcPr>
            <w:tcW w:w="7698" w:type="dxa"/>
            <w:gridSpan w:val="5"/>
            <w:tcBorders>
              <w:left w:val="nil"/>
              <w:right w:val="nil"/>
            </w:tcBorders>
          </w:tcPr>
          <w:p>
            <w:pPr>
              <w:pStyle w:val="Fichefinanciretextetable"/>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6.1</w:t>
            </w:r>
          </w:p>
        </w:tc>
        <w:tc>
          <w:tcPr>
            <w:tcW w:w="7698" w:type="dxa"/>
            <w:gridSpan w:val="5"/>
            <w:tcBorders>
              <w:left w:val="nil"/>
              <w:right w:val="nil"/>
            </w:tcBorders>
          </w:tcPr>
          <w:p>
            <w:pPr>
              <w:pStyle w:val="Fichefinanciretextetable"/>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6.2</w:t>
            </w:r>
          </w:p>
        </w:tc>
        <w:tc>
          <w:tcPr>
            <w:tcW w:w="7698" w:type="dxa"/>
            <w:gridSpan w:val="5"/>
            <w:tcBorders>
              <w:left w:val="nil"/>
              <w:right w:val="nil"/>
            </w:tcBorders>
          </w:tcPr>
          <w:p>
            <w:pPr>
              <w:pStyle w:val="Fichefinanciretextetable"/>
              <w:spacing w:before="60" w:after="60"/>
              <w:rPr>
                <w:noProof/>
              </w:rPr>
            </w:pPr>
            <w:r>
              <w:rPr>
                <w:noProof/>
              </w:rPr>
              <w:t>NÉCESSITÉ D’UN BUDGET SUPPLÉMENTAIRE</w:t>
            </w:r>
          </w:p>
        </w:tc>
        <w:tc>
          <w:tcPr>
            <w:tcW w:w="1134" w:type="dxa"/>
            <w:tcBorders>
              <w:left w:val="nil"/>
              <w:bottom w:val="nil"/>
            </w:tcBorders>
          </w:tcPr>
          <w:p>
            <w:pPr>
              <w:pStyle w:val="Fichefinanciretextetable"/>
              <w:jc w:val="center"/>
              <w:rPr>
                <w:noProof/>
              </w:rPr>
            </w:pPr>
            <w:r>
              <w:rPr>
                <w:noProof/>
              </w:rPr>
              <w:t>NON</w:t>
            </w:r>
          </w:p>
        </w:tc>
      </w:tr>
      <w:tr>
        <w:tc>
          <w:tcPr>
            <w:tcW w:w="600" w:type="dxa"/>
            <w:tcBorders>
              <w:right w:val="nil"/>
            </w:tcBorders>
          </w:tcPr>
          <w:p>
            <w:pPr>
              <w:pStyle w:val="Fichefinanciretextetable"/>
              <w:rPr>
                <w:noProof/>
              </w:rPr>
            </w:pPr>
            <w:r>
              <w:rPr>
                <w:noProof/>
              </w:rPr>
              <w:t>6.3</w:t>
            </w:r>
          </w:p>
        </w:tc>
        <w:tc>
          <w:tcPr>
            <w:tcW w:w="7698" w:type="dxa"/>
            <w:gridSpan w:val="5"/>
            <w:tcBorders>
              <w:left w:val="nil"/>
              <w:right w:val="nil"/>
            </w:tcBorders>
          </w:tcPr>
          <w:p>
            <w:pPr>
              <w:pStyle w:val="Fichefinanciretextetable"/>
              <w:spacing w:before="60" w:after="60"/>
              <w:rPr>
                <w:noProof/>
              </w:rPr>
            </w:pPr>
            <w:r>
              <w:rPr>
                <w:noProof/>
              </w:rPr>
              <w:t>CRÉDITS À INSCRIRE DANS LES BUDGETS FUTURS</w:t>
            </w:r>
          </w:p>
        </w:tc>
        <w:tc>
          <w:tcPr>
            <w:tcW w:w="1134" w:type="dxa"/>
            <w:tcBorders>
              <w:left w:val="nil"/>
            </w:tcBorders>
          </w:tcPr>
          <w:p>
            <w:pPr>
              <w:pStyle w:val="Fichefinanciretextetable"/>
              <w:jc w:val="center"/>
              <w:rPr>
                <w:noProof/>
              </w:rPr>
            </w:pPr>
            <w:r>
              <w:rPr>
                <w:noProof/>
              </w:rPr>
              <w:t>NON</w:t>
            </w:r>
          </w:p>
        </w:tc>
      </w:tr>
      <w:tr>
        <w:tc>
          <w:tcPr>
            <w:tcW w:w="9432" w:type="dxa"/>
            <w:gridSpan w:val="7"/>
          </w:tcPr>
          <w:p>
            <w:pPr>
              <w:pStyle w:val="Fichefinanciretextetable"/>
              <w:spacing w:before="60"/>
              <w:rPr>
                <w:noProof/>
              </w:rPr>
            </w:pPr>
            <w:r>
              <w:rPr>
                <w:noProof/>
              </w:rPr>
              <w:t>OBSERVATIONS:</w:t>
            </w:r>
          </w:p>
          <w:p>
            <w:pPr>
              <w:spacing w:after="0"/>
              <w:rPr>
                <w:noProof/>
                <w:sz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 texte de l’accord sera publié avec la décision relative à sa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CE3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3E41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A898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1643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FAA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8CDFC"/>
    <w:lvl w:ilvl="0">
      <w:start w:val="1"/>
      <w:numFmt w:val="decimal"/>
      <w:pStyle w:val="ListNumber"/>
      <w:lvlText w:val="%1."/>
      <w:lvlJc w:val="left"/>
      <w:pPr>
        <w:tabs>
          <w:tab w:val="num" w:pos="360"/>
        </w:tabs>
        <w:ind w:left="360" w:hanging="360"/>
      </w:pPr>
    </w:lvl>
  </w:abstractNum>
  <w:abstractNum w:abstractNumId="7">
    <w:nsid w:val="FFFFFF89"/>
    <w:multiLevelType w:val="singleLevel"/>
    <w:tmpl w:val="4E5466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8: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13D689DAE7A40FE82EB523B06776533"/>
    <w:docVar w:name="LW_CROSSREFERENCE" w:val="&lt;UNUSED&gt;"/>
    <w:docVar w:name="LW_DocType" w:val="COM"/>
    <w:docVar w:name="LW_EMISSION" w:val="22.6.2017"/>
    <w:docVar w:name="LW_EMISSION_ISODATE" w:val="2017-06-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5"/>
    <w:docVar w:name="LW_REF.II.NEW.CP_YEAR" w:val="2017"/>
    <w:docVar w:name="LW_REF.INST.NEW" w:val="COM"/>
    <w:docVar w:name="LW_REF.INST.NEW_ADOPTED" w:val="final"/>
    <w:docVar w:name="LW_REF.INST.NEW_TEXT" w:val="(2017) 332"/>
    <w:docVar w:name="LW_REF.INTERNE" w:val="&lt;UNUSED&gt;"/>
    <w:docVar w:name="LW_SOUS.TITRE.OBJ.CP" w:val="&lt;UNUSED&gt;"/>
    <w:docVar w:name="LW_STATUT.CP" w:val="Proposition de"/>
    <w:docVar w:name="LW_SUPERTITRE" w:val="&lt;UNUSED&gt;"/>
    <w:docVar w:name="LW_TITRE.OBJ.CP" w:val="relative à la signature, au nom de l\u8217?Union européenne, de l\u8217?accord sous forme d\u8217?échange de lettres entre l\u8217?Union européenne et la Nouvelle-Zélande au titre de l\u8217?article XXIV, paragraphe 6, et de l\u8217?article XXVIII de l\u8217?accord général sur les tarifs douaniers et le commerce (GATT) de 1994 concernant la modification de concessions sur la liste d\u8217?engagements de la République de Croatie dans le cadre de son adhésion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1294</Words>
  <Characters>7029</Characters>
  <Application>Microsoft Office Word</Application>
  <DocSecurity>0</DocSecurity>
  <Lines>213</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2017-06-12T13:32:00Z</dcterms:created>
  <dcterms:modified xsi:type="dcterms:W3CDTF">2017-06-13T09:08:00Z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