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39A8BA335A45D6864E8D3EEF78B469" style="width:450.8pt;height:392.8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Calibri"/>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присъединяването на Република Хърватия Европейският съюз разшири своя митнически съюз. Съответно според правилата на Световната търговска организация (СТО) (член XXIV, параграф 6 от ГАТТ от 1994 г.) Европейският съюз трябваше да започне преговори с членовете на СТО, разполагащи с пълномощия за водене на преговори, по списъка с ангажименти на Хърватия, с оглед постигане на компенсираща договореност. Подобна договореност е необходима, ако вследствие на приемането на външния тарифен режим на ЕС митата се увеличат над нивото, за което присъединяващата се държава е поела задължение в рамките на СТО.</w:t>
      </w:r>
    </w:p>
    <w:p>
      <w:pPr>
        <w:rPr>
          <w:noProof/>
        </w:rPr>
      </w:pPr>
      <w:r>
        <w:rPr>
          <w:noProof/>
        </w:rPr>
        <w:t xml:space="preserve">На 15 юли 2013 г. Съветът упълномощи Комисията да започне преговори съгласно член XXIV, параграф 6 от ГАТТ от 1994 г. Комисията проведе преговори с членовете на СТО, които разполагат с пълномощия за преговаряне по отношение на оттеглянето на конкретни отстъпки, във връзка с оттеглянето на списъка на Република Хърватия в хода на присъединяването ѝ към Европейския съюз. </w:t>
      </w:r>
    </w:p>
    <w:p>
      <w:pPr>
        <w:rPr>
          <w:rFonts w:eastAsia="Arial Unicode MS"/>
          <w:noProof/>
        </w:rPr>
      </w:pPr>
      <w:r>
        <w:rPr>
          <w:noProof/>
        </w:rPr>
        <w:t>Преговорите с Нова Зеландия доведоха до предложение за Споразумение под формата на размяна на писма, което бе парафирано на 18 май 2017 г. в Женева („споразумението“). Съответно Европейската комисия предлага на Съвета да разреши подписването на споразумението.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rPr>
          <w:rFonts w:eastAsia="Arial Unicode MS"/>
          <w:noProof/>
        </w:rPr>
      </w:pPr>
      <w:r>
        <w:rPr>
          <w:noProof/>
        </w:rPr>
        <w:t>Предложението е в съответствие с практиката, към която ЕС се придържаше при предишните си разширявания.</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rPr>
          <w:rFonts w:eastAsia="Arial Unicode MS"/>
          <w:noProof/>
        </w:rPr>
      </w:pPr>
      <w:r>
        <w:rPr>
          <w:noProof/>
        </w:rPr>
        <w:t>Предложението е съобразено с практиката на ЕС, която е в съответствие с политиката на ЕС в областта на външната дейност и с неговата индустриална и селскостопанска политика.</w:t>
      </w:r>
    </w:p>
    <w:p>
      <w:pPr>
        <w:pStyle w:val="ManualHeading1"/>
        <w:rPr>
          <w:rFonts w:eastAsia="Calibri"/>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rPr>
          <w:noProof/>
        </w:rPr>
      </w:pPr>
      <w:r>
        <w:rPr>
          <w:noProof/>
        </w:rPr>
        <w:t>Член 207 от Договора за функционирането на Европейския съюз (ДФЕС), във връзка с член 218, параграф 5 от ДФЕС, що се отнася до подписването на международни споразумения.</w:t>
      </w:r>
    </w:p>
    <w:p>
      <w:pPr>
        <w:pStyle w:val="ManualHeading2"/>
        <w:rPr>
          <w:rFonts w:eastAsia="Arial Unicode MS"/>
          <w:noProof/>
        </w:rPr>
      </w:pPr>
      <w:r>
        <w:rPr>
          <w:noProof/>
        </w:rPr>
        <w:t>•</w:t>
      </w:r>
      <w:r>
        <w:rPr>
          <w:noProof/>
        </w:rPr>
        <w:tab/>
        <w:t xml:space="preserve">Субсидиарност (при неизключителна компетентност) </w:t>
      </w:r>
    </w:p>
    <w:p>
      <w:pPr>
        <w:rPr>
          <w:rFonts w:eastAsia="Arial Unicode MS"/>
          <w:b/>
          <w:noProof/>
          <w:u w:color="000000"/>
          <w:bdr w:val="nil"/>
        </w:rPr>
      </w:pPr>
      <w:r>
        <w:rPr>
          <w:noProof/>
        </w:rPr>
        <w:t>Предложението е от изключителната компетентност на Съюза, в съответствие с член 3, параграф 1, буква д) от Договора за функционирането на Европейския съюз. Поради това принципът на субсидиарност не се прилага.</w:t>
      </w:r>
    </w:p>
    <w:p>
      <w:pPr>
        <w:pStyle w:val="ManualHeading2"/>
        <w:rPr>
          <w:rFonts w:eastAsia="Arial Unicode MS"/>
          <w:noProof/>
        </w:rPr>
      </w:pPr>
      <w:r>
        <w:rPr>
          <w:noProof/>
        </w:rPr>
        <w:t>•</w:t>
      </w:r>
      <w:r>
        <w:rPr>
          <w:noProof/>
        </w:rPr>
        <w:tab/>
        <w:t>Пропорционалност</w:t>
      </w:r>
    </w:p>
    <w:p>
      <w:pPr>
        <w:rPr>
          <w:rFonts w:eastAsia="Arial Unicode MS"/>
          <w:noProof/>
        </w:rPr>
      </w:pPr>
      <w:r>
        <w:rPr>
          <w:noProof/>
        </w:rPr>
        <w:t>Нова Зеландия беше засегната от оттеглянето на отстъпките на Хърватия. Компенсиращите договорености не надхвърлят правата на Нова Зеландия в това отношение. Предложението е в съответствие с принципа на пропорционалност.</w:t>
      </w:r>
    </w:p>
    <w:p>
      <w:pPr>
        <w:pStyle w:val="ManualHeading2"/>
        <w:rPr>
          <w:rFonts w:eastAsia="Arial Unicode MS"/>
          <w:noProof/>
        </w:rPr>
      </w:pPr>
      <w:r>
        <w:rPr>
          <w:noProof/>
        </w:rPr>
        <w:t>•</w:t>
      </w:r>
      <w:r>
        <w:rPr>
          <w:noProof/>
        </w:rPr>
        <w:tab/>
        <w:t>Избор на инструмент</w:t>
      </w:r>
    </w:p>
    <w:p>
      <w:pPr>
        <w:rPr>
          <w:rFonts w:eastAsia="Arial Unicode MS"/>
          <w:noProof/>
        </w:rPr>
      </w:pPr>
      <w:r>
        <w:rPr>
          <w:noProof/>
        </w:rPr>
        <w:t>По силата на член 218, параграф 5 от ДФЕС се изисква решение на Съвета за разрешаване на подписването на споразумението.</w:t>
      </w:r>
    </w:p>
    <w:p>
      <w:pPr>
        <w:pStyle w:val="ManualHeading1"/>
        <w:rPr>
          <w:rFonts w:eastAsia="Calibri"/>
          <w:noProof/>
        </w:rPr>
      </w:pPr>
      <w:r>
        <w:rPr>
          <w:noProof/>
        </w:rPr>
        <w:t>3.</w:t>
      </w:r>
      <w:r>
        <w:rPr>
          <w:noProof/>
        </w:rPr>
        <w:tab/>
        <w:t xml:space="preserve">КОНСУЛТАЦИИ СЪС ЗАИНТЕРЕСОВАНИТЕ СТРАНИ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rPr>
          <w:rFonts w:eastAsia="Arial Unicode MS"/>
          <w:noProof/>
        </w:rPr>
      </w:pPr>
      <w:r>
        <w:rPr>
          <w:noProof/>
        </w:rPr>
        <w:t>Редовно бяха провеждани консултации със Съвета (комитет „Търговска политика“) във връзка със съдържанието и напредъка по преговорите. Европейският парламент (Комисията по международна търговия) беше уведомен.</w:t>
      </w:r>
    </w:p>
    <w:p>
      <w:pPr>
        <w:pStyle w:val="ManualHeading1"/>
        <w:rPr>
          <w:rFonts w:eastAsia="Calibri"/>
          <w:noProof/>
        </w:rPr>
      </w:pPr>
      <w:r>
        <w:rPr>
          <w:noProof/>
        </w:rPr>
        <w:t>4.</w:t>
      </w:r>
      <w:r>
        <w:rPr>
          <w:noProof/>
        </w:rPr>
        <w:tab/>
        <w:t>ОТРАЖЕНИЕ ВЪРХУ БЮДЖЕТА</w:t>
      </w:r>
    </w:p>
    <w:p>
      <w:pPr>
        <w:pBdr>
          <w:top w:val="nil"/>
          <w:left w:val="nil"/>
          <w:bottom w:val="nil"/>
          <w:right w:val="nil"/>
          <w:between w:val="nil"/>
          <w:bar w:val="nil"/>
        </w:pBdr>
        <w:rPr>
          <w:rFonts w:eastAsia="Arial Unicode MS"/>
          <w:noProof/>
        </w:rPr>
      </w:pPr>
      <w:r>
        <w:rPr>
          <w:noProof/>
        </w:rPr>
        <w:t>Вж. финансовата обосновка.</w:t>
      </w:r>
    </w:p>
    <w:p>
      <w:pPr>
        <w:pStyle w:val="ManualHeading1"/>
        <w:rPr>
          <w:rFonts w:eastAsia="Calibri"/>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 xml:space="preserve">Планове за изпълнение </w:t>
      </w:r>
    </w:p>
    <w:p>
      <w:pPr>
        <w:rPr>
          <w:noProof/>
        </w:rPr>
      </w:pPr>
      <w:r>
        <w:rPr>
          <w:noProof/>
        </w:rPr>
        <w:t>Комисията предлага на Съвета Споразумението под формата на размяна на писма с Нова Зеландия да бъде подписано от името на Съюза. Едновременно с това е представено на Съвета отделно предложение за сключването на това споразумение.</w:t>
      </w:r>
    </w:p>
    <w:p>
      <w:pPr>
        <w:rPr>
          <w:rFonts w:eastAsia="Arial Unicode MS"/>
          <w:noProof/>
        </w:rPr>
      </w:pPr>
      <w:r>
        <w:rPr>
          <w:noProof/>
        </w:rPr>
        <w:t>Последиците от споразумението са следните:</w:t>
      </w:r>
    </w:p>
    <w:p>
      <w:pPr>
        <w:pStyle w:val="Text1"/>
        <w:rPr>
          <w:noProof/>
        </w:rPr>
      </w:pPr>
      <w:r>
        <w:rPr>
          <w:noProof/>
        </w:rPr>
        <w:t xml:space="preserve">Добавят се 1875 тона към тарифната квота на ЕС „меса от животни от рода на едрия рогат добитък, замразени — карантии, годни за консумация, от животни от рода на едрия рогат добитък, замразени“, тарифни позиции 0202 и 0206.29.91, като се запазва досегашната ставка от 20 % в рамките на квотата. Новата тарифна квота е 54 875 тона. </w:t>
      </w:r>
    </w:p>
    <w:p>
      <w:pPr>
        <w:pStyle w:val="Text1"/>
        <w:rPr>
          <w:noProof/>
        </w:rPr>
      </w:pPr>
      <w:r>
        <w:rPr>
          <w:noProof/>
        </w:rPr>
        <w:t>Добавят се 135 тона (кланично тегло) към разпределението за Нова Зеландия по тарифна квота на ЕС „меса от животни от рода на овцете или козите, пресни, охладени или замразени“, тарифна позиция 0204, като се запазва досегашната ставка от 0 % в рамките на квотата. Новото разпределение по тарифната квота за Нова Зеландия е 228 389 тона.</w:t>
      </w:r>
    </w:p>
    <w:p>
      <w:pPr>
        <w:rPr>
          <w:rFonts w:eastAsia="Arial Unicode MS"/>
          <w:noProof/>
        </w:rPr>
      </w:pPr>
      <w:r>
        <w:rPr>
          <w:noProof/>
        </w:rPr>
        <w:t>Комисията ще приеме регламенти за изпълнение във връзка с разширяването и управлението на съответните квоти, съгласно член 187, буква а) от Регламента за единната обща организация на пазара (ООП) (Регламент (ЕС) № 1308/2013).</w:t>
      </w:r>
    </w:p>
    <w:p>
      <w:pPr>
        <w:rPr>
          <w:rFonts w:eastAsia="Arial Unicode MS"/>
          <w:noProof/>
        </w:rPr>
      </w:pPr>
      <w:r>
        <w:rPr>
          <w:noProof/>
        </w:rPr>
        <w:t>Тези мерки по прилагането са в процес на изготвяне успоредно с настоящото предложение.</w:t>
      </w:r>
    </w:p>
    <w:p>
      <w:pPr>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Споразумението под формата на размяна на писма между Европейския съюз и Нова Зеландия в съответствие с член XXIV, параграф 6 и член XXVIII от Общото споразумение за митата и търговията (ГАТТ) от 1994 г. във връзка с изменението на отстъпките в списъка на Република Хърватия в процеса на присъединяването ѝ към Европейския съюз</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207, параграф 4, първа алинея във връзка с член 218, параграф 5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15 юли 2013 г. Съветът упълномощи Комисията да започне преговори с някои други членове на Световната търговска организация съгласно член XXIV, параграф 6 от Общото споразумение за митата и търговията (ГАТТ от 1994 г.) в процеса на присъединяването на Република Хърватия към Европейския съюз.</w:t>
      </w:r>
    </w:p>
    <w:p>
      <w:pPr>
        <w:pStyle w:val="ManualConsidrant"/>
        <w:rPr>
          <w:noProof/>
        </w:rPr>
      </w:pPr>
      <w:r>
        <w:rPr>
          <w:noProof/>
        </w:rPr>
        <w:t>2)</w:t>
      </w:r>
      <w:r>
        <w:rPr>
          <w:noProof/>
        </w:rPr>
        <w:tab/>
        <w:t>Комисията проведе преговорите в съответствие с приетите от Съвета указания за водене на преговори.</w:t>
      </w:r>
    </w:p>
    <w:p>
      <w:pPr>
        <w:pStyle w:val="ManualConsidrant"/>
        <w:rPr>
          <w:noProof/>
        </w:rPr>
      </w:pPr>
      <w:r>
        <w:rPr>
          <w:noProof/>
        </w:rPr>
        <w:t>3)</w:t>
      </w:r>
      <w:r>
        <w:rPr>
          <w:noProof/>
        </w:rPr>
        <w:tab/>
        <w:t>Посочените преговори приключиха и на 18 май 2017 г. бе парафирано Споразумение под формата на размяна на писма между Европейския съюз и Нова Зеландия в съответствие с член XXIV, параграф 6 и член XXVIII от ГАТТ от 1994 г. във връзка с изменението на отстъпките в списъка на Република Хърватия в процеса на присъединяването ѝ към Съюза.</w:t>
      </w:r>
    </w:p>
    <w:p>
      <w:pPr>
        <w:pStyle w:val="ManualConsidrant"/>
        <w:rPr>
          <w:noProof/>
        </w:rPr>
      </w:pPr>
      <w:r>
        <w:rPr>
          <w:noProof/>
        </w:rPr>
        <w:t>4)</w:t>
      </w:r>
      <w:r>
        <w:rPr>
          <w:noProof/>
        </w:rPr>
        <w:tab/>
        <w:t>Споразумението следва да бъде подписано,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Разрешава се подписването от името на Съюза на Споразумението под формата на размяна на писма между Европейския съюз и Нова Зеландия в съответствие с член XXIV, параграф 6 и член XXVIII от ГАТТ от 1994 г. във връзка с изменението на отстъпките в списъка на Република Хърватия в процеса на присъединяването ѝ към Европейския съюз, при условие за сключването на посоченото споразумение</w:t>
      </w:r>
      <w:r>
        <w:rPr>
          <w:rStyle w:val="FootnoteReference"/>
          <w:noProof/>
        </w:rPr>
        <w:footnoteReference w:id="1"/>
      </w:r>
      <w:r>
        <w:rPr>
          <w:noProof/>
        </w:rPr>
        <w:t>.</w:t>
      </w:r>
    </w:p>
    <w:p>
      <w:pPr>
        <w:pStyle w:val="Titrearticle"/>
        <w:rPr>
          <w:noProof/>
        </w:rPr>
      </w:pPr>
      <w:r>
        <w:rPr>
          <w:noProof/>
        </w:rPr>
        <w:t>Член 2</w:t>
      </w:r>
    </w:p>
    <w:p>
      <w:pPr>
        <w:rPr>
          <w:noProof/>
        </w:rPr>
      </w:pPr>
      <w:r>
        <w:rPr>
          <w:noProof/>
        </w:rPr>
        <w:t>Председателят на Съвета е оправомощен да посочи лицето(ата), упълномощено(и) да подпише(ат) споразумението от името на Съюза.</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40" w:code="9"/>
          <w:pgMar w:top="1134" w:right="1418" w:bottom="1134" w:left="1418" w:header="720" w:footer="720" w:gutter="0"/>
          <w:cols w:space="720"/>
          <w:docGrid w:linePitch="326"/>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rPr>
            </w:pPr>
            <w:bookmarkStart w:id="1" w:name="_CopyToNewDocument_"/>
            <w:bookmarkEnd w:id="1"/>
            <w:r>
              <w:rPr>
                <w:noProof/>
              </w:rPr>
              <w:t>ФИНАНСОВА ОБОСНОВКА</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rPr>
            </w:pPr>
          </w:p>
        </w:tc>
        <w:tc>
          <w:tcPr>
            <w:tcW w:w="1984" w:type="dxa"/>
            <w:gridSpan w:val="3"/>
          </w:tcPr>
          <w:p>
            <w:pPr>
              <w:pStyle w:val="Fichefinanciretextetable"/>
              <w:spacing w:before="60" w:after="60"/>
              <w:rPr>
                <w:noProof/>
                <w:highlight w:val="yellow"/>
              </w:rPr>
            </w:pPr>
            <w:r>
              <w:rPr>
                <w:noProof/>
              </w:rPr>
              <w:t xml:space="preserve">ДАТА: </w:t>
            </w:r>
          </w:p>
        </w:tc>
      </w:tr>
      <w:tr>
        <w:tc>
          <w:tcPr>
            <w:tcW w:w="600" w:type="dxa"/>
            <w:tcBorders>
              <w:right w:val="nil"/>
            </w:tcBorders>
          </w:tcPr>
          <w:p>
            <w:pPr>
              <w:pStyle w:val="Fichefinanciretextetable"/>
              <w:rPr>
                <w:noProof/>
              </w:rPr>
            </w:pPr>
            <w:r>
              <w:rPr>
                <w:noProof/>
              </w:rPr>
              <w:t>1.</w:t>
            </w:r>
          </w:p>
        </w:tc>
        <w:tc>
          <w:tcPr>
            <w:tcW w:w="6848" w:type="dxa"/>
            <w:gridSpan w:val="3"/>
            <w:tcBorders>
              <w:left w:val="nil"/>
              <w:right w:val="nil"/>
            </w:tcBorders>
          </w:tcPr>
          <w:p>
            <w:pPr>
              <w:pStyle w:val="Fichefinanciretextetable"/>
              <w:spacing w:before="60"/>
              <w:rPr>
                <w:noProof/>
              </w:rPr>
            </w:pPr>
            <w:r>
              <w:rPr>
                <w:noProof/>
              </w:rPr>
              <w:t>БЮДЖЕТЕН РЕД:</w:t>
            </w:r>
          </w:p>
          <w:p>
            <w:pPr>
              <w:pStyle w:val="Fichefinanciretextetable"/>
              <w:spacing w:after="60"/>
              <w:rPr>
                <w:noProof/>
              </w:rPr>
            </w:pPr>
            <w:r>
              <w:rPr>
                <w:noProof/>
              </w:rPr>
              <w:t xml:space="preserve">Глава 12 — Мита и други задължения </w:t>
            </w:r>
          </w:p>
        </w:tc>
        <w:tc>
          <w:tcPr>
            <w:tcW w:w="1984" w:type="dxa"/>
            <w:gridSpan w:val="3"/>
            <w:tcBorders>
              <w:left w:val="nil"/>
            </w:tcBorders>
          </w:tcPr>
          <w:p>
            <w:pPr>
              <w:pStyle w:val="Fichefinanciretextetable"/>
              <w:rPr>
                <w:noProof/>
                <w:highlight w:val="yellow"/>
              </w:rPr>
            </w:pPr>
          </w:p>
        </w:tc>
      </w:tr>
      <w:tr>
        <w:tc>
          <w:tcPr>
            <w:tcW w:w="600" w:type="dxa"/>
            <w:tcBorders>
              <w:bottom w:val="nil"/>
              <w:right w:val="nil"/>
            </w:tcBorders>
          </w:tcPr>
          <w:p>
            <w:pPr>
              <w:pStyle w:val="Fichefinanciretextetable"/>
              <w:rPr>
                <w:noProof/>
              </w:rPr>
            </w:pPr>
            <w:r>
              <w:rPr>
                <w:noProof/>
              </w:rPr>
              <w:t>2.</w:t>
            </w:r>
          </w:p>
        </w:tc>
        <w:tc>
          <w:tcPr>
            <w:tcW w:w="8832" w:type="dxa"/>
            <w:gridSpan w:val="6"/>
            <w:tcBorders>
              <w:left w:val="nil"/>
            </w:tcBorders>
          </w:tcPr>
          <w:p>
            <w:pPr>
              <w:pStyle w:val="Fichefinanciretextetable"/>
              <w:spacing w:before="60"/>
              <w:rPr>
                <w:noProof/>
              </w:rPr>
            </w:pPr>
            <w:r>
              <w:rPr>
                <w:noProof/>
              </w:rPr>
              <w:t>НАИМЕНОВАНИЕ:</w:t>
            </w:r>
          </w:p>
          <w:p>
            <w:pPr>
              <w:pStyle w:val="Fichefinanciretextetable"/>
              <w:spacing w:after="60"/>
              <w:ind w:right="136"/>
              <w:rPr>
                <w:noProof/>
              </w:rPr>
            </w:pPr>
            <w:r>
              <w:rPr>
                <w:noProof/>
              </w:rPr>
              <w:t>Предложение за Решение на Съвета за подписване, от името на Европейския съюз, на Споразумението под формата на размяна на писма между Европейския съюз и Нова Зеландия в съответствие с член XXIV, параграф 6 и член XXVIII от Общото споразумение за митата и търговията (ГАТТ) от 1994 г. във връзка с изменението на отстъпките в списъка на Република Хърватия в процеса на присъединяването ѝ към Европейския съюз</w:t>
            </w:r>
          </w:p>
        </w:tc>
      </w:tr>
      <w:tr>
        <w:tc>
          <w:tcPr>
            <w:tcW w:w="600" w:type="dxa"/>
            <w:tcBorders>
              <w:bottom w:val="nil"/>
              <w:right w:val="nil"/>
            </w:tcBorders>
          </w:tcPr>
          <w:p>
            <w:pPr>
              <w:pStyle w:val="Fichefinanciretextetable"/>
              <w:rPr>
                <w:noProof/>
              </w:rPr>
            </w:pPr>
            <w:r>
              <w:rPr>
                <w:noProof/>
              </w:rPr>
              <w:t>3.</w:t>
            </w:r>
          </w:p>
        </w:tc>
        <w:tc>
          <w:tcPr>
            <w:tcW w:w="8832" w:type="dxa"/>
            <w:gridSpan w:val="6"/>
            <w:tcBorders>
              <w:left w:val="nil"/>
            </w:tcBorders>
          </w:tcPr>
          <w:p>
            <w:pPr>
              <w:pStyle w:val="Fichefinanciretextetable"/>
              <w:spacing w:before="60"/>
              <w:rPr>
                <w:noProof/>
              </w:rPr>
            </w:pPr>
            <w:r>
              <w:rPr>
                <w:noProof/>
              </w:rPr>
              <w:t>ПРАВНО ОСНОВАНИЕ:</w:t>
            </w:r>
          </w:p>
          <w:p>
            <w:pPr>
              <w:pStyle w:val="Fichefinanciretextetable"/>
              <w:spacing w:after="60"/>
              <w:rPr>
                <w:noProof/>
              </w:rPr>
            </w:pPr>
            <w:r>
              <w:rPr>
                <w:noProof/>
              </w:rPr>
              <w:t>Договор за функционирането на Европейския съюз, и по-специално членове 207 и 218 от него.</w:t>
            </w:r>
          </w:p>
        </w:tc>
      </w:tr>
      <w:tr>
        <w:tc>
          <w:tcPr>
            <w:tcW w:w="600" w:type="dxa"/>
            <w:tcBorders>
              <w:right w:val="nil"/>
            </w:tcBorders>
          </w:tcPr>
          <w:p>
            <w:pPr>
              <w:pStyle w:val="Fichefinanciretextetable"/>
              <w:rPr>
                <w:noProof/>
              </w:rPr>
            </w:pPr>
            <w:r>
              <w:rPr>
                <w:noProof/>
              </w:rPr>
              <w:t>4.</w:t>
            </w:r>
          </w:p>
        </w:tc>
        <w:tc>
          <w:tcPr>
            <w:tcW w:w="8832" w:type="dxa"/>
            <w:gridSpan w:val="6"/>
            <w:tcBorders>
              <w:left w:val="nil"/>
            </w:tcBorders>
          </w:tcPr>
          <w:p>
            <w:pPr>
              <w:pStyle w:val="Fichefinanciretextetable"/>
              <w:spacing w:before="60"/>
              <w:rPr>
                <w:noProof/>
              </w:rPr>
            </w:pPr>
            <w:r>
              <w:rPr>
                <w:noProof/>
              </w:rPr>
              <w:t>ЦЕЛИ:</w:t>
            </w:r>
          </w:p>
          <w:p>
            <w:pPr>
              <w:pStyle w:val="Fichefinanciretextetable"/>
              <w:spacing w:after="60"/>
              <w:ind w:right="136"/>
              <w:jc w:val="both"/>
              <w:rPr>
                <w:noProof/>
              </w:rPr>
            </w:pPr>
            <w:r>
              <w:rPr>
                <w:noProof/>
              </w:rPr>
              <w:t>Да се разреши подписването на Споразумението под формата на размяна на писма между Европейския съюз и Нова Зеландия.</w:t>
            </w:r>
          </w:p>
        </w:tc>
      </w:tr>
      <w:tr>
        <w:tc>
          <w:tcPr>
            <w:tcW w:w="600" w:type="dxa"/>
            <w:tcBorders>
              <w:bottom w:val="nil"/>
              <w:right w:val="nil"/>
            </w:tcBorders>
          </w:tcPr>
          <w:p>
            <w:pPr>
              <w:pStyle w:val="Fichefinanciretextetable"/>
              <w:rPr>
                <w:noProof/>
              </w:rPr>
            </w:pPr>
            <w:r>
              <w:rPr>
                <w:noProof/>
              </w:rPr>
              <w:t>5.</w:t>
            </w:r>
          </w:p>
        </w:tc>
        <w:tc>
          <w:tcPr>
            <w:tcW w:w="4155" w:type="dxa"/>
            <w:tcBorders>
              <w:left w:val="nil"/>
            </w:tcBorders>
          </w:tcPr>
          <w:p>
            <w:pPr>
              <w:pStyle w:val="Fichefinanciretextetable"/>
              <w:rPr>
                <w:noProof/>
              </w:rPr>
            </w:pPr>
            <w:r>
              <w:rPr>
                <w:noProof/>
              </w:rPr>
              <w:t>ФИНАНСОВО ОТРАЖЕНИЕ</w:t>
            </w:r>
          </w:p>
        </w:tc>
        <w:tc>
          <w:tcPr>
            <w:tcW w:w="1559" w:type="dxa"/>
          </w:tcPr>
          <w:p>
            <w:pPr>
              <w:pStyle w:val="Fichefinanciretextetable"/>
              <w:jc w:val="center"/>
              <w:rPr>
                <w:noProof/>
              </w:rPr>
            </w:pPr>
            <w:r>
              <w:rPr>
                <w:noProof/>
              </w:rPr>
              <w:t>ТЕКУЩА ФИНАНСОВА ГОДИНА 2017</w:t>
            </w:r>
            <w:r>
              <w:rPr>
                <w:noProof/>
              </w:rPr>
              <w:br/>
              <w:t>(в млн. евро)</w:t>
            </w:r>
          </w:p>
        </w:tc>
        <w:tc>
          <w:tcPr>
            <w:tcW w:w="1559" w:type="dxa"/>
            <w:gridSpan w:val="2"/>
          </w:tcPr>
          <w:p>
            <w:pPr>
              <w:pStyle w:val="Fichefinanciretextetable"/>
              <w:jc w:val="center"/>
              <w:rPr>
                <w:noProof/>
              </w:rPr>
            </w:pPr>
            <w:r>
              <w:rPr>
                <w:noProof/>
              </w:rPr>
              <w:t>СЛЕДВАЩА ФИНАНСОВА ГОДИНА 2018</w:t>
            </w:r>
          </w:p>
          <w:p>
            <w:pPr>
              <w:pStyle w:val="Fichefinanciretextetable"/>
              <w:jc w:val="center"/>
              <w:rPr>
                <w:noProof/>
              </w:rPr>
            </w:pPr>
            <w:r>
              <w:rPr>
                <w:noProof/>
              </w:rPr>
              <w:t>(в млн. евро)</w:t>
            </w:r>
          </w:p>
        </w:tc>
        <w:tc>
          <w:tcPr>
            <w:tcW w:w="1559" w:type="dxa"/>
            <w:gridSpan w:val="2"/>
          </w:tcPr>
          <w:p>
            <w:pPr>
              <w:pStyle w:val="Fichefinanciretextetable"/>
              <w:jc w:val="center"/>
              <w:rPr>
                <w:noProof/>
              </w:rPr>
            </w:pPr>
            <w:r>
              <w:rPr>
                <w:noProof/>
              </w:rPr>
              <w:t>БЮДЖЕТНА 2019 ГОДИНА</w:t>
            </w:r>
          </w:p>
          <w:p>
            <w:pPr>
              <w:pStyle w:val="Fichefinanciretextetable"/>
              <w:jc w:val="center"/>
              <w:rPr>
                <w:noProof/>
              </w:rPr>
            </w:pPr>
            <w:r>
              <w:rPr>
                <w:noProof/>
              </w:rPr>
              <w:t>(в млн. евро)</w:t>
            </w:r>
          </w:p>
        </w:tc>
      </w:tr>
      <w:tr>
        <w:tc>
          <w:tcPr>
            <w:tcW w:w="600" w:type="dxa"/>
            <w:tcBorders>
              <w:bottom w:val="nil"/>
              <w:right w:val="nil"/>
            </w:tcBorders>
          </w:tcPr>
          <w:p>
            <w:pPr>
              <w:pStyle w:val="Fichefinanciretextetable"/>
              <w:rPr>
                <w:noProof/>
              </w:rPr>
            </w:pPr>
            <w:r>
              <w:rPr>
                <w:noProof/>
              </w:rPr>
              <w:t>5.0.</w:t>
            </w:r>
          </w:p>
        </w:tc>
        <w:tc>
          <w:tcPr>
            <w:tcW w:w="4155" w:type="dxa"/>
            <w:tcBorders>
              <w:left w:val="nil"/>
            </w:tcBorders>
          </w:tcPr>
          <w:p>
            <w:pPr>
              <w:pStyle w:val="Fichefinanciretextetable"/>
              <w:rPr>
                <w:noProof/>
              </w:rPr>
            </w:pPr>
            <w:r>
              <w:rPr>
                <w:noProof/>
              </w:rPr>
              <w:t>РАЗХОДИ</w:t>
            </w:r>
          </w:p>
          <w:p>
            <w:pPr>
              <w:pStyle w:val="Fichefinanciretextetable"/>
              <w:rPr>
                <w:noProof/>
              </w:rPr>
            </w:pPr>
            <w:r>
              <w:rPr>
                <w:noProof/>
              </w:rPr>
              <w:t>—</w:t>
            </w:r>
            <w:r>
              <w:rPr>
                <w:noProof/>
              </w:rPr>
              <w:tab/>
              <w:t>ЗА СМЕТКА НА БЮДЖЕТА НА ЕС</w:t>
            </w:r>
            <w:r>
              <w:rPr>
                <w:noProof/>
              </w:rPr>
              <w:br/>
              <w:t>(ВЪЗСТАНОВЯВАНИЯ/ИНТЕРВЕНЦИИ)</w:t>
            </w:r>
          </w:p>
          <w:p>
            <w:pPr>
              <w:pStyle w:val="Fichefinanciretextetable"/>
              <w:rPr>
                <w:noProof/>
              </w:rPr>
            </w:pPr>
            <w:r>
              <w:rPr>
                <w:noProof/>
              </w:rPr>
              <w:t>—</w:t>
            </w:r>
            <w:r>
              <w:rPr>
                <w:noProof/>
              </w:rPr>
              <w:tab/>
              <w:t>НА НАЦИОНАЛНИТЕ ОРГАНИ</w:t>
            </w:r>
          </w:p>
          <w:p>
            <w:pPr>
              <w:pStyle w:val="Fichefinanciretextetable"/>
              <w:rPr>
                <w:noProof/>
              </w:rPr>
            </w:pPr>
            <w:r>
              <w:rPr>
                <w:noProof/>
              </w:rPr>
              <w:t>—</w:t>
            </w:r>
            <w:r>
              <w:rPr>
                <w:noProof/>
              </w:rPr>
              <w:tab/>
              <w:t>ДРУГИ</w:t>
            </w:r>
          </w:p>
        </w:tc>
        <w:tc>
          <w:tcPr>
            <w:tcW w:w="1559" w:type="dxa"/>
          </w:tcPr>
          <w:p>
            <w:pPr>
              <w:pStyle w:val="Fichefinanciretextetable"/>
              <w:jc w:val="center"/>
              <w:rPr>
                <w:noProof/>
              </w:rPr>
            </w:pPr>
            <w:r>
              <w:rPr>
                <w:noProof/>
              </w:rPr>
              <w:br/>
            </w:r>
            <w:r>
              <w:rPr>
                <w:noProof/>
              </w:rPr>
              <w:br/>
              <w:t>—</w:t>
            </w:r>
          </w:p>
        </w:tc>
        <w:tc>
          <w:tcPr>
            <w:tcW w:w="1559" w:type="dxa"/>
            <w:gridSpan w:val="2"/>
          </w:tcPr>
          <w:p>
            <w:pPr>
              <w:pStyle w:val="Fichefinanciretextetable"/>
              <w:spacing w:after="60"/>
              <w:jc w:val="center"/>
              <w:rPr>
                <w:noProof/>
              </w:rPr>
            </w:pPr>
            <w:r>
              <w:rPr>
                <w:noProof/>
              </w:rPr>
              <w:br/>
            </w:r>
            <w:r>
              <w:rPr>
                <w:noProof/>
              </w:rPr>
              <w:br/>
              <w:t>—</w:t>
            </w:r>
          </w:p>
        </w:tc>
        <w:tc>
          <w:tcPr>
            <w:tcW w:w="1559" w:type="dxa"/>
            <w:gridSpan w:val="2"/>
          </w:tcPr>
          <w:p>
            <w:pPr>
              <w:pStyle w:val="Fichefinanciretextetable"/>
              <w:jc w:val="center"/>
              <w:rPr>
                <w:noProof/>
              </w:rPr>
            </w:pPr>
            <w:r>
              <w:rPr>
                <w:noProof/>
              </w:rPr>
              <w:br/>
            </w:r>
            <w:r>
              <w:rPr>
                <w:noProof/>
              </w:rPr>
              <w:br/>
              <w:t>—</w:t>
            </w:r>
          </w:p>
        </w:tc>
      </w:tr>
      <w:tr>
        <w:tc>
          <w:tcPr>
            <w:tcW w:w="600" w:type="dxa"/>
            <w:tcBorders>
              <w:right w:val="nil"/>
            </w:tcBorders>
          </w:tcPr>
          <w:p>
            <w:pPr>
              <w:pStyle w:val="Fichefinanciretextetable"/>
              <w:rPr>
                <w:noProof/>
              </w:rPr>
            </w:pPr>
            <w:r>
              <w:rPr>
                <w:noProof/>
              </w:rPr>
              <w:t>5.1.</w:t>
            </w:r>
          </w:p>
        </w:tc>
        <w:tc>
          <w:tcPr>
            <w:tcW w:w="4155" w:type="dxa"/>
            <w:tcBorders>
              <w:left w:val="nil"/>
            </w:tcBorders>
          </w:tcPr>
          <w:p>
            <w:pPr>
              <w:pStyle w:val="Fichefinanciretextetable"/>
              <w:rPr>
                <w:noProof/>
              </w:rPr>
            </w:pPr>
            <w:r>
              <w:rPr>
                <w:noProof/>
              </w:rPr>
              <w:t>ПРИХОДИ</w:t>
            </w:r>
          </w:p>
          <w:p>
            <w:pPr>
              <w:pStyle w:val="Fichefinanciretextetable"/>
              <w:rPr>
                <w:noProof/>
              </w:rPr>
            </w:pPr>
            <w:r>
              <w:rPr>
                <w:noProof/>
              </w:rPr>
              <w:t>—</w:t>
            </w:r>
            <w:r>
              <w:rPr>
                <w:noProof/>
              </w:rPr>
              <w:tab/>
              <w:t>СОБСТВЕНИ РЕСУРСИ НА ЕС</w:t>
            </w:r>
            <w:r>
              <w:rPr>
                <w:noProof/>
              </w:rPr>
              <w:br/>
              <w:t>(НАЛОЗИ/МИТА)</w:t>
            </w:r>
          </w:p>
          <w:p>
            <w:pPr>
              <w:pStyle w:val="Fichefinanciretextetable"/>
              <w:rPr>
                <w:noProof/>
              </w:rPr>
            </w:pPr>
            <w:r>
              <w:rPr>
                <w:noProof/>
              </w:rPr>
              <w:t>—</w:t>
            </w:r>
            <w:r>
              <w:rPr>
                <w:noProof/>
              </w:rPr>
              <w:tab/>
              <w:t>НАЦИОНАЛНИ</w:t>
            </w:r>
          </w:p>
        </w:tc>
        <w:tc>
          <w:tcPr>
            <w:tcW w:w="1559" w:type="dxa"/>
          </w:tcPr>
          <w:p>
            <w:pPr>
              <w:pStyle w:val="Fichefinanciretextetable"/>
              <w:jc w:val="center"/>
              <w:rPr>
                <w:noProof/>
              </w:rPr>
            </w:pPr>
            <w:r>
              <w:rPr>
                <w:noProof/>
              </w:rPr>
              <w:br/>
              <w:t xml:space="preserve">— </w:t>
            </w:r>
          </w:p>
        </w:tc>
        <w:tc>
          <w:tcPr>
            <w:tcW w:w="1559" w:type="dxa"/>
            <w:gridSpan w:val="2"/>
          </w:tcPr>
          <w:p>
            <w:pPr>
              <w:pStyle w:val="Fichefinanciretextetable"/>
              <w:jc w:val="center"/>
              <w:rPr>
                <w:noProof/>
              </w:rPr>
            </w:pPr>
            <w:r>
              <w:rPr>
                <w:noProof/>
              </w:rPr>
              <w:br/>
              <w:t xml:space="preserve">— </w:t>
            </w:r>
          </w:p>
        </w:tc>
        <w:tc>
          <w:tcPr>
            <w:tcW w:w="1559" w:type="dxa"/>
            <w:gridSpan w:val="2"/>
          </w:tcPr>
          <w:p>
            <w:pPr>
              <w:pStyle w:val="Fichefinanciretextetable"/>
              <w:spacing w:before="240"/>
              <w:jc w:val="center"/>
              <w:rPr>
                <w:noProof/>
              </w:rPr>
            </w:pPr>
            <w:r>
              <w:rPr>
                <w:noProof/>
              </w:rPr>
              <w:t xml:space="preserve">— </w:t>
            </w:r>
          </w:p>
        </w:tc>
      </w:tr>
      <w:tr>
        <w:tc>
          <w:tcPr>
            <w:tcW w:w="600" w:type="dxa"/>
            <w:tcBorders>
              <w:bottom w:val="nil"/>
              <w:right w:val="nil"/>
            </w:tcBorders>
          </w:tcPr>
          <w:p>
            <w:pPr>
              <w:pStyle w:val="Fichefinanciretextetable"/>
              <w:rPr>
                <w:noProof/>
              </w:rPr>
            </w:pPr>
          </w:p>
        </w:tc>
        <w:tc>
          <w:tcPr>
            <w:tcW w:w="4155" w:type="dxa"/>
            <w:tcBorders>
              <w:left w:val="nil"/>
              <w:bottom w:val="nil"/>
            </w:tcBorders>
          </w:tcPr>
          <w:p>
            <w:pPr>
              <w:pStyle w:val="Fichefinanciretextetable"/>
              <w:rPr>
                <w:noProof/>
              </w:rPr>
            </w:pPr>
          </w:p>
        </w:tc>
        <w:tc>
          <w:tcPr>
            <w:tcW w:w="1559" w:type="dxa"/>
            <w:tcBorders>
              <w:bottom w:val="nil"/>
            </w:tcBorders>
          </w:tcPr>
          <w:p>
            <w:pPr>
              <w:pStyle w:val="Fichefinanciretextetable"/>
              <w:jc w:val="center"/>
              <w:rPr>
                <w:noProof/>
              </w:rPr>
            </w:pPr>
            <w:r>
              <w:rPr>
                <w:noProof/>
              </w:rPr>
              <w:t>2017</w:t>
            </w:r>
          </w:p>
        </w:tc>
        <w:tc>
          <w:tcPr>
            <w:tcW w:w="1559" w:type="dxa"/>
            <w:gridSpan w:val="2"/>
            <w:tcBorders>
              <w:bottom w:val="nil"/>
            </w:tcBorders>
          </w:tcPr>
          <w:p>
            <w:pPr>
              <w:pStyle w:val="Fichefinanciretextetable"/>
              <w:jc w:val="center"/>
              <w:rPr>
                <w:noProof/>
              </w:rPr>
            </w:pPr>
            <w:r>
              <w:rPr>
                <w:noProof/>
              </w:rPr>
              <w:t>2018</w:t>
            </w:r>
          </w:p>
        </w:tc>
        <w:tc>
          <w:tcPr>
            <w:tcW w:w="1559" w:type="dxa"/>
            <w:gridSpan w:val="2"/>
            <w:tcBorders>
              <w:bottom w:val="nil"/>
            </w:tcBorders>
          </w:tcPr>
          <w:p>
            <w:pPr>
              <w:pStyle w:val="Fichefinanciretextetable"/>
              <w:jc w:val="center"/>
              <w:rPr>
                <w:noProof/>
              </w:rPr>
            </w:pPr>
            <w:r>
              <w:rPr>
                <w:noProof/>
              </w:rPr>
              <w:t>2019</w:t>
            </w:r>
          </w:p>
        </w:tc>
      </w:tr>
      <w:tr>
        <w:tc>
          <w:tcPr>
            <w:tcW w:w="600" w:type="dxa"/>
            <w:tcBorders>
              <w:top w:val="nil"/>
              <w:bottom w:val="nil"/>
              <w:right w:val="nil"/>
            </w:tcBorders>
          </w:tcPr>
          <w:p>
            <w:pPr>
              <w:pStyle w:val="Fichefinanciretextetable"/>
              <w:rPr>
                <w:noProof/>
              </w:rPr>
            </w:pPr>
            <w:r>
              <w:rPr>
                <w:noProof/>
              </w:rPr>
              <w:t>5.0.1.</w:t>
            </w:r>
          </w:p>
        </w:tc>
        <w:tc>
          <w:tcPr>
            <w:tcW w:w="4155" w:type="dxa"/>
            <w:tcBorders>
              <w:top w:val="nil"/>
              <w:left w:val="nil"/>
              <w:bottom w:val="nil"/>
            </w:tcBorders>
          </w:tcPr>
          <w:p>
            <w:pPr>
              <w:pStyle w:val="Fichefinanciretextetable"/>
              <w:spacing w:before="60" w:after="60"/>
              <w:rPr>
                <w:noProof/>
              </w:rPr>
            </w:pPr>
            <w:r>
              <w:rPr>
                <w:noProof/>
              </w:rPr>
              <w:t>ОЧАКВАНИ РАЗХОДИ</w:t>
            </w:r>
          </w:p>
        </w:tc>
        <w:tc>
          <w:tcPr>
            <w:tcW w:w="1559" w:type="dxa"/>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c>
          <w:tcPr>
            <w:tcW w:w="1559" w:type="dxa"/>
            <w:gridSpan w:val="2"/>
            <w:tcBorders>
              <w:bottom w:val="nil"/>
            </w:tcBorders>
          </w:tcPr>
          <w:p>
            <w:pPr>
              <w:pStyle w:val="Fichefinanciretextetable"/>
              <w:jc w:val="center"/>
              <w:rPr>
                <w:noProof/>
              </w:rPr>
            </w:pPr>
          </w:p>
        </w:tc>
      </w:tr>
      <w:tr>
        <w:tc>
          <w:tcPr>
            <w:tcW w:w="600" w:type="dxa"/>
            <w:tcBorders>
              <w:top w:val="nil"/>
              <w:right w:val="nil"/>
            </w:tcBorders>
          </w:tcPr>
          <w:p>
            <w:pPr>
              <w:pStyle w:val="Fichefinanciretextetable"/>
              <w:rPr>
                <w:noProof/>
              </w:rPr>
            </w:pPr>
            <w:r>
              <w:rPr>
                <w:noProof/>
              </w:rPr>
              <w:t>5.1.1.</w:t>
            </w:r>
          </w:p>
        </w:tc>
        <w:tc>
          <w:tcPr>
            <w:tcW w:w="4155" w:type="dxa"/>
            <w:tcBorders>
              <w:top w:val="nil"/>
              <w:left w:val="nil"/>
            </w:tcBorders>
          </w:tcPr>
          <w:p>
            <w:pPr>
              <w:pStyle w:val="Fichefinanciretextetable"/>
              <w:spacing w:before="60" w:after="60"/>
              <w:rPr>
                <w:noProof/>
              </w:rPr>
            </w:pPr>
            <w:r>
              <w:rPr>
                <w:noProof/>
              </w:rPr>
              <w:t>ОЧАКВАНИ ПРИХОДИ</w:t>
            </w:r>
          </w:p>
        </w:tc>
        <w:tc>
          <w:tcPr>
            <w:tcW w:w="1559" w:type="dxa"/>
            <w:tcBorders>
              <w:top w:val="nil"/>
            </w:tcBorders>
          </w:tcPr>
          <w:p>
            <w:pPr>
              <w:pStyle w:val="Fichefinanciretextetable"/>
              <w:jc w:val="center"/>
              <w:rPr>
                <w:noProof/>
              </w:rPr>
            </w:pPr>
            <w:r>
              <w:rPr>
                <w:noProof/>
              </w:rPr>
              <w:t>—</w:t>
            </w:r>
          </w:p>
        </w:tc>
        <w:tc>
          <w:tcPr>
            <w:tcW w:w="1559" w:type="dxa"/>
            <w:gridSpan w:val="2"/>
            <w:tcBorders>
              <w:top w:val="nil"/>
            </w:tcBorders>
          </w:tcPr>
          <w:p>
            <w:pPr>
              <w:pStyle w:val="Fichefinanciretextetable"/>
              <w:jc w:val="center"/>
              <w:rPr>
                <w:noProof/>
              </w:rPr>
            </w:pPr>
            <w:r>
              <w:rPr>
                <w:noProof/>
              </w:rPr>
              <w:t>—</w:t>
            </w:r>
          </w:p>
        </w:tc>
        <w:tc>
          <w:tcPr>
            <w:tcW w:w="1559" w:type="dxa"/>
            <w:gridSpan w:val="2"/>
            <w:tcBorders>
              <w:top w:val="nil"/>
            </w:tcBorders>
          </w:tcPr>
          <w:p>
            <w:pPr>
              <w:pStyle w:val="Fichefinanciretextetable"/>
              <w:jc w:val="center"/>
              <w:rPr>
                <w:noProof/>
              </w:rPr>
            </w:pPr>
            <w:r>
              <w:rPr>
                <w:noProof/>
              </w:rPr>
              <w:t>—</w:t>
            </w:r>
          </w:p>
        </w:tc>
      </w:tr>
      <w:tr>
        <w:tc>
          <w:tcPr>
            <w:tcW w:w="600" w:type="dxa"/>
            <w:tcBorders>
              <w:right w:val="nil"/>
            </w:tcBorders>
          </w:tcPr>
          <w:p>
            <w:pPr>
              <w:pStyle w:val="Fichefinanciretextetable"/>
              <w:rPr>
                <w:noProof/>
              </w:rPr>
            </w:pPr>
            <w:r>
              <w:rPr>
                <w:noProof/>
              </w:rPr>
              <w:t>5.2</w:t>
            </w:r>
          </w:p>
        </w:tc>
        <w:tc>
          <w:tcPr>
            <w:tcW w:w="8832" w:type="dxa"/>
            <w:gridSpan w:val="6"/>
            <w:tcBorders>
              <w:left w:val="nil"/>
            </w:tcBorders>
          </w:tcPr>
          <w:p>
            <w:pPr>
              <w:pStyle w:val="Fichefinanciretextetable"/>
              <w:spacing w:before="60" w:after="60"/>
              <w:rPr>
                <w:noProof/>
              </w:rPr>
            </w:pPr>
            <w:r>
              <w:rPr>
                <w:noProof/>
              </w:rPr>
              <w:t>МЕТОД НА ИЗЧИСЛЕНИЕ: —</w:t>
            </w:r>
          </w:p>
        </w:tc>
      </w:tr>
      <w:tr>
        <w:tc>
          <w:tcPr>
            <w:tcW w:w="600" w:type="dxa"/>
            <w:tcBorders>
              <w:bottom w:val="nil"/>
              <w:right w:val="nil"/>
            </w:tcBorders>
          </w:tcPr>
          <w:p>
            <w:pPr>
              <w:pStyle w:val="Fichefinanciretextetable"/>
              <w:rPr>
                <w:noProof/>
              </w:rPr>
            </w:pPr>
            <w:r>
              <w:rPr>
                <w:noProof/>
              </w:rPr>
              <w:t>6.0</w:t>
            </w:r>
          </w:p>
        </w:tc>
        <w:tc>
          <w:tcPr>
            <w:tcW w:w="7698" w:type="dxa"/>
            <w:gridSpan w:val="5"/>
            <w:tcBorders>
              <w:left w:val="nil"/>
              <w:right w:val="nil"/>
            </w:tcBorders>
          </w:tcPr>
          <w:p>
            <w:pPr>
              <w:pStyle w:val="Fichefinanciretextetable"/>
              <w:spacing w:before="60" w:after="60"/>
              <w:rPr>
                <w:noProof/>
              </w:rPr>
            </w:pPr>
            <w:r>
              <w:rPr>
                <w:noProof/>
              </w:rPr>
              <w:t>МОЖЕ ЛИ ПРОЕКТЪТ ДА БЪДЕ ФИНАНСИРАН ОТ БЮДЖЕТНИ КРЕДИТИ, ВПИСАНИ В СЪОТВЕТНАТА ГЛАВА НА ТЕКУЩИЯ БЮДЖЕТ?</w:t>
            </w:r>
          </w:p>
        </w:tc>
        <w:tc>
          <w:tcPr>
            <w:tcW w:w="1134" w:type="dxa"/>
            <w:tcBorders>
              <w:left w:val="nil"/>
              <w:bottom w:val="nil"/>
            </w:tcBorders>
          </w:tcPr>
          <w:p>
            <w:pPr>
              <w:pStyle w:val="Fichefinanciretextetable"/>
              <w:jc w:val="center"/>
              <w:rPr>
                <w:noProof/>
              </w:rPr>
            </w:pPr>
            <w:r>
              <w:rPr>
                <w:noProof/>
              </w:rPr>
              <w:t>НЕ</w:t>
            </w:r>
          </w:p>
        </w:tc>
      </w:tr>
      <w:tr>
        <w:tc>
          <w:tcPr>
            <w:tcW w:w="600" w:type="dxa"/>
            <w:tcBorders>
              <w:bottom w:val="nil"/>
              <w:right w:val="nil"/>
            </w:tcBorders>
          </w:tcPr>
          <w:p>
            <w:pPr>
              <w:pStyle w:val="Fichefinanciretextetable"/>
              <w:rPr>
                <w:noProof/>
              </w:rPr>
            </w:pPr>
            <w:r>
              <w:rPr>
                <w:noProof/>
              </w:rPr>
              <w:t>6.1</w:t>
            </w:r>
          </w:p>
        </w:tc>
        <w:tc>
          <w:tcPr>
            <w:tcW w:w="7698" w:type="dxa"/>
            <w:gridSpan w:val="5"/>
            <w:tcBorders>
              <w:left w:val="nil"/>
              <w:right w:val="nil"/>
            </w:tcBorders>
          </w:tcPr>
          <w:p>
            <w:pPr>
              <w:pStyle w:val="Fichefinanciretextetable"/>
              <w:spacing w:before="60" w:after="60"/>
              <w:rPr>
                <w:noProof/>
              </w:rPr>
            </w:pPr>
            <w:r>
              <w:rPr>
                <w:noProof/>
              </w:rPr>
              <w:t>МОЖЕ ЛИ ПРОЕКТЪТ ДА БЪДЕ ФИНАНСИРАН ЧРЕЗ ПРЕХВЪРЛЯНЕ МЕЖДУ ГЛАВИ ОТ ТЕКУЩИЯ БЮДЖЕТ?</w:t>
            </w:r>
          </w:p>
        </w:tc>
        <w:tc>
          <w:tcPr>
            <w:tcW w:w="1134" w:type="dxa"/>
            <w:tcBorders>
              <w:left w:val="nil"/>
              <w:bottom w:val="nil"/>
            </w:tcBorders>
          </w:tcPr>
          <w:p>
            <w:pPr>
              <w:pStyle w:val="Fichefinanciretextetable"/>
              <w:jc w:val="center"/>
              <w:rPr>
                <w:noProof/>
              </w:rPr>
            </w:pPr>
            <w:r>
              <w:rPr>
                <w:noProof/>
              </w:rPr>
              <w:t>НЕ</w:t>
            </w:r>
          </w:p>
        </w:tc>
      </w:tr>
      <w:tr>
        <w:tc>
          <w:tcPr>
            <w:tcW w:w="600" w:type="dxa"/>
            <w:tcBorders>
              <w:bottom w:val="nil"/>
              <w:right w:val="nil"/>
            </w:tcBorders>
          </w:tcPr>
          <w:p>
            <w:pPr>
              <w:pStyle w:val="Fichefinanciretextetable"/>
              <w:rPr>
                <w:noProof/>
              </w:rPr>
            </w:pPr>
            <w:r>
              <w:rPr>
                <w:noProof/>
              </w:rPr>
              <w:t>6.2</w:t>
            </w:r>
          </w:p>
        </w:tc>
        <w:tc>
          <w:tcPr>
            <w:tcW w:w="7698" w:type="dxa"/>
            <w:gridSpan w:val="5"/>
            <w:tcBorders>
              <w:left w:val="nil"/>
              <w:right w:val="nil"/>
            </w:tcBorders>
          </w:tcPr>
          <w:p>
            <w:pPr>
              <w:pStyle w:val="Fichefinanciretextetable"/>
              <w:spacing w:before="60" w:after="60"/>
              <w:rPr>
                <w:noProof/>
              </w:rPr>
            </w:pPr>
            <w:r>
              <w:rPr>
                <w:noProof/>
              </w:rPr>
              <w:t>ЩЕ БЪДЕ ЛИ НЕОБХОДИМ ДОПЪЛНИТЕЛЕН БЮДЖЕТ?</w:t>
            </w:r>
          </w:p>
        </w:tc>
        <w:tc>
          <w:tcPr>
            <w:tcW w:w="1134" w:type="dxa"/>
            <w:tcBorders>
              <w:left w:val="nil"/>
              <w:bottom w:val="nil"/>
            </w:tcBorders>
          </w:tcPr>
          <w:p>
            <w:pPr>
              <w:pStyle w:val="Fichefinanciretextetable"/>
              <w:jc w:val="center"/>
              <w:rPr>
                <w:noProof/>
              </w:rPr>
            </w:pPr>
            <w:r>
              <w:rPr>
                <w:noProof/>
              </w:rPr>
              <w:t>НЕ</w:t>
            </w:r>
          </w:p>
        </w:tc>
      </w:tr>
      <w:tr>
        <w:tc>
          <w:tcPr>
            <w:tcW w:w="600" w:type="dxa"/>
            <w:tcBorders>
              <w:right w:val="nil"/>
            </w:tcBorders>
          </w:tcPr>
          <w:p>
            <w:pPr>
              <w:pStyle w:val="Fichefinanciretextetable"/>
              <w:rPr>
                <w:noProof/>
              </w:rPr>
            </w:pPr>
            <w:r>
              <w:rPr>
                <w:noProof/>
              </w:rPr>
              <w:t>6.3</w:t>
            </w:r>
          </w:p>
        </w:tc>
        <w:tc>
          <w:tcPr>
            <w:tcW w:w="7698" w:type="dxa"/>
            <w:gridSpan w:val="5"/>
            <w:tcBorders>
              <w:left w:val="nil"/>
              <w:right w:val="nil"/>
            </w:tcBorders>
          </w:tcPr>
          <w:p>
            <w:pPr>
              <w:pStyle w:val="Fichefinanciretextetable"/>
              <w:spacing w:before="60" w:after="60"/>
              <w:rPr>
                <w:noProof/>
              </w:rPr>
            </w:pPr>
            <w:r>
              <w:rPr>
                <w:noProof/>
              </w:rPr>
              <w:t>ЩЕ БЪДЕ ЛИ НЕОБХОДИМО ВПИСВАНЕТО НА БЮДЖЕТНИ КРЕДИТИ В БЪДЕЩИ БЮДЖЕТИ?</w:t>
            </w:r>
          </w:p>
        </w:tc>
        <w:tc>
          <w:tcPr>
            <w:tcW w:w="1134" w:type="dxa"/>
            <w:tcBorders>
              <w:left w:val="nil"/>
            </w:tcBorders>
          </w:tcPr>
          <w:p>
            <w:pPr>
              <w:pStyle w:val="Fichefinanciretextetable"/>
              <w:jc w:val="center"/>
              <w:rPr>
                <w:noProof/>
              </w:rPr>
            </w:pPr>
            <w:r>
              <w:rPr>
                <w:noProof/>
              </w:rPr>
              <w:t>НЕ</w:t>
            </w:r>
          </w:p>
        </w:tc>
      </w:tr>
      <w:tr>
        <w:tc>
          <w:tcPr>
            <w:tcW w:w="9432" w:type="dxa"/>
            <w:gridSpan w:val="7"/>
          </w:tcPr>
          <w:p>
            <w:pPr>
              <w:pStyle w:val="Fichefinanciretextetable"/>
              <w:spacing w:before="60"/>
              <w:rPr>
                <w:noProof/>
              </w:rPr>
            </w:pPr>
            <w:r>
              <w:rPr>
                <w:noProof/>
              </w:rPr>
              <w:t>ЗАБЕЛЕЖКИ:</w:t>
            </w:r>
          </w:p>
          <w:p>
            <w:pPr>
              <w:spacing w:after="0"/>
              <w:rPr>
                <w:noProof/>
                <w:sz w:val="20"/>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Текстът на споразумението ще бъде публикуван заедно с решението за сключването 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89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CE33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3E41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A898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1643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FAA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E8CDFC"/>
    <w:lvl w:ilvl="0">
      <w:start w:val="1"/>
      <w:numFmt w:val="decimal"/>
      <w:pStyle w:val="ListNumber"/>
      <w:lvlText w:val="%1."/>
      <w:lvlJc w:val="left"/>
      <w:pPr>
        <w:tabs>
          <w:tab w:val="num" w:pos="360"/>
        </w:tabs>
        <w:ind w:left="360" w:hanging="360"/>
      </w:pPr>
    </w:lvl>
  </w:abstractNum>
  <w:abstractNum w:abstractNumId="7">
    <w:nsid w:val="FFFFFF89"/>
    <w:multiLevelType w:val="singleLevel"/>
    <w:tmpl w:val="4E5466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8: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639A8BA335A45D6864E8D3EEF78B469"/>
    <w:docVar w:name="LW_CROSSREFERENCE" w:val="&lt;UNUSED&gt;"/>
    <w:docVar w:name="LW_DocType" w:val="COM"/>
    <w:docVar w:name="LW_EMISSION" w:val="22.6.2017"/>
    <w:docVar w:name="LW_EMISSION_ISODATE" w:val="2017-06-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5"/>
    <w:docVar w:name="LW_REF.II.NEW.CP_YEAR" w:val="2017"/>
    <w:docVar w:name="LW_REF.INST.NEW" w:val="COM"/>
    <w:docVar w:name="LW_REF.INST.NEW_ADOPTED" w:val="final"/>
    <w:docVar w:name="LW_REF.INST.NEW_TEXT" w:val="(2017) 332"/>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53?\u1086?\u1074?\u1072? \u1047?\u1077?\u1083?\u1072?\u1085?\u1076?\u1080?\u1103? \u1074? \u1089?\u1098?\u1086?\u1090?\u1074?\u1077?\u1090?\u1089?\u1090?\u1074?\u1080?\u1077? \u1089? \u1095?\u1083?\u1077?\u1085? XXIV, \u1087?\u1072?\u1088?\u1072?\u1075?\u1088?\u1072?\u1092? 6 \u1080? \u1095?\u1083?\u1077?\u1085? XXVIII \u1086?\u1090? \u1054?\u1073?\u1097?\u1086?\u1090?\u1086? \u1089?\u1087?\u1086?\u1088?\u1072?\u1079?\u1091?\u1084?\u1077?\u1085?\u1080?\u1077? \u1079?\u1072? \u1084?\u1080?\u1090?\u1072?\u1090?\u1072? \u1080? \u1090?\u1098?\u1088?\u1075?\u1086?\u1074?\u1080?\u1103?\u1090?\u1072? (\u1043?\u1040?\u1058?\u1058?) \u1086?\u1090? 1994 \u1075?. \u1074?\u1098?\u1074? \u1074?\u1088?\u1098?\u1079?\u1082?\u1072? \u1089? \u1080?\u1079?\u1084?\u1077?\u1085?\u1077?\u1085?\u1080?\u1077?\u1090?\u1086? \u1085?\u1072? \u1086?\u1090?\u1089?\u1090?\u1098?\u1087?\u1082?\u1080?\u1090?\u1077? \u1074? \u1089?\u1087?\u1080?\u1089?\u1098?\u1082?\u1072? \u1085?\u1072? \u1056?\u1077?\u1087?\u1091?\u1073?\u1083?\u1080?\u1082?\u1072? \u1061?\u1098?\u1088?\u1074?\u1072?\u1090?\u1080?\u1103? \u1074? \u1087?\u1088?\u1086?\u1094?\u1077?\u1089?\u1072? \u1085?\u1072? \u1087?\u1088?\u1080?\u1089?\u1098?\u1077?\u1076?\u1080?\u1085?\u1103?\u1074?\u1072?\u1085?\u1077?\u1090?\u1086? \u1117? \u1082?\u1098?\u1084?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57DE-E53D-4C1B-AA0A-BB4762DD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1201</Words>
  <Characters>6744</Characters>
  <Application>Microsoft Office Word</Application>
  <DocSecurity>0</DocSecurity>
  <Lines>217</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2017-06-08T14:36:00Z</dcterms:created>
  <dcterms:modified xsi:type="dcterms:W3CDTF">2017-06-13T09:08:00Z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