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8EEC5B374B4124918452D0D0417ABA" style="width:449.8pt;height:366.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de coopération scientifique et technologique entre la Communauté européenne et la République fédérative du Brésil</w:t>
      </w:r>
      <w:r>
        <w:rPr>
          <w:rStyle w:val="FootnoteReference"/>
          <w:noProof/>
        </w:rPr>
        <w:footnoteReference w:id="1"/>
      </w:r>
      <w:r>
        <w:rPr>
          <w:noProof/>
        </w:rPr>
        <w:t xml:space="preserve"> (ci-après, l’«accord») est entré en vigueur le 7 août 2007. L’article XII, paragraphe 2, de l’accord prévoit qu’il «est initialement valable pendant cinq ans et peut être renouvelé d’un commun accord entre les parties après évaluation au cours de l’avant-dernière année de chaque nouvelle période de renouvellement». L’accord a été renouvelé pour la dernière fois en 2012 et restera en vigueur jusqu’au 7 août 2017, à moins que les parties ne le renouvellent pour une période supplémentaire de cinq ans.</w:t>
      </w:r>
    </w:p>
    <w:p>
      <w:pPr>
        <w:pBdr>
          <w:top w:val="nil"/>
          <w:left w:val="nil"/>
          <w:bottom w:val="nil"/>
          <w:right w:val="nil"/>
          <w:between w:val="nil"/>
          <w:bar w:val="nil"/>
        </w:pBdr>
        <w:spacing w:before="0" w:after="240"/>
        <w:rPr>
          <w:noProof/>
        </w:rPr>
      </w:pPr>
      <w:r>
        <w:rPr>
          <w:noProof/>
        </w:rPr>
        <w:t>Depuis le dernier renouvellement de l’accord (décision 2012/646/UE</w:t>
      </w:r>
      <w:r>
        <w:rPr>
          <w:rStyle w:val="FootnoteReference"/>
          <w:noProof/>
        </w:rPr>
        <w:footnoteReference w:id="2"/>
      </w:r>
      <w:r>
        <w:rPr>
          <w:noProof/>
        </w:rPr>
        <w:t>), le Brésil a accompli des progrès significatifs en matière de politique scientifique, technologique et d'innovation (STI), ce qui a contribué au renforcement institutionnel du système STI. Les effectifs et les qualifications des ressources humaines, ainsi que les infrastructures de recherche et développement ont notamment été améliorés. Le Brésil reste à la pointe de la recherche dans le domaine de l’agriculture, ainsi qu’en ce qui concerne les maladies infectieuses et tropicales. Il est aussi un acteur de rang mondial dans les domaines des technologies de l’information et de la communication, des nanotechnologies et de l’énergie et on y trouve certaines des plus grandes universités d’Amérique latine. Ces domaines de recherche présentent un intérêt pour l’Union européenne. Les liens entre le Brésil et l’UE dans les domaines de la science, de la technologie et de l’innovation se sont resserrés grâce à une intense coopération au niveau de l’UE et des États membres.</w:t>
      </w:r>
    </w:p>
    <w:p>
      <w:pPr>
        <w:pBdr>
          <w:top w:val="nil"/>
          <w:left w:val="nil"/>
          <w:bottom w:val="nil"/>
          <w:right w:val="nil"/>
          <w:between w:val="nil"/>
          <w:bar w:val="nil"/>
        </w:pBdr>
        <w:spacing w:before="0" w:after="240"/>
        <w:rPr>
          <w:noProof/>
        </w:rPr>
      </w:pPr>
      <w:r>
        <w:rPr>
          <w:noProof/>
        </w:rPr>
        <w:t>L’évaluation effectuée par la Commission démontre clairement que l’accord constitue un cadre important pour faciliter la coopération entre l’UE et le Brésil dans des domaines scientifiques et technologiques prioritaires communs qui apportent des avantages mutuels. Le potentiel du Brésil en tant que partenaire dans le domaine de la recherche et de l’innovation continuant d’augmenter, il convient de considérer ce pays comme un partenaire stratégique pour l’UE en Amérique latine. Les principaux instruments de coopération sont les programmes-cadres de l’Union pour la recherche et l’innovation. Parmi les pays tiers non associés, le Brésil est le sixième pays le plus actif dans le 7</w:t>
      </w:r>
      <w:r>
        <w:rPr>
          <w:noProof/>
          <w:vertAlign w:val="superscript"/>
        </w:rPr>
        <w:t>e</w:t>
      </w:r>
      <w:r>
        <w:rPr>
          <w:noProof/>
        </w:rPr>
        <w:t xml:space="preserve"> PC (2007-2013) et le cinquième dans le cadre d’Horizon 2020 à ce jour. La coopération entre l’UE et la communauté des chercheurs brésiliens a conduit, entre autres résultats, à la mise au point d’un nouveau médicament contre la maladie de Chagas (déjà enregistré auprès de la Food and Drug Administration pour commencer les essais cliniques) et au développement d’un nouveau procédé de prétraitement de la biomasse pour le bioéthanol avancé (permettant la création de la première usine pour l’exploitation commerciale du bioéthanol avancé en Europe).</w:t>
      </w:r>
    </w:p>
    <w:p>
      <w:pPr>
        <w:pBdr>
          <w:top w:val="nil"/>
          <w:left w:val="nil"/>
          <w:bottom w:val="nil"/>
          <w:right w:val="nil"/>
          <w:between w:val="nil"/>
          <w:bar w:val="nil"/>
        </w:pBdr>
        <w:spacing w:before="0" w:after="240"/>
        <w:rPr>
          <w:noProof/>
        </w:rPr>
      </w:pPr>
      <w:r>
        <w:rPr>
          <w:noProof/>
        </w:rPr>
        <w:t>Il est donc dans l’intérêt de l’UE de renouveler l’accord de coopération scientifique et technologique entre la Communauté européenne et la République fédérative du Brésil pour une autre période de cinq ans.</w:t>
      </w:r>
    </w:p>
    <w:p>
      <w:pPr>
        <w:pBdr>
          <w:top w:val="nil"/>
          <w:left w:val="nil"/>
          <w:bottom w:val="nil"/>
          <w:right w:val="nil"/>
          <w:between w:val="nil"/>
          <w:bar w:val="nil"/>
        </w:pBdr>
        <w:spacing w:before="0" w:after="240"/>
        <w:rPr>
          <w:noProof/>
        </w:rPr>
      </w:pPr>
      <w:r>
        <w:rPr>
          <w:noProof/>
        </w:rPr>
        <w:t>Les deux parties ont confirmé leur volonté de renouveler l’accord par échange de lettres, datées du 14 novembre 2016 et du 5 janvier 2017.</w:t>
      </w:r>
    </w:p>
    <w:p>
      <w:pPr>
        <w:pBdr>
          <w:top w:val="nil"/>
          <w:left w:val="nil"/>
          <w:bottom w:val="nil"/>
          <w:right w:val="nil"/>
          <w:between w:val="nil"/>
          <w:bar w:val="nil"/>
        </w:pBdr>
        <w:spacing w:before="0" w:after="240"/>
        <w:rPr>
          <w:noProof/>
        </w:rPr>
      </w:pPr>
      <w:r>
        <w:rPr>
          <w:noProof/>
        </w:rPr>
        <w:t xml:space="preserve">Le contenu de l’accord renouvelé sera identique à celui de l’actuel accord, tel qu’il a été examiné et approuvé avec la partie brésilienne.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Cette initiative est pleinement conforme à la stratégie de coopération internationale de l’UE dans la recherche et l’innovation</w:t>
      </w:r>
      <w:r>
        <w:rPr>
          <w:rStyle w:val="FootnoteReference"/>
          <w:noProof/>
        </w:rPr>
        <w:footnoteReference w:id="3"/>
      </w:r>
      <w:r>
        <w:rPr>
          <w:noProof/>
        </w:rPr>
        <w:t>. La stratégie de l’UE énonce clairement que les accords en matière de science et technologie sont des instruments importants dans la définition et la mise en œuvre des feuilles de route pluriannuelles pour la coopération avec les pays tiers. Cet accord est également un moyen de mettre en œuvre la stratégie de coopération internationale de l’UE dans la recherche et l’innovation, qui appelle à davantage d’internationalisation et d’ouverture dans le paysage de la recherche et de l’innovation en Europe.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stratégie globale pour la politique étrangère et de sécurité de l’UE confirme que la coopération en matière de recherche est un aspect important de la politique étrangère de l’UE et considère que cette coopération est un élément essentiel pour renforcer les liens socio-économiques, notamment avec les pays d’Amérique latine.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before="60" w:after="60"/>
        <w:rPr>
          <w:noProof/>
        </w:rPr>
      </w:pPr>
      <w:r>
        <w:rPr>
          <w:noProof/>
        </w:rPr>
        <w:t>La compétence de l’Union pour agir au niveau international dans le domaine de la recherche et du développement technologique est fondée sur l’article 186 du TFUE. La base juridique procédurale de la proposition est l’article 218, paragraphe 6, point a) v),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Cette initiative n’est pas intégrée dans le programme REFIT.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Seules des ressources humaines et administratives sont nécessaires; elles sont exposées dans la fiche financière législative.</w:t>
      </w:r>
    </w:p>
    <w:p>
      <w:pPr>
        <w:pStyle w:val="ManualHeading2"/>
        <w:ind w:left="0" w:firstLine="0"/>
        <w:rPr>
          <w:noProof/>
        </w:rPr>
      </w:pPr>
    </w:p>
    <w:p>
      <w:pPr>
        <w:ind w:left="850" w:hanging="850"/>
        <w:rPr>
          <w:rFonts w:eastAsia="Times New Roman"/>
          <w:noProof/>
          <w:szCs w:val="24"/>
        </w:rPr>
      </w:pPr>
      <w:r>
        <w:rPr>
          <w:noProof/>
        </w:rPr>
        <w:t>Eu égard aux considérations qui précèdent, la Commission propose que le Conseil:</w:t>
      </w:r>
    </w:p>
    <w:p>
      <w:pPr>
        <w:rPr>
          <w:rFonts w:eastAsia="Times New Roman"/>
          <w:noProof/>
          <w:szCs w:val="24"/>
        </w:rPr>
      </w:pPr>
      <w:r>
        <w:rPr>
          <w:b/>
          <w:smallCaps/>
          <w:noProof/>
        </w:rPr>
        <w:t>-</w:t>
      </w:r>
      <w:r>
        <w:rPr>
          <w:noProof/>
        </w:rPr>
        <w:tab/>
        <w:t xml:space="preserve">approuve, au nom de l’Union, et après approbation du Parlement européen, le renouvellement de l’accord de coopération scientifique et technologique entre la Communauté européenne et la République fédérative du Brésil qui s’appliquera, après l’expiration de la période de cinq ans, pour une période supplémentaire de cinq ans (à savoir, du 8 août 2017 au 7 août 2022); </w:t>
      </w:r>
    </w:p>
    <w:p>
      <w:pPr>
        <w:rPr>
          <w:rFonts w:eastAsia="Times New Roman"/>
          <w:noProof/>
          <w:szCs w:val="24"/>
        </w:rPr>
      </w:pPr>
      <w:r>
        <w:rPr>
          <w:noProof/>
        </w:rPr>
        <w:t>-</w:t>
      </w:r>
      <w:r>
        <w:rPr>
          <w:noProof/>
        </w:rPr>
        <w:tab/>
        <w:t xml:space="preserve">autorise le président du Conseil à désigner la ou les personnes habilitées à notifier au gouvernement de la République fédérative du Brésil que l'Union a accompli les procédures internes nécessaires à l'entrée en vigueur de l'accord renouvelé.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concernant le renouvellement de l’accord de coopération scientifique et technologique entre la Communauté européenne et la République fédérative du Brésil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186, en liaison avec son 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Par la décision 2005/781/CE</w:t>
      </w:r>
      <w:r>
        <w:rPr>
          <w:rStyle w:val="FootnoteReference"/>
          <w:noProof/>
        </w:rPr>
        <w:footnoteReference w:id="4"/>
      </w:r>
      <w:r>
        <w:rPr>
          <w:noProof/>
        </w:rPr>
        <w:t>, le Conseil a approuvé la conclusion de l’accord de coopération scientifique et technologique entre la Communauté européenne et la République fédérative du Brésil (ci-après, l’«accord»).</w:t>
      </w:r>
    </w:p>
    <w:p>
      <w:pPr>
        <w:pStyle w:val="ManualConsidrant"/>
        <w:rPr>
          <w:noProof/>
        </w:rPr>
      </w:pPr>
      <w:r>
        <w:t>(2)</w:t>
      </w:r>
      <w:r>
        <w:tab/>
      </w:r>
      <w:r>
        <w:rPr>
          <w:noProof/>
        </w:rPr>
        <w:t xml:space="preserve">L’accord, conformément à son article XII, entre en vigueur à la date à laquelle les deux parties se sont notifié par écrit l'accomplissement des procédures internes respectives nécessaires à cet effet. L'accord est initialement valable pendant cinq ans et peut être renouvelé d'un commun accord entre les parties après évaluation au cours de l'avant-dernière année de chaque nouvelle période de renouvellement. </w:t>
      </w:r>
    </w:p>
    <w:p>
      <w:pPr>
        <w:pStyle w:val="ManualConsidrant"/>
        <w:rPr>
          <w:noProof/>
        </w:rPr>
      </w:pPr>
      <w:r>
        <w:t>(3)</w:t>
      </w:r>
      <w:r>
        <w:tab/>
      </w:r>
      <w:r>
        <w:rPr>
          <w:noProof/>
        </w:rPr>
        <w:t>Par la décision 2012/646/UE</w:t>
      </w:r>
      <w:r>
        <w:rPr>
          <w:rStyle w:val="FootnoteReference"/>
          <w:noProof/>
        </w:rPr>
        <w:footnoteReference w:id="5"/>
      </w:r>
      <w:r>
        <w:rPr>
          <w:noProof/>
        </w:rPr>
        <w:t>, le Conseil a approuvé le renouvellement de l’accord pour une durée supplémentaire de cinq ans.</w:t>
      </w:r>
    </w:p>
    <w:p>
      <w:pPr>
        <w:pStyle w:val="ManualConsidrant"/>
        <w:rPr>
          <w:noProof/>
        </w:rPr>
      </w:pPr>
      <w:r>
        <w:t>(4)</w:t>
      </w:r>
      <w:r>
        <w:tab/>
      </w:r>
      <w:r>
        <w:rPr>
          <w:noProof/>
        </w:rPr>
        <w:t>L’échange de lettres entre les parties, datées du 14 novembre 2016 et du 5 janvier 2017, a confirmé leur intérêt à renouveler l’accord pour une période supplémentaire de cinq ans.</w:t>
      </w:r>
    </w:p>
    <w:p>
      <w:pPr>
        <w:pStyle w:val="ManualConsidrant"/>
        <w:rPr>
          <w:noProof/>
        </w:rPr>
      </w:pPr>
      <w:r>
        <w:t>(5)</w:t>
      </w:r>
      <w:r>
        <w:tab/>
      </w:r>
      <w:r>
        <w:rPr>
          <w:noProof/>
        </w:rPr>
        <w:t>À la suite de l'entrée en vigueur du traité de Lisbonne le 1</w:t>
      </w:r>
      <w:r>
        <w:rPr>
          <w:noProof/>
          <w:vertAlign w:val="superscript"/>
        </w:rPr>
        <w:t>er</w:t>
      </w:r>
      <w:r>
        <w:rPr>
          <w:noProof/>
        </w:rPr>
        <w:t> décembre 2009, l'Union européenne s'est substituée et a succédé à la Communauté européenne.</w:t>
      </w:r>
    </w:p>
    <w:p>
      <w:pPr>
        <w:pStyle w:val="ManualConsidrant"/>
        <w:rPr>
          <w:noProof/>
        </w:rPr>
      </w:pPr>
      <w:r>
        <w:t>(6)</w:t>
      </w:r>
      <w:r>
        <w:tab/>
      </w:r>
      <w:r>
        <w:rPr>
          <w:noProof/>
        </w:rPr>
        <w:t>Il y a lieu d'approuver le renouvellement de l'accord au nom de l'Union,</w:t>
      </w:r>
    </w:p>
    <w:p>
      <w:pPr>
        <w:pStyle w:val="Formuledadoption"/>
        <w:rPr>
          <w:noProof/>
        </w:rPr>
      </w:pPr>
      <w:r>
        <w:rPr>
          <w:noProof/>
        </w:rPr>
        <w:t>A ADOPTÉ LA PRÉSENTE DÉCISION:</w:t>
      </w:r>
    </w:p>
    <w:p>
      <w:pPr>
        <w:pStyle w:val="Titrearticle"/>
        <w:rPr>
          <w:noProof/>
        </w:rPr>
      </w:pPr>
      <w:r>
        <w:rPr>
          <w:noProof/>
        </w:rPr>
        <w:t>Article premier</w:t>
      </w:r>
    </w:p>
    <w:p>
      <w:r>
        <w:rPr>
          <w:noProof/>
        </w:rPr>
        <w:t>Le renouvellement de l'accord de coopération scientifique et technologique entre la Communauté européenne et la République fédérative du Brésil pour une période supplémentaire de cinq ans est approuvé au nom de l'Union européenne.</w:t>
      </w:r>
    </w:p>
    <w:p>
      <w:pPr>
        <w:pStyle w:val="Titrearticle"/>
        <w:rPr>
          <w:noProof/>
        </w:rPr>
      </w:pPr>
      <w:r>
        <w:rPr>
          <w:noProof/>
        </w:rPr>
        <w:t>Article 2</w:t>
      </w:r>
    </w:p>
    <w:p>
      <w:pPr>
        <w:keepLines/>
        <w:rPr>
          <w:rFonts w:eastAsia="Times New Roman"/>
          <w:noProof/>
          <w:szCs w:val="24"/>
        </w:rPr>
      </w:pPr>
      <w:r>
        <w:rPr>
          <w:noProof/>
        </w:rPr>
        <w:t>Le président du Conseil désigne la ou les personnes habilitées à notifier au gouvernement de la République fédérative du Brésil, au nom de l’Union et conformément à l’article XII, paragraphe 2, de l’accord, que l’Union a accompli les procédures internes nécessaires à l’entrée en vigueur de l’accord renouvelé et à procéder à la notification suivante au Brésil:</w:t>
      </w:r>
    </w:p>
    <w:p>
      <w:pPr>
        <w:keepLines/>
        <w:rPr>
          <w:rFonts w:eastAsia="Times New Roman"/>
          <w:noProof/>
          <w:szCs w:val="24"/>
        </w:rPr>
      </w:pPr>
      <w:r>
        <w:rPr>
          <w:noProof/>
        </w:rPr>
        <w:t>«À la suite de l’entrée en vigueur du traité de Lisbonne le 1</w:t>
      </w:r>
      <w:r>
        <w:rPr>
          <w:noProof/>
          <w:vertAlign w:val="superscript"/>
        </w:rPr>
        <w:t>er</w:t>
      </w:r>
      <w:r>
        <w:rPr>
          <w:noProof/>
        </w:rPr>
        <w:t> décembre 2009, l’Union européenne s’est substituée et a succédé à la Communauté européenne et, à compter de cette date, exerce tous les droits et assume toutes les obligations de la Communauté européenne. Par conséquent, les références à la Communauté européenne dans le texte de l'accord s'entendent, le cas échéant, comme faites à l'Union européenne».</w:t>
      </w:r>
    </w:p>
    <w:p>
      <w:pPr>
        <w:pStyle w:val="Titrearticle"/>
        <w:rPr>
          <w:noProof/>
        </w:rPr>
      </w:pPr>
      <w:r>
        <w:rPr>
          <w:noProof/>
        </w:rPr>
        <w:t>Article 3</w:t>
      </w:r>
    </w:p>
    <w:p>
      <w:pPr>
        <w:keepLines/>
        <w:rPr>
          <w:noProof/>
        </w:rPr>
      </w:pPr>
      <w:r>
        <w:rPr>
          <w:noProof/>
        </w:rPr>
        <w:t xml:space="preserve">La présente décision entre en vigueur le jour de son adoption. </w:t>
      </w:r>
    </w:p>
    <w:p>
      <w:pPr>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concernant le renouvellement de l'accord de coopération scientifique et technologique entre la Communauté européenne et la République fédérative du Brésil</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t>1.2.</w:t>
      </w:r>
      <w:r>
        <w:tab/>
      </w:r>
      <w:r>
        <w:rPr>
          <w:noProof/>
        </w:rPr>
        <w:t>Domaine(s) politique(s) concerné(s) dans la structure ABM/ABB</w:t>
      </w:r>
      <w:r>
        <w:rPr>
          <w:rStyle w:val="FootnoteReference"/>
          <w:noProof/>
        </w:rPr>
        <w:footnoteReference w:id="6"/>
      </w:r>
    </w:p>
    <w:p>
      <w:pPr>
        <w:pStyle w:val="Text1"/>
        <w:pBdr>
          <w:top w:val="single" w:sz="4" w:space="1" w:color="auto"/>
          <w:left w:val="single" w:sz="4" w:space="4" w:color="auto"/>
          <w:bottom w:val="single" w:sz="4" w:space="1" w:color="auto"/>
          <w:right w:val="single" w:sz="4" w:space="4" w:color="auto"/>
        </w:pBdr>
        <w:rPr>
          <w:noProof/>
        </w:rPr>
      </w:pPr>
      <w:r>
        <w:rPr>
          <w:noProof/>
        </w:rPr>
        <w:t>Stratégie politique et coordination, en particulier, des directions générales RTD, AGRI, CLIMA, JRC, EAC, ENER, GROW, CNECT et MOVE</w:t>
      </w:r>
      <w:r>
        <w:t>.</w:t>
      </w:r>
    </w:p>
    <w:p>
      <w:pPr>
        <w:pStyle w:val="ManualHeading2"/>
        <w:rPr>
          <w:bCs/>
          <w:noProof/>
          <w:szCs w:val="24"/>
        </w:rPr>
      </w:pPr>
      <w:r>
        <w:t>1.3.</w:t>
      </w:r>
      <w:r>
        <w:tab/>
      </w:r>
      <w:r>
        <w:rPr>
          <w:noProof/>
        </w:rPr>
        <w:t>Nature de la proposition/de l’initiative</w:t>
      </w:r>
    </w:p>
    <w:p>
      <w:pPr>
        <w:pStyle w:val="Text1"/>
        <w:rPr>
          <w:b/>
          <w:noProof/>
          <w:sz w:val="22"/>
        </w:rPr>
      </w:pPr>
      <w:r>
        <w:rPr>
          <w:noProof/>
          <w:sz w:val="22"/>
        </w:rPr>
        <w:sym w:font="Wingdings" w:char="F0A8"/>
      </w:r>
      <w:r>
        <w:rPr>
          <w:noProof/>
        </w:rPr>
        <w:t xml:space="preserve">La proposition/l'initiative porte sur </w:t>
      </w:r>
      <w:r>
        <w:rPr>
          <w:b/>
          <w:noProof/>
        </w:rPr>
        <w:t>une action nouvelle</w:t>
      </w:r>
    </w:p>
    <w:p>
      <w:pPr>
        <w:pStyle w:val="Text1"/>
        <w:rPr>
          <w:noProof/>
          <w:sz w:val="22"/>
        </w:rPr>
      </w:pPr>
      <w:r>
        <w:rPr>
          <w:noProof/>
          <w:sz w:val="22"/>
        </w:rPr>
        <w:sym w:font="Wingdings" w:char="F0A8"/>
      </w:r>
      <w:r>
        <w:rPr>
          <w:noProof/>
        </w:rPr>
        <w:t xml:space="preserve">La proposition/l’initiative porte sur </w:t>
      </w:r>
      <w:r>
        <w:rPr>
          <w:b/>
          <w:noProof/>
        </w:rPr>
        <w:t>une action nouvelle suite à un projet pilote/une action préparatoire</w:t>
      </w:r>
      <w:r>
        <w:rPr>
          <w:rStyle w:val="FootnoteReference"/>
          <w:b/>
          <w:noProof/>
        </w:rPr>
        <w:footnoteReference w:id="7"/>
      </w:r>
    </w:p>
    <w:p>
      <w:pPr>
        <w:pStyle w:val="Text1"/>
        <w:rPr>
          <w:noProof/>
          <w:sz w:val="22"/>
        </w:rPr>
      </w:pPr>
      <w:r>
        <w:rPr>
          <w:noProof/>
        </w:rPr>
        <w:sym w:font="Wingdings" w:char="F0FE"/>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noProof/>
        </w:rPr>
        <w:t xml:space="preserve">La proposition/l’initiative porte sur </w:t>
      </w:r>
      <w:r>
        <w:rPr>
          <w:b/>
          <w:noProof/>
        </w:rPr>
        <w:t>une action réorientée vers une action nouvelle</w:t>
      </w:r>
    </w:p>
    <w:p>
      <w:pPr>
        <w:pStyle w:val="ManualHeading2"/>
        <w:rPr>
          <w:bCs/>
          <w:noProof/>
          <w:szCs w:val="24"/>
        </w:rPr>
      </w:pPr>
      <w:r>
        <w:t>1.4.</w:t>
      </w:r>
      <w:r>
        <w:tab/>
      </w:r>
      <w:r>
        <w:rPr>
          <w:noProof/>
        </w:rPr>
        <w:t>Objectif(s)</w:t>
      </w:r>
    </w:p>
    <w:p>
      <w:pPr>
        <w:pStyle w:val="ManualHeading3"/>
        <w:rPr>
          <w:noProof/>
        </w:rPr>
      </w:pPr>
      <w:r>
        <w:t>1.4.1.</w:t>
      </w:r>
      <w:r>
        <w:tab/>
      </w:r>
      <w:r>
        <w:rPr>
          <w:noProof/>
        </w:rPr>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La présente initiative permettra aux deux parties d'améliorer et d'intensifier leur coopération dans des domaines scientifiques et technologiques d'intérêt commun.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La présente décision devrait permettre aux deux parties de renforcer la coopération et de mettre en place un partenariat plus stratégique en augmentant l’ampleur et la portée de la coopération existante, en relevant les grands défis de société en commun et en promouvant l’accès réciproque aux programmes et au financement. Elle permettra également d’accroître la coopération régionale, si besoin est.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présente décision permettra aussi bien au Brésil qu'à l'Union européenne de tirer mutuellement profit des progrès scientifiques et techniques réalisés grâce à la recherche dans le cadre de leurs programmes de recherche respectifs et leurs activités de coopération en cours. Elle permettra un échange de connaissances spécifiques et un transfert de savoir-faire au bénéfice de la communauté scientifique, des entreprises et des citoyens des deux parties.</w:t>
      </w:r>
    </w:p>
    <w:p>
      <w:pPr>
        <w:pStyle w:val="ManualHeading3"/>
        <w:rPr>
          <w:bCs/>
          <w:noProof/>
          <w:szCs w:val="24"/>
        </w:rPr>
      </w:pPr>
      <w:r>
        <w:t>1.4.4.</w:t>
      </w:r>
      <w:r>
        <w:tab/>
      </w:r>
      <w:r>
        <w:rPr>
          <w:noProof/>
        </w:rPr>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Commission contrôlera régulièrement toutes les actions menées dans le cadre de l’accord, y compris les activités de coopération. Son évaluation portera sur les points suivants, entre autres:</w:t>
      </w:r>
    </w:p>
    <w:p>
      <w:pPr>
        <w:pStyle w:val="Text1"/>
        <w:pBdr>
          <w:top w:val="single" w:sz="4" w:space="1" w:color="auto"/>
          <w:left w:val="single" w:sz="4" w:space="4" w:color="auto"/>
          <w:bottom w:val="single" w:sz="4" w:space="1" w:color="auto"/>
          <w:right w:val="single" w:sz="4" w:space="4" w:color="auto"/>
        </w:pBdr>
        <w:rPr>
          <w:noProof/>
        </w:rPr>
      </w:pPr>
      <w:r>
        <w:rPr>
          <w:noProof/>
        </w:rPr>
        <w:t>a) les indicateurs de la coopération — analyse du nombre et du type de participations d’entités brésiliennes à des programmes financés par l’UE (par exemple, le nombre de propositions, le nombre de conventions de subvention signées, les principaux liens de collaboration, les principaux domaines; les réalisations) et inversement (lorsque les données sont disponibles);</w:t>
      </w:r>
    </w:p>
    <w:p>
      <w:pPr>
        <w:pStyle w:val="Text1"/>
        <w:pBdr>
          <w:top w:val="single" w:sz="4" w:space="1" w:color="auto"/>
          <w:left w:val="single" w:sz="4" w:space="4" w:color="auto"/>
          <w:bottom w:val="single" w:sz="4" w:space="1" w:color="auto"/>
          <w:right w:val="single" w:sz="4" w:space="4" w:color="auto"/>
        </w:pBdr>
        <w:rPr>
          <w:noProof/>
        </w:rPr>
      </w:pPr>
      <w:r>
        <w:rPr>
          <w:noProof/>
        </w:rPr>
        <w:t>b) les indicateurs de performance — taux de réussite des entités brésiliennes qui participent aux programmes-cadres de l’UE par rapport à d’autres pays tiers et aux États membres/pays associés à un programme-cadre de recherche; analyse de la qualité de la participation (par exemple, le nombre d’universités les mieux classées participant au programme, le nombre de brevets et de publications provenant de projets collaboratifs);</w:t>
      </w:r>
    </w:p>
    <w:p>
      <w:pPr>
        <w:pStyle w:val="Text1"/>
        <w:pBdr>
          <w:top w:val="single" w:sz="4" w:space="1" w:color="auto"/>
          <w:left w:val="single" w:sz="4" w:space="4" w:color="auto"/>
          <w:bottom w:val="single" w:sz="4" w:space="1" w:color="auto"/>
          <w:right w:val="single" w:sz="4" w:space="4" w:color="auto"/>
        </w:pBdr>
        <w:rPr>
          <w:noProof/>
        </w:rPr>
      </w:pPr>
      <w:r>
        <w:rPr>
          <w:noProof/>
        </w:rPr>
        <w:t>c) la collecte de données concernant les activités et les liens de coopération au-delà des programmes de financement de la recherche respectifs et l’évaluation de l’impact de ces activités, telles que la participation à des initiatives multilatérales et des groupes de travail.</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La présente décision permettra aux deux parties de poursuivre l'amélioration et l'intensification de leur coopération dans des domaines scientifiques et technologiques d'intérêt mutuel.</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coopération en matière de recherche et d’innovation entre le Brésil et l’UE et ses États membres n’a cessé de croître au cours des dernières années. L’intervention de l’UE permet des activités dont l’ampleur et la portée sont plus grandes, au bénéfice de tous les États membres. Le renouvellement de cet accord permettra à l’UE d’avoir un accès plus aisé aux connaissances scientifiques produites au Brésil et de s’engager dans plus d’activités de coopération augmentant l’échange de connaissances et de technologies. Il fournira également aux entreprises européennes un accès plus aisé au marché brésilien.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Sur la base de l’expérience acquise jusqu’à présent en matière de coopération scientifique et technologique, il est jugé souhaitable pour les deux parties de poursuivre la coopération en matière de recherche avec le Brésil, qui est un partenaire stratégique de l’Union dans le domaine de la recherche et de l’innovation.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 renouvellement de l’accord avec le Brésil est considéré comme pleinement compatible avec le cadre stratégique global de coopération internationale dans la recherche et l’innovation [COM(2012)497].</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r>
        <w:t>1.6.</w:t>
      </w:r>
      <w:r>
        <w:tab/>
      </w:r>
      <w:r>
        <w:rPr>
          <w:noProof/>
        </w:rPr>
        <w:t>Durée et incidence financière</w:t>
      </w:r>
    </w:p>
    <w:p>
      <w:pPr>
        <w:pStyle w:val="Text1"/>
        <w:rPr>
          <w:noProof/>
        </w:rPr>
      </w:pPr>
      <w:r>
        <w:rPr>
          <w:noProof/>
        </w:rPr>
        <w:sym w:font="Wingdings" w:char="F0FE"/>
      </w:r>
      <w:r>
        <w:rPr>
          <w:noProof/>
        </w:rPr>
        <w:t xml:space="preserve">Proposition/initiative à </w:t>
      </w:r>
      <w:r>
        <w:rPr>
          <w:b/>
          <w:noProof/>
        </w:rPr>
        <w:t>durée limitée</w:t>
      </w:r>
    </w:p>
    <w:p>
      <w:pPr>
        <w:pStyle w:val="ListDash2"/>
        <w:rPr>
          <w:noProof/>
        </w:rPr>
      </w:pPr>
      <w:r>
        <w:rPr>
          <w:noProof/>
        </w:rPr>
        <w:sym w:font="Wingdings" w:char="F0FE"/>
      </w:r>
      <w:r>
        <w:rPr>
          <w:noProof/>
        </w:rPr>
        <w:tab/>
        <w:t>Proposition/initiative en vigueur du 8.8.2017 au 7.8.2022.</w:t>
      </w:r>
    </w:p>
    <w:p>
      <w:pPr>
        <w:pStyle w:val="ListDash2"/>
        <w:rPr>
          <w:noProof/>
        </w:rPr>
      </w:pPr>
      <w:r>
        <w:rPr>
          <w:noProof/>
        </w:rPr>
        <w:sym w:font="Wingdings" w:char="F0FE"/>
      </w:r>
      <w:r>
        <w:rPr>
          <w:noProof/>
        </w:rPr>
        <w:tab/>
        <w:t>Incidence financière de AAAA jusqu'en AAAA</w:t>
      </w:r>
    </w:p>
    <w:p>
      <w:pPr>
        <w:pStyle w:val="Text1"/>
        <w:rPr>
          <w:noProof/>
        </w:rPr>
      </w:pPr>
      <w:r>
        <w:rPr>
          <w:noProof/>
        </w:rPr>
        <w:sym w:font="Wingdings" w:char="F0A8"/>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8"/>
      </w:r>
    </w:p>
    <w:p>
      <w:pPr>
        <w:pStyle w:val="Text1"/>
        <w:rPr>
          <w:noProof/>
        </w:rPr>
      </w:pPr>
      <w:r>
        <w:rPr>
          <w:noProof/>
        </w:rPr>
        <w:sym w:font="Wingdings" w:char="F0FE"/>
      </w:r>
      <w:r>
        <w:rPr>
          <w:b/>
          <w:noProof/>
        </w:rPr>
        <w:t>Gestion directe</w:t>
      </w:r>
      <w:r>
        <w:rPr>
          <w:noProof/>
        </w:rPr>
        <w:t xml:space="preserve"> par la Commission</w:t>
      </w:r>
    </w:p>
    <w:p>
      <w:pPr>
        <w:pStyle w:val="ListDash2"/>
        <w:rPr>
          <w:rFonts w:cs="EUAlbertina"/>
          <w:noProof/>
        </w:rPr>
      </w:pPr>
      <w:r>
        <w:rPr>
          <w:noProof/>
        </w:rPr>
        <w:sym w:font="Wingdings" w:char="F0A8"/>
      </w:r>
      <w:r>
        <w:rPr>
          <w:noProof/>
        </w:rPr>
        <w:t>dans ses services, y compris par l'intermédiaire de son personnel dans les délégations de l’Union;</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A8"/>
      </w:r>
      <w:r>
        <w:rPr>
          <w:b/>
          <w:noProof/>
        </w:rPr>
        <w:t>Gestion partagée</w:t>
      </w:r>
      <w:r>
        <w:rPr>
          <w:noProof/>
        </w:rPr>
        <w:t xml:space="preserve"> avec les États membres</w:t>
      </w:r>
    </w:p>
    <w:p>
      <w:pPr>
        <w:pStyle w:val="Text1"/>
        <w:rPr>
          <w:noProof/>
        </w:rPr>
      </w:pPr>
      <w:r>
        <w:rPr>
          <w:noProof/>
        </w:rPr>
        <w:sym w:font="Wingdings" w:char="F0A8"/>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à des pays tiers ou aux organismes qu'ils ont désignés;</w:t>
      </w:r>
    </w:p>
    <w:p>
      <w:pPr>
        <w:pStyle w:val="ListDash2"/>
        <w:rPr>
          <w:noProof/>
        </w:rPr>
      </w:pPr>
      <w:r>
        <w:rPr>
          <w:noProof/>
        </w:rPr>
        <w:sym w:font="Wingdings" w:char="F0A8"/>
      </w:r>
      <w:r>
        <w:rPr>
          <w:noProof/>
        </w:rPr>
        <w:t>à des organisations internationales et à leurs agences (à préciser);</w:t>
      </w:r>
    </w:p>
    <w:p>
      <w:pPr>
        <w:pStyle w:val="ListDash2"/>
        <w:rPr>
          <w:noProof/>
        </w:rPr>
      </w:pPr>
      <w:r>
        <w:rPr>
          <w:noProof/>
        </w:rPr>
        <w:sym w:font="Wingdings" w:char="F0A8"/>
      </w:r>
      <w:r>
        <w:rPr>
          <w:noProof/>
        </w:rPr>
        <w:t>à la BEI et au Fonds européen d'investissement;</w:t>
      </w:r>
    </w:p>
    <w:p>
      <w:pPr>
        <w:pStyle w:val="ListDash2"/>
        <w:rPr>
          <w:noProof/>
        </w:rPr>
      </w:pPr>
      <w:r>
        <w:rPr>
          <w:noProof/>
        </w:rPr>
        <w:sym w:font="Wingdings" w:char="F0A8"/>
      </w:r>
      <w:r>
        <w:rPr>
          <w:noProof/>
        </w:rPr>
        <w:t>aux organismes visés aux articles 208 et 209 du règlement financier;</w:t>
      </w:r>
    </w:p>
    <w:p>
      <w:pPr>
        <w:pStyle w:val="ListDash2"/>
        <w:rPr>
          <w:noProof/>
        </w:rPr>
      </w:pPr>
      <w:r>
        <w:rPr>
          <w:noProof/>
        </w:rPr>
        <w:sym w:font="Wingdings" w:char="F0A8"/>
      </w:r>
      <w:r>
        <w:rPr>
          <w:noProof/>
        </w:rPr>
        <w:t>à des organismes de droit public;</w:t>
      </w:r>
    </w:p>
    <w:p>
      <w:pPr>
        <w:pStyle w:val="ListDash2"/>
        <w:rPr>
          <w:noProof/>
        </w:rPr>
      </w:pPr>
      <w:r>
        <w:rPr>
          <w:noProof/>
        </w:rPr>
        <w:sym w:font="Wingdings" w:char="F0A8"/>
      </w:r>
      <w:r>
        <w:rPr>
          <w:noProof/>
        </w:rPr>
        <w:t>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0" w:color="auto"/>
          <w:right w:val="single" w:sz="4" w:space="4" w:color="auto"/>
        </w:pBd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La participation du Brésil au programme-cadre fait l'objet d'un suivi régulier dans le cadre de réunions du comité directeur créé en vertu de l'article VI de l'accord.</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Des réunions sont organisées et des contacts bilatéraux ont lieu à intervalles réguliers, ce qui permet un partage d’informations et un contrôle systématiques. Aucun risque n'a été décelé dans le cadre du système de contrôle.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highlight w:val="yellow"/>
        </w:rPr>
      </w:pP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2.2.3.</w:t>
      </w:r>
      <w:r>
        <w:tab/>
      </w:r>
      <w:r>
        <w:rPr>
          <w:noProof/>
        </w:rPr>
        <w:t>Estimation du coût-bénéfice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rPr>
          <w:noProof/>
          <w:highlight w:val="yellow"/>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Lorsque la mise en œuvre du programme-cadre nécessitera le recours à des contractants externes ou impliquera l’octroi de concours financiers à des tiers, la Commission effectuera, au besoin, des audits financiers, en particulier lorsqu’elle aura des raisons de douter du caractère réaliste des travaux exécutés ou décrits dans les rapports d’activité.</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Les audits financiers de l'Union seront effectués soit par son propre personnel, soit par des experts comptables agréés conformément à la législation de la partie soumise à l'audit. L’Union choisira ces derniers librement, en évitant tout risque de conflit d’intérêts que pourrait lui signaler la partie soumise à l’audit. En outre, la Commission s’assurera, dans la mise en œuvre des activités de recherche, que les intérêts financiers de l’Union sont protégés par des vérifications efficaces et, si des irrégularités sont décelées, par des mesures et des sanctions dissuasives et proportionnées.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Afin d'atteindre cet objectif, des règles relatives aux contrôles, mesures et sanctions, par application des règlements (CE, Euratom) nº 2988/95, (Euratom, CE) nº 2185/96 et (CE) n° 1073/1999, seront inscrites dans tous les contrats passés aux fins de la mise en œuvre du programme-cadre.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En particulier, les points suivants devront être prévus dans les contrats: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l’introduction de clauses particulières dans les contrats, visant à protéger les intérêts financiers de l’UE par l’exécution de vérifications et de contrôles en relation avec les travaux effectués;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la mise en œuvre de contrôles administratifs dans le domaine de la lutte antifraude, conformément aux règlements (Euratom, CE) n° 2185/96, (CE) n° 1073/1999 et (Euratom) n° 1074/1999;</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l’application de sanctions administratives pour toutes les irrégularités, volontaires ou dues à la négligence, dans l’exécution des contrats, conformément au règlement général (CE, Euratom) nº 2988/95, y compris l’établissement d’une liste noire;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l’obligation selon laquelle tout ordre de recouvrement en cas d’irrégularités et de fraude doit faire l’objet d’une exécution forcée conformément à l’article 299 du traité sur le fonctionnement de l’Union européenne.</w:t>
      </w:r>
    </w:p>
    <w:p>
      <w:pPr>
        <w:pStyle w:val="Text1"/>
        <w:pBdr>
          <w:top w:val="single" w:sz="4" w:space="1" w:color="auto"/>
          <w:left w:val="single" w:sz="4" w:space="4" w:color="auto"/>
          <w:bottom w:val="single" w:sz="4" w:space="1" w:color="auto"/>
          <w:right w:val="single" w:sz="4" w:space="4" w:color="auto"/>
        </w:pBdr>
        <w:rPr>
          <w:noProof/>
        </w:rPr>
      </w:pPr>
      <w:r>
        <w:rPr>
          <w:noProof/>
        </w:rPr>
        <w:t>De plus, et comme mesure de routine, un programme de contrôles portant sur les aspects scientifiques et budgétaires de la coopération sera effectué par le personnel compétent de la direction générale (DG) Recherche et innovation. Un audit interne sera par ailleurs réalisé par l’unité «audit interne» de la DG Recherche et innovation, et des inspections locales seront assurées par la Cour des comptes européenne.</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ListBullet1"/>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sz w:val="20"/>
              </w:rPr>
              <w:t>[Libellé…...…]</w:t>
            </w:r>
          </w:p>
        </w:tc>
        <w:tc>
          <w:tcPr>
            <w:tcW w:w="1080" w:type="dxa"/>
            <w:vAlign w:val="center"/>
          </w:tcPr>
          <w:p>
            <w:pPr>
              <w:jc w:val="center"/>
              <w:rPr>
                <w:noProof/>
                <w:sz w:val="22"/>
              </w:rPr>
            </w:pPr>
            <w:r>
              <w:rPr>
                <w:noProof/>
                <w:sz w:val="18"/>
              </w:rPr>
              <w:t>CD/CND</w:t>
            </w:r>
            <w:r>
              <w:rPr>
                <w:rStyle w:val="FootnoteReference"/>
                <w:noProof/>
                <w:sz w:val="18"/>
              </w:rPr>
              <w:footnoteReference w:id="9"/>
            </w:r>
            <w:r>
              <w:rPr>
                <w:noProof/>
                <w:sz w:val="18"/>
              </w:rPr>
              <w:t>.</w:t>
            </w:r>
          </w:p>
        </w:tc>
        <w:tc>
          <w:tcPr>
            <w:tcW w:w="956" w:type="dxa"/>
            <w:vAlign w:val="center"/>
          </w:tcPr>
          <w:p>
            <w:pPr>
              <w:jc w:val="center"/>
              <w:rPr>
                <w:noProof/>
                <w:sz w:val="22"/>
              </w:rPr>
            </w:pPr>
            <w:r>
              <w:rPr>
                <w:noProof/>
                <w:sz w:val="18"/>
              </w:rPr>
              <w:t>de pays AELE</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b/>
                <w:noProof/>
                <w:color w:val="0000FF"/>
                <w:sz w:val="22"/>
              </w:rPr>
            </w:pPr>
            <w:r>
              <w:rPr>
                <w:b/>
                <w:noProof/>
              </w:rPr>
              <w:t>1a</w:t>
            </w:r>
          </w:p>
        </w:tc>
        <w:tc>
          <w:tcPr>
            <w:tcW w:w="3960" w:type="dxa"/>
            <w:vAlign w:val="bottom"/>
          </w:tcPr>
          <w:p>
            <w:pPr>
              <w:spacing w:before="60"/>
              <w:jc w:val="center"/>
              <w:rPr>
                <w:b/>
                <w:noProof/>
              </w:rPr>
            </w:pPr>
          </w:p>
          <w:p>
            <w:pPr>
              <w:spacing w:before="60"/>
              <w:jc w:val="center"/>
              <w:rPr>
                <w:b/>
                <w:noProof/>
                <w:sz w:val="22"/>
              </w:rPr>
            </w:pPr>
            <w:r>
              <w:rPr>
                <w:b/>
                <w:noProof/>
              </w:rPr>
              <w:t>08.01.05</w:t>
            </w:r>
          </w:p>
          <w:p>
            <w:pPr>
              <w:spacing w:after="60"/>
              <w:jc w:val="center"/>
              <w:rPr>
                <w:b/>
                <w:noProof/>
                <w:sz w:val="22"/>
              </w:rPr>
            </w:pPr>
          </w:p>
        </w:tc>
        <w:tc>
          <w:tcPr>
            <w:tcW w:w="1080" w:type="dxa"/>
            <w:vAlign w:val="center"/>
          </w:tcPr>
          <w:p>
            <w:pPr>
              <w:jc w:val="center"/>
              <w:rPr>
                <w:b/>
                <w:noProof/>
                <w:color w:val="0000FF"/>
                <w:sz w:val="22"/>
              </w:rPr>
            </w:pPr>
            <w:r>
              <w:rPr>
                <w:b/>
                <w:noProof/>
                <w:sz w:val="22"/>
              </w:rPr>
              <w:t>CND</w:t>
            </w:r>
          </w:p>
        </w:tc>
        <w:tc>
          <w:tcPr>
            <w:tcW w:w="956" w:type="dxa"/>
            <w:vAlign w:val="center"/>
          </w:tcPr>
          <w:p>
            <w:pPr>
              <w:jc w:val="center"/>
              <w:rPr>
                <w:b/>
                <w:noProof/>
                <w:sz w:val="22"/>
              </w:rPr>
            </w:pPr>
            <w:r>
              <w:rPr>
                <w:b/>
                <w:noProof/>
                <w:sz w:val="22"/>
              </w:rPr>
              <w:t>OUI</w:t>
            </w:r>
          </w:p>
        </w:tc>
        <w:tc>
          <w:tcPr>
            <w:tcW w:w="1080" w:type="dxa"/>
            <w:vAlign w:val="center"/>
          </w:tcPr>
          <w:p>
            <w:pPr>
              <w:jc w:val="center"/>
              <w:rPr>
                <w:b/>
                <w:noProof/>
                <w:sz w:val="22"/>
              </w:rPr>
            </w:pPr>
            <w:r>
              <w:rPr>
                <w:b/>
                <w:noProof/>
                <w:sz w:val="22"/>
              </w:rPr>
              <w:t>OUI</w:t>
            </w:r>
          </w:p>
        </w:tc>
        <w:tc>
          <w:tcPr>
            <w:tcW w:w="956" w:type="dxa"/>
            <w:vAlign w:val="center"/>
          </w:tcPr>
          <w:p>
            <w:pPr>
              <w:jc w:val="center"/>
              <w:rPr>
                <w:b/>
                <w:noProof/>
                <w:sz w:val="22"/>
              </w:rPr>
            </w:pPr>
            <w:r>
              <w:rPr>
                <w:b/>
                <w:noProof/>
                <w:sz w:val="22"/>
              </w:rPr>
              <w:t>NON</w:t>
            </w:r>
          </w:p>
        </w:tc>
        <w:tc>
          <w:tcPr>
            <w:tcW w:w="1448" w:type="dxa"/>
            <w:vAlign w:val="center"/>
          </w:tcPr>
          <w:p>
            <w:pPr>
              <w:jc w:val="center"/>
              <w:rPr>
                <w:b/>
                <w:noProof/>
                <w:sz w:val="22"/>
              </w:rPr>
            </w:pPr>
            <w:r>
              <w:rPr>
                <w:b/>
                <w:noProof/>
                <w:sz w:val="22"/>
              </w:rPr>
              <w:t>NON</w:t>
            </w:r>
          </w:p>
        </w:tc>
      </w:tr>
    </w:tbl>
    <w:p>
      <w:pPr>
        <w:pStyle w:val="ListBullet1"/>
        <w:rPr>
          <w:noProof/>
        </w:rPr>
      </w:pPr>
      <w:r>
        <w:rPr>
          <w:noProof/>
        </w:rPr>
        <w:t>Nouvelles lignes budgétaires, dont la création est demandée</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Numéro [Libellé………………………………………]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Incidence estimée sur les dépenses</w:t>
      </w:r>
    </w:p>
    <w:p>
      <w:pPr>
        <w:pStyle w:val="Text1"/>
        <w:rPr>
          <w:noProof/>
        </w:rPr>
      </w:pPr>
      <w:r>
        <w:rPr>
          <w:noProof/>
          <w:highlight w:val="lightGray"/>
        </w:rPr>
        <w:t xml:space="preserve">[Cette partie est à compléter en utilisant la </w:t>
      </w:r>
      <w:hyperlink r:id="rId13">
        <w:r>
          <w:rPr>
            <w:rStyle w:val="Hyperlink"/>
            <w:b/>
            <w:noProof/>
            <w:highlight w:val="lightGray"/>
          </w:rPr>
          <w:t>feuille de calcul sur les données budgétaires de nature administrative</w:t>
        </w:r>
      </w:hyperlink>
      <w:r>
        <w:rPr>
          <w:noProof/>
          <w:highlight w:val="lightGray"/>
        </w:rPr>
        <w:t xml:space="preserve"> (second document en annexe à cette fiche financière) à charger dans CISNET pour les besoins de la consultation interservices.]</w:t>
      </w:r>
    </w:p>
    <w:p>
      <w:pPr>
        <w:pStyle w:val="ManualHeading3"/>
        <w:rPr>
          <w:noProof/>
          <w:u w:val="single"/>
        </w:rPr>
      </w:pPr>
      <w:r>
        <w:t>3.2.1.</w:t>
      </w:r>
      <w:r>
        <w:tab/>
      </w:r>
      <w:r>
        <w:rPr>
          <w:noProof/>
        </w:rPr>
        <w:t>Synthèse de l’incidence estimée sur les dépenses</w:t>
      </w:r>
    </w:p>
    <w:p>
      <w:pPr>
        <w:jc w:val="right"/>
        <w:rPr>
          <w:noProof/>
          <w:sz w:val="20"/>
        </w:rPr>
      </w:pPr>
      <w:r>
        <w:rPr>
          <w:noProof/>
          <w:sz w:val="20"/>
        </w:rPr>
        <w:t>En Mio EUR (à la 3e décimale)</w:t>
      </w:r>
    </w:p>
    <w:tbl>
      <w:tblPr>
        <w:tblW w:w="0" w:type="auto"/>
        <w:jc w:val="center"/>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tc>
        <w:tc>
          <w:tcPr>
            <w:tcW w:w="7817" w:type="dxa"/>
            <w:vAlign w:val="center"/>
          </w:tcPr>
          <w:p>
            <w:pPr>
              <w:spacing w:before="60" w:after="60"/>
              <w:rPr>
                <w:noProof/>
                <w:sz w:val="22"/>
              </w:rPr>
            </w:pPr>
            <w:r>
              <w:rPr>
                <w:noProof/>
                <w:sz w:val="22"/>
              </w:rPr>
              <w:t>[Libellé…...…]</w:t>
            </w:r>
          </w:p>
        </w:tc>
      </w:tr>
    </w:tbl>
    <w:p>
      <w:pPr>
        <w:rPr>
          <w:noProof/>
          <w:sz w:val="16"/>
        </w:rPr>
      </w:pPr>
    </w:p>
    <w:tbl>
      <w:tblPr>
        <w:tblW w:w="1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2017</w:t>
            </w:r>
            <w:r>
              <w:rPr>
                <w:rStyle w:val="FootnoteReference"/>
                <w:b/>
                <w:noProof/>
                <w:sz w:val="20"/>
              </w:rPr>
              <w:footnoteReference w:id="12"/>
            </w: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rPr>
                <w:noProof/>
                <w:sz w:val="20"/>
              </w:rPr>
            </w:pPr>
            <w:r>
              <w:rPr>
                <w:noProof/>
                <w:sz w:val="20"/>
              </w:rPr>
              <w:t>Année</w:t>
            </w:r>
            <w:r>
              <w:rPr>
                <w:noProof/>
                <w:sz w:val="22"/>
              </w:rPr>
              <w:br/>
            </w:r>
            <w:r>
              <w:rPr>
                <w:b/>
                <w:noProof/>
                <w:sz w:val="20"/>
              </w:rPr>
              <w:t>2021</w:t>
            </w:r>
          </w:p>
        </w:tc>
        <w:tc>
          <w:tcPr>
            <w:tcW w:w="868" w:type="dxa"/>
            <w:vAlign w:val="center"/>
          </w:tcPr>
          <w:p>
            <w:pPr>
              <w:jc w:val="center"/>
              <w:rPr>
                <w:b/>
                <w:noProof/>
                <w:sz w:val="18"/>
              </w:rPr>
            </w:pPr>
            <w:r>
              <w:rPr>
                <w:noProof/>
                <w:sz w:val="20"/>
              </w:rPr>
              <w:t>Année</w:t>
            </w:r>
            <w:r>
              <w:rPr>
                <w:noProof/>
                <w:sz w:val="22"/>
              </w:rPr>
              <w:br/>
            </w:r>
            <w:r>
              <w:rPr>
                <w:b/>
                <w:noProof/>
                <w:sz w:val="20"/>
              </w:rPr>
              <w:t>2022</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3"/>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w:t>
            </w:r>
          </w:p>
        </w:tc>
        <w:tc>
          <w:tcPr>
            <w:tcW w:w="1440" w:type="dxa"/>
            <w:vAlign w:val="center"/>
          </w:tcPr>
          <w:p>
            <w:pPr>
              <w:spacing w:before="40" w:after="40"/>
              <w:jc w:val="right"/>
              <w:rPr>
                <w:b/>
                <w:noProof/>
                <w:sz w:val="18"/>
              </w:rPr>
            </w:pPr>
            <w:r>
              <w:rPr>
                <w:b/>
                <w:noProof/>
                <w:sz w:val="18"/>
              </w:rPr>
              <w:t>08.01.05</w:t>
            </w: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 xml:space="preserve">pour la DG </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b/>
                <w:noProof/>
                <w:sz w:val="20"/>
              </w:rPr>
            </w:pPr>
            <w:r>
              <w:rPr>
                <w:b/>
                <w:noProof/>
                <w:sz w:val="20"/>
              </w:rPr>
              <w:t>0,024</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b/>
                <w:noProof/>
                <w:sz w:val="20"/>
              </w:rPr>
            </w:pPr>
            <w:r>
              <w:rPr>
                <w:b/>
                <w:noProof/>
                <w:sz w:val="20"/>
              </w:rPr>
              <w:t>0,024</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&lt;….&gt;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des crédits opérationnels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850"/>
        <w:gridCol w:w="851"/>
        <w:gridCol w:w="992"/>
        <w:gridCol w:w="1112"/>
        <w:gridCol w:w="22"/>
        <w:gridCol w:w="1280"/>
        <w:gridCol w:w="236"/>
        <w:gridCol w:w="1465"/>
        <w:gridCol w:w="8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Année</w:t>
            </w:r>
            <w:r>
              <w:rPr>
                <w:noProof/>
                <w:sz w:val="22"/>
              </w:rPr>
              <w:br/>
            </w:r>
            <w:r>
              <w:rPr>
                <w:b/>
                <w:noProof/>
                <w:sz w:val="20"/>
              </w:rPr>
              <w:t>2017</w:t>
            </w:r>
            <w:r>
              <w:rPr>
                <w:rStyle w:val="FootnoteReference"/>
                <w:b/>
                <w:noProof/>
                <w:sz w:val="20"/>
              </w:rPr>
              <w:footnoteReference w:id="14"/>
            </w:r>
          </w:p>
        </w:tc>
        <w:tc>
          <w:tcPr>
            <w:tcW w:w="850" w:type="dxa"/>
            <w:vAlign w:val="center"/>
          </w:tcPr>
          <w:p>
            <w:pPr>
              <w:jc w:val="center"/>
              <w:rPr>
                <w:noProof/>
                <w:sz w:val="20"/>
              </w:rPr>
            </w:pPr>
            <w:r>
              <w:rPr>
                <w:noProof/>
                <w:sz w:val="20"/>
              </w:rPr>
              <w:t>Année</w:t>
            </w:r>
            <w:r>
              <w:rPr>
                <w:noProof/>
                <w:sz w:val="22"/>
              </w:rPr>
              <w:br/>
            </w:r>
            <w:r>
              <w:rPr>
                <w:b/>
                <w:noProof/>
                <w:sz w:val="20"/>
              </w:rPr>
              <w:t>2018</w:t>
            </w:r>
          </w:p>
        </w:tc>
        <w:tc>
          <w:tcPr>
            <w:tcW w:w="851" w:type="dxa"/>
            <w:vAlign w:val="center"/>
          </w:tcPr>
          <w:p>
            <w:pPr>
              <w:jc w:val="center"/>
              <w:rPr>
                <w:noProof/>
                <w:sz w:val="20"/>
              </w:rPr>
            </w:pPr>
            <w:r>
              <w:rPr>
                <w:noProof/>
                <w:sz w:val="20"/>
              </w:rPr>
              <w:t>Année</w:t>
            </w:r>
            <w:r>
              <w:rPr>
                <w:noProof/>
                <w:sz w:val="22"/>
              </w:rPr>
              <w:br/>
            </w:r>
            <w:r>
              <w:rPr>
                <w:b/>
                <w:noProof/>
                <w:sz w:val="20"/>
              </w:rPr>
              <w:t>2019</w:t>
            </w:r>
          </w:p>
        </w:tc>
        <w:tc>
          <w:tcPr>
            <w:tcW w:w="992" w:type="dxa"/>
            <w:vAlign w:val="center"/>
          </w:tcPr>
          <w:p>
            <w:pPr>
              <w:jc w:val="center"/>
              <w:rPr>
                <w:noProof/>
                <w:sz w:val="20"/>
              </w:rPr>
            </w:pPr>
            <w:r>
              <w:rPr>
                <w:noProof/>
                <w:sz w:val="20"/>
              </w:rPr>
              <w:t>Année</w:t>
            </w:r>
            <w:r>
              <w:rPr>
                <w:noProof/>
                <w:sz w:val="22"/>
              </w:rPr>
              <w:br/>
            </w:r>
            <w:r>
              <w:rPr>
                <w:b/>
                <w:noProof/>
                <w:sz w:val="20"/>
              </w:rPr>
              <w:t>2020</w:t>
            </w:r>
          </w:p>
        </w:tc>
        <w:tc>
          <w:tcPr>
            <w:tcW w:w="1112" w:type="dxa"/>
            <w:vAlign w:val="center"/>
          </w:tcPr>
          <w:p>
            <w:pPr>
              <w:jc w:val="center"/>
              <w:rPr>
                <w:b/>
                <w:noProof/>
                <w:sz w:val="18"/>
              </w:rPr>
            </w:pPr>
            <w:r>
              <w:rPr>
                <w:noProof/>
                <w:sz w:val="20"/>
              </w:rPr>
              <w:t>Année</w:t>
            </w:r>
            <w:r>
              <w:rPr>
                <w:noProof/>
                <w:sz w:val="22"/>
              </w:rPr>
              <w:br/>
            </w:r>
            <w:r>
              <w:rPr>
                <w:b/>
                <w:noProof/>
                <w:sz w:val="20"/>
              </w:rPr>
              <w:t>2021</w:t>
            </w:r>
          </w:p>
        </w:tc>
        <w:tc>
          <w:tcPr>
            <w:tcW w:w="1302" w:type="dxa"/>
            <w:gridSpan w:val="2"/>
            <w:vAlign w:val="center"/>
          </w:tcPr>
          <w:p>
            <w:pPr>
              <w:jc w:val="center"/>
              <w:rPr>
                <w:noProof/>
                <w:sz w:val="20"/>
              </w:rPr>
            </w:pPr>
            <w:r>
              <w:rPr>
                <w:noProof/>
                <w:sz w:val="20"/>
              </w:rPr>
              <w:t>Année</w:t>
            </w:r>
          </w:p>
          <w:p>
            <w:pPr>
              <w:jc w:val="center"/>
              <w:rPr>
                <w:b/>
                <w:noProof/>
                <w:sz w:val="20"/>
              </w:rPr>
            </w:pPr>
            <w:r>
              <w:rPr>
                <w:b/>
                <w:noProof/>
                <w:sz w:val="20"/>
              </w:rPr>
              <w:t>2022</w:t>
            </w:r>
          </w:p>
        </w:tc>
        <w:tc>
          <w:tcPr>
            <w:tcW w:w="1781" w:type="dxa"/>
            <w:gridSpan w:val="3"/>
            <w:vAlign w:val="center"/>
          </w:tcPr>
          <w:p>
            <w:pPr>
              <w:jc w:val="center"/>
              <w:rPr>
                <w:b/>
                <w:noProof/>
                <w:sz w:val="20"/>
              </w:rPr>
            </w:pPr>
            <w:r>
              <w:rPr>
                <w:b/>
                <w:noProof/>
                <w:sz w:val="20"/>
              </w:rPr>
              <w:t>TOTAL</w:t>
            </w:r>
          </w:p>
        </w:tc>
      </w:tr>
      <w:tr>
        <w:trPr>
          <w:gridAfter w:val="12"/>
          <w:wAfter w:w="9951" w:type="dxa"/>
        </w:trPr>
        <w:tc>
          <w:tcPr>
            <w:tcW w:w="3960" w:type="dxa"/>
            <w:vAlign w:val="center"/>
          </w:tcPr>
          <w:p>
            <w:pPr>
              <w:spacing w:before="60" w:after="60"/>
              <w:jc w:val="center"/>
              <w:rPr>
                <w:noProof/>
                <w:sz w:val="22"/>
              </w:rPr>
            </w:pPr>
            <w:r>
              <w:rPr>
                <w:noProof/>
                <w:sz w:val="22"/>
              </w:rPr>
              <w:t>DG: &lt;…….&gt;</w:t>
            </w:r>
          </w:p>
        </w:tc>
      </w:tr>
      <w:tr>
        <w:trPr>
          <w:gridAfter w:val="1"/>
          <w:wAfter w:w="80" w:type="dxa"/>
          <w:trHeight w:val="313"/>
        </w:trPr>
        <w:tc>
          <w:tcPr>
            <w:tcW w:w="6054" w:type="dxa"/>
            <w:gridSpan w:val="3"/>
            <w:vAlign w:val="center"/>
          </w:tcPr>
          <w:p>
            <w:pPr>
              <w:spacing w:before="20" w:after="20"/>
              <w:rPr>
                <w:noProof/>
                <w:sz w:val="22"/>
              </w:rPr>
            </w:pPr>
            <w:r>
              <w:rPr>
                <w:noProof/>
                <w:sz w:val="22"/>
              </w:rPr>
              <w:sym w:font="Wingdings" w:char="F09F"/>
            </w:r>
            <w:r>
              <w:rPr>
                <w:noProof/>
              </w:rPr>
              <w:t>Ressources humaines</w:t>
            </w:r>
          </w:p>
        </w:tc>
        <w:tc>
          <w:tcPr>
            <w:tcW w:w="969" w:type="dxa"/>
            <w:vAlign w:val="center"/>
          </w:tcPr>
          <w:p>
            <w:pPr>
              <w:spacing w:before="20" w:after="20"/>
              <w:jc w:val="right"/>
              <w:rPr>
                <w:noProof/>
                <w:sz w:val="20"/>
              </w:rPr>
            </w:pP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1134" w:type="dxa"/>
            <w:gridSpan w:val="2"/>
            <w:vAlign w:val="center"/>
          </w:tcPr>
          <w:p>
            <w:pPr>
              <w:spacing w:before="20" w:after="20"/>
              <w:jc w:val="right"/>
              <w:rPr>
                <w:noProof/>
                <w:sz w:val="20"/>
              </w:rPr>
            </w:pPr>
          </w:p>
        </w:tc>
        <w:tc>
          <w:tcPr>
            <w:tcW w:w="1280" w:type="dxa"/>
            <w:vAlign w:val="center"/>
          </w:tcPr>
          <w:p>
            <w:pPr>
              <w:spacing w:before="20" w:after="20"/>
              <w:jc w:val="right"/>
              <w:rPr>
                <w:noProof/>
                <w:sz w:val="20"/>
              </w:rPr>
            </w:pPr>
          </w:p>
        </w:tc>
        <w:tc>
          <w:tcPr>
            <w:tcW w:w="236" w:type="dxa"/>
            <w:vAlign w:val="center"/>
          </w:tcPr>
          <w:p>
            <w:pPr>
              <w:spacing w:before="20" w:after="20"/>
              <w:jc w:val="right"/>
              <w:rPr>
                <w:b/>
                <w:noProof/>
                <w:sz w:val="20"/>
              </w:rPr>
            </w:pPr>
          </w:p>
        </w:tc>
        <w:tc>
          <w:tcPr>
            <w:tcW w:w="1465" w:type="dxa"/>
            <w:vAlign w:val="center"/>
          </w:tcPr>
          <w:p>
            <w:pPr>
              <w:spacing w:before="20" w:after="20"/>
              <w:jc w:val="right"/>
              <w:rPr>
                <w:b/>
                <w:noProof/>
                <w:sz w:val="20"/>
              </w:rPr>
            </w:pPr>
          </w:p>
        </w:tc>
      </w:tr>
      <w:tr>
        <w:trPr>
          <w:gridAfter w:val="1"/>
          <w:wAfter w:w="80" w:type="dxa"/>
          <w:trHeight w:val="351"/>
        </w:trPr>
        <w:tc>
          <w:tcPr>
            <w:tcW w:w="6054" w:type="dxa"/>
            <w:gridSpan w:val="3"/>
            <w:vAlign w:val="center"/>
          </w:tcPr>
          <w:p>
            <w:pPr>
              <w:spacing w:before="20" w:after="20"/>
              <w:rPr>
                <w:noProof/>
                <w:sz w:val="22"/>
              </w:rPr>
            </w:pPr>
            <w:r>
              <w:rPr>
                <w:noProof/>
                <w:sz w:val="22"/>
              </w:rPr>
              <w:sym w:font="Wingdings" w:char="F09F"/>
            </w:r>
            <w:r>
              <w:rPr>
                <w:noProof/>
              </w:rPr>
              <w:t>Autres dépenses administratives</w:t>
            </w:r>
          </w:p>
        </w:tc>
        <w:tc>
          <w:tcPr>
            <w:tcW w:w="969" w:type="dxa"/>
            <w:vAlign w:val="center"/>
          </w:tcPr>
          <w:p>
            <w:pPr>
              <w:spacing w:before="20" w:after="20"/>
              <w:jc w:val="right"/>
              <w:rPr>
                <w:b/>
                <w:noProof/>
                <w:sz w:val="20"/>
              </w:rPr>
            </w:pPr>
            <w:r>
              <w:rPr>
                <w:b/>
                <w:noProof/>
                <w:sz w:val="20"/>
              </w:rPr>
              <w:t>0,003</w:t>
            </w:r>
          </w:p>
        </w:tc>
        <w:tc>
          <w:tcPr>
            <w:tcW w:w="850" w:type="dxa"/>
            <w:vAlign w:val="center"/>
          </w:tcPr>
          <w:p>
            <w:pPr>
              <w:spacing w:before="20" w:after="20"/>
              <w:jc w:val="right"/>
              <w:rPr>
                <w:b/>
                <w:noProof/>
                <w:sz w:val="20"/>
              </w:rPr>
            </w:pPr>
            <w:r>
              <w:rPr>
                <w:b/>
                <w:noProof/>
                <w:sz w:val="20"/>
              </w:rPr>
              <w:t>0,008</w:t>
            </w:r>
          </w:p>
        </w:tc>
        <w:tc>
          <w:tcPr>
            <w:tcW w:w="851" w:type="dxa"/>
            <w:vAlign w:val="center"/>
          </w:tcPr>
          <w:p>
            <w:pPr>
              <w:spacing w:before="20" w:after="20"/>
              <w:jc w:val="right"/>
              <w:rPr>
                <w:b/>
                <w:noProof/>
                <w:sz w:val="20"/>
              </w:rPr>
            </w:pPr>
            <w:r>
              <w:rPr>
                <w:b/>
                <w:noProof/>
                <w:sz w:val="20"/>
              </w:rPr>
              <w:t>0,008</w:t>
            </w:r>
          </w:p>
        </w:tc>
        <w:tc>
          <w:tcPr>
            <w:tcW w:w="992" w:type="dxa"/>
            <w:vAlign w:val="center"/>
          </w:tcPr>
          <w:p>
            <w:pPr>
              <w:spacing w:before="20" w:after="20"/>
              <w:jc w:val="right"/>
              <w:rPr>
                <w:b/>
                <w:noProof/>
                <w:sz w:val="20"/>
              </w:rPr>
            </w:pPr>
            <w:r>
              <w:rPr>
                <w:b/>
                <w:noProof/>
                <w:sz w:val="20"/>
              </w:rPr>
              <w:t>0,008</w:t>
            </w:r>
          </w:p>
        </w:tc>
        <w:tc>
          <w:tcPr>
            <w:tcW w:w="1134" w:type="dxa"/>
            <w:gridSpan w:val="2"/>
            <w:vAlign w:val="center"/>
          </w:tcPr>
          <w:p>
            <w:pPr>
              <w:spacing w:before="20" w:after="20"/>
              <w:jc w:val="right"/>
              <w:rPr>
                <w:b/>
                <w:noProof/>
                <w:sz w:val="20"/>
              </w:rPr>
            </w:pPr>
            <w:r>
              <w:rPr>
                <w:b/>
                <w:noProof/>
                <w:sz w:val="20"/>
              </w:rPr>
              <w:t>0,008</w:t>
            </w:r>
          </w:p>
        </w:tc>
        <w:tc>
          <w:tcPr>
            <w:tcW w:w="1280" w:type="dxa"/>
            <w:vAlign w:val="center"/>
          </w:tcPr>
          <w:p>
            <w:pPr>
              <w:spacing w:before="20" w:after="20"/>
              <w:jc w:val="right"/>
              <w:rPr>
                <w:b/>
                <w:noProof/>
                <w:sz w:val="20"/>
              </w:rPr>
            </w:pPr>
            <w:r>
              <w:rPr>
                <w:b/>
                <w:noProof/>
                <w:sz w:val="20"/>
              </w:rPr>
              <w:t>0,005</w:t>
            </w:r>
          </w:p>
        </w:tc>
        <w:tc>
          <w:tcPr>
            <w:tcW w:w="1701" w:type="dxa"/>
            <w:gridSpan w:val="2"/>
            <w:vAlign w:val="center"/>
          </w:tcPr>
          <w:p>
            <w:pPr>
              <w:spacing w:before="20" w:after="20"/>
              <w:jc w:val="right"/>
              <w:rPr>
                <w:b/>
                <w:noProof/>
                <w:sz w:val="20"/>
              </w:rPr>
            </w:pPr>
            <w:r>
              <w:rPr>
                <w:b/>
                <w:noProof/>
                <w:sz w:val="20"/>
              </w:rPr>
              <w:t>0,04</w:t>
            </w:r>
          </w:p>
        </w:tc>
      </w:tr>
      <w:tr>
        <w:trPr>
          <w:gridAfter w:val="1"/>
          <w:wAfter w:w="80" w:type="dxa"/>
        </w:trP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Crédits </w:t>
            </w:r>
          </w:p>
        </w:tc>
        <w:tc>
          <w:tcPr>
            <w:tcW w:w="969" w:type="dxa"/>
            <w:vAlign w:val="center"/>
          </w:tcPr>
          <w:p>
            <w:pPr>
              <w:spacing w:before="60" w:after="60"/>
              <w:jc w:val="right"/>
              <w:rPr>
                <w:noProof/>
                <w:sz w:val="20"/>
              </w:rPr>
            </w:pPr>
            <w:r>
              <w:rPr>
                <w:b/>
                <w:noProof/>
                <w:sz w:val="20"/>
              </w:rPr>
              <w:t>0,003</w:t>
            </w:r>
          </w:p>
        </w:tc>
        <w:tc>
          <w:tcPr>
            <w:tcW w:w="850" w:type="dxa"/>
            <w:vAlign w:val="center"/>
          </w:tcPr>
          <w:p>
            <w:pPr>
              <w:spacing w:before="20" w:after="20"/>
              <w:jc w:val="right"/>
              <w:rPr>
                <w:noProof/>
                <w:sz w:val="20"/>
              </w:rPr>
            </w:pPr>
            <w:r>
              <w:rPr>
                <w:b/>
                <w:noProof/>
                <w:sz w:val="20"/>
              </w:rPr>
              <w:t>0,008</w:t>
            </w:r>
          </w:p>
        </w:tc>
        <w:tc>
          <w:tcPr>
            <w:tcW w:w="851" w:type="dxa"/>
            <w:vAlign w:val="center"/>
          </w:tcPr>
          <w:p>
            <w:pPr>
              <w:spacing w:before="20" w:after="20"/>
              <w:jc w:val="right"/>
              <w:rPr>
                <w:noProof/>
                <w:sz w:val="20"/>
              </w:rPr>
            </w:pPr>
            <w:r>
              <w:rPr>
                <w:b/>
                <w:noProof/>
                <w:sz w:val="20"/>
              </w:rPr>
              <w:t>0,008</w:t>
            </w:r>
          </w:p>
        </w:tc>
        <w:tc>
          <w:tcPr>
            <w:tcW w:w="992" w:type="dxa"/>
            <w:vAlign w:val="center"/>
          </w:tcPr>
          <w:p>
            <w:pPr>
              <w:spacing w:before="20" w:after="20"/>
              <w:jc w:val="right"/>
              <w:rPr>
                <w:noProof/>
                <w:sz w:val="20"/>
              </w:rPr>
            </w:pPr>
            <w:r>
              <w:rPr>
                <w:b/>
                <w:noProof/>
                <w:sz w:val="20"/>
              </w:rPr>
              <w:t>0,008</w:t>
            </w:r>
          </w:p>
        </w:tc>
        <w:tc>
          <w:tcPr>
            <w:tcW w:w="1134" w:type="dxa"/>
            <w:gridSpan w:val="2"/>
            <w:vAlign w:val="center"/>
          </w:tcPr>
          <w:p>
            <w:pPr>
              <w:spacing w:before="20" w:after="20"/>
              <w:jc w:val="right"/>
              <w:rPr>
                <w:noProof/>
                <w:sz w:val="20"/>
              </w:rPr>
            </w:pPr>
            <w:r>
              <w:rPr>
                <w:b/>
                <w:noProof/>
                <w:sz w:val="20"/>
              </w:rPr>
              <w:t>0,008</w:t>
            </w:r>
          </w:p>
        </w:tc>
        <w:tc>
          <w:tcPr>
            <w:tcW w:w="1280" w:type="dxa"/>
            <w:vAlign w:val="center"/>
          </w:tcPr>
          <w:p>
            <w:pPr>
              <w:spacing w:before="20" w:after="20"/>
              <w:jc w:val="right"/>
              <w:rPr>
                <w:b/>
                <w:noProof/>
                <w:sz w:val="20"/>
              </w:rPr>
            </w:pPr>
            <w:r>
              <w:rPr>
                <w:b/>
                <w:noProof/>
                <w:sz w:val="20"/>
              </w:rPr>
              <w:t>0,005</w:t>
            </w:r>
          </w:p>
        </w:tc>
        <w:tc>
          <w:tcPr>
            <w:tcW w:w="1701" w:type="dxa"/>
            <w:gridSpan w:val="2"/>
            <w:vAlign w:val="center"/>
          </w:tcPr>
          <w:p>
            <w:pPr>
              <w:spacing w:before="20" w:after="20"/>
              <w:jc w:val="right"/>
              <w:rPr>
                <w:b/>
                <w:noProof/>
                <w:sz w:val="20"/>
              </w:rPr>
            </w:pPr>
            <w:r>
              <w:rPr>
                <w:b/>
                <w:noProof/>
                <w:sz w:val="20"/>
              </w:rPr>
              <w:t>0,04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850"/>
        <w:gridCol w:w="851"/>
        <w:gridCol w:w="992"/>
        <w:gridCol w:w="1134"/>
        <w:gridCol w:w="1276"/>
        <w:gridCol w:w="1701"/>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969" w:type="dxa"/>
            <w:vAlign w:val="center"/>
          </w:tcPr>
          <w:p>
            <w:pPr>
              <w:spacing w:before="20" w:after="20"/>
              <w:jc w:val="right"/>
              <w:rPr>
                <w:noProof/>
                <w:sz w:val="20"/>
              </w:rPr>
            </w:pPr>
            <w:r>
              <w:rPr>
                <w:b/>
                <w:noProof/>
                <w:sz w:val="20"/>
              </w:rPr>
              <w:t>0,003</w:t>
            </w:r>
          </w:p>
        </w:tc>
        <w:tc>
          <w:tcPr>
            <w:tcW w:w="850" w:type="dxa"/>
            <w:vAlign w:val="center"/>
          </w:tcPr>
          <w:p>
            <w:pPr>
              <w:spacing w:before="20" w:after="20"/>
              <w:jc w:val="right"/>
              <w:rPr>
                <w:noProof/>
                <w:sz w:val="20"/>
              </w:rPr>
            </w:pPr>
            <w:r>
              <w:rPr>
                <w:b/>
                <w:noProof/>
                <w:sz w:val="20"/>
              </w:rPr>
              <w:t>0,008</w:t>
            </w:r>
          </w:p>
        </w:tc>
        <w:tc>
          <w:tcPr>
            <w:tcW w:w="851" w:type="dxa"/>
            <w:vAlign w:val="center"/>
          </w:tcPr>
          <w:p>
            <w:pPr>
              <w:spacing w:before="20" w:after="20"/>
              <w:jc w:val="right"/>
              <w:rPr>
                <w:noProof/>
                <w:sz w:val="20"/>
              </w:rPr>
            </w:pPr>
            <w:r>
              <w:rPr>
                <w:b/>
                <w:noProof/>
                <w:sz w:val="20"/>
              </w:rPr>
              <w:t>0,008</w:t>
            </w:r>
          </w:p>
        </w:tc>
        <w:tc>
          <w:tcPr>
            <w:tcW w:w="992" w:type="dxa"/>
            <w:vAlign w:val="center"/>
          </w:tcPr>
          <w:p>
            <w:pPr>
              <w:spacing w:before="20" w:after="20"/>
              <w:jc w:val="right"/>
              <w:rPr>
                <w:noProof/>
                <w:sz w:val="20"/>
              </w:rPr>
            </w:pPr>
            <w:r>
              <w:rPr>
                <w:b/>
                <w:noProof/>
                <w:sz w:val="20"/>
              </w:rPr>
              <w:t>0,008</w:t>
            </w:r>
          </w:p>
        </w:tc>
        <w:tc>
          <w:tcPr>
            <w:tcW w:w="1134" w:type="dxa"/>
            <w:vAlign w:val="center"/>
          </w:tcPr>
          <w:p>
            <w:pPr>
              <w:spacing w:before="20" w:after="20"/>
              <w:jc w:val="right"/>
              <w:rPr>
                <w:noProof/>
                <w:sz w:val="20"/>
              </w:rPr>
            </w:pPr>
            <w:r>
              <w:rPr>
                <w:b/>
                <w:noProof/>
                <w:sz w:val="20"/>
              </w:rPr>
              <w:t>0,008</w:t>
            </w:r>
          </w:p>
        </w:tc>
        <w:tc>
          <w:tcPr>
            <w:tcW w:w="1276" w:type="dxa"/>
            <w:vAlign w:val="center"/>
          </w:tcPr>
          <w:p>
            <w:pPr>
              <w:spacing w:before="20" w:after="20"/>
              <w:jc w:val="right"/>
              <w:rPr>
                <w:noProof/>
                <w:sz w:val="20"/>
              </w:rPr>
            </w:pPr>
            <w:r>
              <w:rPr>
                <w:b/>
                <w:noProof/>
                <w:sz w:val="20"/>
              </w:rPr>
              <w:t>0,005</w:t>
            </w:r>
          </w:p>
        </w:tc>
        <w:tc>
          <w:tcPr>
            <w:tcW w:w="1701" w:type="dxa"/>
            <w:vAlign w:val="center"/>
          </w:tcPr>
          <w:p>
            <w:pPr>
              <w:spacing w:before="20" w:after="20"/>
              <w:jc w:val="right"/>
              <w:rPr>
                <w:b/>
                <w:noProof/>
                <w:sz w:val="20"/>
              </w:rPr>
            </w:pPr>
            <w:r>
              <w:rPr>
                <w:b/>
                <w:noProof/>
                <w:sz w:val="20"/>
              </w:rPr>
              <w:t>0,04</w:t>
            </w: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302"/>
        <w:gridCol w:w="22"/>
        <w:gridCol w:w="1280"/>
        <w:gridCol w:w="1838"/>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2017</w:t>
            </w:r>
            <w:r>
              <w:rPr>
                <w:rStyle w:val="FootnoteReference"/>
                <w:b/>
                <w:noProof/>
                <w:sz w:val="20"/>
              </w:rPr>
              <w:footnoteReference w:id="15"/>
            </w: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1302" w:type="dxa"/>
            <w:vAlign w:val="center"/>
          </w:tcPr>
          <w:p>
            <w:pPr>
              <w:jc w:val="center"/>
              <w:rPr>
                <w:noProof/>
                <w:sz w:val="20"/>
              </w:rPr>
            </w:pPr>
            <w:r>
              <w:rPr>
                <w:noProof/>
                <w:sz w:val="20"/>
              </w:rPr>
              <w:t>Année</w:t>
            </w:r>
          </w:p>
          <w:p>
            <w:pPr>
              <w:jc w:val="center"/>
              <w:rPr>
                <w:b/>
                <w:noProof/>
                <w:sz w:val="18"/>
              </w:rPr>
            </w:pPr>
            <w:r>
              <w:rPr>
                <w:b/>
                <w:noProof/>
                <w:sz w:val="20"/>
              </w:rPr>
              <w:t>2021</w:t>
            </w:r>
          </w:p>
        </w:tc>
        <w:tc>
          <w:tcPr>
            <w:tcW w:w="1302" w:type="dxa"/>
            <w:gridSpan w:val="2"/>
            <w:vAlign w:val="center"/>
          </w:tcPr>
          <w:p>
            <w:pPr>
              <w:jc w:val="center"/>
              <w:rPr>
                <w:noProof/>
                <w:sz w:val="20"/>
              </w:rPr>
            </w:pPr>
            <w:r>
              <w:rPr>
                <w:noProof/>
                <w:sz w:val="20"/>
              </w:rPr>
              <w:t>Année</w:t>
            </w:r>
          </w:p>
          <w:p>
            <w:pPr>
              <w:jc w:val="center"/>
              <w:rPr>
                <w:b/>
                <w:noProof/>
                <w:sz w:val="20"/>
              </w:rPr>
            </w:pPr>
            <w:r>
              <w:rPr>
                <w:b/>
                <w:noProof/>
                <w:sz w:val="20"/>
              </w:rPr>
              <w:t>2022</w:t>
            </w:r>
          </w:p>
        </w:tc>
        <w:tc>
          <w:tcPr>
            <w:tcW w:w="1838"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b/>
                <w:noProof/>
                <w:sz w:val="20"/>
              </w:rPr>
            </w:pPr>
            <w:r>
              <w:rPr>
                <w:b/>
                <w:noProof/>
                <w:sz w:val="20"/>
              </w:rPr>
              <w:t>0,027</w:t>
            </w:r>
          </w:p>
        </w:tc>
        <w:tc>
          <w:tcPr>
            <w:tcW w:w="868" w:type="dxa"/>
            <w:vAlign w:val="center"/>
          </w:tcPr>
          <w:p>
            <w:pPr>
              <w:spacing w:before="60" w:after="60"/>
              <w:jc w:val="right"/>
              <w:rPr>
                <w:b/>
                <w:noProof/>
                <w:sz w:val="20"/>
              </w:rPr>
            </w:pPr>
            <w:r>
              <w:rPr>
                <w:b/>
                <w:noProof/>
                <w:sz w:val="20"/>
              </w:rPr>
              <w:t>0,069</w:t>
            </w:r>
          </w:p>
        </w:tc>
        <w:tc>
          <w:tcPr>
            <w:tcW w:w="868" w:type="dxa"/>
            <w:vAlign w:val="center"/>
          </w:tcPr>
          <w:p>
            <w:pPr>
              <w:spacing w:before="60" w:after="60"/>
              <w:jc w:val="right"/>
              <w:rPr>
                <w:b/>
                <w:noProof/>
                <w:sz w:val="20"/>
              </w:rPr>
            </w:pPr>
            <w:r>
              <w:rPr>
                <w:b/>
                <w:noProof/>
                <w:sz w:val="20"/>
              </w:rPr>
              <w:t>0,069</w:t>
            </w:r>
          </w:p>
        </w:tc>
        <w:tc>
          <w:tcPr>
            <w:tcW w:w="868" w:type="dxa"/>
            <w:vAlign w:val="center"/>
          </w:tcPr>
          <w:p>
            <w:pPr>
              <w:spacing w:before="60" w:after="60"/>
              <w:jc w:val="right"/>
              <w:rPr>
                <w:b/>
                <w:noProof/>
                <w:sz w:val="20"/>
              </w:rPr>
            </w:pPr>
            <w:r>
              <w:rPr>
                <w:b/>
                <w:noProof/>
                <w:sz w:val="20"/>
              </w:rPr>
              <w:t>0,069</w:t>
            </w:r>
          </w:p>
        </w:tc>
        <w:tc>
          <w:tcPr>
            <w:tcW w:w="1324" w:type="dxa"/>
            <w:gridSpan w:val="2"/>
            <w:vAlign w:val="center"/>
          </w:tcPr>
          <w:p>
            <w:pPr>
              <w:spacing w:before="60" w:after="60"/>
              <w:jc w:val="right"/>
              <w:rPr>
                <w:b/>
                <w:noProof/>
                <w:sz w:val="20"/>
              </w:rPr>
            </w:pPr>
            <w:r>
              <w:rPr>
                <w:b/>
                <w:noProof/>
                <w:sz w:val="20"/>
              </w:rPr>
              <w:t>0,069</w:t>
            </w:r>
          </w:p>
        </w:tc>
        <w:tc>
          <w:tcPr>
            <w:tcW w:w="1280" w:type="dxa"/>
            <w:vAlign w:val="center"/>
          </w:tcPr>
          <w:p>
            <w:pPr>
              <w:spacing w:before="60" w:after="60"/>
              <w:jc w:val="right"/>
              <w:rPr>
                <w:b/>
                <w:noProof/>
                <w:sz w:val="20"/>
              </w:rPr>
            </w:pPr>
            <w:r>
              <w:rPr>
                <w:b/>
                <w:noProof/>
                <w:sz w:val="20"/>
              </w:rPr>
              <w:t>0,042</w:t>
            </w:r>
          </w:p>
        </w:tc>
        <w:tc>
          <w:tcPr>
            <w:tcW w:w="1838" w:type="dxa"/>
            <w:vAlign w:val="center"/>
          </w:tcPr>
          <w:p>
            <w:pPr>
              <w:spacing w:before="60" w:after="60"/>
              <w:jc w:val="right"/>
              <w:rPr>
                <w:b/>
                <w:noProof/>
                <w:sz w:val="20"/>
              </w:rPr>
            </w:pPr>
            <w:r>
              <w:rPr>
                <w:b/>
                <w:noProof/>
                <w:sz w:val="20"/>
              </w:rPr>
              <w:t>0,345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b/>
                <w:noProof/>
                <w:sz w:val="20"/>
              </w:rPr>
              <w:t>0,027</w:t>
            </w:r>
          </w:p>
        </w:tc>
        <w:tc>
          <w:tcPr>
            <w:tcW w:w="868" w:type="dxa"/>
            <w:vAlign w:val="center"/>
          </w:tcPr>
          <w:p>
            <w:pPr>
              <w:spacing w:before="60" w:after="60"/>
              <w:jc w:val="right"/>
              <w:rPr>
                <w:noProof/>
                <w:sz w:val="20"/>
              </w:rPr>
            </w:pPr>
            <w:r>
              <w:rPr>
                <w:b/>
                <w:noProof/>
                <w:sz w:val="20"/>
              </w:rPr>
              <w:t>0,069</w:t>
            </w:r>
          </w:p>
        </w:tc>
        <w:tc>
          <w:tcPr>
            <w:tcW w:w="868" w:type="dxa"/>
            <w:vAlign w:val="center"/>
          </w:tcPr>
          <w:p>
            <w:pPr>
              <w:spacing w:before="60" w:after="60"/>
              <w:jc w:val="right"/>
              <w:rPr>
                <w:noProof/>
                <w:sz w:val="20"/>
              </w:rPr>
            </w:pPr>
            <w:r>
              <w:rPr>
                <w:b/>
                <w:noProof/>
                <w:sz w:val="20"/>
              </w:rPr>
              <w:t>0,069</w:t>
            </w:r>
          </w:p>
        </w:tc>
        <w:tc>
          <w:tcPr>
            <w:tcW w:w="868" w:type="dxa"/>
            <w:vAlign w:val="center"/>
          </w:tcPr>
          <w:p>
            <w:pPr>
              <w:spacing w:before="60" w:after="60"/>
              <w:jc w:val="right"/>
              <w:rPr>
                <w:noProof/>
                <w:sz w:val="20"/>
              </w:rPr>
            </w:pPr>
            <w:r>
              <w:rPr>
                <w:b/>
                <w:noProof/>
                <w:sz w:val="20"/>
              </w:rPr>
              <w:t>0,069</w:t>
            </w:r>
          </w:p>
        </w:tc>
        <w:tc>
          <w:tcPr>
            <w:tcW w:w="1324" w:type="dxa"/>
            <w:gridSpan w:val="2"/>
            <w:vAlign w:val="center"/>
          </w:tcPr>
          <w:p>
            <w:pPr>
              <w:spacing w:before="60" w:after="60"/>
              <w:jc w:val="right"/>
              <w:rPr>
                <w:noProof/>
                <w:sz w:val="20"/>
              </w:rPr>
            </w:pPr>
            <w:r>
              <w:rPr>
                <w:b/>
                <w:noProof/>
                <w:sz w:val="20"/>
              </w:rPr>
              <w:t>0,069</w:t>
            </w:r>
          </w:p>
        </w:tc>
        <w:tc>
          <w:tcPr>
            <w:tcW w:w="1280" w:type="dxa"/>
            <w:vAlign w:val="center"/>
          </w:tcPr>
          <w:p>
            <w:pPr>
              <w:spacing w:before="60" w:after="60"/>
              <w:jc w:val="right"/>
              <w:rPr>
                <w:b/>
                <w:noProof/>
                <w:sz w:val="20"/>
              </w:rPr>
            </w:pPr>
            <w:r>
              <w:rPr>
                <w:b/>
                <w:noProof/>
                <w:sz w:val="20"/>
              </w:rPr>
              <w:t>0,042</w:t>
            </w:r>
          </w:p>
        </w:tc>
        <w:tc>
          <w:tcPr>
            <w:tcW w:w="1838" w:type="dxa"/>
            <w:vAlign w:val="center"/>
          </w:tcPr>
          <w:p>
            <w:pPr>
              <w:spacing w:before="60" w:after="60"/>
              <w:jc w:val="right"/>
              <w:rPr>
                <w:b/>
                <w:noProof/>
                <w:sz w:val="20"/>
              </w:rPr>
            </w:pPr>
            <w:r>
              <w:rPr>
                <w:b/>
                <w:noProof/>
                <w:sz w:val="20"/>
              </w:rPr>
              <w:t>0,345</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Incidence estimée sur les crédits opérationnels</w:t>
      </w:r>
    </w:p>
    <w:p>
      <w:pPr>
        <w:pStyle w:val="ListDash1"/>
        <w:rPr>
          <w:noProof/>
        </w:rPr>
      </w:pPr>
      <w:r>
        <w:rPr>
          <w:noProof/>
        </w:rPr>
        <w:sym w:font="Wingdings" w:char="F0FE"/>
      </w:r>
      <w:r>
        <w:rPr>
          <w:noProof/>
        </w:rPr>
        <w:tab/>
        <w:t>La proposition/l'initiative n'engendre pas l'utilisation de crédits opérationnels</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Indiquer les objectifs et les réalisations</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Synthèse</w:t>
      </w:r>
    </w:p>
    <w:p>
      <w:pPr>
        <w:pStyle w:val="ListDash1"/>
        <w:rPr>
          <w:noProof/>
        </w:rPr>
      </w:pPr>
      <w:r>
        <w:rPr>
          <w:noProof/>
        </w:rPr>
        <w:sym w:font="Wingdings" w:char="F0A8"/>
      </w:r>
      <w:r>
        <w:rPr>
          <w:noProof/>
        </w:rPr>
        <w:tab/>
        <w:t>La proposition/l'initiative n'engendre pas l'utilisation de crédits de nature administrative</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2017</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2018</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line="200" w:lineRule="exact"/>
              <w:jc w:val="center"/>
              <w:rPr>
                <w:b/>
                <w:noProof/>
                <w:sz w:val="16"/>
                <w:szCs w:val="16"/>
              </w:rPr>
            </w:pPr>
            <w:r>
              <w:rPr>
                <w:noProof/>
                <w:sz w:val="16"/>
              </w:rPr>
              <w:t>Année</w:t>
            </w:r>
            <w:r>
              <w:rPr>
                <w:noProof/>
                <w:sz w:val="22"/>
              </w:rPr>
              <w:br/>
            </w:r>
            <w:r>
              <w:rPr>
                <w:b/>
                <w:noProof/>
                <w:sz w:val="16"/>
              </w:rPr>
              <w:t>2021</w:t>
            </w:r>
          </w:p>
        </w:tc>
        <w:tc>
          <w:tcPr>
            <w:tcW w:w="1080" w:type="dxa"/>
            <w:vAlign w:val="center"/>
          </w:tcPr>
          <w:p>
            <w:pPr>
              <w:spacing w:line="200" w:lineRule="exact"/>
              <w:jc w:val="center"/>
              <w:rPr>
                <w:b/>
                <w:noProof/>
                <w:sz w:val="16"/>
                <w:szCs w:val="16"/>
              </w:rPr>
            </w:pPr>
            <w:r>
              <w:rPr>
                <w:noProof/>
                <w:sz w:val="16"/>
              </w:rPr>
              <w:t>Année</w:t>
            </w:r>
            <w:r>
              <w:rPr>
                <w:noProof/>
                <w:sz w:val="22"/>
              </w:rPr>
              <w:br/>
            </w:r>
            <w:r>
              <w:rPr>
                <w:b/>
                <w:noProof/>
                <w:sz w:val="16"/>
              </w:rPr>
              <w:t>2022</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0,003</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0,005</w:t>
            </w:r>
          </w:p>
        </w:tc>
        <w:tc>
          <w:tcPr>
            <w:tcW w:w="1080" w:type="dxa"/>
            <w:vAlign w:val="center"/>
          </w:tcPr>
          <w:p>
            <w:pPr>
              <w:spacing w:before="60" w:after="60" w:line="200" w:lineRule="exact"/>
              <w:jc w:val="right"/>
              <w:rPr>
                <w:b/>
                <w:noProof/>
                <w:sz w:val="16"/>
                <w:szCs w:val="16"/>
              </w:rPr>
            </w:pPr>
            <w:r>
              <w:rPr>
                <w:b/>
                <w:noProof/>
                <w:sz w:val="16"/>
              </w:rPr>
              <w:t>0,04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0,003</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0,005</w:t>
            </w:r>
          </w:p>
        </w:tc>
        <w:tc>
          <w:tcPr>
            <w:tcW w:w="1080" w:type="dxa"/>
            <w:vAlign w:val="center"/>
          </w:tcPr>
          <w:p>
            <w:pPr>
              <w:spacing w:before="60" w:after="60" w:line="200" w:lineRule="exact"/>
              <w:jc w:val="right"/>
              <w:rPr>
                <w:b/>
                <w:noProof/>
                <w:sz w:val="16"/>
                <w:szCs w:val="16"/>
              </w:rPr>
            </w:pPr>
            <w:r>
              <w:rPr>
                <w:b/>
                <w:noProof/>
                <w:sz w:val="16"/>
              </w:rPr>
              <w:t>0,04</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9"/>
            </w:r>
            <w:r>
              <w:rPr>
                <w:noProof/>
              </w:rPr>
              <w:br/>
            </w:r>
            <w:r>
              <w:rPr>
                <w:b/>
                <w:noProof/>
                <w:sz w:val="16"/>
              </w:rPr>
              <w:t>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center"/>
              <w:rPr>
                <w:b/>
                <w:noProof/>
                <w:sz w:val="16"/>
                <w:szCs w:val="16"/>
              </w:rPr>
            </w:pPr>
            <w:r>
              <w:rPr>
                <w:b/>
                <w:noProof/>
                <w:sz w:val="16"/>
              </w:rPr>
              <w:t>0,024</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0,037</w:t>
            </w:r>
          </w:p>
        </w:tc>
        <w:tc>
          <w:tcPr>
            <w:tcW w:w="1080" w:type="dxa"/>
            <w:vAlign w:val="center"/>
          </w:tcPr>
          <w:p>
            <w:pPr>
              <w:spacing w:before="60" w:after="60" w:line="200" w:lineRule="exact"/>
              <w:jc w:val="right"/>
              <w:rPr>
                <w:b/>
                <w:noProof/>
                <w:sz w:val="16"/>
                <w:szCs w:val="16"/>
              </w:rPr>
            </w:pPr>
            <w:r>
              <w:rPr>
                <w:b/>
                <w:noProof/>
                <w:sz w:val="16"/>
              </w:rPr>
              <w:t>0,305</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0,027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0,042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0,345</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La proposition/l'initiative n'engendre pas l'utilisation de ressources humaines.</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80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
        <w:gridCol w:w="1952"/>
        <w:gridCol w:w="1955"/>
        <w:gridCol w:w="659"/>
        <w:gridCol w:w="659"/>
        <w:gridCol w:w="1171"/>
        <w:gridCol w:w="768"/>
        <w:gridCol w:w="223"/>
        <w:gridCol w:w="768"/>
        <w:gridCol w:w="764"/>
      </w:tblGrid>
      <w:tr>
        <w:trPr>
          <w:gridBefore w:val="1"/>
          <w:wBefore w:w="4" w:type="pct"/>
          <w:trHeight w:val="289"/>
          <w:jc w:val="center"/>
        </w:trPr>
        <w:tc>
          <w:tcPr>
            <w:tcW w:w="2188" w:type="pct"/>
            <w:gridSpan w:val="2"/>
            <w:shd w:val="clear" w:color="auto" w:fill="auto"/>
          </w:tcPr>
          <w:p>
            <w:pPr>
              <w:pStyle w:val="Text1"/>
              <w:spacing w:before="40" w:after="40"/>
              <w:ind w:left="0"/>
              <w:jc w:val="center"/>
              <w:rPr>
                <w:i/>
                <w:noProof/>
                <w:sz w:val="16"/>
                <w:szCs w:val="16"/>
              </w:rPr>
            </w:pPr>
          </w:p>
        </w:tc>
        <w:tc>
          <w:tcPr>
            <w:tcW w:w="369"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2017</w:t>
            </w:r>
          </w:p>
        </w:tc>
        <w:tc>
          <w:tcPr>
            <w:tcW w:w="369"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656" w:type="pct"/>
            <w:shd w:val="clear" w:color="auto" w:fill="auto"/>
            <w:vAlign w:val="center"/>
          </w:tcPr>
          <w:p>
            <w:pPr>
              <w:spacing w:before="20" w:after="20"/>
              <w:jc w:val="center"/>
              <w:rPr>
                <w:noProof/>
                <w:sz w:val="16"/>
                <w:szCs w:val="16"/>
              </w:rPr>
            </w:pPr>
            <w:r>
              <w:rPr>
                <w:noProof/>
                <w:sz w:val="16"/>
              </w:rPr>
              <w:t>Année</w:t>
            </w:r>
          </w:p>
          <w:p>
            <w:pPr>
              <w:spacing w:before="20" w:after="20"/>
              <w:jc w:val="center"/>
              <w:rPr>
                <w:noProof/>
                <w:sz w:val="16"/>
                <w:szCs w:val="16"/>
              </w:rPr>
            </w:pPr>
            <w:r>
              <w:rPr>
                <w:b/>
                <w:noProof/>
                <w:sz w:val="16"/>
              </w:rPr>
              <w:t>2019</w:t>
            </w:r>
          </w:p>
        </w:tc>
        <w:tc>
          <w:tcPr>
            <w:tcW w:w="555" w:type="pct"/>
            <w:gridSpan w:val="2"/>
            <w:shd w:val="clear" w:color="auto" w:fill="auto"/>
            <w:vAlign w:val="center"/>
          </w:tcPr>
          <w:p>
            <w:pPr>
              <w:spacing w:before="20" w:after="20"/>
              <w:jc w:val="center"/>
              <w:rPr>
                <w:noProof/>
                <w:sz w:val="16"/>
                <w:szCs w:val="16"/>
              </w:rPr>
            </w:pPr>
            <w:r>
              <w:rPr>
                <w:noProof/>
                <w:sz w:val="16"/>
              </w:rPr>
              <w:t>Année</w:t>
            </w:r>
          </w:p>
          <w:p>
            <w:pPr>
              <w:spacing w:before="20" w:after="20"/>
              <w:jc w:val="center"/>
              <w:rPr>
                <w:noProof/>
                <w:sz w:val="16"/>
                <w:szCs w:val="16"/>
              </w:rPr>
            </w:pPr>
            <w:r>
              <w:rPr>
                <w:b/>
                <w:noProof/>
                <w:sz w:val="16"/>
              </w:rPr>
              <w:t>2020</w:t>
            </w:r>
          </w:p>
        </w:tc>
        <w:tc>
          <w:tcPr>
            <w:tcW w:w="430" w:type="pct"/>
            <w:shd w:val="clear" w:color="auto" w:fill="auto"/>
            <w:vAlign w:val="center"/>
          </w:tcPr>
          <w:p>
            <w:pPr>
              <w:rPr>
                <w:b/>
                <w:noProof/>
                <w:sz w:val="16"/>
                <w:szCs w:val="16"/>
              </w:rPr>
            </w:pPr>
            <w:r>
              <w:rPr>
                <w:b/>
                <w:noProof/>
                <w:sz w:val="16"/>
              </w:rPr>
              <w:t>Année 2021</w:t>
            </w:r>
          </w:p>
        </w:tc>
        <w:tc>
          <w:tcPr>
            <w:tcW w:w="430" w:type="pct"/>
            <w:vAlign w:val="center"/>
          </w:tcPr>
          <w:p>
            <w:pPr>
              <w:jc w:val="center"/>
              <w:rPr>
                <w:b/>
                <w:noProof/>
                <w:sz w:val="16"/>
                <w:szCs w:val="16"/>
              </w:rPr>
            </w:pPr>
            <w:r>
              <w:rPr>
                <w:b/>
                <w:noProof/>
                <w:sz w:val="16"/>
              </w:rPr>
              <w:t>Année 2022</w:t>
            </w:r>
          </w:p>
        </w:tc>
      </w:tr>
      <w:tr>
        <w:trPr>
          <w:gridBefore w:val="1"/>
          <w:gridAfter w:val="1"/>
          <w:wBefore w:w="4" w:type="pct"/>
          <w:wAfter w:w="430" w:type="pct"/>
          <w:trHeight w:val="289"/>
          <w:jc w:val="center"/>
        </w:trPr>
        <w:tc>
          <w:tcPr>
            <w:tcW w:w="3581"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555" w:type="pct"/>
            <w:gridSpan w:val="2"/>
            <w:shd w:val="clear" w:color="auto" w:fill="auto"/>
            <w:vAlign w:val="center"/>
          </w:tcPr>
          <w:p>
            <w:pPr>
              <w:spacing w:before="20" w:after="20"/>
              <w:jc w:val="center"/>
              <w:rPr>
                <w:noProof/>
                <w:sz w:val="16"/>
                <w:szCs w:val="16"/>
              </w:rPr>
            </w:pPr>
          </w:p>
        </w:tc>
        <w:tc>
          <w:tcPr>
            <w:tcW w:w="430" w:type="pct"/>
          </w:tcPr>
          <w:p>
            <w:pPr>
              <w:spacing w:before="20" w:after="20"/>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(recherche indirecte)</w:t>
            </w:r>
          </w:p>
        </w:tc>
        <w:tc>
          <w:tcPr>
            <w:tcW w:w="369" w:type="pct"/>
            <w:shd w:val="clear" w:color="auto" w:fill="auto"/>
            <w:vAlign w:val="center"/>
          </w:tcPr>
          <w:p>
            <w:pPr>
              <w:spacing w:beforeLines="20" w:before="48" w:afterLines="20" w:after="48"/>
              <w:jc w:val="center"/>
              <w:rPr>
                <w:b/>
                <w:noProof/>
                <w:sz w:val="16"/>
                <w:szCs w:val="16"/>
              </w:rPr>
            </w:pPr>
            <w:r>
              <w:rPr>
                <w:b/>
                <w:noProof/>
                <w:sz w:val="16"/>
              </w:rPr>
              <w:t>0,2</w:t>
            </w:r>
          </w:p>
        </w:tc>
        <w:tc>
          <w:tcPr>
            <w:tcW w:w="369" w:type="pct"/>
            <w:shd w:val="clear" w:color="auto" w:fill="auto"/>
            <w:vAlign w:val="center"/>
          </w:tcPr>
          <w:p>
            <w:pPr>
              <w:spacing w:beforeLines="20" w:before="48" w:afterLines="20" w:after="48"/>
              <w:jc w:val="center"/>
              <w:rPr>
                <w:b/>
                <w:noProof/>
                <w:sz w:val="16"/>
                <w:szCs w:val="16"/>
              </w:rPr>
            </w:pPr>
            <w:r>
              <w:rPr>
                <w:b/>
                <w:noProof/>
                <w:sz w:val="16"/>
              </w:rPr>
              <w:t>0,5</w:t>
            </w:r>
          </w:p>
        </w:tc>
        <w:tc>
          <w:tcPr>
            <w:tcW w:w="656" w:type="pct"/>
            <w:shd w:val="clear" w:color="auto" w:fill="auto"/>
            <w:vAlign w:val="center"/>
          </w:tcPr>
          <w:p>
            <w:pPr>
              <w:spacing w:beforeLines="20" w:before="48" w:afterLines="20" w:after="48"/>
              <w:jc w:val="center"/>
              <w:rPr>
                <w:b/>
                <w:noProof/>
                <w:sz w:val="16"/>
                <w:szCs w:val="16"/>
              </w:rPr>
            </w:pPr>
            <w:r>
              <w:rPr>
                <w:b/>
                <w:noProof/>
                <w:sz w:val="16"/>
              </w:rPr>
              <w:t>0,5</w:t>
            </w:r>
          </w:p>
        </w:tc>
        <w:tc>
          <w:tcPr>
            <w:tcW w:w="555" w:type="pct"/>
            <w:gridSpan w:val="2"/>
            <w:shd w:val="clear" w:color="auto" w:fill="auto"/>
            <w:vAlign w:val="center"/>
          </w:tcPr>
          <w:p>
            <w:pPr>
              <w:spacing w:beforeLines="20" w:before="48" w:afterLines="20" w:after="48"/>
              <w:jc w:val="center"/>
              <w:rPr>
                <w:b/>
                <w:noProof/>
                <w:sz w:val="16"/>
                <w:szCs w:val="16"/>
              </w:rPr>
            </w:pPr>
            <w:r>
              <w:rPr>
                <w:b/>
                <w:noProof/>
                <w:sz w:val="16"/>
              </w:rPr>
              <w:t>0,5</w:t>
            </w:r>
          </w:p>
        </w:tc>
        <w:tc>
          <w:tcPr>
            <w:tcW w:w="430" w:type="pct"/>
            <w:shd w:val="clear" w:color="auto" w:fill="auto"/>
            <w:vAlign w:val="center"/>
          </w:tcPr>
          <w:p>
            <w:pPr>
              <w:spacing w:beforeLines="20" w:before="48" w:afterLines="20" w:after="48"/>
              <w:jc w:val="center"/>
              <w:rPr>
                <w:b/>
                <w:noProof/>
                <w:sz w:val="16"/>
                <w:szCs w:val="16"/>
              </w:rPr>
            </w:pPr>
            <w:r>
              <w:rPr>
                <w:b/>
                <w:noProof/>
                <w:sz w:val="16"/>
              </w:rPr>
              <w:t>0,5</w:t>
            </w:r>
          </w:p>
        </w:tc>
        <w:tc>
          <w:tcPr>
            <w:tcW w:w="430" w:type="pct"/>
          </w:tcPr>
          <w:p>
            <w:pPr>
              <w:spacing w:beforeLines="20" w:before="48" w:afterLines="20" w:after="48"/>
              <w:jc w:val="center"/>
              <w:rPr>
                <w:b/>
                <w:noProof/>
                <w:sz w:val="16"/>
                <w:szCs w:val="16"/>
              </w:rPr>
            </w:pPr>
            <w:r>
              <w:rPr>
                <w:b/>
                <w:noProof/>
                <w:sz w:val="16"/>
              </w:rPr>
              <w:t>0,3</w:t>
            </w: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After w:val="3"/>
          <w:wAfter w:w="985" w:type="pct"/>
          <w:trHeight w:val="248"/>
          <w:jc w:val="center"/>
        </w:trPr>
        <w:tc>
          <w:tcPr>
            <w:tcW w:w="358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0"/>
            </w:r>
          </w:p>
          <w:p>
            <w:pPr>
              <w:pStyle w:val="Text1"/>
              <w:spacing w:before="0" w:after="0"/>
              <w:ind w:left="0"/>
              <w:jc w:val="left"/>
              <w:rPr>
                <w:noProof/>
                <w:sz w:val="16"/>
                <w:szCs w:val="16"/>
              </w:rPr>
            </w:pPr>
          </w:p>
        </w:tc>
        <w:tc>
          <w:tcPr>
            <w:tcW w:w="430" w:type="pct"/>
          </w:tcPr>
          <w:p>
            <w:pPr>
              <w:pStyle w:val="Text1"/>
              <w:spacing w:before="60" w:after="60"/>
              <w:ind w:left="0"/>
              <w:jc w:val="left"/>
              <w:rPr>
                <w:b/>
                <w:noProof/>
                <w:sz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109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1095"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69" w:type="pct"/>
            <w:shd w:val="clear" w:color="auto" w:fill="auto"/>
            <w:vAlign w:val="center"/>
          </w:tcPr>
          <w:p>
            <w:pPr>
              <w:pStyle w:val="Text1"/>
              <w:spacing w:beforeLines="20" w:before="48" w:afterLines="20" w:after="48"/>
              <w:ind w:left="0"/>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1094" w:type="pct"/>
            <w:vMerge/>
            <w:shd w:val="clear" w:color="auto" w:fill="auto"/>
            <w:vAlign w:val="center"/>
          </w:tcPr>
          <w:p>
            <w:pPr>
              <w:pStyle w:val="Text1"/>
              <w:spacing w:beforeLines="20" w:before="48" w:afterLines="20" w:after="48"/>
              <w:ind w:left="136"/>
              <w:jc w:val="left"/>
              <w:rPr>
                <w:b/>
                <w:noProof/>
                <w:sz w:val="16"/>
                <w:szCs w:val="16"/>
              </w:rPr>
            </w:pPr>
          </w:p>
        </w:tc>
        <w:tc>
          <w:tcPr>
            <w:tcW w:w="109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69" w:type="pct"/>
            <w:shd w:val="clear" w:color="auto" w:fill="auto"/>
            <w:vAlign w:val="center"/>
          </w:tcPr>
          <w:p>
            <w:pPr>
              <w:pStyle w:val="Text1"/>
              <w:spacing w:beforeLines="20" w:before="48" w:afterLines="20" w:after="48"/>
              <w:ind w:left="0"/>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(AC, END, INT sur recherche indirecte)</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5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5"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0" w:type="pct"/>
            <w:tcBorders>
              <w:bottom w:val="double" w:sz="4" w:space="0" w:color="auto"/>
            </w:tcBorders>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3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65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555"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43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430" w:type="pct"/>
            <w:tcBorders>
              <w:top w:val="double" w:sz="4" w:space="0" w:color="auto"/>
            </w:tcBorders>
          </w:tcPr>
          <w:p>
            <w:pPr>
              <w:spacing w:beforeLines="20" w:before="48" w:afterLines="20" w:after="48"/>
              <w:jc w:val="center"/>
              <w:rPr>
                <w:b/>
                <w:noProof/>
                <w:sz w:val="16"/>
                <w:szCs w:val="16"/>
              </w:rPr>
            </w:pPr>
            <w:r>
              <w:rPr>
                <w:b/>
                <w:noProof/>
                <w:sz w:val="16"/>
              </w:rPr>
              <w:t>0,3</w:t>
            </w:r>
          </w:p>
        </w:tc>
      </w:tr>
    </w:tbl>
    <w:p>
      <w:pPr>
        <w:pStyle w:val="Text1"/>
        <w:spacing w:before="60" w:after="60"/>
        <w:ind w:left="851"/>
        <w:rPr>
          <w:noProof/>
          <w:sz w:val="18"/>
          <w:szCs w:val="18"/>
        </w:rPr>
      </w:pPr>
      <w:r>
        <w:rPr>
          <w:b/>
          <w:noProof/>
          <w:sz w:val="18"/>
        </w:rPr>
        <w:t>XX</w:t>
      </w:r>
      <w:r>
        <w:rPr>
          <w:noProof/>
        </w:rPr>
        <w:t xml:space="preserve"> </w:t>
      </w:r>
      <w:r>
        <w:rPr>
          <w:noProof/>
          <w:sz w:val="18"/>
        </w:rPr>
        <w:t>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La préparation et la gestion des réunions du comité mixte prévues à l’article VI de l’accord, ainsi que le suivi du fonctionnement et de la mise en œuvre de l’accord.</w:t>
            </w:r>
          </w:p>
          <w:p>
            <w:pPr>
              <w:rPr>
                <w:noProof/>
                <w:sz w:val="20"/>
              </w:rPr>
            </w:pPr>
            <w:r>
              <w:rPr>
                <w:noProof/>
                <w:sz w:val="20"/>
              </w:rPr>
              <w:t>Les calculs sont effectués proportionnellement à la durée de l’accord.</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Compatibilité avec le cadre financier pluriannuel actuel</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Participation de tiers au financement</w:t>
      </w:r>
    </w:p>
    <w:p>
      <w:pPr>
        <w:pStyle w:val="ListDash1"/>
        <w:rPr>
          <w:noProof/>
        </w:rPr>
      </w:pPr>
      <w:r>
        <w:rPr>
          <w:noProof/>
        </w:rPr>
        <w:sym w:font="Wingdings" w:char="F0FE"/>
      </w:r>
      <w:r>
        <w:rPr>
          <w:noProof/>
        </w:rPr>
        <w:tab/>
        <w:t>La proposition/l'initiative ne prévoit pas de cofinancement par des tierces parties.</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Incidence estimée sur les recettes</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sur les ressources propres</w:t>
      </w:r>
    </w:p>
    <w:p>
      <w:pPr>
        <w:pStyle w:val="ListNumberLevel3"/>
        <w:rPr>
          <w:noProof/>
        </w:rPr>
      </w:pPr>
      <w:r>
        <w:rPr>
          <w:noProof/>
        </w:rPr>
        <w:sym w:font="Wingdings" w:char="F0A8"/>
      </w:r>
      <w:r>
        <w:rPr>
          <w:noProof/>
        </w:rPr>
        <w:tab/>
        <w:t>sur les recettes diverses</w:t>
      </w:r>
    </w:p>
    <w:p>
      <w:pPr>
        <w:jc w:val="right"/>
        <w:rPr>
          <w:i/>
          <w:noProof/>
          <w:sz w:val="20"/>
        </w:rPr>
      </w:pPr>
      <w:r>
        <w:rPr>
          <w:noProof/>
        </w:rPr>
        <w:t>En Mio 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295 du 11.11.2005, p. 38.</w:t>
      </w:r>
    </w:p>
  </w:footnote>
  <w:footnote w:id="2">
    <w:p>
      <w:pPr>
        <w:pStyle w:val="FootnoteText"/>
      </w:pPr>
      <w:r>
        <w:rPr>
          <w:rStyle w:val="FootnoteReference"/>
        </w:rPr>
        <w:footnoteRef/>
      </w:r>
      <w:r>
        <w:tab/>
        <w:t>Décision 2012/646/UE du Conseil du 10 octobre 2012 concernant le renouvellement de l’accord de coopération scientifique et technologique entre la Communauté européenne et la République fédérative du Brésil (JO L 287 du 18.10.2012, p. 4).</w:t>
      </w:r>
    </w:p>
  </w:footnote>
  <w:footnote w:id="3">
    <w:p>
      <w:pPr>
        <w:pStyle w:val="FootnoteText"/>
      </w:pPr>
      <w:r>
        <w:rPr>
          <w:rStyle w:val="FootnoteReference"/>
        </w:rPr>
        <w:footnoteRef/>
      </w:r>
      <w:r>
        <w:tab/>
      </w:r>
      <w:hyperlink r:id="rId1" w:anchor="view=fit&amp;amp;pagemode=none" w:tooltip="Document opens in new window">
        <w:r>
          <w:rPr>
            <w:rStyle w:val="Hyperlink"/>
            <w:i/>
            <w:color w:val="auto"/>
            <w:u w:val="none"/>
            <w:bdr w:val="none" w:sz="0" w:space="0" w:color="auto" w:frame="1"/>
            <w:shd w:val="clear" w:color="auto" w:fill="FFFFFF"/>
          </w:rPr>
          <w:t>Renforcement et ciblage de la coopération internationale de l’Union européenne dans la recherche et l’innovation: une approche stratégique</w:t>
        </w:r>
      </w:hyperlink>
      <w:r>
        <w:rPr>
          <w:rStyle w:val="Hyperlink"/>
          <w:color w:val="auto"/>
          <w:u w:val="none"/>
          <w:bdr w:val="none" w:sz="0" w:space="0" w:color="auto" w:frame="1"/>
          <w:shd w:val="clear" w:color="auto" w:fill="FFFFFF"/>
        </w:rPr>
        <w:t>,</w:t>
      </w:r>
      <w:r>
        <w:t xml:space="preserve"> </w:t>
      </w:r>
      <w:r>
        <w:rPr>
          <w:color w:val="333333"/>
          <w:shd w:val="clear" w:color="auto" w:fill="FFFFFF"/>
        </w:rPr>
        <w:t>COM(2012) 497.</w:t>
      </w:r>
    </w:p>
  </w:footnote>
  <w:footnote w:id="4">
    <w:p>
      <w:pPr>
        <w:pStyle w:val="FootnoteText"/>
      </w:pPr>
      <w:r>
        <w:rPr>
          <w:rStyle w:val="FootnoteReference"/>
        </w:rPr>
        <w:footnoteRef/>
      </w:r>
      <w:r>
        <w:tab/>
        <w:t>Décision 2005/781/CE du Conseil du 6 juin 2005 concernant la conclusion de l'accord de coopération scientifique et technologique entre la Communauté européenne et la République fédérative du Brésil (JO L 295 du 11.11.2005, p. 37).</w:t>
      </w:r>
    </w:p>
  </w:footnote>
  <w:footnote w:id="5">
    <w:p>
      <w:pPr>
        <w:pStyle w:val="FootnoteText"/>
      </w:pPr>
      <w:r>
        <w:rPr>
          <w:rStyle w:val="FootnoteReference"/>
        </w:rPr>
        <w:footnoteRef/>
      </w:r>
      <w:r>
        <w:tab/>
        <w:t>Décision 2012/646/UE du Conseil du 10 octobre 2012 concernant le renouvellement de l’accord de coopération scientifique et technologique entre la Communauté européenne et la République fédérative du Brésil (JO L 287 du 18.10.2012, p. 4).</w:t>
      </w:r>
    </w:p>
  </w:footnote>
  <w:footnote w:id="6">
    <w:p>
      <w:pPr>
        <w:pStyle w:val="FootnoteText"/>
        <w:rPr>
          <w:rStyle w:val="Hyperlink"/>
          <w:color w:val="auto"/>
          <w:u w:val="none"/>
          <w:bdr w:val="none" w:sz="0" w:space="0" w:color="auto" w:frame="1"/>
          <w:shd w:val="clear" w:color="auto" w:fill="FFFFFF"/>
          <w:lang w:val="en-US"/>
        </w:rPr>
      </w:pPr>
      <w:r>
        <w:rPr>
          <w:rStyle w:val="FootnoteReference"/>
        </w:rPr>
        <w:footnoteRef/>
      </w:r>
      <w:r>
        <w:rPr>
          <w:lang w:val="en-US"/>
        </w:rPr>
        <w:tab/>
      </w:r>
      <w:r>
        <w:rPr>
          <w:rStyle w:val="Hyperlink"/>
          <w:color w:val="auto"/>
          <w:u w:val="none"/>
          <w:bdr w:val="none" w:sz="0" w:space="0" w:color="auto" w:frame="1"/>
          <w:shd w:val="clear" w:color="auto" w:fill="FFFFFF"/>
          <w:lang w:val="en-US"/>
        </w:rPr>
        <w:t>ABM: activity-based management; ABB: activity-based budgeting.</w:t>
      </w:r>
    </w:p>
  </w:footnote>
  <w:footnote w:id="7">
    <w:p>
      <w:pPr>
        <w:pStyle w:val="FootnoteText"/>
        <w:rPr>
          <w:rStyle w:val="Hyperlink"/>
          <w:color w:val="auto"/>
          <w:u w:val="none"/>
          <w:bdr w:val="none" w:sz="0" w:space="0" w:color="auto" w:frame="1"/>
          <w:shd w:val="clear" w:color="auto" w:fill="FFFFFF"/>
        </w:rPr>
      </w:pPr>
      <w:r>
        <w:rPr>
          <w:rStyle w:val="FootnoteReference"/>
        </w:rPr>
        <w:footnoteRef/>
      </w:r>
      <w:r>
        <w:tab/>
      </w:r>
      <w:r>
        <w:rPr>
          <w:rStyle w:val="Hyperlink"/>
          <w:color w:val="auto"/>
          <w:u w:val="none"/>
          <w:bdr w:val="none" w:sz="0" w:space="0" w:color="auto" w:frame="1"/>
          <w:shd w:val="clear" w:color="auto" w:fill="FFFFFF"/>
        </w:rPr>
        <w:t>Tel(le) que visé(e) à l’article 54, paragraphe 2, point a) ou b), du règlement financier.</w:t>
      </w:r>
    </w:p>
  </w:footnote>
  <w:footnote w:id="8">
    <w:p>
      <w:pPr>
        <w:pStyle w:val="FootnoteText"/>
      </w:pPr>
      <w:r>
        <w:rPr>
          <w:rStyle w:val="FootnoteReference"/>
        </w:rPr>
        <w:footnoteRef/>
      </w:r>
      <w:r>
        <w:tab/>
        <w:t xml:space="preserve">Les explications sur les modes de gestion ainsi que les références au règlement financier sont disponibles sur le site BudgWeb: </w:t>
      </w:r>
      <w:hyperlink r:id="rId2">
        <w:r>
          <w:rPr>
            <w:rStyle w:val="Hyperlink"/>
          </w:rPr>
          <w:t>http://www.cc.cec/budg/man/budgmanag/budgmanag_fr.html</w:t>
        </w:r>
      </w:hyperlink>
    </w:p>
  </w:footnote>
  <w:footnote w:id="9">
    <w:p>
      <w:pPr>
        <w:pStyle w:val="FootnoteText"/>
        <w:rPr>
          <w:szCs w:val="24"/>
        </w:rPr>
      </w:pPr>
      <w:r>
        <w:rPr>
          <w:rStyle w:val="FootnoteReference"/>
        </w:rPr>
        <w:footnoteRef/>
      </w:r>
      <w:r>
        <w:tab/>
        <w:t>CD = crédits dissociés / CND = crédits non dissociés.</w:t>
      </w:r>
    </w:p>
  </w:footnote>
  <w:footnote w:id="10">
    <w:p>
      <w:pPr>
        <w:pStyle w:val="FootnoteText"/>
        <w:rPr>
          <w:szCs w:val="24"/>
        </w:rPr>
      </w:pPr>
      <w:r>
        <w:rPr>
          <w:rStyle w:val="FootnoteReference"/>
        </w:rPr>
        <w:footnoteRef/>
      </w:r>
      <w:r>
        <w:tab/>
        <w:t>AELE: Association européenne de libre-échange.</w:t>
      </w:r>
    </w:p>
  </w:footnote>
  <w:footnote w:id="11">
    <w:p>
      <w:pPr>
        <w:pStyle w:val="FootnoteText"/>
        <w:rPr>
          <w:szCs w:val="24"/>
        </w:rPr>
      </w:pPr>
      <w:r>
        <w:rPr>
          <w:rStyle w:val="FootnoteReference"/>
        </w:rPr>
        <w:footnoteRef/>
      </w:r>
      <w:r>
        <w:tab/>
        <w:t>Pays candidats et, le cas échéant, pays candidats potentiels des Balkans occidentaux.</w:t>
      </w:r>
    </w:p>
  </w:footnote>
  <w:footnote w:id="12">
    <w:p>
      <w:pPr>
        <w:pStyle w:val="FootnoteText"/>
        <w:rPr>
          <w:szCs w:val="24"/>
        </w:rPr>
      </w:pPr>
      <w:r>
        <w:rPr>
          <w:rStyle w:val="FootnoteReference"/>
        </w:rPr>
        <w:footnoteRef/>
      </w:r>
      <w:r>
        <w:tab/>
        <w:t>L'année 2017 est l'année du début de la mise en œuvre de la proposition/de l'initiative.</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pPr>
      <w:r>
        <w:rPr>
          <w:rStyle w:val="FootnoteReference"/>
        </w:rPr>
        <w:footnoteRef/>
      </w:r>
      <w:r>
        <w:tab/>
        <w:t>L'année 2017 est l'année du début de la mise en œuvre de la proposition/de l'initiative.</w:t>
      </w:r>
    </w:p>
  </w:footnote>
  <w:footnote w:id="15">
    <w:p>
      <w:pPr>
        <w:pStyle w:val="FootnoteText"/>
        <w:rPr>
          <w:szCs w:val="24"/>
        </w:rPr>
      </w:pPr>
      <w:r>
        <w:rPr>
          <w:rStyle w:val="FootnoteReference"/>
        </w:rPr>
        <w:footnoteRef/>
      </w:r>
      <w:r>
        <w:tab/>
        <w:t>L'année 2017 est l'année du début de la mise en œuvre de la proposition/de l'initiative.</w:t>
      </w:r>
    </w:p>
  </w:footnote>
  <w:footnote w:id="16">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7">
    <w:p>
      <w:pPr>
        <w:pStyle w:val="FootnoteText"/>
        <w:rPr>
          <w:szCs w:val="24"/>
        </w:rPr>
      </w:pPr>
      <w:r>
        <w:rPr>
          <w:rStyle w:val="FootnoteReference"/>
        </w:rPr>
        <w:footnoteRef/>
      </w:r>
      <w:r>
        <w:tab/>
        <w:t>Tel que décrit au point 1.4.2. «Objectif(s) spécifique(s)…».</w:t>
      </w:r>
    </w:p>
  </w:footnote>
  <w:footnote w:id="18">
    <w:p>
      <w:pPr>
        <w:pStyle w:val="FootnoteText"/>
        <w:rPr>
          <w:szCs w:val="24"/>
        </w:rPr>
      </w:pPr>
      <w:r>
        <w:rPr>
          <w:rStyle w:val="FootnoteReference"/>
        </w:rPr>
        <w:footnoteRef/>
      </w:r>
      <w:r>
        <w:tab/>
        <w:t>L'année 2017 est l'année du début de la mise en œuvre de la proposition/de l'initiative.</w:t>
      </w:r>
    </w:p>
  </w:footnote>
  <w:footnote w:id="1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0">
    <w:p>
      <w:pPr>
        <w:pStyle w:val="FootnoteText"/>
        <w:rPr>
          <w:szCs w:val="24"/>
        </w:rPr>
      </w:pPr>
      <w:r>
        <w:rPr>
          <w:rStyle w:val="FootnoteReference"/>
        </w:rPr>
        <w:footnoteRef/>
      </w:r>
      <w:r>
        <w:tab/>
        <w:t>AC = agent contractuel; AL = agent local; END = expert national détaché; INT = intérimaire; JED = jeune expert en délégation.</w:t>
      </w:r>
    </w:p>
  </w:footnote>
  <w:footnote w:id="21">
    <w:p>
      <w:pPr>
        <w:pStyle w:val="FootnoteText"/>
        <w:rPr>
          <w:szCs w:val="24"/>
        </w:rPr>
      </w:pPr>
      <w:r>
        <w:rPr>
          <w:rStyle w:val="FootnoteReference"/>
        </w:rPr>
        <w:footnoteRef/>
      </w:r>
      <w:r>
        <w:tab/>
        <w:t>Sous-plafonds de personnel externe financés sur crédits opérationnels (anciennes lignes «BA»).</w:t>
      </w:r>
    </w:p>
  </w:footnote>
  <w:footnote w:id="22">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D0CD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4A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B26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28A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8451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5 11:53: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38EEC5B374B4124918452D0D0417ABA"/>
    <w:docVar w:name="LW_CROSSREFERENCE" w:val="&lt;UNUSED&gt;"/>
    <w:docVar w:name="LW_DocType" w:val="COM"/>
    <w:docVar w:name="LW_EMISSION" w:val="22.6.2017"/>
    <w:docVar w:name="LW_EMISSION_ISODATE" w:val="2017-06-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9"/>
    <w:docVar w:name="LW_REF.II.NEW.CP_YEAR" w:val="2017"/>
    <w:docVar w:name="LW_REF.INST.NEW" w:val="COM"/>
    <w:docVar w:name="LW_REF.INST.NEW_ADOPTED" w:val="final"/>
    <w:docVar w:name="LW_REF.INST.NEW_TEXT" w:val="(2017) 336"/>
    <w:docVar w:name="LW_REF.INTERNE" w:val="&lt;UNUSED&gt;"/>
    <w:docVar w:name="LW_SOUS.TITRE.OBJ.CP" w:val="&lt;UNUSED&gt;"/>
    <w:docVar w:name="LW_STATUT.CP" w:val="Proposition de"/>
    <w:docVar w:name="LW_SUPERTITRE" w:val="&lt;UNUSED&gt;"/>
    <w:docVar w:name="LW_TITRE.OBJ.CP" w:val="concernant le renouvellement de l\u8217?accord de coopération scientifique et technologique entre la Communauté européenne et la République fédérative du Brésil  _x000b_"/>
    <w:docVar w:name="LW_TYPE.DOC.CP" w:val="DÉCISION DU CONSEIL"/>
    <w:docVar w:name="Stamp" w:val="\\dossiers.dgt.cec.eu.int\dossiers\RTD\RTD-2017-00013\RTD-2017-00013-00-00-EN-REV-00.20170421112901676789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3367">
      <w:bodyDiv w:val="1"/>
      <w:marLeft w:val="0"/>
      <w:marRight w:val="0"/>
      <w:marTop w:val="0"/>
      <w:marBottom w:val="0"/>
      <w:divBdr>
        <w:top w:val="none" w:sz="0" w:space="0" w:color="auto"/>
        <w:left w:val="none" w:sz="0" w:space="0" w:color="auto"/>
        <w:bottom w:val="none" w:sz="0" w:space="0" w:color="auto"/>
        <w:right w:val="none" w:sz="0" w:space="0" w:color="auto"/>
      </w:divBdr>
    </w:div>
    <w:div w:id="1928032549">
      <w:bodyDiv w:val="1"/>
      <w:marLeft w:val="0"/>
      <w:marRight w:val="0"/>
      <w:marTop w:val="0"/>
      <w:marBottom w:val="0"/>
      <w:divBdr>
        <w:top w:val="none" w:sz="0" w:space="0" w:color="auto"/>
        <w:left w:val="none" w:sz="0" w:space="0" w:color="auto"/>
        <w:bottom w:val="none" w:sz="0" w:space="0" w:color="auto"/>
        <w:right w:val="none" w:sz="0" w:space="0" w:color="auto"/>
      </w:divBdr>
      <w:divsChild>
        <w:div w:id="1355228062">
          <w:marLeft w:val="0"/>
          <w:marRight w:val="0"/>
          <w:marTop w:val="0"/>
          <w:marBottom w:val="0"/>
          <w:divBdr>
            <w:top w:val="none" w:sz="0" w:space="0" w:color="auto"/>
            <w:left w:val="none" w:sz="0" w:space="0" w:color="auto"/>
            <w:bottom w:val="none" w:sz="0" w:space="0" w:color="auto"/>
            <w:right w:val="none" w:sz="0" w:space="0" w:color="auto"/>
          </w:divBdr>
          <w:divsChild>
            <w:div w:id="2059435316">
              <w:marLeft w:val="0"/>
              <w:marRight w:val="0"/>
              <w:marTop w:val="0"/>
              <w:marBottom w:val="0"/>
              <w:divBdr>
                <w:top w:val="none" w:sz="0" w:space="0" w:color="auto"/>
                <w:left w:val="none" w:sz="0" w:space="0" w:color="auto"/>
                <w:bottom w:val="none" w:sz="0" w:space="0" w:color="auto"/>
                <w:right w:val="none" w:sz="0" w:space="0" w:color="auto"/>
              </w:divBdr>
              <w:divsChild>
                <w:div w:id="166287086">
                  <w:marLeft w:val="0"/>
                  <w:marRight w:val="0"/>
                  <w:marTop w:val="0"/>
                  <w:marBottom w:val="0"/>
                  <w:divBdr>
                    <w:top w:val="none" w:sz="0" w:space="0" w:color="auto"/>
                    <w:left w:val="none" w:sz="0" w:space="0" w:color="auto"/>
                    <w:bottom w:val="none" w:sz="0" w:space="0" w:color="auto"/>
                    <w:right w:val="none" w:sz="0" w:space="0" w:color="auto"/>
                  </w:divBdr>
                  <w:divsChild>
                    <w:div w:id="1665628135">
                      <w:marLeft w:val="1"/>
                      <w:marRight w:val="1"/>
                      <w:marTop w:val="0"/>
                      <w:marBottom w:val="0"/>
                      <w:divBdr>
                        <w:top w:val="none" w:sz="0" w:space="0" w:color="auto"/>
                        <w:left w:val="none" w:sz="0" w:space="0" w:color="auto"/>
                        <w:bottom w:val="none" w:sz="0" w:space="0" w:color="auto"/>
                        <w:right w:val="none" w:sz="0" w:space="0" w:color="auto"/>
                      </w:divBdr>
                      <w:divsChild>
                        <w:div w:id="759525009">
                          <w:marLeft w:val="0"/>
                          <w:marRight w:val="0"/>
                          <w:marTop w:val="0"/>
                          <w:marBottom w:val="240"/>
                          <w:divBdr>
                            <w:top w:val="single" w:sz="6" w:space="2" w:color="BBBBBB"/>
                            <w:left w:val="single" w:sz="6" w:space="4" w:color="BBBBBB"/>
                            <w:bottom w:val="single" w:sz="6" w:space="2" w:color="BBBBBB"/>
                            <w:right w:val="single" w:sz="6" w:space="4" w:color="BBBBBB"/>
                          </w:divBdr>
                          <w:divsChild>
                            <w:div w:id="1587884040">
                              <w:marLeft w:val="0"/>
                              <w:marRight w:val="0"/>
                              <w:marTop w:val="144"/>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c.europa.eu/research/iscp/pdf/policy/com_2012_497_communication_from_commission_to_inst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0BD0-86E1-4558-8A10-A976A56B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4456</Words>
  <Characters>25712</Characters>
  <Application>Microsoft Office Word</Application>
  <DocSecurity>0</DocSecurity>
  <Lines>1353</Lines>
  <Paragraphs>628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2017-05-18T10:37:00Z</cp:lastPrinted>
  <dcterms:created xsi:type="dcterms:W3CDTF">2017-06-07T10:59:00Z</dcterms:created>
  <dcterms:modified xsi:type="dcterms:W3CDTF">2017-06-15T09:53:00Z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