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F35F6D2C194DE8B818D2D3960BD429"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Споразумението за научно-технологично сътрудничество между Европейската общност и Федеративна република Бразилия</w:t>
      </w:r>
      <w:r>
        <w:rPr>
          <w:rStyle w:val="FootnoteReference"/>
          <w:noProof/>
        </w:rPr>
        <w:footnoteReference w:id="1"/>
      </w:r>
      <w:r>
        <w:rPr>
          <w:noProof/>
        </w:rPr>
        <w:t xml:space="preserve"> („Споразумението“) влезе в сила на 7 август 2007 г. В член XII, параграф 2 от Споразумението се предвижда, че то „първоначално е валидно за срок от пет години и ще може да се подновява по споразумение между страните след изготвяне на оценка през предпоследната година от всеки следващ период на подновяване на споразумението.“ За последен път Споразумението беше подновено през 2012 г. и остава в сила до 7 август 2017 г., освен ако страните не го подновят за следващия петгодишен период.</w:t>
      </w:r>
    </w:p>
    <w:p>
      <w:pPr>
        <w:pBdr>
          <w:top w:val="nil"/>
          <w:left w:val="nil"/>
          <w:bottom w:val="nil"/>
          <w:right w:val="nil"/>
          <w:between w:val="nil"/>
          <w:bar w:val="nil"/>
        </w:pBdr>
        <w:spacing w:before="0" w:after="240"/>
        <w:rPr>
          <w:noProof/>
        </w:rPr>
      </w:pPr>
      <w:r>
        <w:rPr>
          <w:noProof/>
        </w:rPr>
        <w:t>От последното подновяване на Споразумението насам (Решение 2012/646/ЕС</w:t>
      </w:r>
      <w:r>
        <w:rPr>
          <w:rStyle w:val="FootnoteReference"/>
          <w:noProof/>
        </w:rPr>
        <w:footnoteReference w:id="2"/>
      </w:r>
      <w:r>
        <w:rPr>
          <w:noProof/>
        </w:rPr>
        <w:t>) Бразилия е отбелязала значителен напредък в политиката си в областта на науката, технологиите и иновациите, което е допринесло за институционалното укрепване на системата в тази област. Той включва подобряване на броя и квалификацията на човешките ресурси и на инфраструктурата, свързана с научноизследователската и развойната дейност. Бразилия продължава да е в челните редици на научните изследвания в областта на селското стопанство, както и в сферата на тропическите и инфекциозните болести. Тя също така е участник на световно равнище в областта на информационните и комуникационните технологии, нанотехнологиите и енергетиката, като там се намират и някои от водещите университети в Латинска Америка. Тези научноизследователски области представляват интерес за Европейския съюз. Връзките между Бразилия и ЕС в областта на науката, технологиите и иновациите се задълбочиха чрез активно сътрудничество на равнище ЕС и на равнище държави членки.</w:t>
      </w:r>
    </w:p>
    <w:p>
      <w:pPr>
        <w:pBdr>
          <w:top w:val="nil"/>
          <w:left w:val="nil"/>
          <w:bottom w:val="nil"/>
          <w:right w:val="nil"/>
          <w:between w:val="nil"/>
          <w:bar w:val="nil"/>
        </w:pBdr>
        <w:spacing w:before="0" w:after="240"/>
        <w:rPr>
          <w:noProof/>
        </w:rPr>
      </w:pPr>
      <w:r>
        <w:rPr>
          <w:noProof/>
        </w:rPr>
        <w:t>Оценката, извършвана от Комисията, ясно показва, че Споразумението предоставя важна рамка за улесняване на сътрудничеството между ЕС и Бразилия във връзка с общите приоритети в областта на науката и технологиите, която ще доведе до взаимни ползи. Тъй като потенциалът на Бразилия като партньор в областта на научните изследвания и иновациите продължава да расте, тя следва да се разглежда като стратегически партньор на ЕС в Латинска Америка. Основните инструменти за сътрудничество са рамковите програми на ЕС в областта на научните изследвания и иновациите. Сред неасоциираните трети държави Бразилия е на шесто място по активност в РП7 (2007—2013 г.) и на пето място в програма „Хоризонт 2020“. Сътрудничеството между научноизследователските общности в ЕС и Бразилия е довело, наред с други резултати, до разработването на ново лекарство за болестта на Чагас (вече регистрирано от Администрацията по храните и лекарствата за започване на клинични изпитвания), както и до разработването на нов процес на предварителна обработка на биомаса за съвременен биоетанол (което позволява създаването на първия завод за промишлено производство на съвременен биоетанол в Европа).</w:t>
      </w:r>
    </w:p>
    <w:p>
      <w:pPr>
        <w:pBdr>
          <w:top w:val="nil"/>
          <w:left w:val="nil"/>
          <w:bottom w:val="nil"/>
          <w:right w:val="nil"/>
          <w:between w:val="nil"/>
          <w:bar w:val="nil"/>
        </w:pBdr>
        <w:spacing w:before="0" w:after="240"/>
        <w:rPr>
          <w:noProof/>
        </w:rPr>
      </w:pPr>
      <w:r>
        <w:rPr>
          <w:noProof/>
        </w:rPr>
        <w:t>Поради това в интерес на ЕС е да поднови Споразумението за научно и технологично сътрудничество между Европейската общност и Федеративна република Бразилия за нов период от пет години.</w:t>
      </w:r>
    </w:p>
    <w:p>
      <w:pPr>
        <w:pBdr>
          <w:top w:val="nil"/>
          <w:left w:val="nil"/>
          <w:bottom w:val="nil"/>
          <w:right w:val="nil"/>
          <w:between w:val="nil"/>
          <w:bar w:val="nil"/>
        </w:pBdr>
        <w:spacing w:before="0" w:after="240"/>
        <w:rPr>
          <w:noProof/>
        </w:rPr>
      </w:pPr>
      <w:r>
        <w:rPr>
          <w:noProof/>
        </w:rPr>
        <w:t>И двете страни потвърдиха желанието си да подновят Споразумението чрез размяна на писма с дата 14 ноември 2016 г. и 5 януари 2017 г.</w:t>
      </w:r>
    </w:p>
    <w:p>
      <w:pPr>
        <w:pBdr>
          <w:top w:val="nil"/>
          <w:left w:val="nil"/>
          <w:bottom w:val="nil"/>
          <w:right w:val="nil"/>
          <w:between w:val="nil"/>
          <w:bar w:val="nil"/>
        </w:pBdr>
        <w:spacing w:before="0" w:after="240"/>
        <w:rPr>
          <w:noProof/>
        </w:rPr>
      </w:pPr>
      <w:r>
        <w:rPr>
          <w:noProof/>
        </w:rPr>
        <w:t xml:space="preserve">Съдържанието на подновеното споразумение ще бъде еднакво с това на сегашното споразумение, както бе обсъдено и договорено с бразилската страна.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областта на политиката</w:t>
      </w:r>
    </w:p>
    <w:p>
      <w:pPr>
        <w:pBdr>
          <w:top w:val="nil"/>
          <w:left w:val="nil"/>
          <w:bottom w:val="nil"/>
          <w:right w:val="nil"/>
          <w:between w:val="nil"/>
          <w:bar w:val="nil"/>
        </w:pBdr>
        <w:spacing w:before="0" w:after="240"/>
        <w:rPr>
          <w:noProof/>
        </w:rPr>
      </w:pPr>
      <w:r>
        <w:rPr>
          <w:noProof/>
        </w:rPr>
        <w:t>Настоящата инициатива е изцяло в съответствие със стратегията за международно сътрудничество на ЕС в областта на научните изследвания и иновациите</w:t>
      </w:r>
      <w:r>
        <w:rPr>
          <w:rStyle w:val="FootnoteReference"/>
          <w:noProof/>
        </w:rPr>
        <w:footnoteReference w:id="3"/>
      </w:r>
      <w:r>
        <w:rPr>
          <w:noProof/>
        </w:rPr>
        <w:t>. В стратегията на ЕС ясно се заявява значението на споразуменията в областта на науката и технологиите като инструменти за определяне и изпълнение на многогодишните пътни карти за сътрудничество с държави извън ЕС. Споразумението също така е средство за изпълнение на стратегията за международно сътрудничество на ЕС в областта на научните изследвания и иновациите, в която се призовава за повече откритост и интернационализация в сферата на научните изследвания и иновациите в ЕС.</w:t>
      </w:r>
    </w:p>
    <w:p>
      <w:pPr>
        <w:pStyle w:val="ManualHeading2"/>
        <w:rPr>
          <w:rFonts w:eastAsia="Arial Unicode MS"/>
          <w:noProof/>
        </w:rPr>
      </w:pPr>
      <w:r>
        <w:rPr>
          <w:noProof/>
          <w:color w:val="000000"/>
          <w:u w:color="000000"/>
          <w:bdr w:val="nil"/>
        </w:rPr>
        <w:t>•</w:t>
      </w:r>
      <w:r>
        <w:rPr>
          <w:noProof/>
        </w:rPr>
        <w:tab/>
        <w:t>Съответствие с политиките на Съюза в други области</w:t>
      </w:r>
    </w:p>
    <w:p>
      <w:pPr>
        <w:pBdr>
          <w:top w:val="nil"/>
          <w:left w:val="nil"/>
          <w:bottom w:val="nil"/>
          <w:right w:val="nil"/>
          <w:between w:val="nil"/>
          <w:bar w:val="nil"/>
        </w:pBdr>
        <w:spacing w:before="0" w:after="240"/>
        <w:rPr>
          <w:noProof/>
        </w:rPr>
      </w:pPr>
      <w:r>
        <w:rPr>
          <w:noProof/>
        </w:rPr>
        <w:t>Глобалната стратегия на ЕС в областта на неговата външна политика и политиката на сигурност потвърждава, че сътрудничеството в областта на научните изследвания е важен аспект на външната политика на ЕС, и посочва сътрудничеството в областта на научните изследвания като основен елемент на по-тесните социално-икономически връзки, по-конкретно с държавите от Латинска Америка.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before="60" w:after="60"/>
        <w:rPr>
          <w:noProof/>
        </w:rPr>
      </w:pPr>
      <w:r>
        <w:rPr>
          <w:noProof/>
        </w:rPr>
        <w:t>Правомощията на ЕС да действа в международен план в областта на научните изследвания и технологичното развитие са установени в член 186 от ДФЕС. Процесуалноправното основание за предложението е член 218, параграф 6, буква а), точка v) от ДФЕС.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Настоящата инициативата не е част от програмата REFIT.</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Необходими са единствено човешки и административни ресурси; те са заложени в законодателната финансова обосновка.</w:t>
      </w:r>
    </w:p>
    <w:p>
      <w:pPr>
        <w:pStyle w:val="ManualHeading2"/>
        <w:ind w:left="0" w:firstLine="0"/>
        <w:rPr>
          <w:noProof/>
        </w:rPr>
      </w:pPr>
    </w:p>
    <w:p>
      <w:pPr>
        <w:ind w:left="850" w:hanging="850"/>
        <w:rPr>
          <w:rFonts w:eastAsia="Times New Roman"/>
          <w:noProof/>
          <w:szCs w:val="24"/>
        </w:rPr>
      </w:pPr>
      <w:r>
        <w:rPr>
          <w:noProof/>
        </w:rPr>
        <w:t>С оглед на горните съображения Комисията приканва Съвета да:</w:t>
      </w:r>
    </w:p>
    <w:p>
      <w:pPr>
        <w:rPr>
          <w:rFonts w:eastAsia="Times New Roman"/>
          <w:noProof/>
          <w:szCs w:val="24"/>
        </w:rPr>
      </w:pPr>
      <w:r>
        <w:rPr>
          <w:b/>
          <w:smallCaps/>
          <w:noProof/>
        </w:rPr>
        <w:t>—</w:t>
      </w:r>
      <w:r>
        <w:rPr>
          <w:noProof/>
        </w:rPr>
        <w:tab/>
        <w:t xml:space="preserve">одобри, от името на Съюза, и със съгласието на Европейския парламент, подновяването на Споразумението за научно и технологично сътрудничество между Европейската общност и Федеративна република Бразилия, които ще влезе в сила след изтичане на срока от пет години, за допълнителен период от пет години (т.е. от 8.8.2017 г. до 7.8.2022 г.) </w:t>
      </w:r>
    </w:p>
    <w:p>
      <w:pPr>
        <w:rPr>
          <w:rFonts w:eastAsia="Times New Roman"/>
          <w:noProof/>
          <w:szCs w:val="24"/>
        </w:rPr>
      </w:pPr>
      <w:r>
        <w:rPr>
          <w:noProof/>
        </w:rPr>
        <w:t>—</w:t>
      </w:r>
      <w:r>
        <w:rPr>
          <w:noProof/>
        </w:rPr>
        <w:tab/>
        <w:t xml:space="preserve">разреши на председателя на Съвета да определи лицето(ата), упълномощено(и) да уведоми(ят) правителството на Федеративна република Бразилия, за това че Съюзът е изпълнил вътрешните процедури, необходими за влизането в сила на това подновено споразумение. </w:t>
      </w:r>
    </w:p>
    <w:p>
      <w:pPr>
        <w:rPr>
          <w:noProof/>
        </w:rPr>
      </w:pP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подновяването на Споразумението за научно и технологично сътрудничество между Европейската общност и Федеративна република Бразилия  </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186 във връзка с член 218, параграф 6,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С Решение 2005/781/ЕО</w:t>
      </w:r>
      <w:r>
        <w:rPr>
          <w:rStyle w:val="FootnoteReference"/>
          <w:noProof/>
        </w:rPr>
        <w:footnoteReference w:id="4"/>
      </w:r>
      <w:r>
        <w:rPr>
          <w:noProof/>
        </w:rPr>
        <w:t xml:space="preserve"> Съветът одобри сключването на Споразумението за научно и технологично сътрудничество между Европейската общност и Федеративна република Бразилия („Споразумението“).</w:t>
      </w:r>
    </w:p>
    <w:p>
      <w:pPr>
        <w:pStyle w:val="ManualConsidrant"/>
        <w:rPr>
          <w:noProof/>
        </w:rPr>
      </w:pPr>
      <w:r>
        <w:t>(2)</w:t>
      </w:r>
      <w:r>
        <w:tab/>
      </w:r>
      <w:r>
        <w:rPr>
          <w:noProof/>
        </w:rPr>
        <w:t xml:space="preserve">В съответствие с член XII Споразумението влиза в сила на датата, на която страните представят една на друга уведомление в писмен вид, че съответните им вътрешни процедури, необходими за влизането на Споразумението в сила, са изпълнени. Споразумението първоначално е валидно за срок от пет години и ще може да се подновява по споразумение между страните след изготвяне на оценка през предпоследната година от всеки следващ период на подновяване на споразумението. </w:t>
      </w:r>
    </w:p>
    <w:p>
      <w:pPr>
        <w:pStyle w:val="ManualConsidrant"/>
        <w:rPr>
          <w:noProof/>
        </w:rPr>
      </w:pPr>
      <w:r>
        <w:t>(3)</w:t>
      </w:r>
      <w:r>
        <w:tab/>
      </w:r>
      <w:r>
        <w:rPr>
          <w:noProof/>
        </w:rPr>
        <w:t>С Решение 2012/646/ЕС</w:t>
      </w:r>
      <w:r>
        <w:rPr>
          <w:rStyle w:val="FootnoteReference"/>
          <w:noProof/>
        </w:rPr>
        <w:footnoteReference w:id="5"/>
      </w:r>
      <w:r>
        <w:rPr>
          <w:noProof/>
        </w:rPr>
        <w:t xml:space="preserve"> Съветът одобри подновяването на Споразумението за допълнителен период от пет години.</w:t>
      </w:r>
    </w:p>
    <w:p>
      <w:pPr>
        <w:pStyle w:val="ManualConsidrant"/>
        <w:rPr>
          <w:noProof/>
        </w:rPr>
      </w:pPr>
      <w:r>
        <w:t>(4)</w:t>
      </w:r>
      <w:r>
        <w:tab/>
      </w:r>
      <w:r>
        <w:rPr>
          <w:noProof/>
        </w:rPr>
        <w:t>Размяната на писма между договарящите страни, с дата 14 ноември 2016 г. и 5 януари 2017 г., потвърди заинтересоваността им от подновяване на Споразумението за още пет години.</w:t>
      </w:r>
    </w:p>
    <w:p>
      <w:pPr>
        <w:pStyle w:val="ManualConsidrant"/>
        <w:rPr>
          <w:noProof/>
        </w:rPr>
      </w:pPr>
      <w:r>
        <w:t>(5)</w:t>
      </w:r>
      <w:r>
        <w:tab/>
      </w:r>
      <w:r>
        <w:rPr>
          <w:noProof/>
        </w:rPr>
        <w:t>Вследствие на влизането в сила на Договора от Лисабон на 1 декември 2009 г. Европейският съюз заменя Европейската общност и е неин правоприемник.</w:t>
      </w:r>
    </w:p>
    <w:p>
      <w:pPr>
        <w:pStyle w:val="ManualConsidrant"/>
        <w:rPr>
          <w:noProof/>
        </w:rPr>
      </w:pPr>
      <w:r>
        <w:t>(6)</w:t>
      </w:r>
      <w:r>
        <w:tab/>
      </w:r>
      <w:r>
        <w:rPr>
          <w:noProof/>
        </w:rPr>
        <w:t>Подновяването на споразумението следва да бъде одобрено от името на Съюза,</w:t>
      </w:r>
    </w:p>
    <w:p>
      <w:pPr>
        <w:pStyle w:val="Formuledadoption"/>
        <w:rPr>
          <w:noProof/>
        </w:rPr>
      </w:pPr>
      <w:r>
        <w:rPr>
          <w:noProof/>
        </w:rPr>
        <w:t>ПРИЕ НАСТОЯЩОТО РЕШЕНИЕ:</w:t>
      </w:r>
    </w:p>
    <w:p>
      <w:pPr>
        <w:pStyle w:val="Titrearticle"/>
        <w:rPr>
          <w:noProof/>
        </w:rPr>
      </w:pPr>
      <w:r>
        <w:rPr>
          <w:noProof/>
        </w:rPr>
        <w:t>Член 1</w:t>
      </w:r>
    </w:p>
    <w:p>
      <w:r>
        <w:rPr>
          <w:noProof/>
        </w:rPr>
        <w:t>Одобрява се от името на Европейската общност подновяването на Споразумението за научно и технологично сътрудничество между Европейската общност и Федеративна република Бразилия за допълнителен период от пет години.</w:t>
      </w:r>
    </w:p>
    <w:p>
      <w:pPr>
        <w:pStyle w:val="Titrearticle"/>
        <w:rPr>
          <w:noProof/>
        </w:rPr>
      </w:pPr>
      <w:r>
        <w:rPr>
          <w:noProof/>
        </w:rPr>
        <w:t>Член 2</w:t>
      </w:r>
    </w:p>
    <w:p>
      <w:pPr>
        <w:keepLines/>
        <w:rPr>
          <w:rFonts w:eastAsia="Times New Roman"/>
          <w:noProof/>
          <w:szCs w:val="24"/>
        </w:rPr>
      </w:pPr>
      <w:r>
        <w:rPr>
          <w:noProof/>
        </w:rPr>
        <w:t>Председателят на Съвета посочва лицето (ата), упълномощено(и) да  уведоми(ят) на правителството на Федеративна република Бразилия, от името на Съюза и в съответствие с член XII, параграф 2 на Споразумението, че Съюзът е изпълнил вътрешните си процедури, необходими за влизането в сила на това подновено споразумение, и да уведомят Бразилия за следното:</w:t>
      </w:r>
    </w:p>
    <w:p>
      <w:pPr>
        <w:keepLines/>
        <w:rPr>
          <w:rFonts w:eastAsia="Times New Roman"/>
          <w:noProof/>
          <w:szCs w:val="24"/>
        </w:rPr>
      </w:pPr>
      <w:r>
        <w:rPr>
          <w:noProof/>
        </w:rPr>
        <w:t>„Като следствие от влизането в сила на Договора от Лисабон на 1 декември 2009 г. Европейският съюз заменя Европейската общност и е неин правоприемник, като от тази дата упражнява всички права и поема всички задължения на Европейската общност. Поради това позоваванията на „Европейската общност“ в текста на споразумението, където е целесъобразно, се четат като „Европейския съюз“.“.</w:t>
      </w:r>
    </w:p>
    <w:p>
      <w:pPr>
        <w:pStyle w:val="Titrearticle"/>
        <w:rPr>
          <w:noProof/>
        </w:rPr>
      </w:pPr>
      <w:r>
        <w:rPr>
          <w:noProof/>
        </w:rPr>
        <w:t>Член 3</w:t>
      </w:r>
    </w:p>
    <w:p>
      <w:pPr>
        <w:keepLines/>
        <w:rPr>
          <w:noProof/>
        </w:rPr>
      </w:pPr>
      <w:r>
        <w:rPr>
          <w:noProof/>
        </w:rPr>
        <w:t xml:space="preserve">Настоящото решение влиза в сила в деня на приемането му. </w:t>
      </w:r>
    </w:p>
    <w:p>
      <w:pPr>
        <w:keepLines/>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rPr>
          <w:b w:val="0"/>
          <w:noProof/>
        </w:rPr>
      </w:pPr>
      <w:r>
        <w:rPr>
          <w:noProof/>
        </w:rPr>
        <w:tab/>
      </w:r>
      <w:r>
        <w:rPr>
          <w:b w:val="0"/>
          <w:noProof/>
        </w:rPr>
        <w:t>1.1.</w:t>
      </w:r>
      <w:r>
        <w:rPr>
          <w:noProof/>
        </w:rPr>
        <w:tab/>
      </w:r>
      <w:r>
        <w:rPr>
          <w:b w:val="0"/>
          <w:noProof/>
        </w:rPr>
        <w:t>Наименование на предложението/инициативата</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Естество на предложението/инициативата</w:t>
      </w:r>
    </w:p>
    <w:p>
      <w:pPr>
        <w:pStyle w:val="ManualHeading2"/>
        <w:rPr>
          <w:b w:val="0"/>
          <w:noProof/>
        </w:rPr>
      </w:pPr>
      <w:r>
        <w:rPr>
          <w:noProof/>
        </w:rPr>
        <w:tab/>
      </w:r>
      <w:r>
        <w:rPr>
          <w:b w:val="0"/>
          <w:noProof/>
        </w:rPr>
        <w:t>1.4.</w:t>
      </w:r>
      <w:r>
        <w:rPr>
          <w:noProof/>
        </w:rPr>
        <w:tab/>
      </w:r>
      <w:r>
        <w:rPr>
          <w:b w:val="0"/>
          <w:noProof/>
        </w:rPr>
        <w:t>Цел(и)</w:t>
      </w:r>
    </w:p>
    <w:p>
      <w:pPr>
        <w:pStyle w:val="ManualHeading2"/>
        <w:rPr>
          <w:b w:val="0"/>
          <w:noProof/>
        </w:rPr>
      </w:pPr>
      <w:r>
        <w:rPr>
          <w:noProof/>
        </w:rPr>
        <w:tab/>
      </w:r>
      <w:r>
        <w:rPr>
          <w:b w:val="0"/>
          <w:noProof/>
        </w:rPr>
        <w:t>1.5.</w:t>
      </w:r>
      <w:r>
        <w:rPr>
          <w:noProof/>
        </w:rPr>
        <w:tab/>
      </w:r>
      <w:r>
        <w:rPr>
          <w:b w:val="0"/>
          <w:noProof/>
        </w:rPr>
        <w:t>Мотиви за предложението/инициативата</w:t>
      </w:r>
    </w:p>
    <w:p>
      <w:pPr>
        <w:pStyle w:val="ManualHeading2"/>
        <w:rPr>
          <w:b w:val="0"/>
          <w:noProof/>
        </w:rPr>
      </w:pPr>
      <w:r>
        <w:rPr>
          <w:noProof/>
        </w:rPr>
        <w:tab/>
      </w:r>
      <w:r>
        <w:rPr>
          <w:b w:val="0"/>
          <w:noProof/>
        </w:rPr>
        <w:t>1.6.</w:t>
      </w:r>
      <w:r>
        <w:rPr>
          <w:noProof/>
        </w:rPr>
        <w:tab/>
      </w:r>
      <w:r>
        <w:rPr>
          <w:b w:val="0"/>
          <w:noProof/>
        </w:rPr>
        <w:t>Срок на действие и финансово отражение</w:t>
      </w:r>
    </w:p>
    <w:p>
      <w:pPr>
        <w:pStyle w:val="ManualHeading2"/>
        <w:rPr>
          <w:b w:val="0"/>
          <w:noProof/>
        </w:rPr>
      </w:pPr>
      <w:r>
        <w:rPr>
          <w:noProof/>
        </w:rPr>
        <w:tab/>
      </w:r>
      <w:r>
        <w:rPr>
          <w:b w:val="0"/>
          <w:noProof/>
        </w:rPr>
        <w:t>1.7.</w:t>
      </w:r>
      <w:r>
        <w:rPr>
          <w:noProof/>
        </w:rPr>
        <w:tab/>
      </w:r>
      <w:r>
        <w:rPr>
          <w:b w:val="0"/>
          <w:noProof/>
        </w:rPr>
        <w:t>Предвидени методи на управление</w:t>
      </w:r>
    </w:p>
    <w:p>
      <w:pPr>
        <w:pStyle w:val="ManualHeading1"/>
        <w:rPr>
          <w:noProof/>
        </w:rPr>
      </w:pPr>
      <w:r>
        <w:rPr>
          <w:noProof/>
        </w:rPr>
        <w:t>2.</w:t>
      </w:r>
      <w:r>
        <w:rPr>
          <w:noProof/>
        </w:rPr>
        <w:tab/>
        <w:t>МЕРКИ ЗА УПРАВЛЕНИЕ</w:t>
      </w:r>
    </w:p>
    <w:p>
      <w:pPr>
        <w:pStyle w:val="ManualHeading2"/>
        <w:rPr>
          <w:b w:val="0"/>
          <w:noProof/>
        </w:rPr>
      </w:pPr>
      <w:r>
        <w:rPr>
          <w:noProof/>
        </w:rPr>
        <w:tab/>
      </w:r>
      <w:r>
        <w:rPr>
          <w:b w:val="0"/>
          <w:noProof/>
        </w:rPr>
        <w:t>2.1.</w:t>
      </w:r>
      <w:r>
        <w:rPr>
          <w:noProof/>
        </w:rPr>
        <w:tab/>
      </w:r>
      <w:r>
        <w:rPr>
          <w:b w:val="0"/>
          <w:noProof/>
        </w:rPr>
        <w:t>Правила за мониторинг и докладване</w:t>
      </w:r>
    </w:p>
    <w:p>
      <w:pPr>
        <w:pStyle w:val="ManualHeading2"/>
        <w:rPr>
          <w:b w:val="0"/>
          <w:noProof/>
        </w:rPr>
      </w:pPr>
      <w:r>
        <w:rPr>
          <w:noProof/>
        </w:rPr>
        <w:tab/>
      </w:r>
      <w:r>
        <w:rPr>
          <w:b w:val="0"/>
          <w:noProof/>
        </w:rPr>
        <w:t>2.2.</w:t>
      </w:r>
      <w:r>
        <w:rPr>
          <w:noProof/>
        </w:rPr>
        <w:tab/>
      </w:r>
      <w:r>
        <w:rPr>
          <w:b w:val="0"/>
          <w:noProof/>
        </w:rPr>
        <w:t>Система за управление и контрол</w:t>
      </w:r>
    </w:p>
    <w:p>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нередности</w:t>
      </w:r>
    </w:p>
    <w:p>
      <w:pPr>
        <w:pStyle w:val="ManualHeading1"/>
        <w:rPr>
          <w:noProof/>
        </w:rPr>
      </w:pPr>
      <w:r>
        <w:rPr>
          <w:noProof/>
        </w:rPr>
        <w:t>3.</w:t>
      </w:r>
      <w:r>
        <w:rPr>
          <w:noProof/>
        </w:rPr>
        <w:tab/>
        <w:t>ОЧАКВАНО ФИНАНСОВО ОТРАЖЕНИЕ НА ПРЕДЛОЖЕНИЕТО/ИНИЦИАТИВАТА</w:t>
      </w:r>
    </w:p>
    <w:p>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разходни бюджетни редове</w:t>
      </w:r>
    </w:p>
    <w:p>
      <w:pPr>
        <w:pStyle w:val="ManualHeading2"/>
        <w:rPr>
          <w:noProof/>
        </w:rPr>
      </w:pPr>
      <w:r>
        <w:rPr>
          <w:noProof/>
        </w:rPr>
        <w:tab/>
      </w:r>
      <w:r>
        <w:rPr>
          <w:b w:val="0"/>
          <w:noProof/>
        </w:rPr>
        <w:t>3.2.</w:t>
      </w:r>
      <w:r>
        <w:rPr>
          <w:noProof/>
        </w:rPr>
        <w:tab/>
      </w:r>
      <w:r>
        <w:rPr>
          <w:b w:val="0"/>
          <w:noProof/>
        </w:rPr>
        <w:t>Очаквано отражение върху разходите</w:t>
      </w:r>
    </w:p>
    <w:p>
      <w:pPr>
        <w:pStyle w:val="ManualHeading3"/>
        <w:rPr>
          <w:noProof/>
        </w:rPr>
      </w:pPr>
      <w:r>
        <w:rPr>
          <w:noProof/>
        </w:rPr>
        <w:tab/>
        <w:t>3.2.1.</w:t>
      </w:r>
      <w:r>
        <w:rPr>
          <w:noProof/>
        </w:rPr>
        <w:tab/>
        <w:t>Обобщение на очакваното отражение върху разходите</w:t>
      </w:r>
    </w:p>
    <w:p>
      <w:pPr>
        <w:pStyle w:val="ManualHeading3"/>
        <w:rPr>
          <w:noProof/>
        </w:rPr>
      </w:pPr>
      <w:r>
        <w:rPr>
          <w:noProof/>
        </w:rPr>
        <w:tab/>
        <w:t>3.2.2.</w:t>
      </w:r>
      <w:r>
        <w:rPr>
          <w:noProof/>
        </w:rPr>
        <w:tab/>
        <w:t>Очаквано отражение върху бюджетните кредити за оперативни разходи</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Участие на трети страни във финансирането</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РАМКА НА ПРЕДЛОЖЕНИЕТО/ИНИЦИАТИВАТА</w:t>
      </w:r>
    </w:p>
    <w:p>
      <w:pPr>
        <w:pStyle w:val="ManualHeading2"/>
        <w:rPr>
          <w:noProof/>
        </w:rPr>
      </w:pPr>
      <w:r>
        <w:t>1.1.</w:t>
      </w:r>
      <w:r>
        <w:tab/>
      </w:r>
      <w:r>
        <w:rPr>
          <w:noProof/>
        </w:rPr>
        <w:t>Наименование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относно подновяването на Споразумението за научно и технологично сътрудничество между Европейската общност и Федеративна република Бразилия.</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6"/>
      </w:r>
    </w:p>
    <w:p>
      <w:pPr>
        <w:pStyle w:val="Text1"/>
        <w:pBdr>
          <w:top w:val="single" w:sz="4" w:space="1" w:color="auto"/>
          <w:left w:val="single" w:sz="4" w:space="4" w:color="auto"/>
          <w:bottom w:val="single" w:sz="4" w:space="1" w:color="auto"/>
          <w:right w:val="single" w:sz="4" w:space="4" w:color="auto"/>
        </w:pBdr>
        <w:rPr>
          <w:noProof/>
        </w:rPr>
      </w:pPr>
      <w:r>
        <w:rPr>
          <w:noProof/>
        </w:rPr>
        <w:t>Политическа стратегия и координиране по-специално на генерални дирекции RTD, AGRI, CLIMA, JRC, EAC, ENER, GROW, CNECT и MOVE</w:t>
      </w:r>
      <w:r>
        <w:t>.</w:t>
      </w:r>
    </w:p>
    <w:p>
      <w:pPr>
        <w:pStyle w:val="ManualHeading2"/>
        <w:rPr>
          <w:bCs/>
          <w:noProof/>
          <w:szCs w:val="24"/>
        </w:rPr>
      </w:pPr>
      <w:r>
        <w:t>1.3.</w:t>
      </w:r>
      <w:r>
        <w:tab/>
      </w:r>
      <w:r>
        <w:rPr>
          <w:noProof/>
        </w:rPr>
        <w:t>Естество на предложението/инициативата</w:t>
      </w:r>
    </w:p>
    <w:p>
      <w:pPr>
        <w:pStyle w:val="Text1"/>
        <w:rPr>
          <w:b/>
          <w:noProof/>
          <w:sz w:val="22"/>
        </w:rPr>
      </w:pPr>
      <w:r>
        <w:rPr>
          <w:noProof/>
          <w:sz w:val="22"/>
        </w:rPr>
        <w:sym w:font="Wingdings" w:char="F0A8"/>
      </w:r>
      <w:r>
        <w:rPr>
          <w:noProof/>
        </w:rPr>
        <w:t xml:space="preserve">Предложението/инициативата е във връзка с </w:t>
      </w:r>
      <w:r>
        <w:rPr>
          <w:b/>
          <w:noProof/>
        </w:rPr>
        <w:t>нова дейност</w:t>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7"/>
      </w:r>
    </w:p>
    <w:p>
      <w:pPr>
        <w:pStyle w:val="Text1"/>
        <w:rPr>
          <w:noProof/>
          <w:sz w:val="22"/>
        </w:rPr>
      </w:pPr>
      <w:r>
        <w:rPr>
          <w:noProof/>
        </w:rPr>
        <w:sym w:font="Wingdings" w:char="F0FE"/>
      </w:r>
      <w:r>
        <w:rPr>
          <w:noProof/>
        </w:rPr>
        <w:t xml:space="preserve"> Предложението/инициативата е във връзка с </w:t>
      </w:r>
      <w:r>
        <w:rPr>
          <w:b/>
          <w:noProof/>
        </w:rPr>
        <w:t>продължаване на съществуваща дейност</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p>
    <w:p>
      <w:pPr>
        <w:pStyle w:val="ManualHeading2"/>
        <w:rPr>
          <w:bCs/>
          <w:noProof/>
          <w:szCs w:val="24"/>
        </w:rPr>
      </w:pPr>
      <w:r>
        <w:t>1.4.</w:t>
      </w:r>
      <w:r>
        <w:tab/>
      </w:r>
      <w:r>
        <w:rPr>
          <w:noProof/>
        </w:rPr>
        <w:t>Цели</w:t>
      </w:r>
    </w:p>
    <w:p>
      <w:pPr>
        <w:pStyle w:val="ManualHeading3"/>
        <w:rPr>
          <w:noProof/>
        </w:rPr>
      </w:pPr>
      <w:r>
        <w:t>1.4.1.</w:t>
      </w:r>
      <w:r>
        <w:tab/>
      </w:r>
      <w:r>
        <w:rPr>
          <w:noProof/>
        </w:rPr>
        <w:t>Многогодишни стратегически цели на Комисията, за чието изпълнение е предназначено предложението/инициативата</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Настоящата инициатива ще позволи на двете страни да подобрят и засилят сътрудничеството си в научните и технологичните области от общ интерес. </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1.4.2.</w:t>
      </w:r>
      <w:r>
        <w:tab/>
      </w:r>
      <w:r>
        <w:rPr>
          <w:noProof/>
        </w:rPr>
        <w:t>Конкретни цели и 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решение следва да позволи на двете страни да засилят сътрудничеството и да развият по-стратегическо партньорство, като увеличат мащаба и обхвата на съществуващото сътрудничество във връзка с основните общи предизвикателства пред обществото и с цел насърчаване на реципрочния достъп до програми и финансиране. Също така то ще даде възможност когато е целесъобразно да се засили регионалното сътрудничество.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решение позволява на Бразилия и на Европейския съюз да извлекат взаимна полза от научния и техническия напредък, постигнат чрез изследванията по техните съответни научноизследователски програми и текущото сътрудничество. То ще позволи обмен на специфично познание и трансфер на ноу-хау в полза на научната общност, промишлеността и гражданите на двете страни.</w:t>
      </w:r>
    </w:p>
    <w:p>
      <w:pPr>
        <w:pStyle w:val="ManualHeading3"/>
        <w:rPr>
          <w:bCs/>
          <w:noProof/>
          <w:szCs w:val="24"/>
        </w:rPr>
      </w:pPr>
      <w:r>
        <w:t>1.4.4.</w:t>
      </w:r>
      <w:r>
        <w:tab/>
      </w:r>
      <w:r>
        <w:rPr>
          <w:noProof/>
        </w:rPr>
        <w:t>Показатели за резултатите и за отражението</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ще наблюдава редовно всички дейности, извършвани съгласно Споразумението, включително дейността в областта на сътрудничеството. Тази оценка ще обхваща, наред с другото, следните точки:</w:t>
      </w:r>
    </w:p>
    <w:p>
      <w:pPr>
        <w:pStyle w:val="Text1"/>
        <w:pBdr>
          <w:top w:val="single" w:sz="4" w:space="1" w:color="auto"/>
          <w:left w:val="single" w:sz="4" w:space="4" w:color="auto"/>
          <w:bottom w:val="single" w:sz="4" w:space="1" w:color="auto"/>
          <w:right w:val="single" w:sz="4" w:space="4" w:color="auto"/>
        </w:pBdr>
        <w:rPr>
          <w:noProof/>
        </w:rPr>
      </w:pPr>
      <w:r>
        <w:rPr>
          <w:noProof/>
        </w:rPr>
        <w:t>а) показатели за сътрудничеството — анализ на броя и вида на участието на бразилските стопански единици в програми, финансирани от ЕС (например брой на предложенията, брой на подписаните споразумения за отпускане на безвъзмездни средства, основните линии на сътрудничество, основните теми, получените резултати), и обратно (когато има налични данни);</w:t>
      </w:r>
    </w:p>
    <w:p>
      <w:pPr>
        <w:pStyle w:val="Text1"/>
        <w:pBdr>
          <w:top w:val="single" w:sz="4" w:space="1" w:color="auto"/>
          <w:left w:val="single" w:sz="4" w:space="4" w:color="auto"/>
          <w:bottom w:val="single" w:sz="4" w:space="1" w:color="auto"/>
          <w:right w:val="single" w:sz="4" w:space="4" w:color="auto"/>
        </w:pBdr>
        <w:rPr>
          <w:noProof/>
        </w:rPr>
      </w:pPr>
      <w:r>
        <w:rPr>
          <w:noProof/>
        </w:rPr>
        <w:t>б) показатели за изпълнението — процент на успеваемост на бразилските стопански единици, които участват в рамковите програми на ЕС, в сравнение с други страни извън ЕС и с държавите членки/асоциираните държави по дадена рамкова програма за научни изследвания; анализ на качеството на участие (например брой на най-елитни университети, участващи в програмата, брой на патентите и публикации в резултат от съвместни проекти);</w:t>
      </w:r>
    </w:p>
    <w:p>
      <w:pPr>
        <w:pStyle w:val="Text1"/>
        <w:pBdr>
          <w:top w:val="single" w:sz="4" w:space="1" w:color="auto"/>
          <w:left w:val="single" w:sz="4" w:space="4" w:color="auto"/>
          <w:bottom w:val="single" w:sz="4" w:space="1" w:color="auto"/>
          <w:right w:val="single" w:sz="4" w:space="4" w:color="auto"/>
        </w:pBdr>
        <w:rPr>
          <w:noProof/>
        </w:rPr>
      </w:pPr>
      <w:r>
        <w:rPr>
          <w:noProof/>
        </w:rPr>
        <w:t>в) събиране на данни относно дейностите по сътрудничество и връзките извън съответните програми за финансиране на научните изследвания, както и оценка на ефекта от тези дейности, например участие в многостранни инициативи и работни групи.</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1.5.</w:t>
      </w:r>
      <w:r>
        <w:tab/>
      </w:r>
      <w:r>
        <w:rPr>
          <w:noProof/>
        </w:rPr>
        <w:t>Мотиви за предложението/инициативата</w:t>
      </w:r>
    </w:p>
    <w:p>
      <w:pPr>
        <w:pStyle w:val="ManualHeading3"/>
        <w:rPr>
          <w:noProof/>
        </w:rPr>
      </w:pPr>
      <w:r>
        <w:t>1.5.1.</w:t>
      </w:r>
      <w:r>
        <w:tab/>
      </w:r>
      <w:r>
        <w:rPr>
          <w:noProof/>
        </w:rPr>
        <w:t>Нужди, които трябва да бъдат задоволени в краткосрочен или дългосрочен план</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решение ще позволи на двете страни да продължат в името на общия интерес да подобряват и засилват сътрудничеството си в научни и технологични области.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Сътрудничеството в областта на научните изследвания и иновациите между Бразилия и ЕС и неговите държави членки продължава да се разширява през последните години. Участието на ЕС позволява дейности с по-голям мащаб и обхват в полза за всички държави членки. Подновяването на Споразумението ще предостави на ЕС по-лесен достъп до научните знания, създадени в Бразилия, както и възможности за по-голямо сътрудничество, което да доведе до допълнителен обмен на знания и технологии. Също така то ще осигури по-лесен достъп до бразилския пазар за европейските дружества.</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Въз основа на досега придобития опит в научното и технологичното сътрудничество се смята, че е от взаимна полза да се продължи сътрудничеството с Бразилия като стратегически партньор на Съюза в областта на научните изследвания и иновациите.</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Подновяването на Споразумението с Бразилия се смята за напълно съвместимо с общата рамка на политиката за международно сътрудничество в областта на научните изследвания и иновациите (COM(2012)497).</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r>
        <w:t>1.6.</w:t>
      </w:r>
      <w:r>
        <w:tab/>
      </w:r>
      <w:r>
        <w:rPr>
          <w:noProof/>
        </w:rPr>
        <w:t>Срок на действие и финансово отражение</w:t>
      </w:r>
    </w:p>
    <w:p>
      <w:pPr>
        <w:pStyle w:val="Text1"/>
        <w:rPr>
          <w:noProof/>
        </w:rPr>
      </w:pPr>
      <w:r>
        <w:rPr>
          <w:noProof/>
        </w:rPr>
        <w:sym w:font="Wingdings" w:char="F0FE"/>
      </w:r>
      <w:r>
        <w:rPr>
          <w:noProof/>
        </w:rPr>
        <w:t xml:space="preserve"> Предложение/инициатива с </w:t>
      </w:r>
      <w:r>
        <w:rPr>
          <w:b/>
          <w:noProof/>
        </w:rPr>
        <w:t>ограничен срок на действие</w:t>
      </w:r>
    </w:p>
    <w:p>
      <w:pPr>
        <w:pStyle w:val="ListDash2"/>
        <w:rPr>
          <w:noProof/>
        </w:rPr>
      </w:pPr>
      <w:r>
        <w:rPr>
          <w:noProof/>
        </w:rPr>
        <w:sym w:font="Wingdings" w:char="F0FE"/>
      </w:r>
      <w:r>
        <w:rPr>
          <w:noProof/>
        </w:rPr>
        <w:t xml:space="preserve"> Предложението/инициативата е в сила от 8.8.2017 г. до 7.8.2022 г.</w:t>
      </w:r>
    </w:p>
    <w:p>
      <w:pPr>
        <w:pStyle w:val="ListDash2"/>
        <w:rPr>
          <w:noProof/>
        </w:rPr>
      </w:pPr>
      <w:r>
        <w:rPr>
          <w:noProof/>
        </w:rPr>
        <w:sym w:font="Wingdings" w:char="F0FE"/>
      </w:r>
      <w:r>
        <w:rPr>
          <w:noProof/>
        </w:rPr>
        <w:t xml:space="preserve"> Финансово отражение от ГГГГ до ГГГГ</w:t>
      </w:r>
    </w:p>
    <w:p>
      <w:pPr>
        <w:pStyle w:val="Text1"/>
        <w:rPr>
          <w:noProof/>
        </w:rPr>
      </w:pPr>
      <w:r>
        <w:rPr>
          <w:noProof/>
        </w:rPr>
        <w:sym w:font="Wingdings" w:char="F0A8"/>
      </w:r>
      <w:r>
        <w:rPr>
          <w:noProof/>
        </w:rPr>
        <w:t xml:space="preserve"> 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Предвидени методи на управление</w:t>
      </w:r>
      <w:r>
        <w:rPr>
          <w:rStyle w:val="FootnoteReference"/>
          <w:noProof/>
        </w:rPr>
        <w:footnoteReference w:id="8"/>
      </w:r>
    </w:p>
    <w:p>
      <w:pPr>
        <w:pStyle w:val="Text1"/>
        <w:rPr>
          <w:noProof/>
        </w:rPr>
      </w:pPr>
      <w:r>
        <w:rPr>
          <w:noProof/>
        </w:rPr>
        <w:sym w:font="Wingdings" w:char="F0FE"/>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w:t>
      </w:r>
    </w:p>
    <w:p>
      <w:pPr>
        <w:pStyle w:val="ListDash2"/>
        <w:rPr>
          <w:noProof/>
        </w:rPr>
      </w:pPr>
      <w:r>
        <w:rPr>
          <w:noProof/>
        </w:rPr>
        <w:sym w:font="Wingdings" w:char="F0A8"/>
      </w:r>
      <w:r>
        <w:rPr>
          <w:noProof/>
        </w:rPr>
        <w:t xml:space="preserve"> от изпълнителните агенции</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частноправни органи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Забележки</w:t>
      </w:r>
    </w:p>
    <w:p>
      <w:pPr>
        <w:pBdr>
          <w:top w:val="single" w:sz="4" w:space="1" w:color="auto"/>
          <w:left w:val="single" w:sz="4" w:space="4" w:color="auto"/>
          <w:bottom w:val="single" w:sz="4" w:space="0" w:color="auto"/>
          <w:right w:val="single" w:sz="4" w:space="4" w:color="auto"/>
        </w:pBdr>
        <w:rPr>
          <w:noProof/>
        </w:rPr>
        <w:sectPr>
          <w:pgSz w:w="11907" w:h="16840" w:code="9"/>
          <w:pgMar w:top="1134" w:right="1418" w:bottom="1134" w:left="1418" w:header="709" w:footer="709" w:gutter="0"/>
          <w:cols w:space="708"/>
          <w:docGrid w:linePitch="360"/>
        </w:sectPr>
      </w:pPr>
      <w:r>
        <w:rPr>
          <w:noProof/>
        </w:rPr>
        <w:t>[…]</w:t>
      </w:r>
    </w:p>
    <w:p>
      <w:pPr>
        <w:pStyle w:val="ManualHeading1"/>
        <w:rPr>
          <w:bCs/>
          <w:noProof/>
          <w:szCs w:val="24"/>
        </w:rPr>
      </w:pPr>
      <w:r>
        <w:t>2.</w:t>
      </w:r>
      <w:r>
        <w:tab/>
      </w:r>
      <w:r>
        <w:rPr>
          <w:noProof/>
        </w:rPr>
        <w:t>МЕРКИ ЗА УПРАВЛЕНИЕ</w:t>
      </w:r>
    </w:p>
    <w:p>
      <w:pPr>
        <w:pStyle w:val="ManualHeading2"/>
        <w:rPr>
          <w:noProof/>
        </w:rPr>
      </w:pPr>
      <w:r>
        <w:t>2.1.</w:t>
      </w:r>
      <w:r>
        <w:tab/>
      </w:r>
      <w:r>
        <w:rPr>
          <w:noProof/>
        </w:rPr>
        <w:t>Правила за мониторинг и докладване</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На участието на Бразилия в рамковата програма се извършва редовен мониторинг посредством заседания на Съвместния управителен комитет, създаден съгласно член VI от Споразумението.</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2.2.</w:t>
      </w:r>
      <w:r>
        <w:tab/>
      </w:r>
      <w:r>
        <w:rPr>
          <w:noProof/>
        </w:rPr>
        <w:t>Система за управление и контрол</w:t>
      </w:r>
    </w:p>
    <w:p>
      <w:pPr>
        <w:pStyle w:val="ManualHeading3"/>
        <w:rPr>
          <w:noProof/>
        </w:rPr>
      </w:pPr>
      <w:r>
        <w:t>2.2.1.</w:t>
      </w:r>
      <w:r>
        <w:tab/>
      </w:r>
      <w:r>
        <w:rPr>
          <w:noProof/>
        </w:rPr>
        <w:t>Установени рискове</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Заседанията и двустранните контакти се провеждат редовно, като позволяват систематично споделяне на информация и контрол. По отношение на системата за контрол не бяха установени рискове.</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highlight w:val="yellow"/>
        </w:rPr>
      </w:pP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t>2.2.3.</w:t>
      </w:r>
      <w:r>
        <w:tab/>
      </w:r>
      <w:r>
        <w:rPr>
          <w:noProof/>
        </w:rPr>
        <w:t>Оценка на разходите и ползите от проверките и на очаквания риск от грешка</w:t>
      </w:r>
    </w:p>
    <w:p>
      <w:pPr>
        <w:pStyle w:val="Text1"/>
        <w:pBdr>
          <w:top w:val="single" w:sz="4" w:space="1" w:color="auto"/>
          <w:left w:val="single" w:sz="4" w:space="4" w:color="auto"/>
          <w:bottom w:val="single" w:sz="4" w:space="1" w:color="auto"/>
          <w:right w:val="single" w:sz="4" w:space="4" w:color="auto"/>
        </w:pBdr>
        <w:rPr>
          <w:noProof/>
          <w:highlight w:val="yellow"/>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Мерки за предотвратяване на измами и нередности</w:t>
      </w:r>
    </w:p>
    <w:p>
      <w:pPr>
        <w:pStyle w:val="Text1"/>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В случай че за изпълнението на рамковата програма се изисква използването на външни изпълнители или че то води до финансова подкрепа в полза на трети страни, Комисията при необходимост ще проведе финансови одити — особено ако има основания да се съмнява в реалния характер на извършената работа или на работата, описана в докладите за дейността.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Финансовите одити на Съюза ще се провеждат от негови служители или от експерт-счетоводители, одобрени съгласно законодателството на одитираната страна. Съюзът ще избира гореспоменатите експерти свободно, като избягва всякакъв риск от конфликт на интереси, който може да му бъде посочен от страната, подлежаща на одит. При осъществяване на изследователските дейности Комисията също така ще защитава финансовите интереси на Съюза чрез ефективни проверки, а когато бъдат открити нередности — чрез възпиращи и пропорционални мерки и санкции.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За постигането на тази цел във всички договори, използвани при изпълнението на рамковата програма, ще бъдат включвани правила за проверки, мерки и санкции в съответствие с регламенти № 2988/95, № 2185/96 и № 1073/99.</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В договорите следва по-конкретно да се предвиди следното:</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вмъкване на специални клаузи в договорите за защита на финансовите интереси на ЕС чрез провеждане на проверки и контрол във връзка с извършената работа,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провеждане на административни проверки като част от мерките за борба с измамите в съответствие с регламенти № 2185/96, № 1073/1999 и № 1074/1999;</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налагане на административни санкции съгласно Рамков регламент № 2988/95 — включително механизъм за изготвяне на черен списък, за всички преднамерено извършени или причинени по небрежност нередности при изпълнението на договорите,</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указване, че евентуални разпореждания за възстановяване на средства в случай на нередности и измами трябва да имат изпълнителна сила съгласно член 299 от Договора за функционирането на Европейския съюз.</w:t>
      </w:r>
    </w:p>
    <w:p>
      <w:pPr>
        <w:pStyle w:val="Text1"/>
        <w:pBdr>
          <w:top w:val="single" w:sz="4" w:space="1" w:color="auto"/>
          <w:left w:val="single" w:sz="4" w:space="4" w:color="auto"/>
          <w:bottom w:val="single" w:sz="4" w:space="1" w:color="auto"/>
          <w:right w:val="single" w:sz="4" w:space="4" w:color="auto"/>
        </w:pBdr>
        <w:rPr>
          <w:noProof/>
        </w:rPr>
      </w:pPr>
      <w:r>
        <w:rPr>
          <w:noProof/>
        </w:rPr>
        <w:t>В допълнение и като рутинна мярка отговорните служители на генерална дирекция „Научни изследвания и иновации“ ще изпълняват програма за проверки по отношение на научните и бюджетните аспекти на сътрудничеството, Ще бъде извършен вътрешен одит от отдела за вътрешен одит на генерална дирекция „Научни изследвания и иновации“, а Европейската сметна палата ще извърши проверки на място.</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ОЧАКВАНО ФИНАНСОВО ОТРАЖЕНИЕ НА ПРЕДЛОЖЕНИЕТО / ИНИЦИАТИВАТА</w:t>
      </w:r>
    </w:p>
    <w:p>
      <w:pPr>
        <w:pStyle w:val="ManualHeading2"/>
        <w:rPr>
          <w:noProof/>
        </w:rPr>
      </w:pPr>
      <w:r>
        <w:t>3.1.</w:t>
      </w:r>
      <w:r>
        <w:tab/>
      </w:r>
      <w:r>
        <w:rPr>
          <w:noProof/>
        </w:rPr>
        <w:t>Съответни функции от многогодишната финансова рамка и разходни бюджетни редове</w:t>
      </w:r>
    </w:p>
    <w:p>
      <w:pPr>
        <w:pStyle w:val="ListBullet1"/>
        <w:rPr>
          <w:noProof/>
        </w:rPr>
      </w:pPr>
      <w:r>
        <w:rPr>
          <w:noProof/>
        </w:rPr>
        <w:t>Съществуващи бюджетни редове</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Номер [Наименование………………………...…………]</w:t>
            </w:r>
          </w:p>
        </w:tc>
        <w:tc>
          <w:tcPr>
            <w:tcW w:w="1080" w:type="dxa"/>
            <w:vAlign w:val="center"/>
          </w:tcPr>
          <w:p>
            <w:pPr>
              <w:jc w:val="center"/>
              <w:rPr>
                <w:noProof/>
                <w:sz w:val="22"/>
              </w:rPr>
            </w:pPr>
            <w:r>
              <w:rPr>
                <w:noProof/>
                <w:sz w:val="18"/>
              </w:rPr>
              <w:t>Многогод./едногод.</w:t>
            </w:r>
            <w:r>
              <w:rPr>
                <w:rStyle w:val="FootnoteReference"/>
                <w:noProof/>
                <w:sz w:val="18"/>
              </w:rPr>
              <w:footnoteReference w:id="9"/>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0"/>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1"/>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b/>
                <w:noProof/>
                <w:color w:val="0000FF"/>
                <w:sz w:val="22"/>
              </w:rPr>
            </w:pPr>
            <w:r>
              <w:rPr>
                <w:b/>
                <w:noProof/>
              </w:rPr>
              <w:t>1а</w:t>
            </w:r>
          </w:p>
        </w:tc>
        <w:tc>
          <w:tcPr>
            <w:tcW w:w="3960" w:type="dxa"/>
            <w:vAlign w:val="bottom"/>
          </w:tcPr>
          <w:p>
            <w:pPr>
              <w:spacing w:before="60"/>
              <w:jc w:val="center"/>
              <w:rPr>
                <w:b/>
                <w:noProof/>
              </w:rPr>
            </w:pPr>
          </w:p>
          <w:p>
            <w:pPr>
              <w:spacing w:before="60"/>
              <w:jc w:val="center"/>
              <w:rPr>
                <w:b/>
                <w:noProof/>
                <w:sz w:val="22"/>
              </w:rPr>
            </w:pPr>
            <w:r>
              <w:rPr>
                <w:b/>
                <w:noProof/>
              </w:rPr>
              <w:t>08.01.05</w:t>
            </w:r>
          </w:p>
          <w:p>
            <w:pPr>
              <w:spacing w:after="60"/>
              <w:jc w:val="center"/>
              <w:rPr>
                <w:b/>
                <w:noProof/>
                <w:sz w:val="22"/>
              </w:rPr>
            </w:pPr>
          </w:p>
        </w:tc>
        <w:tc>
          <w:tcPr>
            <w:tcW w:w="1080" w:type="dxa"/>
            <w:vAlign w:val="center"/>
          </w:tcPr>
          <w:p>
            <w:pPr>
              <w:jc w:val="center"/>
              <w:rPr>
                <w:b/>
                <w:noProof/>
                <w:color w:val="0000FF"/>
                <w:sz w:val="22"/>
              </w:rPr>
            </w:pPr>
            <w:r>
              <w:rPr>
                <w:b/>
                <w:noProof/>
                <w:sz w:val="22"/>
              </w:rPr>
              <w:t>Едногод.</w:t>
            </w:r>
          </w:p>
        </w:tc>
        <w:tc>
          <w:tcPr>
            <w:tcW w:w="956" w:type="dxa"/>
            <w:vAlign w:val="center"/>
          </w:tcPr>
          <w:p>
            <w:pPr>
              <w:jc w:val="center"/>
              <w:rPr>
                <w:b/>
                <w:noProof/>
                <w:sz w:val="22"/>
              </w:rPr>
            </w:pPr>
            <w:r>
              <w:rPr>
                <w:b/>
                <w:noProof/>
                <w:sz w:val="22"/>
              </w:rPr>
              <w:t>ДА</w:t>
            </w:r>
          </w:p>
        </w:tc>
        <w:tc>
          <w:tcPr>
            <w:tcW w:w="1080" w:type="dxa"/>
            <w:vAlign w:val="center"/>
          </w:tcPr>
          <w:p>
            <w:pPr>
              <w:jc w:val="center"/>
              <w:rPr>
                <w:b/>
                <w:noProof/>
                <w:sz w:val="22"/>
              </w:rPr>
            </w:pPr>
            <w:r>
              <w:rPr>
                <w:b/>
                <w:noProof/>
                <w:sz w:val="22"/>
              </w:rPr>
              <w:t>ДА</w:t>
            </w:r>
          </w:p>
        </w:tc>
        <w:tc>
          <w:tcPr>
            <w:tcW w:w="956" w:type="dxa"/>
            <w:vAlign w:val="center"/>
          </w:tcPr>
          <w:p>
            <w:pPr>
              <w:jc w:val="center"/>
              <w:rPr>
                <w:b/>
                <w:noProof/>
                <w:sz w:val="22"/>
              </w:rPr>
            </w:pPr>
            <w:r>
              <w:rPr>
                <w:b/>
                <w:noProof/>
                <w:sz w:val="22"/>
              </w:rPr>
              <w:t>НЕ</w:t>
            </w:r>
          </w:p>
        </w:tc>
        <w:tc>
          <w:tcPr>
            <w:tcW w:w="1448" w:type="dxa"/>
            <w:vAlign w:val="center"/>
          </w:tcPr>
          <w:p>
            <w:pPr>
              <w:jc w:val="center"/>
              <w:rPr>
                <w:b/>
                <w:noProof/>
                <w:sz w:val="22"/>
              </w:rPr>
            </w:pPr>
            <w:r>
              <w:rPr>
                <w:b/>
                <w:noProof/>
                <w:sz w:val="22"/>
              </w:rPr>
              <w:t>НЕ</w:t>
            </w:r>
          </w:p>
        </w:tc>
      </w:tr>
    </w:tbl>
    <w:p>
      <w:pPr>
        <w:pStyle w:val="ListBullet1"/>
        <w:rPr>
          <w:noProof/>
        </w:rPr>
      </w:pPr>
      <w:r>
        <w:rPr>
          <w:noProof/>
        </w:rPr>
        <w:t>Поискани нови бюджетни редове</w:t>
      </w:r>
    </w:p>
    <w:p>
      <w:pPr>
        <w:pStyle w:val="Text1"/>
        <w:rPr>
          <w:i/>
          <w:noProof/>
          <w:sz w:val="20"/>
        </w:rPr>
      </w:pPr>
      <w:r>
        <w:rPr>
          <w:i/>
          <w:noProof/>
          <w:u w:val="single"/>
        </w:rPr>
        <w:t>По реда</w:t>
      </w:r>
      <w:r>
        <w:rPr>
          <w:noProof/>
        </w:rPr>
        <w:t xml:space="preserve"> </w:t>
      </w:r>
      <w:r>
        <w:rPr>
          <w:i/>
          <w:noProof/>
        </w:rPr>
        <w:t>на функциите от многогодишната финансова рамка и на бюджетните редове</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Номер [Наименование………………………………………]</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Очаквано отражение върху разходите</w:t>
      </w:r>
    </w:p>
    <w:p>
      <w:pPr>
        <w:pStyle w:val="Text1"/>
        <w:rPr>
          <w:noProof/>
        </w:rPr>
      </w:pPr>
      <w:r>
        <w:rPr>
          <w:noProof/>
          <w:highlight w:val="lightGray"/>
        </w:rPr>
        <w:t xml:space="preserve">[Тази част следва да бъде попълнена, използвайки за целта </w:t>
      </w:r>
      <w:hyperlink r:id="rId13">
        <w:r>
          <w:rPr>
            <w:rStyle w:val="Hyperlink"/>
            <w:b/>
            <w:noProof/>
            <w:highlight w:val="lightGray"/>
          </w:rPr>
          <w:t>таблицата за бюджетни данни от административно естество</w:t>
        </w:r>
      </w:hyperlink>
      <w:r>
        <w:rPr>
          <w:noProof/>
        </w:rPr>
        <w:t xml:space="preserve"> (втория документ в приложението към настоящата финансова обосновка) и качена в CISNET за провеждането на вътрешни консултации между службите.]</w:t>
      </w:r>
    </w:p>
    <w:p>
      <w:pPr>
        <w:pStyle w:val="ManualHeading3"/>
        <w:rPr>
          <w:noProof/>
          <w:u w:val="single"/>
        </w:rPr>
      </w:pPr>
      <w:r>
        <w:t>3.2.1.</w:t>
      </w:r>
      <w:r>
        <w:tab/>
      </w:r>
      <w:r>
        <w:rPr>
          <w:noProof/>
        </w:rPr>
        <w:t>Обобщение на очакваното отражение върху разходите</w:t>
      </w:r>
    </w:p>
    <w:p>
      <w:pPr>
        <w:jc w:val="right"/>
        <w:rPr>
          <w:noProof/>
          <w:sz w:val="20"/>
        </w:rPr>
      </w:pPr>
      <w:r>
        <w:rPr>
          <w:noProof/>
          <w:sz w:val="20"/>
        </w:rPr>
        <w:t>млн. EUR (до 3-тия знак след десетичната запетая)</w:t>
      </w:r>
    </w:p>
    <w:tbl>
      <w:tblPr>
        <w:tblW w:w="0" w:type="auto"/>
        <w:jc w:val="center"/>
        <w:tblInd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tc>
        <w:tc>
          <w:tcPr>
            <w:tcW w:w="7817" w:type="dxa"/>
            <w:vAlign w:val="center"/>
          </w:tcPr>
          <w:p>
            <w:pPr>
              <w:spacing w:before="60" w:after="60"/>
              <w:rPr>
                <w:noProof/>
                <w:sz w:val="22"/>
              </w:rPr>
            </w:pPr>
            <w:r>
              <w:rPr>
                <w:noProof/>
                <w:sz w:val="22"/>
              </w:rPr>
              <w:t>[Наименование……………...……………………………………………………………….]</w:t>
            </w:r>
          </w:p>
        </w:tc>
      </w:tr>
    </w:tbl>
    <w:p>
      <w:pPr>
        <w:rPr>
          <w:noProof/>
          <w:sz w:val="16"/>
        </w:rPr>
      </w:pPr>
    </w:p>
    <w:tbl>
      <w:tblPr>
        <w:tblW w:w="1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777"/>
      </w:tblGrid>
      <w:tr>
        <w:tc>
          <w:tcPr>
            <w:tcW w:w="3960" w:type="dxa"/>
            <w:vAlign w:val="center"/>
          </w:tcPr>
          <w:p>
            <w:pPr>
              <w:jc w:val="center"/>
              <w:rPr>
                <w:noProof/>
                <w:sz w:val="22"/>
              </w:rPr>
            </w:pPr>
            <w:r>
              <w:rPr>
                <w:noProof/>
                <w:sz w:val="22"/>
              </w:rPr>
              <w:t>ГД: &lt;RTD&gt;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 xml:space="preserve">Година </w:t>
            </w:r>
            <w:r>
              <w:rPr>
                <w:noProof/>
                <w:sz w:val="22"/>
              </w:rPr>
              <w:br/>
            </w:r>
            <w:r>
              <w:rPr>
                <w:b/>
                <w:noProof/>
                <w:sz w:val="20"/>
              </w:rPr>
              <w:t>2017</w:t>
            </w:r>
            <w:r>
              <w:rPr>
                <w:rStyle w:val="FootnoteReference"/>
                <w:b/>
                <w:noProof/>
                <w:sz w:val="20"/>
              </w:rPr>
              <w:footnoteReference w:id="12"/>
            </w: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rPr>
                <w:noProof/>
                <w:sz w:val="20"/>
              </w:rPr>
            </w:pPr>
            <w:r>
              <w:rPr>
                <w:noProof/>
                <w:sz w:val="20"/>
              </w:rPr>
              <w:t xml:space="preserve">Година </w:t>
            </w:r>
            <w:r>
              <w:rPr>
                <w:noProof/>
                <w:sz w:val="22"/>
              </w:rPr>
              <w:br/>
            </w:r>
            <w:r>
              <w:rPr>
                <w:b/>
                <w:noProof/>
                <w:sz w:val="20"/>
              </w:rPr>
              <w:t>2021</w:t>
            </w:r>
          </w:p>
        </w:tc>
        <w:tc>
          <w:tcPr>
            <w:tcW w:w="868" w:type="dxa"/>
            <w:vAlign w:val="center"/>
          </w:tcPr>
          <w:p>
            <w:pPr>
              <w:jc w:val="center"/>
              <w:rPr>
                <w:b/>
                <w:noProof/>
                <w:sz w:val="18"/>
              </w:rPr>
            </w:pPr>
            <w:r>
              <w:rPr>
                <w:noProof/>
                <w:sz w:val="20"/>
              </w:rPr>
              <w:t>Година</w:t>
            </w:r>
            <w:r>
              <w:rPr>
                <w:noProof/>
                <w:sz w:val="22"/>
              </w:rPr>
              <w:br/>
            </w:r>
            <w:r>
              <w:rPr>
                <w:b/>
                <w:noProof/>
                <w:sz w:val="20"/>
              </w:rPr>
              <w:t>2022</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3"/>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w:t>
            </w:r>
          </w:p>
        </w:tc>
        <w:tc>
          <w:tcPr>
            <w:tcW w:w="1440" w:type="dxa"/>
            <w:vAlign w:val="center"/>
          </w:tcPr>
          <w:p>
            <w:pPr>
              <w:spacing w:before="40" w:after="40"/>
              <w:jc w:val="right"/>
              <w:rPr>
                <w:b/>
                <w:noProof/>
                <w:sz w:val="18"/>
              </w:rPr>
            </w:pPr>
            <w:r>
              <w:rPr>
                <w:b/>
                <w:noProof/>
                <w:sz w:val="18"/>
              </w:rPr>
              <w:t>08.01.05</w:t>
            </w: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 xml:space="preserve">за ГД </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868" w:type="dxa"/>
            <w:vAlign w:val="center"/>
          </w:tcPr>
          <w:p>
            <w:pPr>
              <w:spacing w:before="20" w:after="20"/>
              <w:jc w:val="right"/>
              <w:rPr>
                <w:b/>
                <w:noProof/>
                <w:sz w:val="20"/>
              </w:rPr>
            </w:pPr>
            <w:r>
              <w:rPr>
                <w:b/>
                <w:noProof/>
                <w:sz w:val="20"/>
              </w:rPr>
              <w:t>0,024</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b/>
                <w:noProof/>
                <w:sz w:val="20"/>
              </w:rPr>
            </w:pPr>
            <w:r>
              <w:rPr>
                <w:b/>
                <w:noProof/>
                <w:sz w:val="20"/>
              </w:rPr>
              <w:t>0,024</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0,061</w:t>
            </w:r>
          </w:p>
        </w:tc>
        <w:tc>
          <w:tcPr>
            <w:tcW w:w="868" w:type="dxa"/>
            <w:vAlign w:val="center"/>
          </w:tcPr>
          <w:p>
            <w:pPr>
              <w:spacing w:before="20" w:after="20"/>
              <w:jc w:val="right"/>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center"/>
              <w:rPr>
                <w:b/>
                <w:noProof/>
                <w:sz w:val="20"/>
              </w:rPr>
            </w:pPr>
            <w:r>
              <w:rPr>
                <w:b/>
                <w:noProof/>
                <w:sz w:val="20"/>
              </w:rPr>
              <w:t>0,024</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&lt;….&gt;</w:t>
            </w:r>
            <w:r>
              <w:rPr>
                <w:noProof/>
                <w:sz w:val="22"/>
              </w:rPr>
              <w:t xml:space="preserve"> 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center"/>
              <w:rPr>
                <w:b/>
                <w:noProof/>
                <w:sz w:val="20"/>
              </w:rPr>
            </w:pPr>
            <w:r>
              <w:rPr>
                <w:b/>
                <w:noProof/>
                <w:sz w:val="20"/>
              </w:rPr>
              <w:t>0,024</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center"/>
              <w:rPr>
                <w:b/>
                <w:noProof/>
                <w:sz w:val="20"/>
              </w:rPr>
            </w:pPr>
            <w:r>
              <w:rPr>
                <w:b/>
                <w:noProof/>
                <w:sz w:val="20"/>
              </w:rPr>
              <w:t>0,024</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0,061</w:t>
            </w:r>
          </w:p>
        </w:tc>
        <w:tc>
          <w:tcPr>
            <w:tcW w:w="868" w:type="dxa"/>
            <w:vAlign w:val="center"/>
          </w:tcPr>
          <w:p>
            <w:pPr>
              <w:spacing w:before="20" w:after="20"/>
              <w:jc w:val="center"/>
              <w:rPr>
                <w:b/>
                <w:noProof/>
                <w:sz w:val="20"/>
              </w:rPr>
            </w:pPr>
            <w:r>
              <w:rPr>
                <w:b/>
                <w:noProof/>
                <w:sz w:val="20"/>
              </w:rPr>
              <w:t>0,037</w:t>
            </w:r>
          </w:p>
        </w:tc>
        <w:tc>
          <w:tcPr>
            <w:tcW w:w="1777" w:type="dxa"/>
            <w:vAlign w:val="center"/>
          </w:tcPr>
          <w:p>
            <w:pPr>
              <w:spacing w:before="20" w:after="20"/>
              <w:jc w:val="right"/>
              <w:rPr>
                <w:b/>
                <w:noProof/>
                <w:sz w:val="20"/>
              </w:rPr>
            </w:pPr>
            <w:r>
              <w:rPr>
                <w:b/>
                <w:noProof/>
                <w:sz w:val="20"/>
              </w:rPr>
              <w:t>0,305</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ОБЩО бюджетни кредити за оперативни разходи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w:t>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850"/>
        <w:gridCol w:w="851"/>
        <w:gridCol w:w="992"/>
        <w:gridCol w:w="1112"/>
        <w:gridCol w:w="22"/>
        <w:gridCol w:w="1280"/>
        <w:gridCol w:w="236"/>
        <w:gridCol w:w="1465"/>
        <w:gridCol w:w="8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69" w:type="dxa"/>
            <w:vAlign w:val="center"/>
          </w:tcPr>
          <w:p>
            <w:pPr>
              <w:jc w:val="center"/>
              <w:rPr>
                <w:noProof/>
                <w:sz w:val="20"/>
              </w:rPr>
            </w:pPr>
            <w:r>
              <w:rPr>
                <w:noProof/>
                <w:sz w:val="20"/>
              </w:rPr>
              <w:t>Година</w:t>
            </w:r>
            <w:r>
              <w:rPr>
                <w:noProof/>
                <w:sz w:val="22"/>
              </w:rPr>
              <w:br/>
            </w:r>
            <w:r>
              <w:rPr>
                <w:b/>
                <w:noProof/>
                <w:sz w:val="20"/>
              </w:rPr>
              <w:t>2017</w:t>
            </w:r>
            <w:r>
              <w:rPr>
                <w:rStyle w:val="FootnoteReference"/>
                <w:b/>
                <w:noProof/>
                <w:sz w:val="20"/>
              </w:rPr>
              <w:footnoteReference w:id="14"/>
            </w:r>
          </w:p>
        </w:tc>
        <w:tc>
          <w:tcPr>
            <w:tcW w:w="850" w:type="dxa"/>
            <w:vAlign w:val="center"/>
          </w:tcPr>
          <w:p>
            <w:pPr>
              <w:jc w:val="center"/>
              <w:rPr>
                <w:noProof/>
                <w:sz w:val="20"/>
              </w:rPr>
            </w:pPr>
            <w:r>
              <w:rPr>
                <w:noProof/>
                <w:sz w:val="20"/>
              </w:rPr>
              <w:t>Година</w:t>
            </w:r>
            <w:r>
              <w:rPr>
                <w:noProof/>
                <w:sz w:val="22"/>
              </w:rPr>
              <w:br/>
            </w:r>
            <w:r>
              <w:rPr>
                <w:b/>
                <w:noProof/>
                <w:sz w:val="20"/>
              </w:rPr>
              <w:t>2018</w:t>
            </w:r>
          </w:p>
        </w:tc>
        <w:tc>
          <w:tcPr>
            <w:tcW w:w="851" w:type="dxa"/>
            <w:vAlign w:val="center"/>
          </w:tcPr>
          <w:p>
            <w:pPr>
              <w:jc w:val="center"/>
              <w:rPr>
                <w:noProof/>
                <w:sz w:val="20"/>
              </w:rPr>
            </w:pPr>
            <w:r>
              <w:rPr>
                <w:noProof/>
                <w:sz w:val="20"/>
              </w:rPr>
              <w:t>Година</w:t>
            </w:r>
            <w:r>
              <w:rPr>
                <w:noProof/>
                <w:sz w:val="22"/>
              </w:rPr>
              <w:br/>
            </w:r>
            <w:r>
              <w:rPr>
                <w:b/>
                <w:noProof/>
                <w:sz w:val="20"/>
              </w:rPr>
              <w:t>2019</w:t>
            </w:r>
          </w:p>
        </w:tc>
        <w:tc>
          <w:tcPr>
            <w:tcW w:w="992" w:type="dxa"/>
            <w:vAlign w:val="center"/>
          </w:tcPr>
          <w:p>
            <w:pPr>
              <w:jc w:val="center"/>
              <w:rPr>
                <w:noProof/>
                <w:sz w:val="20"/>
              </w:rPr>
            </w:pPr>
            <w:r>
              <w:rPr>
                <w:noProof/>
                <w:sz w:val="20"/>
              </w:rPr>
              <w:t>Година</w:t>
            </w:r>
            <w:r>
              <w:rPr>
                <w:noProof/>
                <w:sz w:val="22"/>
              </w:rPr>
              <w:br/>
            </w:r>
            <w:r>
              <w:rPr>
                <w:b/>
                <w:noProof/>
                <w:sz w:val="20"/>
              </w:rPr>
              <w:t>2020</w:t>
            </w:r>
          </w:p>
        </w:tc>
        <w:tc>
          <w:tcPr>
            <w:tcW w:w="1112" w:type="dxa"/>
            <w:vAlign w:val="center"/>
          </w:tcPr>
          <w:p>
            <w:pPr>
              <w:jc w:val="center"/>
              <w:rPr>
                <w:b/>
                <w:noProof/>
                <w:sz w:val="18"/>
              </w:rPr>
            </w:pPr>
            <w:r>
              <w:rPr>
                <w:noProof/>
                <w:sz w:val="20"/>
              </w:rPr>
              <w:t>Година</w:t>
            </w:r>
            <w:r>
              <w:rPr>
                <w:noProof/>
                <w:sz w:val="22"/>
              </w:rPr>
              <w:br/>
            </w:r>
            <w:r>
              <w:rPr>
                <w:b/>
                <w:noProof/>
                <w:sz w:val="20"/>
              </w:rPr>
              <w:t>2021</w:t>
            </w:r>
          </w:p>
        </w:tc>
        <w:tc>
          <w:tcPr>
            <w:tcW w:w="1302" w:type="dxa"/>
            <w:gridSpan w:val="2"/>
            <w:vAlign w:val="center"/>
          </w:tcPr>
          <w:p>
            <w:pPr>
              <w:jc w:val="center"/>
              <w:rPr>
                <w:noProof/>
                <w:sz w:val="20"/>
              </w:rPr>
            </w:pPr>
            <w:r>
              <w:rPr>
                <w:noProof/>
                <w:sz w:val="20"/>
              </w:rPr>
              <w:t>Година</w:t>
            </w:r>
          </w:p>
          <w:p>
            <w:pPr>
              <w:jc w:val="center"/>
              <w:rPr>
                <w:b/>
                <w:noProof/>
                <w:sz w:val="20"/>
              </w:rPr>
            </w:pPr>
            <w:r>
              <w:rPr>
                <w:b/>
                <w:noProof/>
                <w:sz w:val="20"/>
              </w:rPr>
              <w:t>2022</w:t>
            </w:r>
          </w:p>
        </w:tc>
        <w:tc>
          <w:tcPr>
            <w:tcW w:w="1781" w:type="dxa"/>
            <w:gridSpan w:val="3"/>
            <w:vAlign w:val="center"/>
          </w:tcPr>
          <w:p>
            <w:pPr>
              <w:jc w:val="center"/>
              <w:rPr>
                <w:b/>
                <w:noProof/>
                <w:sz w:val="20"/>
              </w:rPr>
            </w:pPr>
            <w:r>
              <w:rPr>
                <w:b/>
                <w:noProof/>
                <w:sz w:val="20"/>
              </w:rPr>
              <w:t>ОБЩО</w:t>
            </w:r>
          </w:p>
        </w:tc>
      </w:tr>
      <w:tr>
        <w:trPr>
          <w:gridAfter w:val="12"/>
          <w:wAfter w:w="9951" w:type="dxa"/>
        </w:trPr>
        <w:tc>
          <w:tcPr>
            <w:tcW w:w="3960" w:type="dxa"/>
            <w:vAlign w:val="center"/>
          </w:tcPr>
          <w:p>
            <w:pPr>
              <w:spacing w:before="60" w:after="60"/>
              <w:jc w:val="center"/>
              <w:rPr>
                <w:noProof/>
                <w:sz w:val="22"/>
              </w:rPr>
            </w:pPr>
            <w:r>
              <w:rPr>
                <w:noProof/>
                <w:sz w:val="22"/>
              </w:rPr>
              <w:t>ГД: &lt;…….&gt;</w:t>
            </w:r>
          </w:p>
        </w:tc>
      </w:tr>
      <w:tr>
        <w:trPr>
          <w:gridAfter w:val="1"/>
          <w:wAfter w:w="80" w:type="dxa"/>
          <w:trHeight w:val="313"/>
        </w:trPr>
        <w:tc>
          <w:tcPr>
            <w:tcW w:w="6054" w:type="dxa"/>
            <w:gridSpan w:val="3"/>
            <w:vAlign w:val="center"/>
          </w:tcPr>
          <w:p>
            <w:pPr>
              <w:spacing w:before="20" w:after="20"/>
              <w:rPr>
                <w:noProof/>
                <w:sz w:val="22"/>
              </w:rPr>
            </w:pPr>
            <w:r>
              <w:rPr>
                <w:noProof/>
                <w:sz w:val="22"/>
              </w:rPr>
              <w:sym w:font="Wingdings" w:char="F09F"/>
            </w:r>
            <w:r>
              <w:rPr>
                <w:noProof/>
              </w:rPr>
              <w:t xml:space="preserve"> </w:t>
            </w:r>
            <w:r>
              <w:rPr>
                <w:noProof/>
                <w:sz w:val="22"/>
              </w:rPr>
              <w:t xml:space="preserve"> Човешки ресурси</w:t>
            </w:r>
          </w:p>
        </w:tc>
        <w:tc>
          <w:tcPr>
            <w:tcW w:w="969" w:type="dxa"/>
            <w:vAlign w:val="center"/>
          </w:tcPr>
          <w:p>
            <w:pPr>
              <w:spacing w:before="20" w:after="20"/>
              <w:jc w:val="right"/>
              <w:rPr>
                <w:noProof/>
                <w:sz w:val="20"/>
              </w:rPr>
            </w:pPr>
          </w:p>
        </w:tc>
        <w:tc>
          <w:tcPr>
            <w:tcW w:w="850" w:type="dxa"/>
            <w:vAlign w:val="center"/>
          </w:tcPr>
          <w:p>
            <w:pPr>
              <w:spacing w:before="20" w:after="20"/>
              <w:jc w:val="right"/>
              <w:rPr>
                <w:noProof/>
                <w:sz w:val="20"/>
              </w:rPr>
            </w:pPr>
          </w:p>
        </w:tc>
        <w:tc>
          <w:tcPr>
            <w:tcW w:w="851"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1134" w:type="dxa"/>
            <w:gridSpan w:val="2"/>
            <w:vAlign w:val="center"/>
          </w:tcPr>
          <w:p>
            <w:pPr>
              <w:spacing w:before="20" w:after="20"/>
              <w:jc w:val="right"/>
              <w:rPr>
                <w:noProof/>
                <w:sz w:val="20"/>
              </w:rPr>
            </w:pPr>
          </w:p>
        </w:tc>
        <w:tc>
          <w:tcPr>
            <w:tcW w:w="1280" w:type="dxa"/>
            <w:vAlign w:val="center"/>
          </w:tcPr>
          <w:p>
            <w:pPr>
              <w:spacing w:before="20" w:after="20"/>
              <w:jc w:val="right"/>
              <w:rPr>
                <w:noProof/>
                <w:sz w:val="20"/>
              </w:rPr>
            </w:pPr>
          </w:p>
        </w:tc>
        <w:tc>
          <w:tcPr>
            <w:tcW w:w="236" w:type="dxa"/>
            <w:vAlign w:val="center"/>
          </w:tcPr>
          <w:p>
            <w:pPr>
              <w:spacing w:before="20" w:after="20"/>
              <w:jc w:val="right"/>
              <w:rPr>
                <w:b/>
                <w:noProof/>
                <w:sz w:val="20"/>
              </w:rPr>
            </w:pPr>
          </w:p>
        </w:tc>
        <w:tc>
          <w:tcPr>
            <w:tcW w:w="1465" w:type="dxa"/>
            <w:vAlign w:val="center"/>
          </w:tcPr>
          <w:p>
            <w:pPr>
              <w:spacing w:before="20" w:after="20"/>
              <w:jc w:val="right"/>
              <w:rPr>
                <w:b/>
                <w:noProof/>
                <w:sz w:val="20"/>
              </w:rPr>
            </w:pPr>
          </w:p>
        </w:tc>
      </w:tr>
      <w:tr>
        <w:trPr>
          <w:gridAfter w:val="1"/>
          <w:wAfter w:w="80" w:type="dxa"/>
          <w:trHeight w:val="351"/>
        </w:trPr>
        <w:tc>
          <w:tcPr>
            <w:tcW w:w="6054" w:type="dxa"/>
            <w:gridSpan w:val="3"/>
            <w:vAlign w:val="center"/>
          </w:tcPr>
          <w:p>
            <w:pPr>
              <w:spacing w:before="20" w:after="20"/>
              <w:rPr>
                <w:noProof/>
                <w:sz w:val="22"/>
              </w:rPr>
            </w:pPr>
            <w:r>
              <w:rPr>
                <w:noProof/>
                <w:sz w:val="22"/>
              </w:rPr>
              <w:sym w:font="Wingdings" w:char="F09F"/>
            </w:r>
            <w:r>
              <w:rPr>
                <w:noProof/>
              </w:rPr>
              <w:t xml:space="preserve"> </w:t>
            </w:r>
            <w:r>
              <w:rPr>
                <w:noProof/>
                <w:sz w:val="22"/>
              </w:rPr>
              <w:t xml:space="preserve"> Други административни разходи</w:t>
            </w:r>
          </w:p>
        </w:tc>
        <w:tc>
          <w:tcPr>
            <w:tcW w:w="969" w:type="dxa"/>
            <w:vAlign w:val="center"/>
          </w:tcPr>
          <w:p>
            <w:pPr>
              <w:spacing w:before="20" w:after="20"/>
              <w:jc w:val="right"/>
              <w:rPr>
                <w:b/>
                <w:noProof/>
                <w:sz w:val="20"/>
              </w:rPr>
            </w:pPr>
            <w:r>
              <w:rPr>
                <w:b/>
                <w:noProof/>
                <w:sz w:val="20"/>
              </w:rPr>
              <w:t>0,003</w:t>
            </w:r>
          </w:p>
        </w:tc>
        <w:tc>
          <w:tcPr>
            <w:tcW w:w="850" w:type="dxa"/>
            <w:vAlign w:val="center"/>
          </w:tcPr>
          <w:p>
            <w:pPr>
              <w:spacing w:before="20" w:after="20"/>
              <w:jc w:val="right"/>
              <w:rPr>
                <w:b/>
                <w:noProof/>
                <w:sz w:val="20"/>
              </w:rPr>
            </w:pPr>
            <w:r>
              <w:rPr>
                <w:b/>
                <w:noProof/>
                <w:sz w:val="20"/>
              </w:rPr>
              <w:t>0,008</w:t>
            </w:r>
          </w:p>
        </w:tc>
        <w:tc>
          <w:tcPr>
            <w:tcW w:w="851" w:type="dxa"/>
            <w:vAlign w:val="center"/>
          </w:tcPr>
          <w:p>
            <w:pPr>
              <w:spacing w:before="20" w:after="20"/>
              <w:jc w:val="right"/>
              <w:rPr>
                <w:b/>
                <w:noProof/>
                <w:sz w:val="20"/>
              </w:rPr>
            </w:pPr>
            <w:r>
              <w:rPr>
                <w:b/>
                <w:noProof/>
                <w:sz w:val="20"/>
              </w:rPr>
              <w:t>0,008</w:t>
            </w:r>
          </w:p>
        </w:tc>
        <w:tc>
          <w:tcPr>
            <w:tcW w:w="992" w:type="dxa"/>
            <w:vAlign w:val="center"/>
          </w:tcPr>
          <w:p>
            <w:pPr>
              <w:spacing w:before="20" w:after="20"/>
              <w:jc w:val="right"/>
              <w:rPr>
                <w:b/>
                <w:noProof/>
                <w:sz w:val="20"/>
              </w:rPr>
            </w:pPr>
            <w:r>
              <w:rPr>
                <w:b/>
                <w:noProof/>
                <w:sz w:val="20"/>
              </w:rPr>
              <w:t>0,008</w:t>
            </w:r>
          </w:p>
        </w:tc>
        <w:tc>
          <w:tcPr>
            <w:tcW w:w="1134" w:type="dxa"/>
            <w:gridSpan w:val="2"/>
            <w:vAlign w:val="center"/>
          </w:tcPr>
          <w:p>
            <w:pPr>
              <w:spacing w:before="20" w:after="20"/>
              <w:jc w:val="right"/>
              <w:rPr>
                <w:b/>
                <w:noProof/>
                <w:sz w:val="20"/>
              </w:rPr>
            </w:pPr>
            <w:r>
              <w:rPr>
                <w:b/>
                <w:noProof/>
                <w:sz w:val="20"/>
              </w:rPr>
              <w:t>0,008</w:t>
            </w:r>
          </w:p>
        </w:tc>
        <w:tc>
          <w:tcPr>
            <w:tcW w:w="1280" w:type="dxa"/>
            <w:vAlign w:val="center"/>
          </w:tcPr>
          <w:p>
            <w:pPr>
              <w:spacing w:before="20" w:after="20"/>
              <w:jc w:val="right"/>
              <w:rPr>
                <w:b/>
                <w:noProof/>
                <w:sz w:val="20"/>
              </w:rPr>
            </w:pPr>
            <w:r>
              <w:rPr>
                <w:b/>
                <w:noProof/>
                <w:sz w:val="20"/>
              </w:rPr>
              <w:t>0,005</w:t>
            </w:r>
          </w:p>
        </w:tc>
        <w:tc>
          <w:tcPr>
            <w:tcW w:w="1701" w:type="dxa"/>
            <w:gridSpan w:val="2"/>
            <w:vAlign w:val="center"/>
          </w:tcPr>
          <w:p>
            <w:pPr>
              <w:spacing w:before="20" w:after="20"/>
              <w:jc w:val="right"/>
              <w:rPr>
                <w:b/>
                <w:noProof/>
                <w:sz w:val="20"/>
              </w:rPr>
            </w:pPr>
            <w:r>
              <w:rPr>
                <w:b/>
                <w:noProof/>
                <w:sz w:val="20"/>
              </w:rPr>
              <w:t>0,04</w:t>
            </w:r>
          </w:p>
        </w:tc>
      </w:tr>
      <w:tr>
        <w:trPr>
          <w:gridAfter w:val="1"/>
          <w:wAfter w:w="80" w:type="dxa"/>
        </w:trPr>
        <w:tc>
          <w:tcPr>
            <w:tcW w:w="3960" w:type="dxa"/>
            <w:vAlign w:val="center"/>
          </w:tcPr>
          <w:p>
            <w:pPr>
              <w:jc w:val="center"/>
              <w:rPr>
                <w:b/>
                <w:noProof/>
                <w:sz w:val="22"/>
              </w:rPr>
            </w:pPr>
            <w:r>
              <w:rPr>
                <w:b/>
                <w:noProof/>
                <w:sz w:val="22"/>
              </w:rPr>
              <w:t>ОБЩО ГД</w:t>
            </w:r>
            <w:r>
              <w:rPr>
                <w:noProof/>
              </w:rPr>
              <w:t xml:space="preserve"> </w:t>
            </w:r>
            <w:r>
              <w:rPr>
                <w:noProof/>
                <w:sz w:val="22"/>
              </w:rPr>
              <w:t>&lt;….&gt;</w:t>
            </w:r>
          </w:p>
        </w:tc>
        <w:tc>
          <w:tcPr>
            <w:tcW w:w="2094" w:type="dxa"/>
            <w:gridSpan w:val="2"/>
            <w:vAlign w:val="center"/>
          </w:tcPr>
          <w:p>
            <w:pPr>
              <w:rPr>
                <w:noProof/>
                <w:sz w:val="14"/>
              </w:rPr>
            </w:pPr>
            <w:r>
              <w:rPr>
                <w:noProof/>
                <w:sz w:val="18"/>
              </w:rPr>
              <w:t xml:space="preserve">Бюджетни кредити </w:t>
            </w:r>
          </w:p>
        </w:tc>
        <w:tc>
          <w:tcPr>
            <w:tcW w:w="969" w:type="dxa"/>
            <w:vAlign w:val="center"/>
          </w:tcPr>
          <w:p>
            <w:pPr>
              <w:spacing w:before="60" w:after="60"/>
              <w:jc w:val="right"/>
              <w:rPr>
                <w:noProof/>
                <w:sz w:val="20"/>
              </w:rPr>
            </w:pPr>
            <w:r>
              <w:rPr>
                <w:b/>
                <w:noProof/>
                <w:sz w:val="20"/>
              </w:rPr>
              <w:t>0,003</w:t>
            </w:r>
          </w:p>
        </w:tc>
        <w:tc>
          <w:tcPr>
            <w:tcW w:w="850" w:type="dxa"/>
            <w:vAlign w:val="center"/>
          </w:tcPr>
          <w:p>
            <w:pPr>
              <w:spacing w:before="20" w:after="20"/>
              <w:jc w:val="right"/>
              <w:rPr>
                <w:noProof/>
                <w:sz w:val="20"/>
              </w:rPr>
            </w:pPr>
            <w:r>
              <w:rPr>
                <w:b/>
                <w:noProof/>
                <w:sz w:val="20"/>
              </w:rPr>
              <w:t>0,008</w:t>
            </w:r>
          </w:p>
        </w:tc>
        <w:tc>
          <w:tcPr>
            <w:tcW w:w="851" w:type="dxa"/>
            <w:vAlign w:val="center"/>
          </w:tcPr>
          <w:p>
            <w:pPr>
              <w:spacing w:before="20" w:after="20"/>
              <w:jc w:val="right"/>
              <w:rPr>
                <w:noProof/>
                <w:sz w:val="20"/>
              </w:rPr>
            </w:pPr>
            <w:r>
              <w:rPr>
                <w:b/>
                <w:noProof/>
                <w:sz w:val="20"/>
              </w:rPr>
              <w:t>0,008</w:t>
            </w:r>
          </w:p>
        </w:tc>
        <w:tc>
          <w:tcPr>
            <w:tcW w:w="992" w:type="dxa"/>
            <w:vAlign w:val="center"/>
          </w:tcPr>
          <w:p>
            <w:pPr>
              <w:spacing w:before="20" w:after="20"/>
              <w:jc w:val="right"/>
              <w:rPr>
                <w:noProof/>
                <w:sz w:val="20"/>
              </w:rPr>
            </w:pPr>
            <w:r>
              <w:rPr>
                <w:b/>
                <w:noProof/>
                <w:sz w:val="20"/>
              </w:rPr>
              <w:t>0,008</w:t>
            </w:r>
          </w:p>
        </w:tc>
        <w:tc>
          <w:tcPr>
            <w:tcW w:w="1134" w:type="dxa"/>
            <w:gridSpan w:val="2"/>
            <w:vAlign w:val="center"/>
          </w:tcPr>
          <w:p>
            <w:pPr>
              <w:spacing w:before="20" w:after="20"/>
              <w:jc w:val="right"/>
              <w:rPr>
                <w:noProof/>
                <w:sz w:val="20"/>
              </w:rPr>
            </w:pPr>
            <w:r>
              <w:rPr>
                <w:b/>
                <w:noProof/>
                <w:sz w:val="20"/>
              </w:rPr>
              <w:t>0,008</w:t>
            </w:r>
          </w:p>
        </w:tc>
        <w:tc>
          <w:tcPr>
            <w:tcW w:w="1280" w:type="dxa"/>
            <w:vAlign w:val="center"/>
          </w:tcPr>
          <w:p>
            <w:pPr>
              <w:spacing w:before="20" w:after="20"/>
              <w:jc w:val="right"/>
              <w:rPr>
                <w:b/>
                <w:noProof/>
                <w:sz w:val="20"/>
              </w:rPr>
            </w:pPr>
            <w:r>
              <w:rPr>
                <w:b/>
                <w:noProof/>
                <w:sz w:val="20"/>
              </w:rPr>
              <w:t>0,005</w:t>
            </w:r>
          </w:p>
        </w:tc>
        <w:tc>
          <w:tcPr>
            <w:tcW w:w="1701" w:type="dxa"/>
            <w:gridSpan w:val="2"/>
            <w:vAlign w:val="center"/>
          </w:tcPr>
          <w:p>
            <w:pPr>
              <w:spacing w:before="20" w:after="20"/>
              <w:jc w:val="right"/>
              <w:rPr>
                <w:b/>
                <w:noProof/>
                <w:sz w:val="20"/>
              </w:rPr>
            </w:pPr>
            <w:r>
              <w:rPr>
                <w:b/>
                <w:noProof/>
                <w:sz w:val="20"/>
              </w:rPr>
              <w:t>0,04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69"/>
        <w:gridCol w:w="850"/>
        <w:gridCol w:w="851"/>
        <w:gridCol w:w="992"/>
        <w:gridCol w:w="1134"/>
        <w:gridCol w:w="1276"/>
        <w:gridCol w:w="1701"/>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969" w:type="dxa"/>
            <w:vAlign w:val="center"/>
          </w:tcPr>
          <w:p>
            <w:pPr>
              <w:spacing w:before="20" w:after="20"/>
              <w:jc w:val="right"/>
              <w:rPr>
                <w:noProof/>
                <w:sz w:val="20"/>
              </w:rPr>
            </w:pPr>
            <w:r>
              <w:rPr>
                <w:b/>
                <w:noProof/>
                <w:sz w:val="20"/>
              </w:rPr>
              <w:t>0,003</w:t>
            </w:r>
          </w:p>
        </w:tc>
        <w:tc>
          <w:tcPr>
            <w:tcW w:w="850" w:type="dxa"/>
            <w:vAlign w:val="center"/>
          </w:tcPr>
          <w:p>
            <w:pPr>
              <w:spacing w:before="20" w:after="20"/>
              <w:jc w:val="right"/>
              <w:rPr>
                <w:noProof/>
                <w:sz w:val="20"/>
              </w:rPr>
            </w:pPr>
            <w:r>
              <w:rPr>
                <w:b/>
                <w:noProof/>
                <w:sz w:val="20"/>
              </w:rPr>
              <w:t>0,008</w:t>
            </w:r>
          </w:p>
        </w:tc>
        <w:tc>
          <w:tcPr>
            <w:tcW w:w="851" w:type="dxa"/>
            <w:vAlign w:val="center"/>
          </w:tcPr>
          <w:p>
            <w:pPr>
              <w:spacing w:before="20" w:after="20"/>
              <w:jc w:val="right"/>
              <w:rPr>
                <w:noProof/>
                <w:sz w:val="20"/>
              </w:rPr>
            </w:pPr>
            <w:r>
              <w:rPr>
                <w:b/>
                <w:noProof/>
                <w:sz w:val="20"/>
              </w:rPr>
              <w:t>0,008</w:t>
            </w:r>
          </w:p>
        </w:tc>
        <w:tc>
          <w:tcPr>
            <w:tcW w:w="992" w:type="dxa"/>
            <w:vAlign w:val="center"/>
          </w:tcPr>
          <w:p>
            <w:pPr>
              <w:spacing w:before="20" w:after="20"/>
              <w:jc w:val="right"/>
              <w:rPr>
                <w:noProof/>
                <w:sz w:val="20"/>
              </w:rPr>
            </w:pPr>
            <w:r>
              <w:rPr>
                <w:b/>
                <w:noProof/>
                <w:sz w:val="20"/>
              </w:rPr>
              <w:t>0,008</w:t>
            </w:r>
          </w:p>
        </w:tc>
        <w:tc>
          <w:tcPr>
            <w:tcW w:w="1134" w:type="dxa"/>
            <w:vAlign w:val="center"/>
          </w:tcPr>
          <w:p>
            <w:pPr>
              <w:spacing w:before="20" w:after="20"/>
              <w:jc w:val="right"/>
              <w:rPr>
                <w:noProof/>
                <w:sz w:val="20"/>
              </w:rPr>
            </w:pPr>
            <w:r>
              <w:rPr>
                <w:b/>
                <w:noProof/>
                <w:sz w:val="20"/>
              </w:rPr>
              <w:t>0,008</w:t>
            </w:r>
          </w:p>
        </w:tc>
        <w:tc>
          <w:tcPr>
            <w:tcW w:w="1276" w:type="dxa"/>
            <w:vAlign w:val="center"/>
          </w:tcPr>
          <w:p>
            <w:pPr>
              <w:spacing w:before="20" w:after="20"/>
              <w:jc w:val="right"/>
              <w:rPr>
                <w:noProof/>
                <w:sz w:val="20"/>
              </w:rPr>
            </w:pPr>
            <w:r>
              <w:rPr>
                <w:b/>
                <w:noProof/>
                <w:sz w:val="20"/>
              </w:rPr>
              <w:t>0,005</w:t>
            </w:r>
          </w:p>
        </w:tc>
        <w:tc>
          <w:tcPr>
            <w:tcW w:w="1701" w:type="dxa"/>
            <w:vAlign w:val="center"/>
          </w:tcPr>
          <w:p>
            <w:pPr>
              <w:spacing w:before="20" w:after="20"/>
              <w:jc w:val="right"/>
              <w:rPr>
                <w:b/>
                <w:noProof/>
                <w:sz w:val="20"/>
              </w:rPr>
            </w:pPr>
            <w:r>
              <w:rPr>
                <w:b/>
                <w:noProof/>
                <w:sz w:val="20"/>
              </w:rPr>
              <w:t>0,04</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302"/>
        <w:gridCol w:w="22"/>
        <w:gridCol w:w="1280"/>
        <w:gridCol w:w="1838"/>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2017</w:t>
            </w:r>
            <w:r>
              <w:rPr>
                <w:rStyle w:val="FootnoteReference"/>
                <w:b/>
                <w:noProof/>
                <w:sz w:val="20"/>
              </w:rPr>
              <w:footnoteReference w:id="15"/>
            </w: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noProof/>
                <w:sz w:val="20"/>
              </w:rPr>
            </w:pPr>
            <w:r>
              <w:rPr>
                <w:noProof/>
                <w:sz w:val="20"/>
              </w:rPr>
              <w:t>Година</w:t>
            </w:r>
          </w:p>
          <w:p>
            <w:pPr>
              <w:jc w:val="center"/>
              <w:rPr>
                <w:b/>
                <w:noProof/>
                <w:sz w:val="18"/>
              </w:rPr>
            </w:pPr>
            <w:r>
              <w:rPr>
                <w:b/>
                <w:noProof/>
                <w:sz w:val="20"/>
              </w:rPr>
              <w:t>2021</w:t>
            </w:r>
          </w:p>
        </w:tc>
        <w:tc>
          <w:tcPr>
            <w:tcW w:w="1302" w:type="dxa"/>
            <w:gridSpan w:val="2"/>
            <w:vAlign w:val="center"/>
          </w:tcPr>
          <w:p>
            <w:pPr>
              <w:jc w:val="center"/>
              <w:rPr>
                <w:noProof/>
                <w:sz w:val="20"/>
              </w:rPr>
            </w:pPr>
            <w:r>
              <w:rPr>
                <w:noProof/>
                <w:sz w:val="20"/>
              </w:rPr>
              <w:t>Година</w:t>
            </w:r>
          </w:p>
          <w:p>
            <w:pPr>
              <w:jc w:val="center"/>
              <w:rPr>
                <w:b/>
                <w:noProof/>
                <w:sz w:val="20"/>
              </w:rPr>
            </w:pPr>
            <w:r>
              <w:rPr>
                <w:b/>
                <w:noProof/>
                <w:sz w:val="20"/>
              </w:rPr>
              <w:t>2022</w:t>
            </w:r>
          </w:p>
        </w:tc>
        <w:tc>
          <w:tcPr>
            <w:tcW w:w="1838"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b/>
                <w:noProof/>
                <w:sz w:val="20"/>
              </w:rPr>
            </w:pPr>
            <w:r>
              <w:rPr>
                <w:b/>
                <w:noProof/>
                <w:sz w:val="20"/>
              </w:rPr>
              <w:t>0,027</w:t>
            </w:r>
          </w:p>
        </w:tc>
        <w:tc>
          <w:tcPr>
            <w:tcW w:w="868" w:type="dxa"/>
            <w:vAlign w:val="center"/>
          </w:tcPr>
          <w:p>
            <w:pPr>
              <w:spacing w:before="60" w:after="60"/>
              <w:jc w:val="right"/>
              <w:rPr>
                <w:b/>
                <w:noProof/>
                <w:sz w:val="20"/>
              </w:rPr>
            </w:pPr>
            <w:r>
              <w:rPr>
                <w:b/>
                <w:noProof/>
                <w:sz w:val="20"/>
              </w:rPr>
              <w:t>0,069</w:t>
            </w:r>
          </w:p>
        </w:tc>
        <w:tc>
          <w:tcPr>
            <w:tcW w:w="868" w:type="dxa"/>
            <w:vAlign w:val="center"/>
          </w:tcPr>
          <w:p>
            <w:pPr>
              <w:spacing w:before="60" w:after="60"/>
              <w:jc w:val="right"/>
              <w:rPr>
                <w:b/>
                <w:noProof/>
                <w:sz w:val="20"/>
              </w:rPr>
            </w:pPr>
            <w:r>
              <w:rPr>
                <w:b/>
                <w:noProof/>
                <w:sz w:val="20"/>
              </w:rPr>
              <w:t>0,069</w:t>
            </w:r>
          </w:p>
        </w:tc>
        <w:tc>
          <w:tcPr>
            <w:tcW w:w="868" w:type="dxa"/>
            <w:vAlign w:val="center"/>
          </w:tcPr>
          <w:p>
            <w:pPr>
              <w:spacing w:before="60" w:after="60"/>
              <w:jc w:val="right"/>
              <w:rPr>
                <w:b/>
                <w:noProof/>
                <w:sz w:val="20"/>
              </w:rPr>
            </w:pPr>
            <w:r>
              <w:rPr>
                <w:b/>
                <w:noProof/>
                <w:sz w:val="20"/>
              </w:rPr>
              <w:t>0,069</w:t>
            </w:r>
          </w:p>
        </w:tc>
        <w:tc>
          <w:tcPr>
            <w:tcW w:w="1324" w:type="dxa"/>
            <w:gridSpan w:val="2"/>
            <w:vAlign w:val="center"/>
          </w:tcPr>
          <w:p>
            <w:pPr>
              <w:spacing w:before="60" w:after="60"/>
              <w:jc w:val="right"/>
              <w:rPr>
                <w:b/>
                <w:noProof/>
                <w:sz w:val="20"/>
              </w:rPr>
            </w:pPr>
            <w:r>
              <w:rPr>
                <w:b/>
                <w:noProof/>
                <w:sz w:val="20"/>
              </w:rPr>
              <w:t>0,069</w:t>
            </w:r>
          </w:p>
        </w:tc>
        <w:tc>
          <w:tcPr>
            <w:tcW w:w="1280" w:type="dxa"/>
            <w:vAlign w:val="center"/>
          </w:tcPr>
          <w:p>
            <w:pPr>
              <w:spacing w:before="60" w:after="60"/>
              <w:jc w:val="right"/>
              <w:rPr>
                <w:b/>
                <w:noProof/>
                <w:sz w:val="20"/>
              </w:rPr>
            </w:pPr>
            <w:r>
              <w:rPr>
                <w:b/>
                <w:noProof/>
                <w:sz w:val="20"/>
              </w:rPr>
              <w:t>0,042</w:t>
            </w:r>
          </w:p>
        </w:tc>
        <w:tc>
          <w:tcPr>
            <w:tcW w:w="1838" w:type="dxa"/>
            <w:vAlign w:val="center"/>
          </w:tcPr>
          <w:p>
            <w:pPr>
              <w:spacing w:before="60" w:after="60"/>
              <w:jc w:val="right"/>
              <w:rPr>
                <w:b/>
                <w:noProof/>
                <w:sz w:val="20"/>
              </w:rPr>
            </w:pPr>
            <w:r>
              <w:rPr>
                <w:b/>
                <w:noProof/>
                <w:sz w:val="20"/>
              </w:rPr>
              <w:t>0,345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b/>
                <w:noProof/>
                <w:sz w:val="20"/>
              </w:rPr>
              <w:t>0,027</w:t>
            </w:r>
          </w:p>
        </w:tc>
        <w:tc>
          <w:tcPr>
            <w:tcW w:w="868" w:type="dxa"/>
            <w:vAlign w:val="center"/>
          </w:tcPr>
          <w:p>
            <w:pPr>
              <w:spacing w:before="60" w:after="60"/>
              <w:jc w:val="right"/>
              <w:rPr>
                <w:noProof/>
                <w:sz w:val="20"/>
              </w:rPr>
            </w:pPr>
            <w:r>
              <w:rPr>
                <w:b/>
                <w:noProof/>
                <w:sz w:val="20"/>
              </w:rPr>
              <w:t>0,069</w:t>
            </w:r>
          </w:p>
        </w:tc>
        <w:tc>
          <w:tcPr>
            <w:tcW w:w="868" w:type="dxa"/>
            <w:vAlign w:val="center"/>
          </w:tcPr>
          <w:p>
            <w:pPr>
              <w:spacing w:before="60" w:after="60"/>
              <w:jc w:val="right"/>
              <w:rPr>
                <w:noProof/>
                <w:sz w:val="20"/>
              </w:rPr>
            </w:pPr>
            <w:r>
              <w:rPr>
                <w:b/>
                <w:noProof/>
                <w:sz w:val="20"/>
              </w:rPr>
              <w:t>0,069</w:t>
            </w:r>
          </w:p>
        </w:tc>
        <w:tc>
          <w:tcPr>
            <w:tcW w:w="868" w:type="dxa"/>
            <w:vAlign w:val="center"/>
          </w:tcPr>
          <w:p>
            <w:pPr>
              <w:spacing w:before="60" w:after="60"/>
              <w:jc w:val="right"/>
              <w:rPr>
                <w:noProof/>
                <w:sz w:val="20"/>
              </w:rPr>
            </w:pPr>
            <w:r>
              <w:rPr>
                <w:b/>
                <w:noProof/>
                <w:sz w:val="20"/>
              </w:rPr>
              <w:t>0,069</w:t>
            </w:r>
          </w:p>
        </w:tc>
        <w:tc>
          <w:tcPr>
            <w:tcW w:w="1324" w:type="dxa"/>
            <w:gridSpan w:val="2"/>
            <w:vAlign w:val="center"/>
          </w:tcPr>
          <w:p>
            <w:pPr>
              <w:spacing w:before="60" w:after="60"/>
              <w:jc w:val="right"/>
              <w:rPr>
                <w:noProof/>
                <w:sz w:val="20"/>
              </w:rPr>
            </w:pPr>
            <w:r>
              <w:rPr>
                <w:b/>
                <w:noProof/>
                <w:sz w:val="20"/>
              </w:rPr>
              <w:t>0,069</w:t>
            </w:r>
          </w:p>
        </w:tc>
        <w:tc>
          <w:tcPr>
            <w:tcW w:w="1280" w:type="dxa"/>
            <w:vAlign w:val="center"/>
          </w:tcPr>
          <w:p>
            <w:pPr>
              <w:spacing w:before="60" w:after="60"/>
              <w:jc w:val="right"/>
              <w:rPr>
                <w:b/>
                <w:noProof/>
                <w:sz w:val="20"/>
              </w:rPr>
            </w:pPr>
            <w:r>
              <w:rPr>
                <w:b/>
                <w:noProof/>
                <w:sz w:val="20"/>
              </w:rPr>
              <w:t>0,042</w:t>
            </w:r>
          </w:p>
        </w:tc>
        <w:tc>
          <w:tcPr>
            <w:tcW w:w="1838" w:type="dxa"/>
            <w:vAlign w:val="center"/>
          </w:tcPr>
          <w:p>
            <w:pPr>
              <w:spacing w:before="60" w:after="60"/>
              <w:jc w:val="right"/>
              <w:rPr>
                <w:b/>
                <w:noProof/>
                <w:sz w:val="20"/>
              </w:rPr>
            </w:pPr>
            <w:r>
              <w:rPr>
                <w:b/>
                <w:noProof/>
                <w:sz w:val="20"/>
              </w:rPr>
              <w:t>0,345</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Очаквано отражение върху бюджетните кредити за оперативни разходи</w:t>
      </w:r>
    </w:p>
    <w:p>
      <w:pPr>
        <w:pStyle w:val="ListDash1"/>
        <w:rPr>
          <w:noProof/>
        </w:rPr>
      </w:pPr>
      <w:r>
        <w:rPr>
          <w:noProof/>
        </w:rPr>
        <w:sym w:font="Wingdings" w:char="F0FE"/>
      </w:r>
      <w:r>
        <w:rPr>
          <w:noProof/>
        </w:rPr>
        <w:tab/>
        <w:t>Предложението/инициативата не налага използване на бюджетни кредити за оперативни разходи</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Да се посочат целите и резултатите</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noProof/>
              </w:rPr>
              <w:t xml:space="preserve"> </w:t>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 резултат</w:t>
            </w:r>
            <w:r>
              <w:rPr>
                <w:rStyle w:val="FootnoteReference"/>
                <w:noProof/>
                <w:sz w:val="18"/>
              </w:rPr>
              <w:footnoteReference w:id="16"/>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 за резултата</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7"/>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Обобщение</w:t>
      </w:r>
    </w:p>
    <w:p>
      <w:pPr>
        <w:pStyle w:val="ListDash1"/>
        <w:rPr>
          <w:noProof/>
        </w:rPr>
      </w:pPr>
      <w:r>
        <w:rPr>
          <w:noProof/>
        </w:rPr>
        <w:sym w:font="Wingdings" w:char="F0A8"/>
      </w:r>
      <w:r>
        <w:rPr>
          <w:noProof/>
        </w:rPr>
        <w:tab/>
        <w:t>Предложението/инициативата не налага използване на бюджетни кредити за административни разходи</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 xml:space="preserve">2017 </w:t>
            </w:r>
            <w:r>
              <w:rPr>
                <w:rStyle w:val="FootnoteReference"/>
                <w:b/>
                <w:noProof/>
                <w:sz w:val="16"/>
              </w:rPr>
              <w:footnoteReference w:id="18"/>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2018</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pPr>
              <w:spacing w:line="200" w:lineRule="exact"/>
              <w:jc w:val="center"/>
              <w:rPr>
                <w:b/>
                <w:noProof/>
                <w:sz w:val="16"/>
                <w:szCs w:val="16"/>
              </w:rPr>
            </w:pPr>
            <w:r>
              <w:rPr>
                <w:noProof/>
                <w:sz w:val="16"/>
              </w:rPr>
              <w:t>Година</w:t>
            </w:r>
            <w:r>
              <w:rPr>
                <w:noProof/>
                <w:sz w:val="22"/>
              </w:rPr>
              <w:br/>
            </w:r>
            <w:r>
              <w:rPr>
                <w:b/>
                <w:noProof/>
                <w:sz w:val="16"/>
              </w:rPr>
              <w:t>2021</w:t>
            </w:r>
          </w:p>
        </w:tc>
        <w:tc>
          <w:tcPr>
            <w:tcW w:w="1080" w:type="dxa"/>
            <w:vAlign w:val="center"/>
          </w:tcPr>
          <w:p>
            <w:pPr>
              <w:spacing w:line="200" w:lineRule="exact"/>
              <w:jc w:val="center"/>
              <w:rPr>
                <w:b/>
                <w:noProof/>
                <w:sz w:val="16"/>
                <w:szCs w:val="16"/>
              </w:rPr>
            </w:pPr>
            <w:r>
              <w:rPr>
                <w:noProof/>
                <w:sz w:val="16"/>
              </w:rPr>
              <w:t>Година</w:t>
            </w:r>
            <w:r>
              <w:rPr>
                <w:noProof/>
                <w:sz w:val="22"/>
              </w:rPr>
              <w:br/>
            </w:r>
            <w:r>
              <w:rPr>
                <w:b/>
                <w:noProof/>
                <w:sz w:val="16"/>
              </w:rPr>
              <w:t>2022</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0,003</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0,005</w:t>
            </w:r>
          </w:p>
        </w:tc>
        <w:tc>
          <w:tcPr>
            <w:tcW w:w="1080" w:type="dxa"/>
            <w:vAlign w:val="center"/>
          </w:tcPr>
          <w:p>
            <w:pPr>
              <w:spacing w:before="60" w:after="60" w:line="200" w:lineRule="exact"/>
              <w:jc w:val="right"/>
              <w:rPr>
                <w:b/>
                <w:noProof/>
                <w:sz w:val="16"/>
                <w:szCs w:val="16"/>
              </w:rPr>
            </w:pPr>
            <w:r>
              <w:rPr>
                <w:b/>
                <w:noProof/>
                <w:sz w:val="16"/>
              </w:rPr>
              <w:t>0,04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за ФУНКЦИЯ 5от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0,003</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0,008</w:t>
            </w:r>
          </w:p>
        </w:tc>
        <w:tc>
          <w:tcPr>
            <w:tcW w:w="1080" w:type="dxa"/>
            <w:vAlign w:val="center"/>
          </w:tcPr>
          <w:p>
            <w:pPr>
              <w:spacing w:before="60" w:after="60" w:line="200" w:lineRule="exact"/>
              <w:jc w:val="right"/>
              <w:rPr>
                <w:noProof/>
                <w:sz w:val="16"/>
                <w:szCs w:val="16"/>
              </w:rPr>
            </w:pPr>
            <w:r>
              <w:rPr>
                <w:noProof/>
                <w:sz w:val="16"/>
              </w:rPr>
              <w:t>0,005</w:t>
            </w:r>
          </w:p>
        </w:tc>
        <w:tc>
          <w:tcPr>
            <w:tcW w:w="1080" w:type="dxa"/>
            <w:vAlign w:val="center"/>
          </w:tcPr>
          <w:p>
            <w:pPr>
              <w:spacing w:before="60" w:after="60" w:line="200" w:lineRule="exact"/>
              <w:jc w:val="right"/>
              <w:rPr>
                <w:b/>
                <w:noProof/>
                <w:sz w:val="16"/>
                <w:szCs w:val="16"/>
              </w:rPr>
            </w:pPr>
            <w:r>
              <w:rPr>
                <w:b/>
                <w:noProof/>
                <w:sz w:val="16"/>
              </w:rPr>
              <w:t>0,04</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19"/>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center"/>
              <w:rPr>
                <w:b/>
                <w:noProof/>
                <w:sz w:val="16"/>
                <w:szCs w:val="16"/>
              </w:rPr>
            </w:pPr>
            <w:r>
              <w:rPr>
                <w:b/>
                <w:noProof/>
                <w:sz w:val="16"/>
              </w:rPr>
              <w:t>0,024</w:t>
            </w:r>
          </w:p>
        </w:tc>
        <w:tc>
          <w:tcPr>
            <w:tcW w:w="1080" w:type="dxa"/>
            <w:vAlign w:val="center"/>
          </w:tcPr>
          <w:p>
            <w:pPr>
              <w:spacing w:before="60" w:after="60" w:line="200" w:lineRule="exact"/>
              <w:jc w:val="center"/>
              <w:rPr>
                <w:b/>
                <w:noProof/>
                <w:sz w:val="16"/>
                <w:szCs w:val="16"/>
              </w:rPr>
            </w:pPr>
            <w:r>
              <w:rPr>
                <w:b/>
                <w:noProof/>
                <w:sz w:val="16"/>
              </w:rPr>
              <w:t>0,061</w:t>
            </w:r>
          </w:p>
        </w:tc>
        <w:tc>
          <w:tcPr>
            <w:tcW w:w="1080" w:type="dxa"/>
            <w:vAlign w:val="center"/>
          </w:tcPr>
          <w:p>
            <w:pPr>
              <w:spacing w:before="60" w:after="60" w:line="200" w:lineRule="exact"/>
              <w:jc w:val="center"/>
              <w:rPr>
                <w:b/>
                <w:noProof/>
                <w:sz w:val="16"/>
                <w:szCs w:val="16"/>
              </w:rPr>
            </w:pPr>
            <w:r>
              <w:rPr>
                <w:b/>
                <w:noProof/>
                <w:sz w:val="16"/>
              </w:rPr>
              <w:t>0,061</w:t>
            </w:r>
          </w:p>
        </w:tc>
        <w:tc>
          <w:tcPr>
            <w:tcW w:w="1080" w:type="dxa"/>
            <w:vAlign w:val="center"/>
          </w:tcPr>
          <w:p>
            <w:pPr>
              <w:spacing w:before="60" w:after="60" w:line="200" w:lineRule="exact"/>
              <w:jc w:val="center"/>
              <w:rPr>
                <w:b/>
                <w:noProof/>
                <w:sz w:val="16"/>
                <w:szCs w:val="16"/>
              </w:rPr>
            </w:pPr>
            <w:r>
              <w:rPr>
                <w:b/>
                <w:noProof/>
                <w:sz w:val="16"/>
              </w:rPr>
              <w:t>0,061</w:t>
            </w:r>
          </w:p>
        </w:tc>
        <w:tc>
          <w:tcPr>
            <w:tcW w:w="1080" w:type="dxa"/>
            <w:vAlign w:val="center"/>
          </w:tcPr>
          <w:p>
            <w:pPr>
              <w:spacing w:before="60" w:after="60" w:line="200" w:lineRule="exact"/>
              <w:jc w:val="center"/>
              <w:rPr>
                <w:b/>
                <w:noProof/>
                <w:sz w:val="16"/>
                <w:szCs w:val="16"/>
              </w:rPr>
            </w:pPr>
            <w:r>
              <w:rPr>
                <w:b/>
                <w:noProof/>
                <w:sz w:val="16"/>
              </w:rPr>
              <w:t>0,061</w:t>
            </w:r>
          </w:p>
        </w:tc>
        <w:tc>
          <w:tcPr>
            <w:tcW w:w="1080" w:type="dxa"/>
            <w:vAlign w:val="center"/>
          </w:tcPr>
          <w:p>
            <w:pPr>
              <w:spacing w:before="60" w:after="60" w:line="200" w:lineRule="exact"/>
              <w:jc w:val="center"/>
              <w:rPr>
                <w:b/>
                <w:noProof/>
                <w:sz w:val="16"/>
                <w:szCs w:val="16"/>
              </w:rPr>
            </w:pPr>
            <w:r>
              <w:rPr>
                <w:b/>
                <w:noProof/>
                <w:sz w:val="16"/>
              </w:rPr>
              <w:t>0,037</w:t>
            </w:r>
          </w:p>
        </w:tc>
        <w:tc>
          <w:tcPr>
            <w:tcW w:w="1080" w:type="dxa"/>
            <w:vAlign w:val="center"/>
          </w:tcPr>
          <w:p>
            <w:pPr>
              <w:spacing w:before="60" w:after="60" w:line="200" w:lineRule="exact"/>
              <w:jc w:val="right"/>
              <w:rPr>
                <w:b/>
                <w:noProof/>
                <w:sz w:val="16"/>
                <w:szCs w:val="16"/>
              </w:rPr>
            </w:pPr>
            <w:r>
              <w:rPr>
                <w:b/>
                <w:noProof/>
                <w:sz w:val="16"/>
              </w:rPr>
              <w:t>0,305</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 с административен характер</w:t>
            </w: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извън ФУНКЦИЯ 5от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0,027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0,069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16"/>
              </w:rPr>
              <w:t>0,042</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0,345</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Предложението/инициативата не налага използване на човешки ресурси.</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805"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
        <w:gridCol w:w="1952"/>
        <w:gridCol w:w="1955"/>
        <w:gridCol w:w="659"/>
        <w:gridCol w:w="659"/>
        <w:gridCol w:w="1171"/>
        <w:gridCol w:w="768"/>
        <w:gridCol w:w="223"/>
        <w:gridCol w:w="768"/>
        <w:gridCol w:w="764"/>
      </w:tblGrid>
      <w:tr>
        <w:trPr>
          <w:gridBefore w:val="1"/>
          <w:wBefore w:w="4" w:type="pct"/>
          <w:trHeight w:val="289"/>
          <w:jc w:val="center"/>
        </w:trPr>
        <w:tc>
          <w:tcPr>
            <w:tcW w:w="2188" w:type="pct"/>
            <w:gridSpan w:val="2"/>
            <w:shd w:val="clear" w:color="auto" w:fill="auto"/>
          </w:tcPr>
          <w:p>
            <w:pPr>
              <w:pStyle w:val="Text1"/>
              <w:spacing w:before="40" w:after="40"/>
              <w:ind w:left="0"/>
              <w:jc w:val="center"/>
              <w:rPr>
                <w:i/>
                <w:noProof/>
                <w:sz w:val="16"/>
                <w:szCs w:val="16"/>
              </w:rPr>
            </w:pPr>
          </w:p>
        </w:tc>
        <w:tc>
          <w:tcPr>
            <w:tcW w:w="369"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2017</w:t>
            </w:r>
          </w:p>
        </w:tc>
        <w:tc>
          <w:tcPr>
            <w:tcW w:w="369"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2018</w:t>
            </w:r>
          </w:p>
        </w:tc>
        <w:tc>
          <w:tcPr>
            <w:tcW w:w="656" w:type="pct"/>
            <w:shd w:val="clear" w:color="auto" w:fill="auto"/>
            <w:vAlign w:val="center"/>
          </w:tcPr>
          <w:p>
            <w:pPr>
              <w:spacing w:before="20" w:after="20"/>
              <w:jc w:val="center"/>
              <w:rPr>
                <w:noProof/>
                <w:sz w:val="16"/>
                <w:szCs w:val="16"/>
              </w:rPr>
            </w:pPr>
            <w:r>
              <w:rPr>
                <w:noProof/>
                <w:sz w:val="16"/>
              </w:rPr>
              <w:t>Година</w:t>
            </w:r>
          </w:p>
          <w:p>
            <w:pPr>
              <w:spacing w:before="20" w:after="20"/>
              <w:jc w:val="center"/>
              <w:rPr>
                <w:noProof/>
                <w:sz w:val="16"/>
                <w:szCs w:val="16"/>
              </w:rPr>
            </w:pPr>
            <w:r>
              <w:rPr>
                <w:b/>
                <w:noProof/>
                <w:sz w:val="16"/>
              </w:rPr>
              <w:t>2019</w:t>
            </w:r>
          </w:p>
        </w:tc>
        <w:tc>
          <w:tcPr>
            <w:tcW w:w="555" w:type="pct"/>
            <w:gridSpan w:val="2"/>
            <w:shd w:val="clear" w:color="auto" w:fill="auto"/>
            <w:vAlign w:val="center"/>
          </w:tcPr>
          <w:p>
            <w:pPr>
              <w:spacing w:before="20" w:after="20"/>
              <w:jc w:val="center"/>
              <w:rPr>
                <w:noProof/>
                <w:sz w:val="16"/>
                <w:szCs w:val="16"/>
              </w:rPr>
            </w:pPr>
            <w:r>
              <w:rPr>
                <w:noProof/>
                <w:sz w:val="16"/>
              </w:rPr>
              <w:t>Година</w:t>
            </w:r>
          </w:p>
          <w:p>
            <w:pPr>
              <w:spacing w:before="20" w:after="20"/>
              <w:jc w:val="center"/>
              <w:rPr>
                <w:noProof/>
                <w:sz w:val="16"/>
                <w:szCs w:val="16"/>
              </w:rPr>
            </w:pPr>
            <w:r>
              <w:rPr>
                <w:b/>
                <w:noProof/>
                <w:sz w:val="16"/>
              </w:rPr>
              <w:t>2020</w:t>
            </w:r>
          </w:p>
        </w:tc>
        <w:tc>
          <w:tcPr>
            <w:tcW w:w="430" w:type="pct"/>
            <w:shd w:val="clear" w:color="auto" w:fill="auto"/>
            <w:vAlign w:val="center"/>
          </w:tcPr>
          <w:p>
            <w:pPr>
              <w:rPr>
                <w:b/>
                <w:noProof/>
                <w:sz w:val="16"/>
                <w:szCs w:val="16"/>
              </w:rPr>
            </w:pPr>
            <w:r>
              <w:rPr>
                <w:b/>
                <w:noProof/>
                <w:sz w:val="16"/>
              </w:rPr>
              <w:t>Година 2021</w:t>
            </w:r>
          </w:p>
        </w:tc>
        <w:tc>
          <w:tcPr>
            <w:tcW w:w="430" w:type="pct"/>
            <w:vAlign w:val="center"/>
          </w:tcPr>
          <w:p>
            <w:pPr>
              <w:jc w:val="center"/>
              <w:rPr>
                <w:b/>
                <w:noProof/>
                <w:sz w:val="16"/>
                <w:szCs w:val="16"/>
              </w:rPr>
            </w:pPr>
            <w:r>
              <w:rPr>
                <w:b/>
                <w:noProof/>
                <w:sz w:val="16"/>
              </w:rPr>
              <w:t>Година 2022</w:t>
            </w:r>
          </w:p>
        </w:tc>
      </w:tr>
      <w:tr>
        <w:trPr>
          <w:gridBefore w:val="1"/>
          <w:gridAfter w:val="1"/>
          <w:wBefore w:w="4" w:type="pct"/>
          <w:wAfter w:w="430" w:type="pct"/>
          <w:trHeight w:val="289"/>
          <w:jc w:val="center"/>
        </w:trPr>
        <w:tc>
          <w:tcPr>
            <w:tcW w:w="3581"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временно наети лица)</w:t>
            </w:r>
          </w:p>
        </w:tc>
        <w:tc>
          <w:tcPr>
            <w:tcW w:w="555" w:type="pct"/>
            <w:gridSpan w:val="2"/>
            <w:shd w:val="clear" w:color="auto" w:fill="auto"/>
            <w:vAlign w:val="center"/>
          </w:tcPr>
          <w:p>
            <w:pPr>
              <w:spacing w:before="20" w:after="20"/>
              <w:jc w:val="center"/>
              <w:rPr>
                <w:noProof/>
                <w:sz w:val="16"/>
                <w:szCs w:val="16"/>
              </w:rPr>
            </w:pPr>
          </w:p>
        </w:tc>
        <w:tc>
          <w:tcPr>
            <w:tcW w:w="430" w:type="pct"/>
          </w:tcPr>
          <w:p>
            <w:pPr>
              <w:spacing w:before="20" w:after="20"/>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b/>
                <w:noProof/>
                <w:sz w:val="16"/>
                <w:szCs w:val="16"/>
              </w:rPr>
            </w:pPr>
            <w:r>
              <w:rPr>
                <w:b/>
                <w:noProof/>
                <w:sz w:val="16"/>
              </w:rPr>
              <w:t>08 01 05 01 (Непреки научни изследвания)</w:t>
            </w:r>
          </w:p>
        </w:tc>
        <w:tc>
          <w:tcPr>
            <w:tcW w:w="369" w:type="pct"/>
            <w:shd w:val="clear" w:color="auto" w:fill="auto"/>
            <w:vAlign w:val="center"/>
          </w:tcPr>
          <w:p>
            <w:pPr>
              <w:spacing w:beforeLines="20" w:before="48" w:afterLines="20" w:after="48"/>
              <w:jc w:val="center"/>
              <w:rPr>
                <w:b/>
                <w:noProof/>
                <w:sz w:val="16"/>
                <w:szCs w:val="16"/>
              </w:rPr>
            </w:pPr>
            <w:r>
              <w:rPr>
                <w:b/>
                <w:noProof/>
                <w:sz w:val="16"/>
              </w:rPr>
              <w:t>0,2</w:t>
            </w:r>
          </w:p>
        </w:tc>
        <w:tc>
          <w:tcPr>
            <w:tcW w:w="369" w:type="pct"/>
            <w:shd w:val="clear" w:color="auto" w:fill="auto"/>
            <w:vAlign w:val="center"/>
          </w:tcPr>
          <w:p>
            <w:pPr>
              <w:spacing w:beforeLines="20" w:before="48" w:afterLines="20" w:after="48"/>
              <w:jc w:val="center"/>
              <w:rPr>
                <w:b/>
                <w:noProof/>
                <w:sz w:val="16"/>
                <w:szCs w:val="16"/>
              </w:rPr>
            </w:pPr>
            <w:r>
              <w:rPr>
                <w:b/>
                <w:noProof/>
                <w:sz w:val="16"/>
              </w:rPr>
              <w:t>0,5</w:t>
            </w:r>
          </w:p>
        </w:tc>
        <w:tc>
          <w:tcPr>
            <w:tcW w:w="656" w:type="pct"/>
            <w:shd w:val="clear" w:color="auto" w:fill="auto"/>
            <w:vAlign w:val="center"/>
          </w:tcPr>
          <w:p>
            <w:pPr>
              <w:spacing w:beforeLines="20" w:before="48" w:afterLines="20" w:after="48"/>
              <w:jc w:val="center"/>
              <w:rPr>
                <w:b/>
                <w:noProof/>
                <w:sz w:val="16"/>
                <w:szCs w:val="16"/>
              </w:rPr>
            </w:pPr>
            <w:r>
              <w:rPr>
                <w:b/>
                <w:noProof/>
                <w:sz w:val="16"/>
              </w:rPr>
              <w:t>0,5</w:t>
            </w:r>
          </w:p>
        </w:tc>
        <w:tc>
          <w:tcPr>
            <w:tcW w:w="555" w:type="pct"/>
            <w:gridSpan w:val="2"/>
            <w:shd w:val="clear" w:color="auto" w:fill="auto"/>
            <w:vAlign w:val="center"/>
          </w:tcPr>
          <w:p>
            <w:pPr>
              <w:spacing w:beforeLines="20" w:before="48" w:afterLines="20" w:after="48"/>
              <w:jc w:val="center"/>
              <w:rPr>
                <w:b/>
                <w:noProof/>
                <w:sz w:val="16"/>
                <w:szCs w:val="16"/>
              </w:rPr>
            </w:pPr>
            <w:r>
              <w:rPr>
                <w:b/>
                <w:noProof/>
                <w:sz w:val="16"/>
              </w:rPr>
              <w:t>0,5</w:t>
            </w:r>
          </w:p>
        </w:tc>
        <w:tc>
          <w:tcPr>
            <w:tcW w:w="430" w:type="pct"/>
            <w:shd w:val="clear" w:color="auto" w:fill="auto"/>
            <w:vAlign w:val="center"/>
          </w:tcPr>
          <w:p>
            <w:pPr>
              <w:spacing w:beforeLines="20" w:before="48" w:afterLines="20" w:after="48"/>
              <w:jc w:val="center"/>
              <w:rPr>
                <w:b/>
                <w:noProof/>
                <w:sz w:val="16"/>
                <w:szCs w:val="16"/>
              </w:rPr>
            </w:pPr>
            <w:r>
              <w:rPr>
                <w:b/>
                <w:noProof/>
                <w:sz w:val="16"/>
              </w:rPr>
              <w:t>0,5</w:t>
            </w:r>
          </w:p>
        </w:tc>
        <w:tc>
          <w:tcPr>
            <w:tcW w:w="430" w:type="pct"/>
          </w:tcPr>
          <w:p>
            <w:pPr>
              <w:spacing w:beforeLines="20" w:before="48" w:afterLines="20" w:after="48"/>
              <w:jc w:val="center"/>
              <w:rPr>
                <w:b/>
                <w:noProof/>
                <w:sz w:val="16"/>
                <w:szCs w:val="16"/>
              </w:rPr>
            </w:pPr>
            <w:r>
              <w:rPr>
                <w:b/>
                <w:noProof/>
                <w:sz w:val="16"/>
              </w:rPr>
              <w:t>0,3</w:t>
            </w: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After w:val="3"/>
          <w:wAfter w:w="985" w:type="pct"/>
          <w:trHeight w:val="248"/>
          <w:jc w:val="center"/>
        </w:trPr>
        <w:tc>
          <w:tcPr>
            <w:tcW w:w="3585"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 xml:space="preserve"> </w:t>
            </w:r>
            <w:r>
              <w:rPr>
                <w:b/>
                <w:noProof/>
                <w:sz w:val="16"/>
              </w:rPr>
              <w:t>Външен персонал (в еквивалент на пълно работно време — ЕПРВ)</w:t>
            </w:r>
            <w:r>
              <w:rPr>
                <w:rStyle w:val="FootnoteReference"/>
                <w:b/>
                <w:noProof/>
                <w:sz w:val="16"/>
              </w:rPr>
              <w:footnoteReference w:id="20"/>
            </w:r>
          </w:p>
          <w:p>
            <w:pPr>
              <w:pStyle w:val="Text1"/>
              <w:spacing w:before="0" w:after="0"/>
              <w:ind w:left="0"/>
              <w:jc w:val="left"/>
              <w:rPr>
                <w:noProof/>
                <w:sz w:val="16"/>
                <w:szCs w:val="16"/>
              </w:rPr>
            </w:pPr>
          </w:p>
        </w:tc>
        <w:tc>
          <w:tcPr>
            <w:tcW w:w="430" w:type="pct"/>
          </w:tcPr>
          <w:p>
            <w:pPr>
              <w:pStyle w:val="Text1"/>
              <w:spacing w:before="60" w:after="60"/>
              <w:ind w:left="0"/>
              <w:jc w:val="left"/>
              <w:rPr>
                <w:b/>
                <w:noProof/>
                <w:sz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1094"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1"/>
            </w:r>
          </w:p>
          <w:p>
            <w:pPr>
              <w:pStyle w:val="Text1"/>
              <w:spacing w:beforeLines="20" w:before="48" w:afterLines="20" w:after="48"/>
              <w:ind w:left="136"/>
              <w:jc w:val="left"/>
              <w:rPr>
                <w:b/>
                <w:noProof/>
                <w:sz w:val="16"/>
                <w:szCs w:val="16"/>
              </w:rPr>
            </w:pPr>
          </w:p>
        </w:tc>
        <w:tc>
          <w:tcPr>
            <w:tcW w:w="1095"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69" w:type="pct"/>
            <w:shd w:val="clear" w:color="auto" w:fill="auto"/>
            <w:vAlign w:val="center"/>
          </w:tcPr>
          <w:p>
            <w:pPr>
              <w:pStyle w:val="Text1"/>
              <w:spacing w:beforeLines="20" w:before="48" w:afterLines="20" w:after="48"/>
              <w:ind w:left="0"/>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1094" w:type="pct"/>
            <w:vMerge/>
            <w:shd w:val="clear" w:color="auto" w:fill="auto"/>
            <w:vAlign w:val="center"/>
          </w:tcPr>
          <w:p>
            <w:pPr>
              <w:pStyle w:val="Text1"/>
              <w:spacing w:beforeLines="20" w:before="48" w:afterLines="20" w:after="48"/>
              <w:ind w:left="136"/>
              <w:jc w:val="left"/>
              <w:rPr>
                <w:b/>
                <w:noProof/>
                <w:sz w:val="16"/>
                <w:szCs w:val="16"/>
              </w:rPr>
            </w:pPr>
          </w:p>
        </w:tc>
        <w:tc>
          <w:tcPr>
            <w:tcW w:w="1095"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69" w:type="pct"/>
            <w:shd w:val="clear" w:color="auto" w:fill="auto"/>
            <w:vAlign w:val="center"/>
          </w:tcPr>
          <w:p>
            <w:pPr>
              <w:pStyle w:val="Text1"/>
              <w:spacing w:beforeLines="20" w:before="48" w:afterLines="20" w:after="48"/>
              <w:ind w:left="0"/>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69" w:type="pct"/>
            <w:shd w:val="clear" w:color="auto" w:fill="auto"/>
            <w:vAlign w:val="center"/>
          </w:tcPr>
          <w:p>
            <w:pPr>
              <w:spacing w:beforeLines="20" w:before="48" w:afterLines="20" w:after="48"/>
              <w:jc w:val="center"/>
              <w:rPr>
                <w:noProof/>
                <w:sz w:val="16"/>
                <w:szCs w:val="16"/>
              </w:rPr>
            </w:pPr>
          </w:p>
        </w:tc>
        <w:tc>
          <w:tcPr>
            <w:tcW w:w="369" w:type="pct"/>
            <w:shd w:val="clear" w:color="auto" w:fill="auto"/>
            <w:vAlign w:val="center"/>
          </w:tcPr>
          <w:p>
            <w:pPr>
              <w:spacing w:beforeLines="20" w:before="48" w:afterLines="20" w:after="48"/>
              <w:jc w:val="center"/>
              <w:rPr>
                <w:noProof/>
                <w:sz w:val="16"/>
                <w:szCs w:val="16"/>
              </w:rPr>
            </w:pPr>
          </w:p>
        </w:tc>
        <w:tc>
          <w:tcPr>
            <w:tcW w:w="656" w:type="pct"/>
            <w:shd w:val="clear" w:color="auto" w:fill="auto"/>
            <w:vAlign w:val="center"/>
          </w:tcPr>
          <w:p>
            <w:pPr>
              <w:spacing w:beforeLines="20" w:before="48" w:afterLines="20" w:after="48"/>
              <w:jc w:val="center"/>
              <w:rPr>
                <w:noProof/>
                <w:sz w:val="16"/>
                <w:szCs w:val="16"/>
              </w:rPr>
            </w:pPr>
          </w:p>
        </w:tc>
        <w:tc>
          <w:tcPr>
            <w:tcW w:w="555" w:type="pct"/>
            <w:gridSpan w:val="2"/>
            <w:shd w:val="clear" w:color="auto" w:fill="auto"/>
            <w:vAlign w:val="center"/>
          </w:tcPr>
          <w:p>
            <w:pPr>
              <w:spacing w:beforeLines="20" w:before="48" w:afterLines="20" w:after="48"/>
              <w:jc w:val="center"/>
              <w:rPr>
                <w:noProof/>
                <w:sz w:val="16"/>
                <w:szCs w:val="16"/>
              </w:rPr>
            </w:pPr>
          </w:p>
        </w:tc>
        <w:tc>
          <w:tcPr>
            <w:tcW w:w="430" w:type="pct"/>
            <w:shd w:val="clear" w:color="auto" w:fill="auto"/>
            <w:vAlign w:val="center"/>
          </w:tcPr>
          <w:p>
            <w:pPr>
              <w:spacing w:beforeLines="20" w:before="48" w:afterLines="20" w:after="48"/>
              <w:jc w:val="center"/>
              <w:rPr>
                <w:noProof/>
                <w:sz w:val="16"/>
                <w:szCs w:val="16"/>
              </w:rPr>
            </w:pPr>
          </w:p>
        </w:tc>
        <w:tc>
          <w:tcPr>
            <w:tcW w:w="430" w:type="pct"/>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5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55"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30" w:type="pct"/>
            <w:tcBorders>
              <w:bottom w:val="double" w:sz="4" w:space="0" w:color="auto"/>
            </w:tcBorders>
          </w:tcPr>
          <w:p>
            <w:pPr>
              <w:spacing w:beforeLines="20" w:before="48" w:afterLines="20" w:after="48"/>
              <w:jc w:val="center"/>
              <w:rPr>
                <w:noProof/>
                <w:sz w:val="16"/>
                <w:szCs w:val="16"/>
              </w:rPr>
            </w:pPr>
          </w:p>
        </w:tc>
      </w:tr>
      <w:tr>
        <w:trPr>
          <w:gridBefore w:val="1"/>
          <w:wBefore w:w="4" w:type="pct"/>
          <w:trHeight w:val="289"/>
          <w:jc w:val="center"/>
        </w:trPr>
        <w:tc>
          <w:tcPr>
            <w:tcW w:w="2188"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6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0,2</w:t>
            </w:r>
          </w:p>
        </w:tc>
        <w:tc>
          <w:tcPr>
            <w:tcW w:w="36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65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555"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43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w:t>
            </w:r>
          </w:p>
        </w:tc>
        <w:tc>
          <w:tcPr>
            <w:tcW w:w="430" w:type="pct"/>
            <w:tcBorders>
              <w:top w:val="double" w:sz="4" w:space="0" w:color="auto"/>
            </w:tcBorders>
          </w:tcPr>
          <w:p>
            <w:pPr>
              <w:spacing w:beforeLines="20" w:before="48" w:afterLines="20" w:after="48"/>
              <w:jc w:val="center"/>
              <w:rPr>
                <w:b/>
                <w:noProof/>
                <w:sz w:val="16"/>
                <w:szCs w:val="16"/>
              </w:rPr>
            </w:pPr>
            <w:r>
              <w:rPr>
                <w:b/>
                <w:noProof/>
                <w:sz w:val="16"/>
              </w:rPr>
              <w:t>0,3</w:t>
            </w:r>
          </w:p>
        </w:tc>
      </w:tr>
    </w:tbl>
    <w:p>
      <w:pPr>
        <w:pStyle w:val="Text1"/>
        <w:spacing w:before="60" w:after="60"/>
        <w:ind w:left="851"/>
        <w:rPr>
          <w:noProof/>
          <w:sz w:val="18"/>
          <w:szCs w:val="18"/>
        </w:rPr>
      </w:pPr>
      <w:r>
        <w:rPr>
          <w:b/>
          <w:noProof/>
          <w:sz w:val="18"/>
        </w:rPr>
        <w:t>XX</w:t>
      </w:r>
      <w:r>
        <w:rPr>
          <w:noProof/>
        </w:rPr>
        <w:t xml:space="preserve"> </w:t>
      </w:r>
      <w:r>
        <w:rPr>
          <w:noProof/>
          <w:sz w:val="18"/>
        </w:rPr>
        <w:t>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лица</w:t>
            </w:r>
          </w:p>
        </w:tc>
        <w:tc>
          <w:tcPr>
            <w:tcW w:w="7200" w:type="dxa"/>
          </w:tcPr>
          <w:p>
            <w:pPr>
              <w:rPr>
                <w:noProof/>
                <w:sz w:val="20"/>
              </w:rPr>
            </w:pPr>
            <w:r>
              <w:rPr>
                <w:noProof/>
                <w:sz w:val="20"/>
              </w:rPr>
              <w:t>Подготовка и ръководене на заседанията на Съвместния комитет, предвиден в член VI от Споразумението, както и проследяването на функционирането и изпълнението на Споразумението.</w:t>
            </w:r>
          </w:p>
          <w:p>
            <w:pPr>
              <w:rPr>
                <w:noProof/>
                <w:sz w:val="20"/>
              </w:rPr>
            </w:pPr>
            <w:r>
              <w:rPr>
                <w:noProof/>
                <w:sz w:val="20"/>
              </w:rPr>
              <w:t>Изчисленията се извършват пропорционалнона продължителността на Споразумението.</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Съвместимост с настоящата многогодишна финансова рамка</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Участие на трети страни във финансирането</w:t>
      </w:r>
    </w:p>
    <w:p>
      <w:pPr>
        <w:pStyle w:val="ListDash1"/>
        <w:rPr>
          <w:noProof/>
        </w:rPr>
      </w:pPr>
      <w:r>
        <w:rPr>
          <w:noProof/>
        </w:rPr>
        <w:sym w:font="Wingdings" w:char="F0FE"/>
      </w:r>
      <w:r>
        <w:rPr>
          <w:noProof/>
        </w:rPr>
        <w:tab/>
        <w:t>Предложението/инициативата не предвижда съфинансиране от трети страни.</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Очаквано отражение върху приходите</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върху собствените ресурси</w:t>
      </w:r>
    </w:p>
    <w:p>
      <w:pPr>
        <w:pStyle w:val="ListNumberLevel3"/>
        <w:rPr>
          <w:noProof/>
        </w:rPr>
      </w:pPr>
      <w:r>
        <w:rPr>
          <w:noProof/>
        </w:rPr>
        <w:sym w:font="Wingdings" w:char="F0A8"/>
      </w:r>
      <w:r>
        <w:rPr>
          <w:noProof/>
        </w:rPr>
        <w:tab/>
        <w:t>върху разните приходи</w:t>
      </w:r>
    </w:p>
    <w:p>
      <w:pPr>
        <w:jc w:val="right"/>
        <w:rPr>
          <w:i/>
          <w:noProof/>
          <w:sz w:val="20"/>
        </w:rPr>
      </w:pPr>
      <w:r>
        <w:rPr>
          <w:noProof/>
        </w:rPr>
        <w:t>млн. EUR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бюджетна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295, 11.11.2005 г., стр. 38.</w:t>
      </w:r>
    </w:p>
  </w:footnote>
  <w:footnote w:id="2">
    <w:p>
      <w:pPr>
        <w:pStyle w:val="FootnoteText"/>
      </w:pPr>
      <w:r>
        <w:rPr>
          <w:rStyle w:val="FootnoteReference"/>
        </w:rPr>
        <w:footnoteRef/>
      </w:r>
      <w:r>
        <w:tab/>
        <w:t>Решение 2012/646/ЕС на Съвета от 10 октомври 2012 г. относно подновяването на Споразумението за научно и технологично сътрудничество между Европейската общност и Федеративна република Бразилия (ОВ L 287, 18.10.2012 г., стр. 4).</w:t>
      </w:r>
    </w:p>
  </w:footnote>
  <w:footnote w:id="3">
    <w:p>
      <w:pPr>
        <w:pStyle w:val="FootnoteText"/>
      </w:pPr>
      <w:r>
        <w:rPr>
          <w:rStyle w:val="FootnoteReference"/>
        </w:rPr>
        <w:footnoteRef/>
      </w:r>
      <w:r>
        <w:tab/>
      </w:r>
      <w:hyperlink r:id="rId1" w:anchor="view=fit&amp;amp;pagemode=none" w:tooltip="Document opens in new window">
        <w:r>
          <w:rPr>
            <w:rStyle w:val="Hyperlink"/>
            <w:i/>
            <w:color w:val="auto"/>
            <w:u w:val="none"/>
            <w:bdr w:val="none" w:sz="0" w:space="0" w:color="auto" w:frame="1"/>
            <w:shd w:val="clear" w:color="auto" w:fill="FFFFFF"/>
          </w:rPr>
          <w:t>Подобряване и фокусиране на международното сътрудничество на ЕС в областта на научните изследвания и иновациите — стратегически подход</w:t>
        </w:r>
      </w:hyperlink>
      <w:r>
        <w:rPr>
          <w:rStyle w:val="Hyperlink"/>
          <w:color w:val="auto"/>
          <w:u w:val="none"/>
          <w:bdr w:val="none" w:sz="0" w:space="0" w:color="auto" w:frame="1"/>
          <w:shd w:val="clear" w:color="auto" w:fill="FFFFFF"/>
        </w:rPr>
        <w:t>,</w:t>
      </w:r>
      <w:r>
        <w:t xml:space="preserve"> </w:t>
      </w:r>
      <w:r>
        <w:rPr>
          <w:color w:val="333333"/>
          <w:shd w:val="clear" w:color="auto" w:fill="FFFFFF"/>
        </w:rPr>
        <w:t>(COM(2012) 497).</w:t>
      </w:r>
    </w:p>
  </w:footnote>
  <w:footnote w:id="4">
    <w:p>
      <w:pPr>
        <w:pStyle w:val="FootnoteText"/>
      </w:pPr>
      <w:r>
        <w:rPr>
          <w:rStyle w:val="FootnoteReference"/>
        </w:rPr>
        <w:footnoteRef/>
      </w:r>
      <w:r>
        <w:tab/>
        <w:t>Решение 2005/781/ЕО на Съвета от 6 юни 2005 г. за сключване на Споразумение за научно и технологично сътрудничество между Европейската общност и Федеративна република Бразилия (ОВ L 295, 11.11.2005 г., стр. 37).</w:t>
      </w:r>
    </w:p>
  </w:footnote>
  <w:footnote w:id="5">
    <w:p>
      <w:pPr>
        <w:pStyle w:val="FootnoteText"/>
      </w:pPr>
      <w:r>
        <w:rPr>
          <w:rStyle w:val="FootnoteReference"/>
        </w:rPr>
        <w:footnoteRef/>
      </w:r>
      <w:r>
        <w:tab/>
        <w:t>Решение 2012/646/ЕС на Съвета от 10 октомври 2012 г. относно подновяването на Споразумението за научно и технологично сътрудничество между Европейската общност и Федеративна република Бразилия (ОВ L 287, 18.10.2012 г., стр. 4).</w:t>
      </w:r>
    </w:p>
  </w:footnote>
  <w:footnote w:id="6">
    <w:p>
      <w:pPr>
        <w:pStyle w:val="FootnoteText"/>
        <w:rPr>
          <w:rStyle w:val="Hyperlink"/>
          <w:color w:val="auto"/>
          <w:u w:val="none"/>
          <w:bdr w:val="none" w:sz="0" w:space="0" w:color="auto" w:frame="1"/>
          <w:shd w:val="clear" w:color="auto" w:fill="FFFFFF"/>
        </w:rPr>
      </w:pPr>
      <w:r>
        <w:rPr>
          <w:rStyle w:val="FootnoteReference"/>
        </w:rPr>
        <w:footnoteRef/>
      </w:r>
      <w:r>
        <w:tab/>
      </w:r>
      <w:r>
        <w:rPr>
          <w:rStyle w:val="Hyperlink"/>
          <w:color w:val="auto"/>
          <w:u w:val="none"/>
          <w:bdr w:val="none" w:sz="0" w:space="0" w:color="auto" w:frame="1"/>
          <w:shd w:val="clear" w:color="auto" w:fill="FFFFFF"/>
        </w:rPr>
        <w:t>УД: управление по дейности; БД: бюджетиране по дейности.</w:t>
      </w:r>
    </w:p>
  </w:footnote>
  <w:footnote w:id="7">
    <w:p>
      <w:pPr>
        <w:pStyle w:val="FootnoteText"/>
        <w:rPr>
          <w:rStyle w:val="Hyperlink"/>
          <w:color w:val="auto"/>
          <w:u w:val="none"/>
          <w:bdr w:val="none" w:sz="0" w:space="0" w:color="auto" w:frame="1"/>
          <w:shd w:val="clear" w:color="auto" w:fill="FFFFFF"/>
        </w:rPr>
      </w:pPr>
      <w:r>
        <w:rPr>
          <w:rStyle w:val="FootnoteReference"/>
        </w:rPr>
        <w:footnoteRef/>
      </w:r>
      <w:r>
        <w:tab/>
      </w:r>
      <w:r>
        <w:rPr>
          <w:rStyle w:val="Hyperlink"/>
          <w:color w:val="auto"/>
          <w:u w:val="none"/>
          <w:bdr w:val="none" w:sz="0" w:space="0" w:color="auto" w:frame="1"/>
          <w:shd w:val="clear" w:color="auto" w:fill="FFFFFF"/>
        </w:rPr>
        <w:t>Съгласно член 54, параграф 2, буква а) или б) от Финансовия регламент.</w:t>
      </w:r>
    </w:p>
  </w:footnote>
  <w:footnote w:id="8">
    <w:p>
      <w:pPr>
        <w:pStyle w:val="FootnoteText"/>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rPr>
          <w:t>http://www.cc.cec/budg/man/budgmanag/budgmanag_bg.html</w:t>
        </w:r>
      </w:hyperlink>
    </w:p>
  </w:footnote>
  <w:footnote w:id="9">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0">
    <w:p>
      <w:pPr>
        <w:pStyle w:val="FootnoteText"/>
        <w:rPr>
          <w:szCs w:val="24"/>
        </w:rPr>
      </w:pPr>
      <w:r>
        <w:rPr>
          <w:rStyle w:val="FootnoteReference"/>
        </w:rPr>
        <w:footnoteRef/>
      </w:r>
      <w:r>
        <w:tab/>
        <w:t>ЕАСТ: Европейска асоциация за свободна търговия.</w:t>
      </w:r>
    </w:p>
  </w:footnote>
  <w:footnote w:id="11">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2">
    <w:p>
      <w:pPr>
        <w:pStyle w:val="FootnoteText"/>
        <w:rPr>
          <w:szCs w:val="24"/>
        </w:rPr>
      </w:pPr>
      <w:r>
        <w:rPr>
          <w:rStyle w:val="FootnoteReference"/>
        </w:rPr>
        <w:footnoteRef/>
      </w:r>
      <w:r>
        <w:tab/>
        <w:t>2017 година е годината, през която започва да се осъществява предложението/инициативата.</w:t>
      </w:r>
    </w:p>
  </w:footnote>
  <w:footnote w:id="1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4">
    <w:p>
      <w:pPr>
        <w:pStyle w:val="FootnoteText"/>
      </w:pPr>
      <w:r>
        <w:rPr>
          <w:rStyle w:val="FootnoteReference"/>
        </w:rPr>
        <w:footnoteRef/>
      </w:r>
      <w:r>
        <w:tab/>
        <w:t>2017 година е годината, през която започва да се осъществява предложението/инициативата.</w:t>
      </w:r>
    </w:p>
  </w:footnote>
  <w:footnote w:id="15">
    <w:p>
      <w:pPr>
        <w:pStyle w:val="FootnoteText"/>
        <w:rPr>
          <w:szCs w:val="24"/>
        </w:rPr>
      </w:pPr>
      <w:r>
        <w:rPr>
          <w:rStyle w:val="FootnoteReference"/>
        </w:rPr>
        <w:footnoteRef/>
      </w:r>
      <w:r>
        <w:tab/>
        <w:t>2017 година е годината, през която започва да се осъществява предложението/инициативата.</w:t>
      </w:r>
    </w:p>
  </w:footnote>
  <w:footnote w:id="16">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студенти, дължина на построените пътища в километри и т.н.).</w:t>
      </w:r>
    </w:p>
  </w:footnote>
  <w:footnote w:id="17">
    <w:p>
      <w:pPr>
        <w:pStyle w:val="FootnoteText"/>
        <w:rPr>
          <w:szCs w:val="24"/>
        </w:rPr>
      </w:pPr>
      <w:r>
        <w:rPr>
          <w:rStyle w:val="FootnoteReference"/>
        </w:rPr>
        <w:footnoteRef/>
      </w:r>
      <w:r>
        <w:tab/>
        <w:t>Съгласно описанието в точка 1.4.2. „Конкретни цели…“.</w:t>
      </w:r>
    </w:p>
  </w:footnote>
  <w:footnote w:id="18">
    <w:p>
      <w:pPr>
        <w:pStyle w:val="FootnoteText"/>
        <w:rPr>
          <w:szCs w:val="24"/>
        </w:rPr>
      </w:pPr>
      <w:r>
        <w:rPr>
          <w:rStyle w:val="FootnoteReference"/>
        </w:rPr>
        <w:footnoteRef/>
      </w:r>
      <w:r>
        <w:tab/>
        <w:t>2017 година е годината, през която започва да се осъществява предложението/инициативата.</w:t>
      </w:r>
    </w:p>
  </w:footnote>
  <w:footnote w:id="1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0">
    <w:p>
      <w:pPr>
        <w:pStyle w:val="FootnoteText"/>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21">
    <w:p>
      <w:pPr>
        <w:pStyle w:val="FootnoteText"/>
        <w:rPr>
          <w:szCs w:val="24"/>
        </w:rPr>
      </w:pPr>
      <w:r>
        <w:rPr>
          <w:rStyle w:val="FootnoteReference"/>
        </w:rPr>
        <w:footnoteRef/>
      </w:r>
      <w:r>
        <w:tab/>
        <w:t>Подтаван за външния персонал от бюджетните кредити за оперативни разходи (предишни редове „BA“).</w:t>
      </w:r>
    </w:p>
  </w:footnote>
  <w:footnote w:id="2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D0CD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4AF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B26C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28AA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B8451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5 11:54: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1F35F6D2C194DE8B818D2D3960BD429"/>
    <w:docVar w:name="LW_CROSSREFERENCE" w:val="&lt;UNUSED&gt;"/>
    <w:docVar w:name="LW_DocType" w:val="COM"/>
    <w:docVar w:name="LW_EMISSION" w:val="22.6.2017"/>
    <w:docVar w:name="LW_EMISSION_ISODATE" w:val="2017-06-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9"/>
    <w:docVar w:name="LW_REF.II.NEW.CP_YEAR" w:val="2017"/>
    <w:docVar w:name="LW_REF.INST.NEW" w:val="COM"/>
    <w:docVar w:name="LW_REF.INST.NEW_ADOPTED" w:val="final"/>
    <w:docVar w:name="LW_REF.INST.NEW_TEXT" w:val="(2017) 33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6?\u1085?\u1086?\u1074?\u1103?\u1074?\u1072?\u1085?\u1077?\u1090?\u1086? \u1085?\u1072? \u1057?\u1087?\u1086?\u1088?\u1072?\u1079?\u1091?\u1084?\u1077?\u1085?\u1080?\u1077?\u1090?\u1086? \u1079?\u1072? \u1085?\u1072?\u1091?\u1095?\u1085?\u1086? \u1080? \u1090?\u1077?\u1093?\u1085?\u1086?\u1083?\u1086?\u1075?\u1080?\u1095?\u1085?\u1086? \u1089?\u1098?\u1090?\u1088?\u1091?\u1076?\u1085?\u1080?\u1095?\u1077?\u1089?\u1090?\u1074?\u1086? \u1084?\u1077?\u1078?\u1076?\u1091? \u1045?\u1074?\u1088?\u1086?\u1087?\u1077?\u1081?\u1089?\u1082?\u1072?\u1090?\u1072? \u1086?\u1073?\u1097?\u1085?\u1086?\u1089?\u1090? \u1080? \u1060?\u1077?\u1076?\u1077?\u1088?\u1072?\u1090?\u1080?\u1074?\u1085?\u1072? \u1088?\u1077?\u1087?\u1091?\u1073?\u1083?\u1080?\u1082?\u1072? \u1041?\u1088?\u1072?\u1079?\u1080?\u1083?\u1080?\u1103?  _x000b_"/>
    <w:docVar w:name="LW_TYPE.DOC.CP" w:val="\u1056?\u1045?\u1064?\u1045?\u1053?\u1048?\u1045? \u1053?\u1040? \u1057?\u1066?\u1042?\u1045?\u1058?\u1040?"/>
    <w:docVar w:name="Stamp" w:val="\\dossiers.dgt.cec.eu.int\dossiers\RTD\RTD-2017-00013\RTD-2017-00013-00-00-EN-REV-00.20170421112901676789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83367">
      <w:bodyDiv w:val="1"/>
      <w:marLeft w:val="0"/>
      <w:marRight w:val="0"/>
      <w:marTop w:val="0"/>
      <w:marBottom w:val="0"/>
      <w:divBdr>
        <w:top w:val="none" w:sz="0" w:space="0" w:color="auto"/>
        <w:left w:val="none" w:sz="0" w:space="0" w:color="auto"/>
        <w:bottom w:val="none" w:sz="0" w:space="0" w:color="auto"/>
        <w:right w:val="none" w:sz="0" w:space="0" w:color="auto"/>
      </w:divBdr>
    </w:div>
    <w:div w:id="1928032549">
      <w:bodyDiv w:val="1"/>
      <w:marLeft w:val="0"/>
      <w:marRight w:val="0"/>
      <w:marTop w:val="0"/>
      <w:marBottom w:val="0"/>
      <w:divBdr>
        <w:top w:val="none" w:sz="0" w:space="0" w:color="auto"/>
        <w:left w:val="none" w:sz="0" w:space="0" w:color="auto"/>
        <w:bottom w:val="none" w:sz="0" w:space="0" w:color="auto"/>
        <w:right w:val="none" w:sz="0" w:space="0" w:color="auto"/>
      </w:divBdr>
      <w:divsChild>
        <w:div w:id="1355228062">
          <w:marLeft w:val="0"/>
          <w:marRight w:val="0"/>
          <w:marTop w:val="0"/>
          <w:marBottom w:val="0"/>
          <w:divBdr>
            <w:top w:val="none" w:sz="0" w:space="0" w:color="auto"/>
            <w:left w:val="none" w:sz="0" w:space="0" w:color="auto"/>
            <w:bottom w:val="none" w:sz="0" w:space="0" w:color="auto"/>
            <w:right w:val="none" w:sz="0" w:space="0" w:color="auto"/>
          </w:divBdr>
          <w:divsChild>
            <w:div w:id="2059435316">
              <w:marLeft w:val="0"/>
              <w:marRight w:val="0"/>
              <w:marTop w:val="0"/>
              <w:marBottom w:val="0"/>
              <w:divBdr>
                <w:top w:val="none" w:sz="0" w:space="0" w:color="auto"/>
                <w:left w:val="none" w:sz="0" w:space="0" w:color="auto"/>
                <w:bottom w:val="none" w:sz="0" w:space="0" w:color="auto"/>
                <w:right w:val="none" w:sz="0" w:space="0" w:color="auto"/>
              </w:divBdr>
              <w:divsChild>
                <w:div w:id="166287086">
                  <w:marLeft w:val="0"/>
                  <w:marRight w:val="0"/>
                  <w:marTop w:val="0"/>
                  <w:marBottom w:val="0"/>
                  <w:divBdr>
                    <w:top w:val="none" w:sz="0" w:space="0" w:color="auto"/>
                    <w:left w:val="none" w:sz="0" w:space="0" w:color="auto"/>
                    <w:bottom w:val="none" w:sz="0" w:space="0" w:color="auto"/>
                    <w:right w:val="none" w:sz="0" w:space="0" w:color="auto"/>
                  </w:divBdr>
                  <w:divsChild>
                    <w:div w:id="1665628135">
                      <w:marLeft w:val="1"/>
                      <w:marRight w:val="1"/>
                      <w:marTop w:val="0"/>
                      <w:marBottom w:val="0"/>
                      <w:divBdr>
                        <w:top w:val="none" w:sz="0" w:space="0" w:color="auto"/>
                        <w:left w:val="none" w:sz="0" w:space="0" w:color="auto"/>
                        <w:bottom w:val="none" w:sz="0" w:space="0" w:color="auto"/>
                        <w:right w:val="none" w:sz="0" w:space="0" w:color="auto"/>
                      </w:divBdr>
                      <w:divsChild>
                        <w:div w:id="759525009">
                          <w:marLeft w:val="0"/>
                          <w:marRight w:val="0"/>
                          <w:marTop w:val="0"/>
                          <w:marBottom w:val="240"/>
                          <w:divBdr>
                            <w:top w:val="single" w:sz="6" w:space="2" w:color="BBBBBB"/>
                            <w:left w:val="single" w:sz="6" w:space="4" w:color="BBBBBB"/>
                            <w:bottom w:val="single" w:sz="6" w:space="2" w:color="BBBBBB"/>
                            <w:right w:val="single" w:sz="6" w:space="4" w:color="BBBBBB"/>
                          </w:divBdr>
                          <w:divsChild>
                            <w:div w:id="1587884040">
                              <w:marLeft w:val="0"/>
                              <w:marRight w:val="0"/>
                              <w:marTop w:val="144"/>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bg.html" TargetMode="External"/><Relationship Id="rId1" Type="http://schemas.openxmlformats.org/officeDocument/2006/relationships/hyperlink" Target="http://ec.europa.eu/research/iscp/pdf/policy/com_2012_497_communication_from_commission_to_inst_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AC8F-A258-4AE0-988B-066A08DE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24</Pages>
  <Words>4156</Words>
  <Characters>25275</Characters>
  <Application>Microsoft Office Word</Application>
  <DocSecurity>0</DocSecurity>
  <Lines>1486</Lines>
  <Paragraphs>626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2017-05-18T10:37:00Z</cp:lastPrinted>
  <dcterms:created xsi:type="dcterms:W3CDTF">2017-06-14T15:11:00Z</dcterms:created>
  <dcterms:modified xsi:type="dcterms:W3CDTF">2017-06-15T09:54:00Z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