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59FB5A9FFB405193880FB412073EE8" style="width:450.8pt;height:365.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Agreement for scientific and technological cooperation between the European Community and the Federative Republic of Brazil</w:t>
      </w:r>
      <w:r>
        <w:rPr>
          <w:rStyle w:val="FootnoteReference"/>
          <w:noProof/>
        </w:rPr>
        <w:footnoteReference w:id="1"/>
      </w:r>
      <w:r>
        <w:rPr>
          <w:noProof/>
        </w:rPr>
        <w:t xml:space="preserve"> (‘the Agreement’) entered into force on 7 August 2007. Article XII(2) of the Agreement provides that it ‘shall initially be valid for a period of five years and may be renewed by agreement between the Parties after evaluation during the penultimate year of each subsequent renewal period’. The Agreement was last renewed in 2012 and remains in force until 7 August 2017, unless the Parties renew it for the next five-year period.</w:t>
      </w:r>
    </w:p>
    <w:p>
      <w:pPr>
        <w:pBdr>
          <w:top w:val="nil"/>
          <w:left w:val="nil"/>
          <w:bottom w:val="nil"/>
          <w:right w:val="nil"/>
          <w:between w:val="nil"/>
          <w:bar w:val="nil"/>
        </w:pBdr>
        <w:spacing w:before="0" w:after="240"/>
        <w:rPr>
          <w:noProof/>
        </w:rPr>
      </w:pPr>
      <w:r>
        <w:rPr>
          <w:noProof/>
        </w:rPr>
        <w:t>Since the Agreement was last renewed (Decision 2012/646/EU</w:t>
      </w:r>
      <w:r>
        <w:rPr>
          <w:rStyle w:val="FootnoteReference"/>
          <w:noProof/>
        </w:rPr>
        <w:footnoteReference w:id="2"/>
      </w:r>
      <w:r>
        <w:rPr>
          <w:noProof/>
        </w:rPr>
        <w:t>), Brazil has made significant advances in its science, technology and innovation (STI) policy, which has contributed to the institutional strengthening of the STI system. This included an improvement in the number and qualifications of human resources and in R&amp;D infrastructure. Brazil remains at the forefront of research in the field of agriculture, as well as in tropical and infectious diseases. It is also a world-class player in the fields of information and communication technologies, nanotechnologies and energy and it hosts some of Latin America’s top universities. These research areas are of interest to the European Union. The links between Brazil and the EU in science, technology and innovation have been growing through intense cooperation at EU and Member State level.</w:t>
      </w:r>
    </w:p>
    <w:p>
      <w:pPr>
        <w:pBdr>
          <w:top w:val="nil"/>
          <w:left w:val="nil"/>
          <w:bottom w:val="nil"/>
          <w:right w:val="nil"/>
          <w:between w:val="nil"/>
          <w:bar w:val="nil"/>
        </w:pBdr>
        <w:spacing w:before="0" w:after="240"/>
        <w:rPr>
          <w:noProof/>
        </w:rPr>
      </w:pPr>
      <w:r>
        <w:rPr>
          <w:noProof/>
        </w:rPr>
        <w:t>The evaluation carried out by the Commission clearly demonstrates that the Agreement provides an important framework for facilitating cooperation between the EU and Brazil in common S&amp;T priority areas leading to mutual benefits. As Brazil’s potential as a research and innovation partner continues to grow, it should be seen as a strategic partner for the EU in Latin America. The main instruments for cooperation are the EU framework programmes for research and innovation. Among non-Associated third countries, Brazil was the 6</w:t>
      </w:r>
      <w:r>
        <w:rPr>
          <w:noProof/>
          <w:vertAlign w:val="superscript"/>
        </w:rPr>
        <w:t>th</w:t>
      </w:r>
      <w:r>
        <w:rPr>
          <w:noProof/>
        </w:rPr>
        <w:t xml:space="preserve"> most active country in FP 7 (2007-2013) and the 5</w:t>
      </w:r>
      <w:r>
        <w:rPr>
          <w:noProof/>
          <w:vertAlign w:val="superscript"/>
        </w:rPr>
        <w:t>th</w:t>
      </w:r>
      <w:r>
        <w:rPr>
          <w:noProof/>
        </w:rPr>
        <w:t xml:space="preserve"> in Horizon 2020 so far. Cooperation between the EU and the Brazilian research community led, among other results, to the development of a new drug for Chagas disease (already registered with Food and Drug Administration to start clinical testing) and to the development of a new biomass pre-treatment process for advanced bioethanol (allowing the set-up of the first commercial advanced bioethanol plant in Europe).</w:t>
      </w:r>
    </w:p>
    <w:p>
      <w:pPr>
        <w:pBdr>
          <w:top w:val="nil"/>
          <w:left w:val="nil"/>
          <w:bottom w:val="nil"/>
          <w:right w:val="nil"/>
          <w:between w:val="nil"/>
          <w:bar w:val="nil"/>
        </w:pBdr>
        <w:spacing w:before="0" w:after="240"/>
        <w:rPr>
          <w:noProof/>
        </w:rPr>
      </w:pPr>
      <w:r>
        <w:rPr>
          <w:noProof/>
        </w:rPr>
        <w:t>It is, therefore, in the EU’s interest to renew the Agreement for scientific and technological cooperation between the European Community and the Federative Republic of Brazil</w:t>
      </w:r>
      <w:r>
        <w:rPr>
          <w:rFonts w:eastAsia="Times New Roman"/>
          <w:noProof/>
          <w:szCs w:val="20"/>
        </w:rPr>
        <w:t xml:space="preserve"> </w:t>
      </w:r>
      <w:r>
        <w:rPr>
          <w:noProof/>
        </w:rPr>
        <w:t>for a new period of five years.</w:t>
      </w:r>
    </w:p>
    <w:p>
      <w:pPr>
        <w:pBdr>
          <w:top w:val="nil"/>
          <w:left w:val="nil"/>
          <w:bottom w:val="nil"/>
          <w:right w:val="nil"/>
          <w:between w:val="nil"/>
          <w:bar w:val="nil"/>
        </w:pBdr>
        <w:spacing w:before="0" w:after="240"/>
        <w:rPr>
          <w:noProof/>
        </w:rPr>
      </w:pPr>
      <w:r>
        <w:rPr>
          <w:noProof/>
        </w:rPr>
        <w:t>Both Parties confirmed their wish to renew the Agreement by exchange of letters, dated 14 November 2016 and 5 January 2017.</w:t>
      </w:r>
    </w:p>
    <w:p>
      <w:pPr>
        <w:pBdr>
          <w:top w:val="nil"/>
          <w:left w:val="nil"/>
          <w:bottom w:val="nil"/>
          <w:right w:val="nil"/>
          <w:between w:val="nil"/>
          <w:bar w:val="nil"/>
        </w:pBdr>
        <w:spacing w:before="0" w:after="240"/>
        <w:rPr>
          <w:noProof/>
        </w:rPr>
      </w:pPr>
      <w:r>
        <w:rPr>
          <w:noProof/>
        </w:rPr>
        <w:t xml:space="preserve">The substance of the renewed Agreement will be identical to that of the current Agreement, as discussed and agreed with the Brazilian counterpart. </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This initiative is fully in line with the EU’s international cooperation strategy for research &amp; innovation</w:t>
      </w:r>
      <w:r>
        <w:rPr>
          <w:rStyle w:val="FootnoteReference"/>
          <w:noProof/>
        </w:rPr>
        <w:footnoteReference w:id="3"/>
      </w:r>
      <w:r>
        <w:rPr>
          <w:noProof/>
        </w:rPr>
        <w:t>. The EU’s strategy clearly states the importance of science &amp; technology agreements as vehicles for defining and implementing multiannual roadmaps for cooperation with non-EU countries. The Agreement is also means of implementing the EU’s international cooperation strategy for research and innovation, which calls for more internationalisation and openness in the EU’s research &amp; innovation landscape.</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EU’s global strategy for the EU’s foreign and security policy confirms that research cooperation is an important aspect of EU foreign policy and sees research cooperation as an essential element of stronger socioeconomic ties, notably with Latin American countries.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spacing w:before="60" w:after="60"/>
        <w:rPr>
          <w:noProof/>
        </w:rPr>
      </w:pPr>
      <w:r>
        <w:rPr>
          <w:noProof/>
        </w:rPr>
        <w:t>The EU’s power to act internationally in research and technological development is based on Article 186 TFEU. The procedural legal basis for the proposal is point (v) of Article 218(6)(a) TFEU.</w:t>
      </w:r>
    </w:p>
    <w:p>
      <w:pPr>
        <w:pStyle w:val="ManualHeading1"/>
        <w:rPr>
          <w:noProof/>
        </w:rPr>
      </w:pPr>
      <w:r>
        <w:rPr>
          <w:noProof/>
        </w:rPr>
        <w:t>3.</w:t>
      </w:r>
      <w:r>
        <w:rPr>
          <w:noProof/>
        </w:rPr>
        <w:tab/>
        <w:t xml:space="preserve">RESULTS OF </w:t>
      </w:r>
      <w:r>
        <w:rPr>
          <w:i/>
          <w:noProof/>
        </w:rPr>
        <w:t>EX POST</w:t>
      </w:r>
      <w:r>
        <w:rPr>
          <w:noProof/>
        </w:rPr>
        <w:t xml:space="preserve">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noProof/>
        </w:rPr>
      </w:pPr>
      <w:r>
        <w:rPr>
          <w:noProof/>
        </w:rPr>
        <w:t>This initiative is not part of the REFIT agenda.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Only human and administrative resources are required; these are set out in the legislative financial statement.</w:t>
      </w:r>
    </w:p>
    <w:p>
      <w:pPr>
        <w:pStyle w:val="ManualHeading2"/>
        <w:ind w:left="0" w:firstLine="0"/>
        <w:rPr>
          <w:noProof/>
        </w:rPr>
      </w:pPr>
    </w:p>
    <w:p>
      <w:pPr>
        <w:ind w:left="850" w:hanging="850"/>
        <w:rPr>
          <w:rFonts w:eastAsia="Times New Roman"/>
          <w:noProof/>
          <w:szCs w:val="24"/>
        </w:rPr>
      </w:pPr>
      <w:r>
        <w:rPr>
          <w:rFonts w:eastAsia="Times New Roman"/>
          <w:noProof/>
          <w:szCs w:val="24"/>
        </w:rPr>
        <w:t>In the light of the above considerations, the Commission requests that the Council:</w:t>
      </w:r>
    </w:p>
    <w:p>
      <w:pPr>
        <w:rPr>
          <w:rFonts w:eastAsia="Times New Roman"/>
          <w:noProof/>
          <w:szCs w:val="24"/>
        </w:rPr>
      </w:pPr>
      <w:r>
        <w:rPr>
          <w:rFonts w:eastAsia="Times New Roman"/>
          <w:b/>
          <w:smallCaps/>
          <w:noProof/>
          <w:szCs w:val="24"/>
        </w:rPr>
        <w:t>-</w:t>
      </w:r>
      <w:r>
        <w:rPr>
          <w:rFonts w:eastAsia="Times New Roman"/>
          <w:noProof/>
          <w:szCs w:val="24"/>
        </w:rPr>
        <w:tab/>
        <w:t xml:space="preserve">approves, on behalf of the Union, and with the consent of the European Parliament, the renewal of the Agreement for scientific and technological cooperation between the European Community and the Federative Republic of Brazil which will apply, following the expiry of the five years, for an additional period of five years (i.e., from 08.08.2017 until 07.08.2022) </w:t>
      </w:r>
    </w:p>
    <w:p>
      <w:pPr>
        <w:rPr>
          <w:rFonts w:eastAsia="Times New Roman"/>
          <w:noProof/>
          <w:szCs w:val="24"/>
        </w:rPr>
      </w:pPr>
      <w:r>
        <w:rPr>
          <w:rFonts w:eastAsia="Times New Roman"/>
          <w:noProof/>
          <w:szCs w:val="24"/>
        </w:rPr>
        <w:t>-</w:t>
      </w:r>
      <w:r>
        <w:rPr>
          <w:rFonts w:eastAsia="Times New Roman"/>
          <w:noProof/>
          <w:szCs w:val="24"/>
        </w:rPr>
        <w:tab/>
        <w:t xml:space="preserve">authorise the President of the Council to designate the person(s) empowered to notify the Government of the Federative Republic of Brazil that the Union has completed the internal procedures necessary for the entry into force of this renewed Agreement </w:t>
      </w:r>
    </w:p>
    <w:p>
      <w:pPr>
        <w:rPr>
          <w:noProof/>
        </w:rPr>
      </w:pP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concerning the renewal of the Agreement for scientific and technological cooperation between the European Community and the Federative Republic of Brazil  </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186, in conjunction with point (v) of Article 218(6)(a)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By Decision 2005/781/EC</w:t>
      </w:r>
      <w:r>
        <w:rPr>
          <w:rStyle w:val="FootnoteReference"/>
          <w:noProof/>
        </w:rPr>
        <w:footnoteReference w:id="4"/>
      </w:r>
      <w:r>
        <w:rPr>
          <w:noProof/>
        </w:rPr>
        <w:t>, the Council approved the conclusion of the Agreement for scientific and technological cooperation between the European Community and the Federative Republic of Brazil (the ‘Agreement’).</w:t>
      </w:r>
    </w:p>
    <w:p>
      <w:pPr>
        <w:pStyle w:val="ManualConsidrant"/>
        <w:rPr>
          <w:noProof/>
        </w:rPr>
      </w:pPr>
      <w:r>
        <w:t>(2)</w:t>
      </w:r>
      <w:r>
        <w:tab/>
      </w:r>
      <w:r>
        <w:rPr>
          <w:noProof/>
        </w:rPr>
        <w:t xml:space="preserve">The Agreement, in accordance with Article XII, enters into force on the date on which both Parties have notified each other in writing that their respective internal procedures necessary for the Agreement to enter into force have been completed. The Agreement is initially valid for a period of five years and may be renewed by agreement between the Parties after evaluation during the penultimate year of each subsequent renewal period. </w:t>
      </w:r>
    </w:p>
    <w:p>
      <w:pPr>
        <w:pStyle w:val="ManualConsidrant"/>
        <w:rPr>
          <w:noProof/>
        </w:rPr>
      </w:pPr>
      <w:r>
        <w:t>(3)</w:t>
      </w:r>
      <w:r>
        <w:tab/>
      </w:r>
      <w:r>
        <w:rPr>
          <w:noProof/>
        </w:rPr>
        <w:t>By Decision 2012/646/EU</w:t>
      </w:r>
      <w:r>
        <w:rPr>
          <w:rStyle w:val="FootnoteReference"/>
          <w:noProof/>
        </w:rPr>
        <w:footnoteReference w:id="5"/>
      </w:r>
      <w:r>
        <w:rPr>
          <w:noProof/>
        </w:rPr>
        <w:t>, the Council approved the renewal of the Agreement for an additional period of five years.</w:t>
      </w:r>
    </w:p>
    <w:p>
      <w:pPr>
        <w:pStyle w:val="ManualConsidrant"/>
        <w:rPr>
          <w:noProof/>
        </w:rPr>
      </w:pPr>
      <w:r>
        <w:t>(4)</w:t>
      </w:r>
      <w:r>
        <w:tab/>
      </w:r>
      <w:r>
        <w:rPr>
          <w:noProof/>
        </w:rPr>
        <w:t>The exchange of letters between the Parties, dated 14 November 2016 and 5 January 2017, confirmed their interest in renewing the Agreement for another five years.</w:t>
      </w:r>
    </w:p>
    <w:p>
      <w:pPr>
        <w:pStyle w:val="ManualConsidrant"/>
        <w:rPr>
          <w:noProof/>
        </w:rPr>
      </w:pPr>
      <w:r>
        <w:t>(5)</w:t>
      </w:r>
      <w:r>
        <w:tab/>
      </w:r>
      <w:r>
        <w:rPr>
          <w:noProof/>
        </w:rPr>
        <w:t>As a consequence of the entry into force of the Treaty of Lisbon on 1 December 2009, the European Union has replaced and succeeded the European Community.</w:t>
      </w:r>
    </w:p>
    <w:p>
      <w:pPr>
        <w:pStyle w:val="ManualConsidrant"/>
        <w:rPr>
          <w:noProof/>
        </w:rPr>
      </w:pPr>
      <w:r>
        <w:t>(6)</w:t>
      </w:r>
      <w:r>
        <w:tab/>
      </w:r>
      <w:r>
        <w:rPr>
          <w:noProof/>
        </w:rPr>
        <w:t>The renewal of the Agreement should be approved on behalf of the Union,</w:t>
      </w:r>
    </w:p>
    <w:p>
      <w:pPr>
        <w:pStyle w:val="Formuledadoption"/>
        <w:rPr>
          <w:noProof/>
        </w:rPr>
      </w:pPr>
      <w:r>
        <w:rPr>
          <w:noProof/>
        </w:rPr>
        <w:t>HAS ADOPTED THIS DECISION:</w:t>
      </w:r>
    </w:p>
    <w:p>
      <w:pPr>
        <w:pStyle w:val="Titrearticle"/>
        <w:rPr>
          <w:noProof/>
        </w:rPr>
      </w:pPr>
      <w:r>
        <w:rPr>
          <w:noProof/>
        </w:rPr>
        <w:t>Article 1</w:t>
      </w:r>
    </w:p>
    <w:p>
      <w:r>
        <w:rPr>
          <w:rFonts w:eastAsia="Times New Roman"/>
          <w:noProof/>
          <w:szCs w:val="24"/>
        </w:rPr>
        <w:t>The renewal of the Agreement for scientific and technological cooperation between the European Community and the Federative Republic of Brazil, for an additional period of five years, is hereby approved on behalf of the European Union.</w:t>
      </w:r>
    </w:p>
    <w:p>
      <w:pPr>
        <w:pStyle w:val="Titrearticle"/>
        <w:rPr>
          <w:noProof/>
        </w:rPr>
      </w:pPr>
      <w:r>
        <w:rPr>
          <w:noProof/>
        </w:rPr>
        <w:t>Article 2</w:t>
      </w:r>
    </w:p>
    <w:p>
      <w:pPr>
        <w:keepLines/>
        <w:rPr>
          <w:rFonts w:eastAsia="Times New Roman"/>
          <w:noProof/>
          <w:szCs w:val="24"/>
        </w:rPr>
      </w:pPr>
      <w:r>
        <w:rPr>
          <w:rFonts w:eastAsia="Times New Roman"/>
          <w:noProof/>
          <w:szCs w:val="24"/>
        </w:rPr>
        <w:t>The President of the Council shall designate the person(s) empowered to notify the Government of the Federative Republic of Brazil, on behalf of the Union and in accordance with Article XII(2) of the Agreement, that the Union has completed the internal procedures necessary for the entry into force of this renewed Agreement and make the following notification to Brazil:</w:t>
      </w:r>
    </w:p>
    <w:p>
      <w:pPr>
        <w:keepLines/>
        <w:rPr>
          <w:rFonts w:eastAsia="Times New Roman"/>
          <w:noProof/>
          <w:szCs w:val="24"/>
        </w:rPr>
      </w:pPr>
      <w:r>
        <w:rPr>
          <w:rFonts w:eastAsia="Times New Roman"/>
          <w:noProof/>
          <w:szCs w:val="24"/>
        </w:rPr>
        <w:t>'As a consequence of the entry into force of the Treaty of Lisbon on 1 December 2009, the European Union has replaced and succeeded the European Community and from that date exercises all rights and assumes all obligations of the European Community. Therefore, references to "the European Community" in the text of the Agreement are, where appropriate to be read as "the European Union".'.</w:t>
      </w:r>
    </w:p>
    <w:p>
      <w:pPr>
        <w:pStyle w:val="Titrearticle"/>
        <w:rPr>
          <w:noProof/>
        </w:rPr>
      </w:pPr>
      <w:r>
        <w:rPr>
          <w:noProof/>
        </w:rPr>
        <w:t>Article 3</w:t>
      </w:r>
    </w:p>
    <w:p>
      <w:pPr>
        <w:keepLines/>
        <w:rPr>
          <w:noProof/>
        </w:rPr>
      </w:pPr>
      <w:r>
        <w:rPr>
          <w:noProof/>
        </w:rPr>
        <w:t xml:space="preserve">This Decision shall enter into force on the day of its adoption. </w:t>
      </w:r>
    </w:p>
    <w:p>
      <w:pPr>
        <w:keepLines/>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FRAMEWORK OF THE PROPOSAL/INITIATIVE</w:t>
      </w:r>
    </w:p>
    <w:p>
      <w:pPr>
        <w:pStyle w:val="ManualHeading2"/>
        <w:rPr>
          <w:b w:val="0"/>
          <w:noProof/>
        </w:rPr>
      </w:pPr>
      <w:r>
        <w:rPr>
          <w:noProof/>
        </w:rPr>
        <w:tab/>
      </w:r>
      <w:r>
        <w:rPr>
          <w:b w:val="0"/>
          <w:noProof/>
        </w:rPr>
        <w:t>1.1.</w:t>
      </w:r>
      <w:r>
        <w:rPr>
          <w:b w:val="0"/>
          <w:noProof/>
        </w:rPr>
        <w:tab/>
        <w:t>Title of the proposal/initiative</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Nature of the proposal/initiative</w:t>
      </w:r>
    </w:p>
    <w:p>
      <w:pPr>
        <w:pStyle w:val="ManualHeading2"/>
        <w:rPr>
          <w:b w:val="0"/>
          <w:noProof/>
        </w:rPr>
      </w:pPr>
      <w:r>
        <w:rPr>
          <w:b w:val="0"/>
          <w:noProof/>
        </w:rPr>
        <w:tab/>
        <w:t>1.4.</w:t>
      </w:r>
      <w:r>
        <w:rPr>
          <w:b w:val="0"/>
          <w:noProof/>
        </w:rPr>
        <w:tab/>
        <w:t>Objective(s)</w:t>
      </w:r>
    </w:p>
    <w:p>
      <w:pPr>
        <w:pStyle w:val="ManualHeading2"/>
        <w:rPr>
          <w:b w:val="0"/>
          <w:noProof/>
        </w:rPr>
      </w:pPr>
      <w:r>
        <w:rPr>
          <w:b w:val="0"/>
          <w:noProof/>
        </w:rPr>
        <w:tab/>
        <w:t>1.5.</w:t>
      </w:r>
      <w:r>
        <w:rPr>
          <w:b w:val="0"/>
          <w:noProof/>
        </w:rPr>
        <w:tab/>
        <w:t>Grounds for the proposal/initiative</w:t>
      </w:r>
    </w:p>
    <w:p>
      <w:pPr>
        <w:pStyle w:val="ManualHeading2"/>
        <w:rPr>
          <w:b w:val="0"/>
          <w:noProof/>
        </w:rPr>
      </w:pPr>
      <w:r>
        <w:rPr>
          <w:b w:val="0"/>
          <w:noProof/>
        </w:rPr>
        <w:tab/>
        <w:t>1.6.</w:t>
      </w:r>
      <w:r>
        <w:rPr>
          <w:b w:val="0"/>
          <w:noProof/>
        </w:rPr>
        <w:tab/>
        <w:t>Duration and financial impact</w:t>
      </w:r>
    </w:p>
    <w:p>
      <w:pPr>
        <w:pStyle w:val="ManualHeading2"/>
        <w:rPr>
          <w:b w:val="0"/>
          <w:noProof/>
        </w:rPr>
      </w:pPr>
      <w:r>
        <w:rPr>
          <w:b w:val="0"/>
          <w:noProof/>
        </w:rPr>
        <w:tab/>
        <w:t>1.7.</w:t>
      </w:r>
      <w:r>
        <w:rPr>
          <w:b w:val="0"/>
          <w:noProof/>
        </w:rPr>
        <w:tab/>
        <w:t>Management mode(s) planned</w:t>
      </w:r>
    </w:p>
    <w:p>
      <w:pPr>
        <w:pStyle w:val="ManualHeading1"/>
        <w:rPr>
          <w:noProof/>
        </w:rPr>
      </w:pPr>
      <w:r>
        <w:rPr>
          <w:noProof/>
        </w:rPr>
        <w:t>2.</w:t>
      </w:r>
      <w:r>
        <w:rPr>
          <w:noProof/>
        </w:rPr>
        <w:tab/>
        <w:t>MANAGEMENT MEASURES</w:t>
      </w:r>
    </w:p>
    <w:p>
      <w:pPr>
        <w:pStyle w:val="ManualHeading2"/>
        <w:rPr>
          <w:b w:val="0"/>
          <w:noProof/>
        </w:rPr>
      </w:pPr>
      <w:r>
        <w:rPr>
          <w:b w:val="0"/>
          <w:noProof/>
        </w:rPr>
        <w:tab/>
        <w:t>2.1.</w:t>
      </w:r>
      <w:r>
        <w:rPr>
          <w:b w:val="0"/>
          <w:noProof/>
        </w:rPr>
        <w:tab/>
        <w:t>Monitoring and reporting rules</w:t>
      </w:r>
    </w:p>
    <w:p>
      <w:pPr>
        <w:pStyle w:val="ManualHeading2"/>
        <w:rPr>
          <w:b w:val="0"/>
          <w:noProof/>
        </w:rPr>
      </w:pPr>
      <w:r>
        <w:rPr>
          <w:b w:val="0"/>
          <w:noProof/>
        </w:rPr>
        <w:tab/>
        <w:t>2.2.</w:t>
      </w:r>
      <w:r>
        <w:rPr>
          <w:b w:val="0"/>
          <w:noProof/>
        </w:rPr>
        <w:tab/>
        <w:t>Management and control system</w:t>
      </w:r>
    </w:p>
    <w:p>
      <w:pPr>
        <w:pStyle w:val="ManualHeading2"/>
        <w:rPr>
          <w:b w:val="0"/>
          <w:noProof/>
        </w:rPr>
      </w:pPr>
      <w:r>
        <w:rPr>
          <w:b w:val="0"/>
          <w:noProof/>
        </w:rPr>
        <w:tab/>
        <w:t>2.3.</w:t>
      </w:r>
      <w:r>
        <w:rPr>
          <w:b w:val="0"/>
          <w:noProof/>
        </w:rPr>
        <w:tab/>
        <w:t>Measures to prevent fraud and irregularities</w:t>
      </w:r>
    </w:p>
    <w:p>
      <w:pPr>
        <w:pStyle w:val="ManualHeading1"/>
        <w:rPr>
          <w:noProof/>
        </w:rPr>
      </w:pPr>
      <w:r>
        <w:rPr>
          <w:noProof/>
        </w:rPr>
        <w:t>3.</w:t>
      </w:r>
      <w:r>
        <w:rPr>
          <w:noProof/>
        </w:rPr>
        <w:tab/>
        <w:t>ESTIMATED FINANCIAL IMPACT OF THE PROPOSAL/INITIATIVE</w:t>
      </w:r>
    </w:p>
    <w:p>
      <w:pPr>
        <w:pStyle w:val="ManualHeading2"/>
        <w:rPr>
          <w:b w:val="0"/>
          <w:noProof/>
        </w:rPr>
      </w:pPr>
      <w:r>
        <w:rPr>
          <w:b w:val="0"/>
          <w:noProof/>
        </w:rPr>
        <w:tab/>
        <w:t>3.1.</w:t>
      </w:r>
      <w:r>
        <w:rPr>
          <w:b w:val="0"/>
          <w:noProof/>
        </w:rPr>
        <w:tab/>
        <w:t>Heading(s) of the multiannual financial framework and expenditure budget line(s) affected</w:t>
      </w:r>
    </w:p>
    <w:p>
      <w:pPr>
        <w:pStyle w:val="ManualHeading2"/>
        <w:rPr>
          <w:noProof/>
        </w:rPr>
      </w:pPr>
      <w:r>
        <w:rPr>
          <w:b w:val="0"/>
          <w:noProof/>
        </w:rPr>
        <w:tab/>
        <w:t>3.2.</w:t>
      </w:r>
      <w:r>
        <w:rPr>
          <w:b w:val="0"/>
          <w:noProof/>
        </w:rPr>
        <w:tab/>
        <w:t>Estimated impact on expenditure</w:t>
      </w:r>
    </w:p>
    <w:p>
      <w:pPr>
        <w:pStyle w:val="ManualHeading3"/>
        <w:rPr>
          <w:noProof/>
        </w:rPr>
      </w:pPr>
      <w:r>
        <w:rPr>
          <w:noProof/>
        </w:rPr>
        <w:tab/>
        <w:t>3.2.1.</w:t>
      </w:r>
      <w:r>
        <w:rPr>
          <w:noProof/>
        </w:rPr>
        <w:tab/>
        <w:t>Summary of estimated impact on expenditure</w:t>
      </w:r>
    </w:p>
    <w:p>
      <w:pPr>
        <w:pStyle w:val="ManualHeading3"/>
        <w:rPr>
          <w:noProof/>
        </w:rPr>
      </w:pPr>
      <w:r>
        <w:rPr>
          <w:noProof/>
        </w:rPr>
        <w:tab/>
        <w:t>3.2.2.</w:t>
      </w:r>
      <w:r>
        <w:rPr>
          <w:noProof/>
        </w:rPr>
        <w:tab/>
        <w:t>Estimated impact on operational appropriations</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Third-party contributions</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FRAMEWORK OF THE PROPOSAL/INITIATIVE</w:t>
      </w:r>
    </w:p>
    <w:p>
      <w:pPr>
        <w:pStyle w:val="ManualHeading2"/>
        <w:rPr>
          <w:noProof/>
        </w:rPr>
      </w:pPr>
      <w:r>
        <w:t>1.1.</w:t>
      </w:r>
      <w:r>
        <w:tab/>
      </w:r>
      <w:r>
        <w:rPr>
          <w:noProof/>
        </w:rPr>
        <w:t>Title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concerning the renewal of the Agreement for scientific and technological cooperation between the European Community and the Federative Republic of Brazil</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noProof/>
          <w:szCs w:val="24"/>
        </w:rPr>
      </w:pPr>
      <w:r>
        <w:t>1.2.</w:t>
      </w:r>
      <w:r>
        <w:tab/>
      </w:r>
      <w:r>
        <w:rPr>
          <w:noProof/>
        </w:rPr>
        <w:t>Policy area(s) concerned in the ABM/ABB structure</w:t>
      </w:r>
      <w:r>
        <w:rPr>
          <w:rStyle w:val="FootnoteReference"/>
          <w:noProof/>
        </w:rPr>
        <w:footnoteReference w:id="6"/>
      </w:r>
    </w:p>
    <w:p>
      <w:pPr>
        <w:pStyle w:val="Text1"/>
        <w:pBdr>
          <w:top w:val="single" w:sz="4" w:space="1" w:color="auto"/>
          <w:left w:val="single" w:sz="4" w:space="4" w:color="auto"/>
          <w:bottom w:val="single" w:sz="4" w:space="1" w:color="auto"/>
          <w:right w:val="single" w:sz="4" w:space="4" w:color="auto"/>
        </w:pBdr>
        <w:rPr>
          <w:noProof/>
        </w:rPr>
      </w:pPr>
      <w:r>
        <w:rPr>
          <w:noProof/>
        </w:rPr>
        <w:t>Policy strategy and coordination of, in particular, the Directorates-General RTD, AGRI, CLIMA, JRC, EAC, ENER, GROW, CNECT and MOVE</w:t>
      </w:r>
      <w:r>
        <w:t>.</w:t>
      </w:r>
    </w:p>
    <w:p>
      <w:pPr>
        <w:pStyle w:val="ManualHeading2"/>
        <w:rPr>
          <w:bCs/>
          <w:noProof/>
          <w:szCs w:val="24"/>
        </w:rPr>
      </w:pPr>
      <w:r>
        <w:t>1.3.</w:t>
      </w:r>
      <w:r>
        <w:tab/>
      </w:r>
      <w:r>
        <w:rPr>
          <w:noProof/>
        </w:rPr>
        <w:t>Nature of the proposal/initiative</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7"/>
      </w:r>
    </w:p>
    <w:p>
      <w:pPr>
        <w:pStyle w:val="Text1"/>
        <w:rPr>
          <w:noProof/>
          <w:sz w:val="22"/>
        </w:rPr>
      </w:pPr>
      <w:r>
        <w:rPr>
          <w:noProof/>
        </w:rPr>
        <w:sym w:font="Wingdings" w:char="F0FE"/>
      </w:r>
      <w:r>
        <w:rPr>
          <w:i/>
          <w:noProof/>
          <w:sz w:val="22"/>
        </w:rPr>
        <w:t xml:space="preserve"> </w:t>
      </w:r>
      <w:r>
        <w:rPr>
          <w:noProof/>
        </w:rPr>
        <w:t xml:space="preserve">The proposal/initiative relates to </w:t>
      </w:r>
      <w:r>
        <w:rPr>
          <w:b/>
          <w:noProof/>
        </w:rPr>
        <w:t>the extension of an existing action</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p>
    <w:p>
      <w:pPr>
        <w:pStyle w:val="ManualHeading2"/>
        <w:rPr>
          <w:bCs/>
          <w:noProof/>
          <w:szCs w:val="24"/>
        </w:rPr>
      </w:pPr>
      <w:r>
        <w:t>1.4.</w:t>
      </w:r>
      <w:r>
        <w:tab/>
      </w:r>
      <w:r>
        <w:rPr>
          <w:noProof/>
        </w:rPr>
        <w:t>Objective(s)</w:t>
      </w:r>
    </w:p>
    <w:p>
      <w:pPr>
        <w:pStyle w:val="ManualHeading3"/>
        <w:rPr>
          <w:noProof/>
        </w:rPr>
      </w:pPr>
      <w:r>
        <w:t>1.4.1.</w:t>
      </w:r>
      <w:r>
        <w:tab/>
      </w:r>
      <w:r>
        <w:rPr>
          <w:noProof/>
        </w:rPr>
        <w:t>The Commission’s multiannual strategic objective(s) targeted by the proposal/initiative</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The present initiative will allow both Parties to improve and intensify their cooperation in scientific and technological areas of common interest. </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1.4.2.</w:t>
      </w:r>
      <w:r>
        <w:tab/>
      </w:r>
      <w:r>
        <w:rPr>
          <w:noProof/>
        </w:rPr>
        <w:t>Specific objective(s) and ABM/ABB activity(ies) concerned</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This decision should allow both Parties to enhance the cooperation and develop a more strategic partnership by increasing the scale and scope of existing cooperation, addressing key societal challenges in common and promoting reciprocal access to programmes and funding. It will also allow regional cooperation to increase where appropriate.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This decision will allow both Brazil and the European Union to derive mutual benefit from the scientific and technical progress achieved through research in their respective research programmes and ongoing cooperation activities. It will allow for exchange of specific knowledge and transfer of know-how to the benefit of the scientific community, industry and citizens of both Parties.</w:t>
      </w:r>
    </w:p>
    <w:p>
      <w:pPr>
        <w:pStyle w:val="ManualHeading3"/>
        <w:rPr>
          <w:bCs/>
          <w:noProof/>
          <w:szCs w:val="24"/>
        </w:rPr>
      </w:pPr>
      <w:r>
        <w:t>1.4.4.</w:t>
      </w:r>
      <w:r>
        <w:tab/>
      </w:r>
      <w:r>
        <w:rPr>
          <w:noProof/>
        </w:rPr>
        <w:t>Indicators of results and impact</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Commission will regularly monitor all actions carried out under the Agreement, including of cooperation activities. This evaluation will cover the following points, among others:</w:t>
      </w:r>
    </w:p>
    <w:p>
      <w:pPr>
        <w:pStyle w:val="Text1"/>
        <w:pBdr>
          <w:top w:val="single" w:sz="4" w:space="1" w:color="auto"/>
          <w:left w:val="single" w:sz="4" w:space="4" w:color="auto"/>
          <w:bottom w:val="single" w:sz="4" w:space="1" w:color="auto"/>
          <w:right w:val="single" w:sz="4" w:space="4" w:color="auto"/>
        </w:pBdr>
        <w:rPr>
          <w:noProof/>
        </w:rPr>
      </w:pPr>
      <w:r>
        <w:rPr>
          <w:noProof/>
        </w:rPr>
        <w:t>(a) cooperation indicators — analysis of the number and type of participation of Brazilian entities in EU funded programmes (e.g. number of proposals, number of signed grant agreements, main collaboration links, main thematic; generated output) and vice-versa (whenever the data is available);</w:t>
      </w:r>
    </w:p>
    <w:p>
      <w:pPr>
        <w:pStyle w:val="Text1"/>
        <w:pBdr>
          <w:top w:val="single" w:sz="4" w:space="1" w:color="auto"/>
          <w:left w:val="single" w:sz="4" w:space="4" w:color="auto"/>
          <w:bottom w:val="single" w:sz="4" w:space="1" w:color="auto"/>
          <w:right w:val="single" w:sz="4" w:space="4" w:color="auto"/>
        </w:pBdr>
        <w:rPr>
          <w:noProof/>
        </w:rPr>
      </w:pPr>
      <w:r>
        <w:rPr>
          <w:noProof/>
        </w:rPr>
        <w:t>(b) performance indicators — success rate of Brazilian entities participating in the EU framework programmes compared to other non-EU countries and to Member States/Associated countries to a Research Framework Programme; analysis of the quality of the participation (e.g. number of best ranked universities taking part on the programme, number of patents and publications coming from collaborative projects);</w:t>
      </w:r>
    </w:p>
    <w:p>
      <w:pPr>
        <w:pStyle w:val="Text1"/>
        <w:pBdr>
          <w:top w:val="single" w:sz="4" w:space="1" w:color="auto"/>
          <w:left w:val="single" w:sz="4" w:space="4" w:color="auto"/>
          <w:bottom w:val="single" w:sz="4" w:space="1" w:color="auto"/>
          <w:right w:val="single" w:sz="4" w:space="4" w:color="auto"/>
        </w:pBdr>
        <w:rPr>
          <w:noProof/>
        </w:rPr>
      </w:pPr>
      <w:r>
        <w:rPr>
          <w:noProof/>
        </w:rPr>
        <w:t>(c) data collection regarding cooperation activities and links beyond the respective research funding programmes and assessment of the impact of these activities, like participation in multilateral initiatives and working groups.</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1.5.</w:t>
      </w:r>
      <w:r>
        <w:tab/>
      </w:r>
      <w:r>
        <w:rPr>
          <w:noProof/>
        </w:rPr>
        <w:t>Grounds for the proposal/initiative</w:t>
      </w:r>
    </w:p>
    <w:p>
      <w:pPr>
        <w:pStyle w:val="ManualHeading3"/>
        <w:rPr>
          <w:noProof/>
        </w:rPr>
      </w:pPr>
      <w:r>
        <w:t>1.5.1.</w:t>
      </w:r>
      <w:r>
        <w:tab/>
      </w:r>
      <w:r>
        <w:rPr>
          <w:noProof/>
        </w:rPr>
        <w:t>Requirement(s) to be met in the short or long term</w:t>
      </w:r>
    </w:p>
    <w:p>
      <w:pPr>
        <w:pStyle w:val="Text1"/>
        <w:pBdr>
          <w:top w:val="single" w:sz="4" w:space="1" w:color="auto"/>
          <w:left w:val="single" w:sz="4" w:space="4" w:color="auto"/>
          <w:bottom w:val="single" w:sz="4" w:space="1" w:color="auto"/>
          <w:right w:val="single" w:sz="4" w:space="4" w:color="auto"/>
        </w:pBdr>
        <w:rPr>
          <w:noProof/>
        </w:rPr>
      </w:pPr>
      <w:r>
        <w:rPr>
          <w:noProof/>
        </w:rPr>
        <w:t>This decision will allow the two Parties to continue to improve and intensify their cooperation in scientific and technological areas for mutual benefit.</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Cooperation in research &amp; innovation between Brazil and the EU and its Member States has been growing steadily in the past years. The involvement of the EU allows activities with larger scale and scope for the benefit of all Member States. The renewal of this Agreement will allow the EU to have easier access to scientific knowledge produced in Brazil and to engage in more cooperation activities leading to additional exchange of knowledge and technologies. It will also provide easier access to the Brazilian market for European companies.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Based on the experience so far in scientific and technological cooperation, it is considered mutually beneficial to continue research cooperation with Brazil, as a strategic partner of the Union in research and innovation.</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The renewal of the Agreement with Brazil is considered to be fully consistent with the overall policy framework on international cooperation in research and innovation (COM(2012)497).</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r>
      <w:r>
        <w:t>1.6.</w:t>
      </w:r>
      <w:r>
        <w:tab/>
      </w:r>
      <w:r>
        <w:rPr>
          <w:noProof/>
        </w:rPr>
        <w:t>Duration and financial impact</w:t>
      </w:r>
    </w:p>
    <w:p>
      <w:pPr>
        <w:pStyle w:val="Text1"/>
        <w:rPr>
          <w:noProof/>
        </w:rPr>
      </w:pPr>
      <w:r>
        <w:rPr>
          <w:noProof/>
        </w:rPr>
        <w:sym w:font="Wingdings" w:char="F0FE"/>
      </w:r>
      <w:r>
        <w:rPr>
          <w:b/>
          <w:i/>
          <w:noProof/>
        </w:rPr>
        <w:t xml:space="preserve"> </w:t>
      </w:r>
      <w:r>
        <w:rPr>
          <w:noProof/>
        </w:rPr>
        <w:t xml:space="preserve">Proposal/initiative of </w:t>
      </w:r>
      <w:r>
        <w:rPr>
          <w:b/>
          <w:noProof/>
        </w:rPr>
        <w:t>limited duration</w:t>
      </w:r>
    </w:p>
    <w:p>
      <w:pPr>
        <w:pStyle w:val="ListDash2"/>
        <w:rPr>
          <w:noProof/>
        </w:rPr>
      </w:pPr>
      <w:r>
        <w:rPr>
          <w:noProof/>
        </w:rPr>
        <w:sym w:font="Wingdings" w:char="F0FE"/>
      </w:r>
      <w:r>
        <w:rPr>
          <w:noProof/>
        </w:rPr>
        <w:tab/>
        <w:t>Proposal/initiative in effect from 08/08/2017 to 07/08/2022</w:t>
      </w:r>
    </w:p>
    <w:p>
      <w:pPr>
        <w:pStyle w:val="ListDash2"/>
        <w:rPr>
          <w:noProof/>
        </w:rPr>
      </w:pPr>
      <w:r>
        <w:rPr>
          <w:noProof/>
        </w:rPr>
        <w:sym w:font="Wingdings" w:char="F0FE"/>
      </w:r>
      <w:r>
        <w:rPr>
          <w:noProof/>
        </w:rPr>
        <w:tab/>
        <w:t>Financial impact from YYYY to YYYY</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8"/>
      </w:r>
    </w:p>
    <w:p>
      <w:pPr>
        <w:pStyle w:val="Text1"/>
        <w:rPr>
          <w:noProof/>
        </w:rPr>
      </w:pPr>
      <w:r>
        <w:rPr>
          <w:noProof/>
        </w:rPr>
        <w:sym w:font="Wingdings" w:char="F0FE"/>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w:t>
      </w:r>
    </w:p>
    <w:p>
      <w:pPr>
        <w:pStyle w:val="ListDash2"/>
        <w:rPr>
          <w:noProof/>
        </w:rPr>
      </w:pPr>
      <w:r>
        <w:rPr>
          <w:noProof/>
        </w:rPr>
        <w:sym w:font="Wingdings" w:char="F0A8"/>
      </w:r>
      <w:r>
        <w:rPr>
          <w:noProof/>
        </w:rPr>
        <w:tab/>
        <w:t>by the executive agencies</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pBdr>
          <w:top w:val="single" w:sz="4" w:space="1" w:color="auto"/>
          <w:left w:val="single" w:sz="4" w:space="4" w:color="auto"/>
          <w:bottom w:val="single" w:sz="4" w:space="0" w:color="auto"/>
          <w:right w:val="single" w:sz="4" w:space="4" w:color="auto"/>
        </w:pBdr>
        <w:rPr>
          <w:noProof/>
        </w:rPr>
        <w:sectPr>
          <w:pgSz w:w="11907" w:h="16840" w:code="9"/>
          <w:pgMar w:top="1134" w:right="1418" w:bottom="1134" w:left="1418" w:header="709" w:footer="709" w:gutter="0"/>
          <w:cols w:space="708"/>
          <w:docGrid w:linePitch="360"/>
        </w:sectPr>
      </w:pPr>
      <w:r>
        <w:rPr>
          <w:noProof/>
        </w:rPr>
        <w:t>[…]</w:t>
      </w:r>
    </w:p>
    <w:p>
      <w:pPr>
        <w:pStyle w:val="ManualHeading1"/>
        <w:rPr>
          <w:bCs/>
          <w:noProof/>
          <w:szCs w:val="24"/>
        </w:rPr>
      </w:pPr>
      <w:r>
        <w:t>2.</w:t>
      </w:r>
      <w:r>
        <w:tab/>
      </w:r>
      <w:r>
        <w:rPr>
          <w:noProof/>
        </w:rPr>
        <w:t>MANAGEMENT MEASURES</w:t>
      </w:r>
    </w:p>
    <w:p>
      <w:pPr>
        <w:pStyle w:val="ManualHeading2"/>
        <w:rPr>
          <w:noProof/>
        </w:rPr>
      </w:pPr>
      <w:r>
        <w:t>2.1.</w:t>
      </w:r>
      <w:r>
        <w:tab/>
      </w:r>
      <w:r>
        <w:rPr>
          <w:noProof/>
        </w:rPr>
        <w:t>Monitoring and reporting rules</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rFonts w:eastAsia="Times New Roman"/>
          <w:noProof/>
          <w:lang w:eastAsia="de-DE"/>
        </w:rPr>
      </w:pPr>
      <w:r>
        <w:rPr>
          <w:rFonts w:eastAsia="Times New Roman"/>
          <w:noProof/>
          <w:lang w:eastAsia="de-DE"/>
        </w:rPr>
        <w:t>Brazil’s participation in the framework programme is monitored on a regular basis through meetings of the Joint Steering Committee established under Article VI of the Agreement.</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2.2.</w:t>
      </w:r>
      <w:r>
        <w:tab/>
      </w:r>
      <w:r>
        <w:rPr>
          <w:noProof/>
        </w:rPr>
        <w:t>Management and control system</w:t>
      </w:r>
    </w:p>
    <w:p>
      <w:pPr>
        <w:pStyle w:val="ManualHeading3"/>
        <w:rPr>
          <w:noProof/>
        </w:rPr>
      </w:pPr>
      <w:r>
        <w:t>2.2.1.</w:t>
      </w:r>
      <w:r>
        <w:tab/>
      </w:r>
      <w:r>
        <w:rPr>
          <w:noProof/>
        </w:rPr>
        <w:t>Risk(s) identified</w:t>
      </w:r>
    </w:p>
    <w:p>
      <w:pPr>
        <w:pStyle w:val="Text1"/>
        <w:pBdr>
          <w:top w:val="single" w:sz="4" w:space="1" w:color="auto"/>
          <w:left w:val="single" w:sz="4" w:space="4" w:color="auto"/>
          <w:bottom w:val="single" w:sz="4" w:space="1" w:color="auto"/>
          <w:right w:val="single" w:sz="4" w:space="4" w:color="auto"/>
        </w:pBdr>
        <w:rPr>
          <w:rFonts w:eastAsia="Times New Roman"/>
          <w:noProof/>
          <w:lang w:eastAsia="de-DE"/>
        </w:rPr>
      </w:pPr>
      <w:r>
        <w:rPr>
          <w:rFonts w:eastAsia="Times New Roman"/>
          <w:noProof/>
          <w:lang w:eastAsia="de-DE"/>
        </w:rPr>
        <w:t>Meetings and bilateral contacts take place on a regular basis allowing for the systematic sharing of information and control. No risks have been identified in the control system.</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highlight w:val="yellow"/>
        </w:rPr>
      </w:pP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t>2.2.3.</w:t>
      </w:r>
      <w:r>
        <w:tab/>
      </w:r>
      <w:r>
        <w:rPr>
          <w:noProof/>
        </w:rPr>
        <w:t>Estimate of the costs and benefits of the controls and assessment of the expected level of risk of error</w:t>
      </w:r>
    </w:p>
    <w:p>
      <w:pPr>
        <w:pStyle w:val="Text1"/>
        <w:pBdr>
          <w:top w:val="single" w:sz="4" w:space="1" w:color="auto"/>
          <w:left w:val="single" w:sz="4" w:space="4" w:color="auto"/>
          <w:bottom w:val="single" w:sz="4" w:space="1" w:color="auto"/>
          <w:right w:val="single" w:sz="4" w:space="4" w:color="auto"/>
        </w:pBdr>
        <w:rPr>
          <w:noProof/>
          <w:highlight w:val="yellow"/>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Measures to prevent fraud and irregularities</w:t>
      </w:r>
    </w:p>
    <w:p>
      <w:pPr>
        <w:pStyle w:val="Text1"/>
        <w:rPr>
          <w:i/>
          <w:noProof/>
          <w:sz w:val="20"/>
        </w:rPr>
      </w:pPr>
      <w:r>
        <w:rPr>
          <w:i/>
          <w:noProof/>
          <w:sz w:val="20"/>
        </w:rPr>
        <w:t>Specify existing or envisaged prevention and protection measures.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rFonts w:eastAsia="Times New Roman"/>
          <w:noProof/>
          <w:szCs w:val="24"/>
        </w:rPr>
        <w:t>When the implementation of the framework programme calls for the use of external contractors or entails granting financial contributions to third parties, the Commission will carry out, where appropriate, financial audits, in particular if it has reason to doubt the realistic nature of work performed or described in the activity reports.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rFonts w:eastAsia="Times New Roman"/>
          <w:noProof/>
          <w:szCs w:val="24"/>
        </w:rPr>
        <w:t>The Union’s financial audits will be carried out either by its own staff or by accounting experts approved according to the law of the audited party. The Union will choose the latter freely, while avoiding any risks of conflicts of interest which might be indicated to it by the party subject to the audit. In addition, the Commission will make sure, in carrying out the research activities, that the financial interests of the Union are protected by effective checks and, where irregularities are detected, by deterrent and proportionate measures and penalties.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rFonts w:eastAsia="Times New Roman"/>
          <w:noProof/>
          <w:szCs w:val="24"/>
        </w:rPr>
        <w:t>In order to achieve this aim, rules on checks, measures and penalties, with reference to Regulations No 2988/95, No 2185/96 and No 1073/99 will be incorporated in all contracts used in the implementation of the framework programme.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rFonts w:eastAsia="Times New Roman"/>
          <w:noProof/>
          <w:szCs w:val="24"/>
        </w:rPr>
        <w:t>In particular, the following points will have to be provided for in the contracts: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rFonts w:eastAsia="Times New Roman"/>
          <w:noProof/>
          <w:szCs w:val="24"/>
        </w:rPr>
        <w:t>- the insertion of specific clauses in the contracts to protect the financial interests of the EU in carrying out checks and controls in relation to the work performed;</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rFonts w:eastAsia="Times New Roman"/>
          <w:noProof/>
          <w:szCs w:val="24"/>
        </w:rPr>
        <w:t>- the carrying out of administrative checks as part of anti-fraud measures, in accordance with Regulations No 2185/96, No 1073/1999 and No 1074/1999;</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rFonts w:eastAsia="Times New Roman"/>
          <w:noProof/>
          <w:szCs w:val="24"/>
        </w:rPr>
        <w:t>- the application of administrative penalties for all intentional or negligent irregularities in the implementation of the contracts, in accordance with the Framework Regulation No 2988/95, including a blacklisting mechanism;</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rFonts w:eastAsia="Times New Roman"/>
          <w:noProof/>
          <w:szCs w:val="24"/>
        </w:rPr>
        <w:t>- the fact that any recovery orders in the event of irregularities and fraud must be enforceable according to Article 299 of the Treaty on the Functioning of the European Union.</w:t>
      </w:r>
    </w:p>
    <w:p>
      <w:pPr>
        <w:pStyle w:val="Text1"/>
        <w:pBdr>
          <w:top w:val="single" w:sz="4" w:space="1" w:color="auto"/>
          <w:left w:val="single" w:sz="4" w:space="4" w:color="auto"/>
          <w:bottom w:val="single" w:sz="4" w:space="1" w:color="auto"/>
          <w:right w:val="single" w:sz="4" w:space="4" w:color="auto"/>
        </w:pBdr>
        <w:rPr>
          <w:noProof/>
        </w:rPr>
      </w:pPr>
      <w:r>
        <w:rPr>
          <w:noProof/>
        </w:rPr>
        <w:t>In addition and as a routine measure, a programme of checks on scientific and budgetary aspects of cooperation will be carried out by the staff responsible in the Directorate-General (DG) for Research and Innovation. An internal audit will be carried out by the Internal Audit unit of DG Research and Innovation, and local inspections will be carried out by the European Court of Auditors.</w:t>
      </w:r>
    </w:p>
    <w:p>
      <w:pPr>
        <w:pStyle w:val="Text1"/>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ESTIMATED FINANCIAL IMPACT OF THE PROPOSAL/INITIATIVE</w:t>
      </w:r>
    </w:p>
    <w:p>
      <w:pPr>
        <w:pStyle w:val="ManualHeading2"/>
        <w:rPr>
          <w:noProof/>
        </w:rPr>
      </w:pPr>
      <w:r>
        <w:t>3.1.</w:t>
      </w:r>
      <w:r>
        <w:tab/>
      </w:r>
      <w:r>
        <w:rPr>
          <w:noProof/>
        </w:rPr>
        <w:t>Heading(s) of the multiannual financial framework and expenditure budget line(s) affected</w:t>
      </w:r>
    </w:p>
    <w:p>
      <w:pPr>
        <w:pStyle w:val="ListBullet1"/>
        <w:rPr>
          <w:noProof/>
        </w:rPr>
      </w:pPr>
      <w:r>
        <w:rPr>
          <w:noProof/>
        </w:rPr>
        <w:t>Existing budget lines</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r>
              <w:rPr>
                <w:rStyle w:val="FootnoteReference"/>
                <w:noProof/>
                <w:sz w:val="18"/>
              </w:rPr>
              <w:footnoteReference w:id="9"/>
            </w:r>
            <w:r>
              <w:rPr>
                <w:noProof/>
                <w:sz w:val="18"/>
              </w:rPr>
              <w:t>.</w:t>
            </w:r>
          </w:p>
        </w:tc>
        <w:tc>
          <w:tcPr>
            <w:tcW w:w="956" w:type="dxa"/>
            <w:vAlign w:val="center"/>
          </w:tcPr>
          <w:p>
            <w:pPr>
              <w:jc w:val="center"/>
              <w:rPr>
                <w:noProof/>
                <w:sz w:val="22"/>
              </w:rPr>
            </w:pPr>
            <w:r>
              <w:rPr>
                <w:noProof/>
                <w:sz w:val="18"/>
              </w:rPr>
              <w:t>from EFTA countries</w:t>
            </w:r>
            <w:r>
              <w:rPr>
                <w:rStyle w:val="FootnoteReference"/>
                <w:noProof/>
                <w:sz w:val="18"/>
              </w:rPr>
              <w:footnoteReference w:id="10"/>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1"/>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b/>
                <w:noProof/>
                <w:color w:val="0000FF"/>
                <w:sz w:val="22"/>
              </w:rPr>
            </w:pPr>
            <w:r>
              <w:rPr>
                <w:b/>
                <w:noProof/>
              </w:rPr>
              <w:t>1a</w:t>
            </w:r>
          </w:p>
        </w:tc>
        <w:tc>
          <w:tcPr>
            <w:tcW w:w="3960" w:type="dxa"/>
            <w:vAlign w:val="bottom"/>
          </w:tcPr>
          <w:p>
            <w:pPr>
              <w:spacing w:before="60"/>
              <w:jc w:val="center"/>
              <w:rPr>
                <w:b/>
                <w:noProof/>
              </w:rPr>
            </w:pPr>
          </w:p>
          <w:p>
            <w:pPr>
              <w:spacing w:before="60"/>
              <w:jc w:val="center"/>
              <w:rPr>
                <w:b/>
                <w:noProof/>
                <w:sz w:val="22"/>
              </w:rPr>
            </w:pPr>
            <w:r>
              <w:rPr>
                <w:b/>
                <w:noProof/>
              </w:rPr>
              <w:t>08.01.05</w:t>
            </w:r>
          </w:p>
          <w:p>
            <w:pPr>
              <w:spacing w:after="60"/>
              <w:jc w:val="center"/>
              <w:rPr>
                <w:b/>
                <w:noProof/>
                <w:sz w:val="22"/>
              </w:rPr>
            </w:pPr>
          </w:p>
        </w:tc>
        <w:tc>
          <w:tcPr>
            <w:tcW w:w="1080" w:type="dxa"/>
            <w:vAlign w:val="center"/>
          </w:tcPr>
          <w:p>
            <w:pPr>
              <w:jc w:val="center"/>
              <w:rPr>
                <w:b/>
                <w:noProof/>
                <w:color w:val="0000FF"/>
                <w:sz w:val="22"/>
              </w:rPr>
            </w:pPr>
            <w:r>
              <w:rPr>
                <w:b/>
                <w:noProof/>
                <w:sz w:val="22"/>
              </w:rPr>
              <w:t>Non-diff.</w:t>
            </w:r>
          </w:p>
        </w:tc>
        <w:tc>
          <w:tcPr>
            <w:tcW w:w="956" w:type="dxa"/>
            <w:vAlign w:val="center"/>
          </w:tcPr>
          <w:p>
            <w:pPr>
              <w:jc w:val="center"/>
              <w:rPr>
                <w:b/>
                <w:noProof/>
                <w:sz w:val="22"/>
              </w:rPr>
            </w:pPr>
            <w:r>
              <w:rPr>
                <w:b/>
                <w:noProof/>
                <w:sz w:val="22"/>
              </w:rPr>
              <w:t>YES</w:t>
            </w:r>
          </w:p>
        </w:tc>
        <w:tc>
          <w:tcPr>
            <w:tcW w:w="1080" w:type="dxa"/>
            <w:vAlign w:val="center"/>
          </w:tcPr>
          <w:p>
            <w:pPr>
              <w:jc w:val="center"/>
              <w:rPr>
                <w:b/>
                <w:noProof/>
                <w:sz w:val="22"/>
              </w:rPr>
            </w:pPr>
            <w:r>
              <w:rPr>
                <w:b/>
                <w:noProof/>
                <w:sz w:val="22"/>
              </w:rPr>
              <w:t>YES</w:t>
            </w:r>
          </w:p>
        </w:tc>
        <w:tc>
          <w:tcPr>
            <w:tcW w:w="956" w:type="dxa"/>
            <w:vAlign w:val="center"/>
          </w:tcPr>
          <w:p>
            <w:pPr>
              <w:jc w:val="center"/>
              <w:rPr>
                <w:b/>
                <w:noProof/>
                <w:sz w:val="22"/>
              </w:rPr>
            </w:pPr>
            <w:r>
              <w:rPr>
                <w:b/>
                <w:noProof/>
                <w:sz w:val="22"/>
              </w:rPr>
              <w:t>NO</w:t>
            </w:r>
          </w:p>
        </w:tc>
        <w:tc>
          <w:tcPr>
            <w:tcW w:w="1448" w:type="dxa"/>
            <w:vAlign w:val="center"/>
          </w:tcPr>
          <w:p>
            <w:pPr>
              <w:jc w:val="center"/>
              <w:rPr>
                <w:b/>
                <w:noProof/>
                <w:sz w:val="22"/>
              </w:rPr>
            </w:pPr>
            <w:r>
              <w:rPr>
                <w:b/>
                <w:noProof/>
                <w:sz w:val="22"/>
              </w:rPr>
              <w:t>NO</w:t>
            </w:r>
          </w:p>
        </w:tc>
      </w:tr>
    </w:tbl>
    <w:p>
      <w:pPr>
        <w:pStyle w:val="ListBullet1"/>
        <w:rPr>
          <w:noProof/>
        </w:rPr>
      </w:pPr>
      <w:r>
        <w:rPr>
          <w:noProof/>
        </w:rPr>
        <w:t>New budget lines requested</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Number [Heading………………………………………]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Estimated impact on expenditure</w:t>
      </w:r>
    </w:p>
    <w:p>
      <w:pPr>
        <w:pStyle w:val="Text1"/>
        <w:rPr>
          <w:noProof/>
        </w:rPr>
      </w:pPr>
      <w:r>
        <w:rPr>
          <w:noProof/>
          <w:highlight w:val="lightGray"/>
        </w:rPr>
        <w:t xml:space="preserve">[This section should be filled in using the </w:t>
      </w:r>
      <w:hyperlink r:id="rId13"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CISNET for interservice consultation purposes.]</w:t>
      </w:r>
    </w:p>
    <w:p>
      <w:pPr>
        <w:pStyle w:val="ManualHeading3"/>
        <w:rPr>
          <w:noProof/>
          <w:u w:val="single"/>
        </w:rPr>
      </w:pPr>
      <w:r>
        <w:t>3.2.1.</w:t>
      </w:r>
      <w:r>
        <w:tab/>
      </w:r>
      <w:r>
        <w:rPr>
          <w:noProof/>
        </w:rPr>
        <w:t>Summary of estimated impact on expenditure</w:t>
      </w:r>
    </w:p>
    <w:p>
      <w:pPr>
        <w:jc w:val="right"/>
        <w:rPr>
          <w:noProof/>
          <w:sz w:val="20"/>
        </w:rPr>
      </w:pPr>
      <w:r>
        <w:rPr>
          <w:noProof/>
          <w:sz w:val="20"/>
        </w:rPr>
        <w:t>EUR million (to three decimal places)</w:t>
      </w:r>
    </w:p>
    <w:tbl>
      <w:tblPr>
        <w:tblW w:w="0" w:type="auto"/>
        <w:jc w:val="center"/>
        <w:tblInd w:w="-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tc>
        <w:tc>
          <w:tcPr>
            <w:tcW w:w="7817" w:type="dxa"/>
            <w:vAlign w:val="center"/>
          </w:tcPr>
          <w:p>
            <w:pPr>
              <w:spacing w:before="60" w:after="60"/>
              <w:rPr>
                <w:noProof/>
                <w:sz w:val="22"/>
              </w:rPr>
            </w:pPr>
            <w:r>
              <w:rPr>
                <w:noProof/>
                <w:sz w:val="22"/>
              </w:rPr>
              <w:t>[Heading……………...……………………………………………………………….]</w:t>
            </w:r>
          </w:p>
        </w:tc>
      </w:tr>
    </w:tbl>
    <w:p>
      <w:pPr>
        <w:rPr>
          <w:noProof/>
          <w:sz w:val="16"/>
        </w:rPr>
      </w:pPr>
    </w:p>
    <w:tbl>
      <w:tblPr>
        <w:tblW w:w="13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1777"/>
      </w:tblGrid>
      <w:tr>
        <w:tc>
          <w:tcPr>
            <w:tcW w:w="3960" w:type="dxa"/>
            <w:vAlign w:val="center"/>
          </w:tcPr>
          <w:p>
            <w:pPr>
              <w:jc w:val="center"/>
              <w:rPr>
                <w:noProof/>
                <w:sz w:val="22"/>
              </w:rPr>
            </w:pPr>
            <w:r>
              <w:rPr>
                <w:noProof/>
                <w:sz w:val="22"/>
              </w:rPr>
              <w:t>DG: &lt;RTD&gt;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2017</w:t>
            </w:r>
            <w:r>
              <w:rPr>
                <w:rStyle w:val="FootnoteReference"/>
                <w:b/>
                <w:noProof/>
                <w:sz w:val="20"/>
              </w:rPr>
              <w:footnoteReference w:id="12"/>
            </w: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rPr>
                <w:noProof/>
                <w:sz w:val="20"/>
              </w:rPr>
            </w:pPr>
            <w:r>
              <w:rPr>
                <w:noProof/>
                <w:sz w:val="20"/>
              </w:rPr>
              <w:t>Year</w:t>
            </w:r>
            <w:r>
              <w:rPr>
                <w:noProof/>
                <w:sz w:val="22"/>
              </w:rPr>
              <w:br/>
            </w:r>
            <w:r>
              <w:rPr>
                <w:b/>
                <w:noProof/>
                <w:sz w:val="20"/>
              </w:rPr>
              <w:t>2021</w:t>
            </w:r>
          </w:p>
        </w:tc>
        <w:tc>
          <w:tcPr>
            <w:tcW w:w="868" w:type="dxa"/>
            <w:vAlign w:val="center"/>
          </w:tcPr>
          <w:p>
            <w:pPr>
              <w:jc w:val="center"/>
              <w:rPr>
                <w:b/>
                <w:noProof/>
                <w:sz w:val="18"/>
              </w:rPr>
            </w:pPr>
            <w:r>
              <w:rPr>
                <w:noProof/>
                <w:sz w:val="20"/>
              </w:rPr>
              <w:t>Year</w:t>
            </w:r>
            <w:r>
              <w:rPr>
                <w:noProof/>
                <w:sz w:val="22"/>
              </w:rPr>
              <w:br/>
            </w:r>
            <w:r>
              <w:rPr>
                <w:b/>
                <w:noProof/>
                <w:sz w:val="20"/>
              </w:rPr>
              <w:t>2022</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3"/>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Number of budget line</w:t>
            </w:r>
          </w:p>
        </w:tc>
        <w:tc>
          <w:tcPr>
            <w:tcW w:w="1440" w:type="dxa"/>
            <w:vAlign w:val="center"/>
          </w:tcPr>
          <w:p>
            <w:pPr>
              <w:spacing w:before="40" w:after="40"/>
              <w:jc w:val="right"/>
              <w:rPr>
                <w:b/>
                <w:noProof/>
                <w:sz w:val="18"/>
              </w:rPr>
            </w:pPr>
            <w:r>
              <w:rPr>
                <w:b/>
                <w:noProof/>
                <w:sz w:val="18"/>
              </w:rPr>
              <w:t>08.01.05</w:t>
            </w: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 xml:space="preserve">for DG </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b/>
                <w:noProof/>
                <w:sz w:val="20"/>
              </w:rPr>
            </w:pPr>
            <w:r>
              <w:rPr>
                <w:b/>
                <w:noProof/>
                <w:sz w:val="20"/>
              </w:rPr>
              <w:t>0.024</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b/>
                <w:noProof/>
                <w:sz w:val="20"/>
              </w:rPr>
            </w:pPr>
            <w:r>
              <w:rPr>
                <w:b/>
                <w:noProof/>
                <w:sz w:val="20"/>
              </w:rPr>
              <w:t>0.024</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center"/>
              <w:rPr>
                <w:b/>
                <w:noProof/>
                <w:sz w:val="20"/>
              </w:rPr>
            </w:pPr>
            <w:r>
              <w:rPr>
                <w:b/>
                <w:noProof/>
                <w:sz w:val="20"/>
              </w:rPr>
              <w:t>0.024</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&lt;….&gt;</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center"/>
              <w:rPr>
                <w:b/>
                <w:noProof/>
                <w:sz w:val="20"/>
              </w:rPr>
            </w:pPr>
            <w:r>
              <w:rPr>
                <w:b/>
                <w:noProof/>
                <w:sz w:val="20"/>
              </w:rPr>
              <w:t>0.024</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center"/>
              <w:rPr>
                <w:b/>
                <w:noProof/>
                <w:sz w:val="20"/>
              </w:rPr>
            </w:pPr>
            <w:r>
              <w:rPr>
                <w:b/>
                <w:noProof/>
                <w:sz w:val="20"/>
              </w:rPr>
              <w:t>0.024</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b/>
                <w:noProof/>
                <w:sz w:val="20"/>
              </w:rPr>
            </w:pPr>
          </w:p>
        </w:tc>
        <w:tc>
          <w:tcPr>
            <w:tcW w:w="177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850"/>
        <w:gridCol w:w="851"/>
        <w:gridCol w:w="992"/>
        <w:gridCol w:w="1112"/>
        <w:gridCol w:w="22"/>
        <w:gridCol w:w="1280"/>
        <w:gridCol w:w="236"/>
        <w:gridCol w:w="1465"/>
        <w:gridCol w:w="8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969" w:type="dxa"/>
            <w:vAlign w:val="center"/>
          </w:tcPr>
          <w:p>
            <w:pPr>
              <w:jc w:val="center"/>
              <w:rPr>
                <w:noProof/>
                <w:sz w:val="20"/>
              </w:rPr>
            </w:pPr>
            <w:r>
              <w:rPr>
                <w:noProof/>
                <w:sz w:val="20"/>
              </w:rPr>
              <w:t>Year</w:t>
            </w:r>
            <w:r>
              <w:rPr>
                <w:noProof/>
                <w:sz w:val="22"/>
              </w:rPr>
              <w:br/>
            </w:r>
            <w:r>
              <w:rPr>
                <w:b/>
                <w:noProof/>
                <w:sz w:val="20"/>
              </w:rPr>
              <w:t>2017</w:t>
            </w:r>
            <w:r>
              <w:rPr>
                <w:rStyle w:val="FootnoteReference"/>
                <w:b/>
                <w:noProof/>
                <w:sz w:val="20"/>
              </w:rPr>
              <w:footnoteReference w:id="14"/>
            </w:r>
          </w:p>
        </w:tc>
        <w:tc>
          <w:tcPr>
            <w:tcW w:w="850" w:type="dxa"/>
            <w:vAlign w:val="center"/>
          </w:tcPr>
          <w:p>
            <w:pPr>
              <w:jc w:val="center"/>
              <w:rPr>
                <w:noProof/>
                <w:sz w:val="20"/>
              </w:rPr>
            </w:pPr>
            <w:r>
              <w:rPr>
                <w:noProof/>
                <w:sz w:val="20"/>
              </w:rPr>
              <w:t>Year</w:t>
            </w:r>
            <w:r>
              <w:rPr>
                <w:noProof/>
                <w:sz w:val="22"/>
              </w:rPr>
              <w:br/>
            </w:r>
            <w:r>
              <w:rPr>
                <w:b/>
                <w:noProof/>
                <w:sz w:val="20"/>
              </w:rPr>
              <w:t>20181</w:t>
            </w:r>
          </w:p>
        </w:tc>
        <w:tc>
          <w:tcPr>
            <w:tcW w:w="851" w:type="dxa"/>
            <w:vAlign w:val="center"/>
          </w:tcPr>
          <w:p>
            <w:pPr>
              <w:jc w:val="center"/>
              <w:rPr>
                <w:noProof/>
                <w:sz w:val="20"/>
              </w:rPr>
            </w:pPr>
            <w:r>
              <w:rPr>
                <w:noProof/>
                <w:sz w:val="20"/>
              </w:rPr>
              <w:t>Year</w:t>
            </w:r>
            <w:r>
              <w:rPr>
                <w:noProof/>
                <w:sz w:val="22"/>
              </w:rPr>
              <w:br/>
            </w:r>
            <w:r>
              <w:rPr>
                <w:b/>
                <w:noProof/>
                <w:sz w:val="20"/>
              </w:rPr>
              <w:t>2019</w:t>
            </w:r>
          </w:p>
        </w:tc>
        <w:tc>
          <w:tcPr>
            <w:tcW w:w="992" w:type="dxa"/>
            <w:vAlign w:val="center"/>
          </w:tcPr>
          <w:p>
            <w:pPr>
              <w:jc w:val="center"/>
              <w:rPr>
                <w:noProof/>
                <w:sz w:val="20"/>
              </w:rPr>
            </w:pPr>
            <w:r>
              <w:rPr>
                <w:noProof/>
                <w:sz w:val="20"/>
              </w:rPr>
              <w:t>Year</w:t>
            </w:r>
            <w:r>
              <w:rPr>
                <w:noProof/>
                <w:sz w:val="22"/>
              </w:rPr>
              <w:br/>
            </w:r>
            <w:r>
              <w:rPr>
                <w:b/>
                <w:noProof/>
                <w:sz w:val="20"/>
              </w:rPr>
              <w:t>2020</w:t>
            </w:r>
          </w:p>
        </w:tc>
        <w:tc>
          <w:tcPr>
            <w:tcW w:w="1112" w:type="dxa"/>
            <w:vAlign w:val="center"/>
          </w:tcPr>
          <w:p>
            <w:pPr>
              <w:jc w:val="center"/>
              <w:rPr>
                <w:b/>
                <w:noProof/>
                <w:sz w:val="18"/>
              </w:rPr>
            </w:pPr>
            <w:r>
              <w:rPr>
                <w:noProof/>
                <w:sz w:val="20"/>
              </w:rPr>
              <w:t>Year</w:t>
            </w:r>
            <w:r>
              <w:rPr>
                <w:noProof/>
                <w:sz w:val="22"/>
              </w:rPr>
              <w:br/>
            </w:r>
            <w:r>
              <w:rPr>
                <w:b/>
                <w:noProof/>
                <w:sz w:val="20"/>
              </w:rPr>
              <w:t>2021</w:t>
            </w:r>
          </w:p>
        </w:tc>
        <w:tc>
          <w:tcPr>
            <w:tcW w:w="1302" w:type="dxa"/>
            <w:gridSpan w:val="2"/>
            <w:vAlign w:val="center"/>
          </w:tcPr>
          <w:p>
            <w:pPr>
              <w:jc w:val="center"/>
              <w:rPr>
                <w:noProof/>
                <w:sz w:val="20"/>
              </w:rPr>
            </w:pPr>
            <w:r>
              <w:rPr>
                <w:noProof/>
                <w:sz w:val="20"/>
              </w:rPr>
              <w:t>Year</w:t>
            </w:r>
          </w:p>
          <w:p>
            <w:pPr>
              <w:jc w:val="center"/>
              <w:rPr>
                <w:b/>
                <w:noProof/>
                <w:sz w:val="20"/>
              </w:rPr>
            </w:pPr>
            <w:r>
              <w:rPr>
                <w:b/>
                <w:noProof/>
                <w:sz w:val="20"/>
              </w:rPr>
              <w:t>2022</w:t>
            </w:r>
          </w:p>
        </w:tc>
        <w:tc>
          <w:tcPr>
            <w:tcW w:w="1781" w:type="dxa"/>
            <w:gridSpan w:val="3"/>
            <w:vAlign w:val="center"/>
          </w:tcPr>
          <w:p>
            <w:pPr>
              <w:jc w:val="center"/>
              <w:rPr>
                <w:b/>
                <w:noProof/>
                <w:sz w:val="20"/>
              </w:rPr>
            </w:pPr>
            <w:r>
              <w:rPr>
                <w:b/>
                <w:noProof/>
                <w:sz w:val="20"/>
              </w:rPr>
              <w:t>TOTAL</w:t>
            </w:r>
          </w:p>
        </w:tc>
      </w:tr>
      <w:tr>
        <w:trPr>
          <w:gridAfter w:val="12"/>
          <w:wAfter w:w="9951" w:type="dxa"/>
        </w:trPr>
        <w:tc>
          <w:tcPr>
            <w:tcW w:w="3960" w:type="dxa"/>
            <w:vAlign w:val="center"/>
          </w:tcPr>
          <w:p>
            <w:pPr>
              <w:spacing w:before="60" w:after="60"/>
              <w:jc w:val="center"/>
              <w:rPr>
                <w:noProof/>
                <w:sz w:val="22"/>
              </w:rPr>
            </w:pPr>
            <w:r>
              <w:rPr>
                <w:noProof/>
                <w:sz w:val="22"/>
              </w:rPr>
              <w:t>DG: &lt;…….&gt;</w:t>
            </w:r>
          </w:p>
        </w:tc>
      </w:tr>
      <w:tr>
        <w:trPr>
          <w:gridAfter w:val="1"/>
          <w:wAfter w:w="80" w:type="dxa"/>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969" w:type="dxa"/>
            <w:vAlign w:val="center"/>
          </w:tcPr>
          <w:p>
            <w:pPr>
              <w:spacing w:before="20" w:after="20"/>
              <w:jc w:val="right"/>
              <w:rPr>
                <w:noProof/>
                <w:sz w:val="20"/>
              </w:rPr>
            </w:pPr>
          </w:p>
        </w:tc>
        <w:tc>
          <w:tcPr>
            <w:tcW w:w="850" w:type="dxa"/>
            <w:vAlign w:val="center"/>
          </w:tcPr>
          <w:p>
            <w:pPr>
              <w:spacing w:before="20" w:after="20"/>
              <w:jc w:val="right"/>
              <w:rPr>
                <w:noProof/>
                <w:sz w:val="20"/>
              </w:rPr>
            </w:pPr>
          </w:p>
        </w:tc>
        <w:tc>
          <w:tcPr>
            <w:tcW w:w="851"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1134" w:type="dxa"/>
            <w:gridSpan w:val="2"/>
            <w:vAlign w:val="center"/>
          </w:tcPr>
          <w:p>
            <w:pPr>
              <w:spacing w:before="20" w:after="20"/>
              <w:jc w:val="right"/>
              <w:rPr>
                <w:noProof/>
                <w:sz w:val="20"/>
              </w:rPr>
            </w:pPr>
          </w:p>
        </w:tc>
        <w:tc>
          <w:tcPr>
            <w:tcW w:w="1280" w:type="dxa"/>
            <w:vAlign w:val="center"/>
          </w:tcPr>
          <w:p>
            <w:pPr>
              <w:spacing w:before="20" w:after="20"/>
              <w:jc w:val="right"/>
              <w:rPr>
                <w:noProof/>
                <w:sz w:val="20"/>
              </w:rPr>
            </w:pPr>
          </w:p>
        </w:tc>
        <w:tc>
          <w:tcPr>
            <w:tcW w:w="236" w:type="dxa"/>
            <w:vAlign w:val="center"/>
          </w:tcPr>
          <w:p>
            <w:pPr>
              <w:spacing w:before="20" w:after="20"/>
              <w:jc w:val="right"/>
              <w:rPr>
                <w:b/>
                <w:noProof/>
                <w:sz w:val="20"/>
              </w:rPr>
            </w:pPr>
          </w:p>
        </w:tc>
        <w:tc>
          <w:tcPr>
            <w:tcW w:w="1465" w:type="dxa"/>
            <w:vAlign w:val="center"/>
          </w:tcPr>
          <w:p>
            <w:pPr>
              <w:spacing w:before="20" w:after="20"/>
              <w:jc w:val="right"/>
              <w:rPr>
                <w:b/>
                <w:noProof/>
                <w:sz w:val="20"/>
              </w:rPr>
            </w:pPr>
          </w:p>
        </w:tc>
      </w:tr>
      <w:tr>
        <w:trPr>
          <w:gridAfter w:val="1"/>
          <w:wAfter w:w="80" w:type="dxa"/>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969" w:type="dxa"/>
            <w:vAlign w:val="center"/>
          </w:tcPr>
          <w:p>
            <w:pPr>
              <w:spacing w:before="20" w:after="20"/>
              <w:jc w:val="right"/>
              <w:rPr>
                <w:b/>
                <w:noProof/>
                <w:sz w:val="20"/>
              </w:rPr>
            </w:pPr>
            <w:r>
              <w:rPr>
                <w:b/>
                <w:noProof/>
                <w:sz w:val="20"/>
              </w:rPr>
              <w:t>0.003</w:t>
            </w:r>
          </w:p>
        </w:tc>
        <w:tc>
          <w:tcPr>
            <w:tcW w:w="850" w:type="dxa"/>
            <w:vAlign w:val="center"/>
          </w:tcPr>
          <w:p>
            <w:pPr>
              <w:spacing w:before="20" w:after="20"/>
              <w:jc w:val="right"/>
              <w:rPr>
                <w:b/>
                <w:noProof/>
                <w:sz w:val="20"/>
              </w:rPr>
            </w:pPr>
            <w:r>
              <w:rPr>
                <w:b/>
                <w:noProof/>
                <w:sz w:val="20"/>
              </w:rPr>
              <w:t>0.008</w:t>
            </w:r>
          </w:p>
        </w:tc>
        <w:tc>
          <w:tcPr>
            <w:tcW w:w="851" w:type="dxa"/>
            <w:vAlign w:val="center"/>
          </w:tcPr>
          <w:p>
            <w:pPr>
              <w:spacing w:before="20" w:after="20"/>
              <w:jc w:val="right"/>
              <w:rPr>
                <w:b/>
                <w:noProof/>
                <w:sz w:val="20"/>
              </w:rPr>
            </w:pPr>
            <w:r>
              <w:rPr>
                <w:b/>
                <w:noProof/>
                <w:sz w:val="20"/>
              </w:rPr>
              <w:t>0.008</w:t>
            </w:r>
          </w:p>
        </w:tc>
        <w:tc>
          <w:tcPr>
            <w:tcW w:w="992" w:type="dxa"/>
            <w:vAlign w:val="center"/>
          </w:tcPr>
          <w:p>
            <w:pPr>
              <w:spacing w:before="20" w:after="20"/>
              <w:jc w:val="right"/>
              <w:rPr>
                <w:b/>
                <w:noProof/>
                <w:sz w:val="20"/>
              </w:rPr>
            </w:pPr>
            <w:r>
              <w:rPr>
                <w:b/>
                <w:noProof/>
                <w:sz w:val="20"/>
              </w:rPr>
              <w:t>0.008</w:t>
            </w:r>
          </w:p>
        </w:tc>
        <w:tc>
          <w:tcPr>
            <w:tcW w:w="1134" w:type="dxa"/>
            <w:gridSpan w:val="2"/>
            <w:vAlign w:val="center"/>
          </w:tcPr>
          <w:p>
            <w:pPr>
              <w:spacing w:before="20" w:after="20"/>
              <w:jc w:val="right"/>
              <w:rPr>
                <w:b/>
                <w:noProof/>
                <w:sz w:val="20"/>
              </w:rPr>
            </w:pPr>
            <w:r>
              <w:rPr>
                <w:b/>
                <w:noProof/>
                <w:sz w:val="20"/>
              </w:rPr>
              <w:t>0.008</w:t>
            </w:r>
          </w:p>
        </w:tc>
        <w:tc>
          <w:tcPr>
            <w:tcW w:w="1280" w:type="dxa"/>
            <w:vAlign w:val="center"/>
          </w:tcPr>
          <w:p>
            <w:pPr>
              <w:spacing w:before="20" w:after="20"/>
              <w:jc w:val="right"/>
              <w:rPr>
                <w:b/>
                <w:noProof/>
                <w:sz w:val="20"/>
              </w:rPr>
            </w:pPr>
            <w:r>
              <w:rPr>
                <w:b/>
                <w:noProof/>
                <w:sz w:val="20"/>
              </w:rPr>
              <w:t>0.005</w:t>
            </w:r>
          </w:p>
        </w:tc>
        <w:tc>
          <w:tcPr>
            <w:tcW w:w="1701" w:type="dxa"/>
            <w:gridSpan w:val="2"/>
            <w:vAlign w:val="center"/>
          </w:tcPr>
          <w:p>
            <w:pPr>
              <w:spacing w:before="20" w:after="20"/>
              <w:jc w:val="right"/>
              <w:rPr>
                <w:b/>
                <w:noProof/>
                <w:sz w:val="20"/>
              </w:rPr>
            </w:pPr>
            <w:r>
              <w:rPr>
                <w:b/>
                <w:noProof/>
                <w:sz w:val="20"/>
              </w:rPr>
              <w:t>0.04</w:t>
            </w:r>
          </w:p>
        </w:tc>
      </w:tr>
      <w:tr>
        <w:trPr>
          <w:gridAfter w:val="1"/>
          <w:wAfter w:w="80" w:type="dxa"/>
        </w:trPr>
        <w:tc>
          <w:tcPr>
            <w:tcW w:w="3960" w:type="dxa"/>
            <w:vAlign w:val="center"/>
          </w:tcPr>
          <w:p>
            <w:pPr>
              <w:jc w:val="center"/>
              <w:rPr>
                <w:b/>
                <w:noProof/>
                <w:sz w:val="22"/>
              </w:rPr>
            </w:pPr>
            <w:r>
              <w:rPr>
                <w:b/>
                <w:noProof/>
                <w:sz w:val="22"/>
              </w:rPr>
              <w:t xml:space="preserve">TOTAL DG </w:t>
            </w:r>
            <w:r>
              <w:rPr>
                <w:noProof/>
                <w:sz w:val="22"/>
              </w:rPr>
              <w:t>&lt;…….&gt;</w:t>
            </w:r>
          </w:p>
        </w:tc>
        <w:tc>
          <w:tcPr>
            <w:tcW w:w="2094" w:type="dxa"/>
            <w:gridSpan w:val="2"/>
            <w:vAlign w:val="center"/>
          </w:tcPr>
          <w:p>
            <w:pPr>
              <w:rPr>
                <w:noProof/>
                <w:sz w:val="14"/>
              </w:rPr>
            </w:pPr>
            <w:r>
              <w:rPr>
                <w:noProof/>
                <w:sz w:val="18"/>
              </w:rPr>
              <w:t xml:space="preserve">Appropriations </w:t>
            </w:r>
          </w:p>
        </w:tc>
        <w:tc>
          <w:tcPr>
            <w:tcW w:w="969" w:type="dxa"/>
            <w:vAlign w:val="center"/>
          </w:tcPr>
          <w:p>
            <w:pPr>
              <w:spacing w:before="60" w:after="60"/>
              <w:jc w:val="right"/>
              <w:rPr>
                <w:noProof/>
                <w:sz w:val="20"/>
              </w:rPr>
            </w:pPr>
            <w:r>
              <w:rPr>
                <w:b/>
                <w:noProof/>
                <w:sz w:val="20"/>
              </w:rPr>
              <w:t>0.003</w:t>
            </w:r>
          </w:p>
        </w:tc>
        <w:tc>
          <w:tcPr>
            <w:tcW w:w="850" w:type="dxa"/>
            <w:vAlign w:val="center"/>
          </w:tcPr>
          <w:p>
            <w:pPr>
              <w:spacing w:before="20" w:after="20"/>
              <w:jc w:val="right"/>
              <w:rPr>
                <w:noProof/>
                <w:sz w:val="20"/>
              </w:rPr>
            </w:pPr>
            <w:r>
              <w:rPr>
                <w:b/>
                <w:noProof/>
                <w:sz w:val="20"/>
              </w:rPr>
              <w:t>0.008</w:t>
            </w:r>
          </w:p>
        </w:tc>
        <w:tc>
          <w:tcPr>
            <w:tcW w:w="851" w:type="dxa"/>
            <w:vAlign w:val="center"/>
          </w:tcPr>
          <w:p>
            <w:pPr>
              <w:spacing w:before="20" w:after="20"/>
              <w:jc w:val="right"/>
              <w:rPr>
                <w:noProof/>
                <w:sz w:val="20"/>
              </w:rPr>
            </w:pPr>
            <w:r>
              <w:rPr>
                <w:b/>
                <w:noProof/>
                <w:sz w:val="20"/>
              </w:rPr>
              <w:t>0.008</w:t>
            </w:r>
          </w:p>
        </w:tc>
        <w:tc>
          <w:tcPr>
            <w:tcW w:w="992" w:type="dxa"/>
            <w:vAlign w:val="center"/>
          </w:tcPr>
          <w:p>
            <w:pPr>
              <w:spacing w:before="20" w:after="20"/>
              <w:jc w:val="right"/>
              <w:rPr>
                <w:noProof/>
                <w:sz w:val="20"/>
              </w:rPr>
            </w:pPr>
            <w:r>
              <w:rPr>
                <w:b/>
                <w:noProof/>
                <w:sz w:val="20"/>
              </w:rPr>
              <w:t>0.008</w:t>
            </w:r>
          </w:p>
        </w:tc>
        <w:tc>
          <w:tcPr>
            <w:tcW w:w="1134" w:type="dxa"/>
            <w:gridSpan w:val="2"/>
            <w:vAlign w:val="center"/>
          </w:tcPr>
          <w:p>
            <w:pPr>
              <w:spacing w:before="20" w:after="20"/>
              <w:jc w:val="right"/>
              <w:rPr>
                <w:noProof/>
                <w:sz w:val="20"/>
              </w:rPr>
            </w:pPr>
            <w:r>
              <w:rPr>
                <w:b/>
                <w:noProof/>
                <w:sz w:val="20"/>
              </w:rPr>
              <w:t>0.008</w:t>
            </w:r>
          </w:p>
        </w:tc>
        <w:tc>
          <w:tcPr>
            <w:tcW w:w="1280" w:type="dxa"/>
            <w:vAlign w:val="center"/>
          </w:tcPr>
          <w:p>
            <w:pPr>
              <w:spacing w:before="20" w:after="20"/>
              <w:jc w:val="right"/>
              <w:rPr>
                <w:b/>
                <w:noProof/>
                <w:sz w:val="20"/>
              </w:rPr>
            </w:pPr>
            <w:r>
              <w:rPr>
                <w:b/>
                <w:noProof/>
                <w:sz w:val="20"/>
              </w:rPr>
              <w:t>0.005</w:t>
            </w:r>
          </w:p>
        </w:tc>
        <w:tc>
          <w:tcPr>
            <w:tcW w:w="1701" w:type="dxa"/>
            <w:gridSpan w:val="2"/>
            <w:vAlign w:val="center"/>
          </w:tcPr>
          <w:p>
            <w:pPr>
              <w:spacing w:before="20" w:after="20"/>
              <w:jc w:val="right"/>
              <w:rPr>
                <w:b/>
                <w:noProof/>
                <w:sz w:val="20"/>
              </w:rPr>
            </w:pPr>
            <w:r>
              <w:rPr>
                <w:b/>
                <w:noProof/>
                <w:sz w:val="20"/>
              </w:rPr>
              <w:t>0.04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69"/>
        <w:gridCol w:w="850"/>
        <w:gridCol w:w="851"/>
        <w:gridCol w:w="992"/>
        <w:gridCol w:w="1134"/>
        <w:gridCol w:w="1276"/>
        <w:gridCol w:w="1701"/>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969" w:type="dxa"/>
            <w:vAlign w:val="center"/>
          </w:tcPr>
          <w:p>
            <w:pPr>
              <w:spacing w:before="20" w:after="20"/>
              <w:jc w:val="right"/>
              <w:rPr>
                <w:noProof/>
                <w:sz w:val="20"/>
              </w:rPr>
            </w:pPr>
            <w:r>
              <w:rPr>
                <w:b/>
                <w:noProof/>
                <w:sz w:val="20"/>
              </w:rPr>
              <w:t>0.003</w:t>
            </w:r>
          </w:p>
        </w:tc>
        <w:tc>
          <w:tcPr>
            <w:tcW w:w="850" w:type="dxa"/>
            <w:vAlign w:val="center"/>
          </w:tcPr>
          <w:p>
            <w:pPr>
              <w:spacing w:before="20" w:after="20"/>
              <w:jc w:val="right"/>
              <w:rPr>
                <w:noProof/>
                <w:sz w:val="20"/>
              </w:rPr>
            </w:pPr>
            <w:r>
              <w:rPr>
                <w:b/>
                <w:noProof/>
                <w:sz w:val="20"/>
              </w:rPr>
              <w:t>0.008</w:t>
            </w:r>
          </w:p>
        </w:tc>
        <w:tc>
          <w:tcPr>
            <w:tcW w:w="851" w:type="dxa"/>
            <w:vAlign w:val="center"/>
          </w:tcPr>
          <w:p>
            <w:pPr>
              <w:spacing w:before="20" w:after="20"/>
              <w:jc w:val="right"/>
              <w:rPr>
                <w:noProof/>
                <w:sz w:val="20"/>
              </w:rPr>
            </w:pPr>
            <w:r>
              <w:rPr>
                <w:b/>
                <w:noProof/>
                <w:sz w:val="20"/>
              </w:rPr>
              <w:t>0.008</w:t>
            </w:r>
          </w:p>
        </w:tc>
        <w:tc>
          <w:tcPr>
            <w:tcW w:w="992" w:type="dxa"/>
            <w:vAlign w:val="center"/>
          </w:tcPr>
          <w:p>
            <w:pPr>
              <w:spacing w:before="20" w:after="20"/>
              <w:jc w:val="right"/>
              <w:rPr>
                <w:noProof/>
                <w:sz w:val="20"/>
              </w:rPr>
            </w:pPr>
            <w:r>
              <w:rPr>
                <w:b/>
                <w:noProof/>
                <w:sz w:val="20"/>
              </w:rPr>
              <w:t>0.008</w:t>
            </w:r>
          </w:p>
        </w:tc>
        <w:tc>
          <w:tcPr>
            <w:tcW w:w="1134" w:type="dxa"/>
            <w:vAlign w:val="center"/>
          </w:tcPr>
          <w:p>
            <w:pPr>
              <w:spacing w:before="20" w:after="20"/>
              <w:jc w:val="right"/>
              <w:rPr>
                <w:noProof/>
                <w:sz w:val="20"/>
              </w:rPr>
            </w:pPr>
            <w:r>
              <w:rPr>
                <w:b/>
                <w:noProof/>
                <w:sz w:val="20"/>
              </w:rPr>
              <w:t>0.008</w:t>
            </w:r>
          </w:p>
        </w:tc>
        <w:tc>
          <w:tcPr>
            <w:tcW w:w="1276" w:type="dxa"/>
            <w:vAlign w:val="center"/>
          </w:tcPr>
          <w:p>
            <w:pPr>
              <w:spacing w:before="20" w:after="20"/>
              <w:jc w:val="right"/>
              <w:rPr>
                <w:noProof/>
                <w:sz w:val="20"/>
              </w:rPr>
            </w:pPr>
            <w:r>
              <w:rPr>
                <w:b/>
                <w:noProof/>
                <w:sz w:val="20"/>
              </w:rPr>
              <w:t>0.005</w:t>
            </w:r>
          </w:p>
        </w:tc>
        <w:tc>
          <w:tcPr>
            <w:tcW w:w="1701" w:type="dxa"/>
            <w:vAlign w:val="center"/>
          </w:tcPr>
          <w:p>
            <w:pPr>
              <w:spacing w:before="20" w:after="20"/>
              <w:jc w:val="right"/>
              <w:rPr>
                <w:b/>
                <w:noProof/>
                <w:sz w:val="20"/>
              </w:rPr>
            </w:pPr>
            <w:r>
              <w:rPr>
                <w:b/>
                <w:noProof/>
                <w:sz w:val="20"/>
              </w:rPr>
              <w:t>0.04</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302"/>
        <w:gridCol w:w="22"/>
        <w:gridCol w:w="1280"/>
        <w:gridCol w:w="1838"/>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2017</w:t>
            </w:r>
            <w:r>
              <w:rPr>
                <w:rStyle w:val="FootnoteReference"/>
                <w:b/>
                <w:noProof/>
                <w:sz w:val="20"/>
              </w:rPr>
              <w:footnoteReference w:id="15"/>
            </w: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1302" w:type="dxa"/>
            <w:vAlign w:val="center"/>
          </w:tcPr>
          <w:p>
            <w:pPr>
              <w:jc w:val="center"/>
              <w:rPr>
                <w:noProof/>
                <w:sz w:val="20"/>
              </w:rPr>
            </w:pPr>
            <w:r>
              <w:rPr>
                <w:noProof/>
                <w:sz w:val="20"/>
              </w:rPr>
              <w:t>Year</w:t>
            </w:r>
          </w:p>
          <w:p>
            <w:pPr>
              <w:jc w:val="center"/>
              <w:rPr>
                <w:b/>
                <w:noProof/>
                <w:sz w:val="18"/>
              </w:rPr>
            </w:pPr>
            <w:r>
              <w:rPr>
                <w:b/>
                <w:noProof/>
                <w:sz w:val="20"/>
              </w:rPr>
              <w:t>2021</w:t>
            </w:r>
          </w:p>
        </w:tc>
        <w:tc>
          <w:tcPr>
            <w:tcW w:w="1302" w:type="dxa"/>
            <w:gridSpan w:val="2"/>
            <w:vAlign w:val="center"/>
          </w:tcPr>
          <w:p>
            <w:pPr>
              <w:jc w:val="center"/>
              <w:rPr>
                <w:noProof/>
                <w:sz w:val="20"/>
              </w:rPr>
            </w:pPr>
            <w:r>
              <w:rPr>
                <w:noProof/>
                <w:sz w:val="20"/>
              </w:rPr>
              <w:t>Year</w:t>
            </w:r>
          </w:p>
          <w:p>
            <w:pPr>
              <w:jc w:val="center"/>
              <w:rPr>
                <w:b/>
                <w:noProof/>
                <w:sz w:val="20"/>
              </w:rPr>
            </w:pPr>
            <w:r>
              <w:rPr>
                <w:b/>
                <w:noProof/>
                <w:sz w:val="20"/>
              </w:rPr>
              <w:t>2022</w:t>
            </w:r>
          </w:p>
        </w:tc>
        <w:tc>
          <w:tcPr>
            <w:tcW w:w="1838"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b/>
                <w:noProof/>
                <w:sz w:val="20"/>
              </w:rPr>
            </w:pPr>
            <w:r>
              <w:rPr>
                <w:b/>
                <w:noProof/>
                <w:sz w:val="20"/>
              </w:rPr>
              <w:t>0.027</w:t>
            </w:r>
          </w:p>
        </w:tc>
        <w:tc>
          <w:tcPr>
            <w:tcW w:w="868" w:type="dxa"/>
            <w:vAlign w:val="center"/>
          </w:tcPr>
          <w:p>
            <w:pPr>
              <w:spacing w:before="60" w:after="60"/>
              <w:jc w:val="right"/>
              <w:rPr>
                <w:b/>
                <w:noProof/>
                <w:sz w:val="20"/>
              </w:rPr>
            </w:pPr>
            <w:r>
              <w:rPr>
                <w:b/>
                <w:noProof/>
                <w:sz w:val="20"/>
              </w:rPr>
              <w:t>0.069</w:t>
            </w:r>
          </w:p>
        </w:tc>
        <w:tc>
          <w:tcPr>
            <w:tcW w:w="868" w:type="dxa"/>
            <w:vAlign w:val="center"/>
          </w:tcPr>
          <w:p>
            <w:pPr>
              <w:spacing w:before="60" w:after="60"/>
              <w:jc w:val="right"/>
              <w:rPr>
                <w:b/>
                <w:noProof/>
                <w:sz w:val="20"/>
              </w:rPr>
            </w:pPr>
            <w:r>
              <w:rPr>
                <w:b/>
                <w:noProof/>
                <w:sz w:val="20"/>
              </w:rPr>
              <w:t>0.069</w:t>
            </w:r>
          </w:p>
        </w:tc>
        <w:tc>
          <w:tcPr>
            <w:tcW w:w="868" w:type="dxa"/>
            <w:vAlign w:val="center"/>
          </w:tcPr>
          <w:p>
            <w:pPr>
              <w:spacing w:before="60" w:after="60"/>
              <w:jc w:val="right"/>
              <w:rPr>
                <w:b/>
                <w:noProof/>
                <w:sz w:val="20"/>
              </w:rPr>
            </w:pPr>
            <w:r>
              <w:rPr>
                <w:b/>
                <w:noProof/>
                <w:sz w:val="20"/>
              </w:rPr>
              <w:t>0.069</w:t>
            </w:r>
          </w:p>
        </w:tc>
        <w:tc>
          <w:tcPr>
            <w:tcW w:w="1324" w:type="dxa"/>
            <w:gridSpan w:val="2"/>
            <w:vAlign w:val="center"/>
          </w:tcPr>
          <w:p>
            <w:pPr>
              <w:spacing w:before="60" w:after="60"/>
              <w:jc w:val="right"/>
              <w:rPr>
                <w:b/>
                <w:noProof/>
                <w:sz w:val="20"/>
              </w:rPr>
            </w:pPr>
            <w:r>
              <w:rPr>
                <w:b/>
                <w:noProof/>
                <w:sz w:val="20"/>
              </w:rPr>
              <w:t>0.069</w:t>
            </w:r>
          </w:p>
        </w:tc>
        <w:tc>
          <w:tcPr>
            <w:tcW w:w="1280" w:type="dxa"/>
            <w:vAlign w:val="center"/>
          </w:tcPr>
          <w:p>
            <w:pPr>
              <w:spacing w:before="60" w:after="60"/>
              <w:jc w:val="right"/>
              <w:rPr>
                <w:b/>
                <w:noProof/>
                <w:sz w:val="20"/>
              </w:rPr>
            </w:pPr>
            <w:r>
              <w:rPr>
                <w:b/>
                <w:noProof/>
                <w:sz w:val="20"/>
              </w:rPr>
              <w:t>0.042</w:t>
            </w:r>
          </w:p>
        </w:tc>
        <w:tc>
          <w:tcPr>
            <w:tcW w:w="1838" w:type="dxa"/>
            <w:vAlign w:val="center"/>
          </w:tcPr>
          <w:p>
            <w:pPr>
              <w:spacing w:before="60" w:after="60"/>
              <w:jc w:val="right"/>
              <w:rPr>
                <w:b/>
                <w:noProof/>
                <w:sz w:val="20"/>
              </w:rPr>
            </w:pPr>
            <w:r>
              <w:rPr>
                <w:b/>
                <w:noProof/>
                <w:sz w:val="20"/>
              </w:rPr>
              <w:t>0.345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b/>
                <w:noProof/>
                <w:sz w:val="20"/>
              </w:rPr>
              <w:t>0.027</w:t>
            </w:r>
          </w:p>
        </w:tc>
        <w:tc>
          <w:tcPr>
            <w:tcW w:w="868" w:type="dxa"/>
            <w:vAlign w:val="center"/>
          </w:tcPr>
          <w:p>
            <w:pPr>
              <w:spacing w:before="60" w:after="60"/>
              <w:jc w:val="right"/>
              <w:rPr>
                <w:noProof/>
                <w:sz w:val="20"/>
              </w:rPr>
            </w:pPr>
            <w:r>
              <w:rPr>
                <w:b/>
                <w:noProof/>
                <w:sz w:val="20"/>
              </w:rPr>
              <w:t>0.069</w:t>
            </w:r>
          </w:p>
        </w:tc>
        <w:tc>
          <w:tcPr>
            <w:tcW w:w="868" w:type="dxa"/>
            <w:vAlign w:val="center"/>
          </w:tcPr>
          <w:p>
            <w:pPr>
              <w:spacing w:before="60" w:after="60"/>
              <w:jc w:val="right"/>
              <w:rPr>
                <w:noProof/>
                <w:sz w:val="20"/>
              </w:rPr>
            </w:pPr>
            <w:r>
              <w:rPr>
                <w:b/>
                <w:noProof/>
                <w:sz w:val="20"/>
              </w:rPr>
              <w:t>0.069</w:t>
            </w:r>
          </w:p>
        </w:tc>
        <w:tc>
          <w:tcPr>
            <w:tcW w:w="868" w:type="dxa"/>
            <w:vAlign w:val="center"/>
          </w:tcPr>
          <w:p>
            <w:pPr>
              <w:spacing w:before="60" w:after="60"/>
              <w:jc w:val="right"/>
              <w:rPr>
                <w:noProof/>
                <w:sz w:val="20"/>
              </w:rPr>
            </w:pPr>
            <w:r>
              <w:rPr>
                <w:b/>
                <w:noProof/>
                <w:sz w:val="20"/>
              </w:rPr>
              <w:t>0.069</w:t>
            </w:r>
          </w:p>
        </w:tc>
        <w:tc>
          <w:tcPr>
            <w:tcW w:w="1324" w:type="dxa"/>
            <w:gridSpan w:val="2"/>
            <w:vAlign w:val="center"/>
          </w:tcPr>
          <w:p>
            <w:pPr>
              <w:spacing w:before="60" w:after="60"/>
              <w:jc w:val="right"/>
              <w:rPr>
                <w:noProof/>
                <w:sz w:val="20"/>
              </w:rPr>
            </w:pPr>
            <w:r>
              <w:rPr>
                <w:b/>
                <w:noProof/>
                <w:sz w:val="20"/>
              </w:rPr>
              <w:t>0.069</w:t>
            </w:r>
          </w:p>
        </w:tc>
        <w:tc>
          <w:tcPr>
            <w:tcW w:w="1280" w:type="dxa"/>
            <w:vAlign w:val="center"/>
          </w:tcPr>
          <w:p>
            <w:pPr>
              <w:spacing w:before="60" w:after="60"/>
              <w:jc w:val="right"/>
              <w:rPr>
                <w:b/>
                <w:noProof/>
                <w:sz w:val="20"/>
              </w:rPr>
            </w:pPr>
            <w:r>
              <w:rPr>
                <w:b/>
                <w:noProof/>
                <w:sz w:val="20"/>
              </w:rPr>
              <w:t>0.042</w:t>
            </w:r>
          </w:p>
        </w:tc>
        <w:tc>
          <w:tcPr>
            <w:tcW w:w="1838" w:type="dxa"/>
            <w:vAlign w:val="center"/>
          </w:tcPr>
          <w:p>
            <w:pPr>
              <w:spacing w:before="60" w:after="60"/>
              <w:jc w:val="right"/>
              <w:rPr>
                <w:b/>
                <w:noProof/>
                <w:sz w:val="20"/>
              </w:rPr>
            </w:pPr>
            <w:r>
              <w:rPr>
                <w:b/>
                <w:noProof/>
                <w:sz w:val="20"/>
              </w:rPr>
              <w:t>0.345</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Estimated impact on operational appropriations</w:t>
      </w:r>
    </w:p>
    <w:p>
      <w:pPr>
        <w:pStyle w:val="ListDash1"/>
        <w:rPr>
          <w:noProof/>
        </w:rPr>
      </w:pPr>
      <w:r>
        <w:rPr>
          <w:noProof/>
        </w:rPr>
        <w:sym w:font="Wingdings" w:char="F0FE"/>
      </w:r>
      <w:r>
        <w:rPr>
          <w:noProof/>
        </w:rPr>
        <w:tab/>
        <w:t>The proposal/initiative does not require the use of operational appropriations</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Indicate objectives and outputs</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6"/>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17"/>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Summary</w:t>
      </w:r>
    </w:p>
    <w:p>
      <w:pPr>
        <w:pStyle w:val="ListDash1"/>
        <w:rPr>
          <w:noProof/>
        </w:rPr>
      </w:pPr>
      <w:r>
        <w:rPr>
          <w:noProof/>
        </w:rPr>
        <w:sym w:font="Wingdings" w:char="F0A8"/>
      </w:r>
      <w:r>
        <w:rPr>
          <w:noProof/>
        </w:rPr>
        <w:tab/>
        <w:t>The proposal/initiative does not require the use of appropriations of an administrative nature</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2017 </w:t>
            </w:r>
            <w:r>
              <w:rPr>
                <w:rStyle w:val="FootnoteReference"/>
                <w:b/>
                <w:noProof/>
                <w:sz w:val="16"/>
              </w:rPr>
              <w:footnoteReference w:id="18"/>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2018</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2019</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pPr>
              <w:spacing w:line="200" w:lineRule="exact"/>
              <w:jc w:val="center"/>
              <w:rPr>
                <w:b/>
                <w:noProof/>
                <w:sz w:val="16"/>
                <w:szCs w:val="16"/>
              </w:rPr>
            </w:pPr>
            <w:r>
              <w:rPr>
                <w:noProof/>
                <w:sz w:val="16"/>
              </w:rPr>
              <w:t>Year</w:t>
            </w:r>
            <w:r>
              <w:rPr>
                <w:noProof/>
                <w:sz w:val="22"/>
              </w:rPr>
              <w:br/>
            </w:r>
            <w:r>
              <w:rPr>
                <w:b/>
                <w:noProof/>
                <w:sz w:val="16"/>
              </w:rPr>
              <w:t>2021</w:t>
            </w:r>
          </w:p>
        </w:tc>
        <w:tc>
          <w:tcPr>
            <w:tcW w:w="1080" w:type="dxa"/>
            <w:vAlign w:val="center"/>
          </w:tcPr>
          <w:p>
            <w:pPr>
              <w:spacing w:line="200" w:lineRule="exact"/>
              <w:jc w:val="center"/>
              <w:rPr>
                <w:b/>
                <w:noProof/>
                <w:sz w:val="16"/>
                <w:szCs w:val="16"/>
              </w:rPr>
            </w:pPr>
            <w:r>
              <w:rPr>
                <w:noProof/>
                <w:sz w:val="16"/>
              </w:rPr>
              <w:t>Year</w:t>
            </w:r>
            <w:r>
              <w:rPr>
                <w:noProof/>
                <w:sz w:val="22"/>
              </w:rPr>
              <w:br/>
            </w:r>
            <w:r>
              <w:rPr>
                <w:b/>
                <w:noProof/>
                <w:sz w:val="16"/>
              </w:rPr>
              <w:t>2022</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16"/>
                <w:szCs w:val="16"/>
              </w:rPr>
              <w:t>0.003</w:t>
            </w:r>
          </w:p>
        </w:tc>
        <w:tc>
          <w:tcPr>
            <w:tcW w:w="1080" w:type="dxa"/>
            <w:vAlign w:val="center"/>
          </w:tcPr>
          <w:p>
            <w:pPr>
              <w:spacing w:before="60" w:after="60" w:line="200" w:lineRule="exact"/>
              <w:jc w:val="right"/>
              <w:rPr>
                <w:noProof/>
                <w:sz w:val="16"/>
                <w:szCs w:val="16"/>
              </w:rPr>
            </w:pPr>
            <w:r>
              <w:rPr>
                <w:noProof/>
                <w:sz w:val="16"/>
                <w:szCs w:val="16"/>
              </w:rPr>
              <w:t>0.008</w:t>
            </w:r>
          </w:p>
        </w:tc>
        <w:tc>
          <w:tcPr>
            <w:tcW w:w="1080" w:type="dxa"/>
            <w:vAlign w:val="center"/>
          </w:tcPr>
          <w:p>
            <w:pPr>
              <w:spacing w:before="60" w:after="60" w:line="200" w:lineRule="exact"/>
              <w:jc w:val="right"/>
              <w:rPr>
                <w:noProof/>
                <w:sz w:val="16"/>
                <w:szCs w:val="16"/>
              </w:rPr>
            </w:pPr>
            <w:r>
              <w:rPr>
                <w:noProof/>
                <w:sz w:val="16"/>
                <w:szCs w:val="16"/>
              </w:rPr>
              <w:t>0.008</w:t>
            </w:r>
          </w:p>
        </w:tc>
        <w:tc>
          <w:tcPr>
            <w:tcW w:w="1080" w:type="dxa"/>
            <w:vAlign w:val="center"/>
          </w:tcPr>
          <w:p>
            <w:pPr>
              <w:spacing w:before="60" w:after="60" w:line="200" w:lineRule="exact"/>
              <w:jc w:val="right"/>
              <w:rPr>
                <w:noProof/>
                <w:sz w:val="16"/>
                <w:szCs w:val="16"/>
              </w:rPr>
            </w:pPr>
            <w:r>
              <w:rPr>
                <w:noProof/>
                <w:sz w:val="16"/>
                <w:szCs w:val="16"/>
              </w:rPr>
              <w:t>0.008</w:t>
            </w:r>
          </w:p>
        </w:tc>
        <w:tc>
          <w:tcPr>
            <w:tcW w:w="1080" w:type="dxa"/>
            <w:vAlign w:val="center"/>
          </w:tcPr>
          <w:p>
            <w:pPr>
              <w:spacing w:before="60" w:after="60" w:line="200" w:lineRule="exact"/>
              <w:jc w:val="right"/>
              <w:rPr>
                <w:noProof/>
                <w:sz w:val="16"/>
                <w:szCs w:val="16"/>
              </w:rPr>
            </w:pPr>
            <w:r>
              <w:rPr>
                <w:noProof/>
                <w:sz w:val="16"/>
                <w:szCs w:val="16"/>
              </w:rPr>
              <w:t>0.008</w:t>
            </w:r>
          </w:p>
        </w:tc>
        <w:tc>
          <w:tcPr>
            <w:tcW w:w="1080" w:type="dxa"/>
            <w:vAlign w:val="center"/>
          </w:tcPr>
          <w:p>
            <w:pPr>
              <w:spacing w:before="60" w:after="60" w:line="200" w:lineRule="exact"/>
              <w:jc w:val="right"/>
              <w:rPr>
                <w:noProof/>
                <w:sz w:val="16"/>
                <w:szCs w:val="16"/>
              </w:rPr>
            </w:pPr>
            <w:r>
              <w:rPr>
                <w:noProof/>
                <w:sz w:val="16"/>
                <w:szCs w:val="16"/>
              </w:rPr>
              <w:t>0.005</w:t>
            </w:r>
          </w:p>
        </w:tc>
        <w:tc>
          <w:tcPr>
            <w:tcW w:w="1080" w:type="dxa"/>
            <w:vAlign w:val="center"/>
          </w:tcPr>
          <w:p>
            <w:pPr>
              <w:spacing w:before="60" w:after="60" w:line="200" w:lineRule="exact"/>
              <w:jc w:val="right"/>
              <w:rPr>
                <w:b/>
                <w:noProof/>
                <w:sz w:val="16"/>
                <w:szCs w:val="16"/>
              </w:rPr>
            </w:pPr>
            <w:r>
              <w:rPr>
                <w:b/>
                <w:noProof/>
                <w:sz w:val="16"/>
                <w:szCs w:val="16"/>
              </w:rPr>
              <w:t>0.04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0.003</w:t>
            </w:r>
          </w:p>
        </w:tc>
        <w:tc>
          <w:tcPr>
            <w:tcW w:w="1080" w:type="dxa"/>
            <w:vAlign w:val="center"/>
          </w:tcPr>
          <w:p>
            <w:pPr>
              <w:spacing w:before="60" w:after="60" w:line="200" w:lineRule="exact"/>
              <w:jc w:val="right"/>
              <w:rPr>
                <w:noProof/>
                <w:sz w:val="16"/>
                <w:szCs w:val="16"/>
              </w:rPr>
            </w:pPr>
            <w:r>
              <w:rPr>
                <w:noProof/>
                <w:sz w:val="16"/>
                <w:szCs w:val="16"/>
              </w:rPr>
              <w:t>0.008</w:t>
            </w:r>
          </w:p>
        </w:tc>
        <w:tc>
          <w:tcPr>
            <w:tcW w:w="1080" w:type="dxa"/>
            <w:vAlign w:val="center"/>
          </w:tcPr>
          <w:p>
            <w:pPr>
              <w:spacing w:before="60" w:after="60" w:line="200" w:lineRule="exact"/>
              <w:jc w:val="right"/>
              <w:rPr>
                <w:noProof/>
                <w:sz w:val="16"/>
                <w:szCs w:val="16"/>
              </w:rPr>
            </w:pPr>
            <w:r>
              <w:rPr>
                <w:noProof/>
                <w:sz w:val="16"/>
                <w:szCs w:val="16"/>
              </w:rPr>
              <w:t>0.008</w:t>
            </w:r>
          </w:p>
        </w:tc>
        <w:tc>
          <w:tcPr>
            <w:tcW w:w="1080" w:type="dxa"/>
            <w:vAlign w:val="center"/>
          </w:tcPr>
          <w:p>
            <w:pPr>
              <w:spacing w:before="60" w:after="60" w:line="200" w:lineRule="exact"/>
              <w:jc w:val="right"/>
              <w:rPr>
                <w:noProof/>
                <w:sz w:val="16"/>
                <w:szCs w:val="16"/>
              </w:rPr>
            </w:pPr>
            <w:r>
              <w:rPr>
                <w:noProof/>
                <w:sz w:val="16"/>
                <w:szCs w:val="16"/>
              </w:rPr>
              <w:t>0.008</w:t>
            </w:r>
          </w:p>
        </w:tc>
        <w:tc>
          <w:tcPr>
            <w:tcW w:w="1080" w:type="dxa"/>
            <w:vAlign w:val="center"/>
          </w:tcPr>
          <w:p>
            <w:pPr>
              <w:spacing w:before="60" w:after="60" w:line="200" w:lineRule="exact"/>
              <w:jc w:val="right"/>
              <w:rPr>
                <w:noProof/>
                <w:sz w:val="16"/>
                <w:szCs w:val="16"/>
              </w:rPr>
            </w:pPr>
            <w:r>
              <w:rPr>
                <w:noProof/>
                <w:sz w:val="16"/>
                <w:szCs w:val="16"/>
              </w:rPr>
              <w:t>0.008</w:t>
            </w:r>
          </w:p>
        </w:tc>
        <w:tc>
          <w:tcPr>
            <w:tcW w:w="1080" w:type="dxa"/>
            <w:vAlign w:val="center"/>
          </w:tcPr>
          <w:p>
            <w:pPr>
              <w:spacing w:before="60" w:after="60" w:line="200" w:lineRule="exact"/>
              <w:jc w:val="right"/>
              <w:rPr>
                <w:noProof/>
                <w:sz w:val="16"/>
                <w:szCs w:val="16"/>
              </w:rPr>
            </w:pPr>
            <w:r>
              <w:rPr>
                <w:noProof/>
                <w:sz w:val="16"/>
                <w:szCs w:val="16"/>
              </w:rPr>
              <w:t>0.005</w:t>
            </w:r>
          </w:p>
        </w:tc>
        <w:tc>
          <w:tcPr>
            <w:tcW w:w="1080" w:type="dxa"/>
            <w:vAlign w:val="center"/>
          </w:tcPr>
          <w:p>
            <w:pPr>
              <w:spacing w:before="60" w:after="60" w:line="200" w:lineRule="exact"/>
              <w:jc w:val="right"/>
              <w:rPr>
                <w:b/>
                <w:noProof/>
                <w:sz w:val="16"/>
                <w:szCs w:val="16"/>
              </w:rPr>
            </w:pPr>
            <w:r>
              <w:rPr>
                <w:b/>
                <w:noProof/>
                <w:sz w:val="16"/>
                <w:szCs w:val="16"/>
              </w:rPr>
              <w:t>0.04</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19"/>
            </w:r>
            <w:r>
              <w:rPr>
                <w:noProof/>
                <w:sz w:val="22"/>
              </w:rPr>
              <w:br/>
            </w:r>
            <w:r>
              <w:rPr>
                <w:b/>
                <w:noProof/>
                <w:sz w:val="16"/>
              </w:rPr>
              <w:t>of the multiannual financial framework</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center"/>
              <w:rPr>
                <w:b/>
                <w:noProof/>
                <w:sz w:val="16"/>
                <w:szCs w:val="16"/>
              </w:rPr>
            </w:pPr>
            <w:r>
              <w:rPr>
                <w:b/>
                <w:noProof/>
                <w:sz w:val="16"/>
                <w:szCs w:val="16"/>
              </w:rPr>
              <w:t>0.024</w:t>
            </w:r>
          </w:p>
        </w:tc>
        <w:tc>
          <w:tcPr>
            <w:tcW w:w="1080" w:type="dxa"/>
            <w:vAlign w:val="center"/>
          </w:tcPr>
          <w:p>
            <w:pPr>
              <w:spacing w:before="60" w:after="60" w:line="200" w:lineRule="exact"/>
              <w:jc w:val="center"/>
              <w:rPr>
                <w:b/>
                <w:noProof/>
                <w:sz w:val="16"/>
                <w:szCs w:val="16"/>
              </w:rPr>
            </w:pPr>
            <w:r>
              <w:rPr>
                <w:b/>
                <w:noProof/>
                <w:sz w:val="16"/>
                <w:szCs w:val="16"/>
              </w:rPr>
              <w:t>0.061</w:t>
            </w:r>
          </w:p>
        </w:tc>
        <w:tc>
          <w:tcPr>
            <w:tcW w:w="1080" w:type="dxa"/>
            <w:vAlign w:val="center"/>
          </w:tcPr>
          <w:p>
            <w:pPr>
              <w:spacing w:before="60" w:after="60" w:line="200" w:lineRule="exact"/>
              <w:jc w:val="center"/>
              <w:rPr>
                <w:b/>
                <w:noProof/>
                <w:sz w:val="16"/>
                <w:szCs w:val="16"/>
              </w:rPr>
            </w:pPr>
            <w:r>
              <w:rPr>
                <w:b/>
                <w:noProof/>
                <w:sz w:val="16"/>
                <w:szCs w:val="16"/>
              </w:rPr>
              <w:t>0.061</w:t>
            </w:r>
          </w:p>
        </w:tc>
        <w:tc>
          <w:tcPr>
            <w:tcW w:w="1080" w:type="dxa"/>
            <w:vAlign w:val="center"/>
          </w:tcPr>
          <w:p>
            <w:pPr>
              <w:spacing w:before="60" w:after="60" w:line="200" w:lineRule="exact"/>
              <w:jc w:val="center"/>
              <w:rPr>
                <w:b/>
                <w:noProof/>
                <w:sz w:val="16"/>
                <w:szCs w:val="16"/>
              </w:rPr>
            </w:pPr>
            <w:r>
              <w:rPr>
                <w:b/>
                <w:noProof/>
                <w:sz w:val="16"/>
                <w:szCs w:val="16"/>
              </w:rPr>
              <w:t>0.061</w:t>
            </w:r>
          </w:p>
        </w:tc>
        <w:tc>
          <w:tcPr>
            <w:tcW w:w="1080" w:type="dxa"/>
            <w:vAlign w:val="center"/>
          </w:tcPr>
          <w:p>
            <w:pPr>
              <w:spacing w:before="60" w:after="60" w:line="200" w:lineRule="exact"/>
              <w:jc w:val="center"/>
              <w:rPr>
                <w:b/>
                <w:noProof/>
                <w:sz w:val="16"/>
                <w:szCs w:val="16"/>
              </w:rPr>
            </w:pPr>
            <w:r>
              <w:rPr>
                <w:b/>
                <w:noProof/>
                <w:sz w:val="16"/>
                <w:szCs w:val="16"/>
              </w:rPr>
              <w:t>0.061</w:t>
            </w:r>
          </w:p>
        </w:tc>
        <w:tc>
          <w:tcPr>
            <w:tcW w:w="1080" w:type="dxa"/>
            <w:vAlign w:val="center"/>
          </w:tcPr>
          <w:p>
            <w:pPr>
              <w:spacing w:before="60" w:after="60" w:line="200" w:lineRule="exact"/>
              <w:jc w:val="center"/>
              <w:rPr>
                <w:b/>
                <w:noProof/>
                <w:sz w:val="16"/>
                <w:szCs w:val="16"/>
              </w:rPr>
            </w:pPr>
            <w:r>
              <w:rPr>
                <w:b/>
                <w:noProof/>
                <w:sz w:val="16"/>
                <w:szCs w:val="16"/>
              </w:rPr>
              <w:t>0.037</w:t>
            </w:r>
          </w:p>
        </w:tc>
        <w:tc>
          <w:tcPr>
            <w:tcW w:w="1080" w:type="dxa"/>
            <w:vAlign w:val="center"/>
          </w:tcPr>
          <w:p>
            <w:pPr>
              <w:spacing w:before="60" w:after="60" w:line="200" w:lineRule="exact"/>
              <w:jc w:val="right"/>
              <w:rPr>
                <w:b/>
                <w:noProof/>
                <w:sz w:val="16"/>
                <w:szCs w:val="16"/>
              </w:rPr>
            </w:pPr>
            <w:r>
              <w:rPr>
                <w:b/>
                <w:noProof/>
                <w:sz w:val="16"/>
                <w:szCs w:val="16"/>
              </w:rPr>
              <w:t>0.305</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szCs w:val="16"/>
              </w:rPr>
              <w:t>0.027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szCs w:val="16"/>
              </w:rPr>
              <w:t>0.069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szCs w:val="16"/>
              </w:rPr>
              <w:t>0.069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szCs w:val="16"/>
              </w:rPr>
              <w:t>0.069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szCs w:val="16"/>
              </w:rPr>
              <w:t>0.069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szCs w:val="16"/>
              </w:rPr>
              <w:t>0.042</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0.345</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The proposal/initiative does not require the use of human resources.</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805"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
        <w:gridCol w:w="1952"/>
        <w:gridCol w:w="1955"/>
        <w:gridCol w:w="659"/>
        <w:gridCol w:w="659"/>
        <w:gridCol w:w="1171"/>
        <w:gridCol w:w="768"/>
        <w:gridCol w:w="223"/>
        <w:gridCol w:w="768"/>
        <w:gridCol w:w="764"/>
      </w:tblGrid>
      <w:tr>
        <w:trPr>
          <w:gridBefore w:val="1"/>
          <w:wBefore w:w="4" w:type="pct"/>
          <w:trHeight w:val="289"/>
          <w:jc w:val="center"/>
        </w:trPr>
        <w:tc>
          <w:tcPr>
            <w:tcW w:w="2188" w:type="pct"/>
            <w:gridSpan w:val="2"/>
            <w:shd w:val="clear" w:color="auto" w:fill="auto"/>
          </w:tcPr>
          <w:p>
            <w:pPr>
              <w:pStyle w:val="Text1"/>
              <w:spacing w:before="40" w:after="40"/>
              <w:ind w:left="0"/>
              <w:jc w:val="center"/>
              <w:rPr>
                <w:i/>
                <w:noProof/>
                <w:sz w:val="16"/>
                <w:szCs w:val="16"/>
              </w:rPr>
            </w:pPr>
          </w:p>
        </w:tc>
        <w:tc>
          <w:tcPr>
            <w:tcW w:w="369"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2017</w:t>
            </w:r>
          </w:p>
        </w:tc>
        <w:tc>
          <w:tcPr>
            <w:tcW w:w="369"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2018</w:t>
            </w:r>
          </w:p>
        </w:tc>
        <w:tc>
          <w:tcPr>
            <w:tcW w:w="656" w:type="pct"/>
            <w:shd w:val="clear" w:color="auto" w:fill="auto"/>
            <w:vAlign w:val="center"/>
          </w:tcPr>
          <w:p>
            <w:pPr>
              <w:spacing w:before="20" w:after="20"/>
              <w:jc w:val="center"/>
              <w:rPr>
                <w:noProof/>
                <w:sz w:val="16"/>
                <w:szCs w:val="16"/>
              </w:rPr>
            </w:pPr>
            <w:r>
              <w:rPr>
                <w:noProof/>
                <w:sz w:val="16"/>
                <w:szCs w:val="16"/>
              </w:rPr>
              <w:t>Year</w:t>
            </w:r>
          </w:p>
          <w:p>
            <w:pPr>
              <w:spacing w:before="20" w:after="20"/>
              <w:jc w:val="center"/>
              <w:rPr>
                <w:noProof/>
                <w:sz w:val="16"/>
                <w:szCs w:val="16"/>
              </w:rPr>
            </w:pPr>
            <w:r>
              <w:rPr>
                <w:b/>
                <w:noProof/>
                <w:sz w:val="16"/>
                <w:szCs w:val="16"/>
              </w:rPr>
              <w:t>2019</w:t>
            </w:r>
          </w:p>
        </w:tc>
        <w:tc>
          <w:tcPr>
            <w:tcW w:w="555" w:type="pct"/>
            <w:gridSpan w:val="2"/>
            <w:shd w:val="clear" w:color="auto" w:fill="auto"/>
            <w:vAlign w:val="center"/>
          </w:tcPr>
          <w:p>
            <w:pPr>
              <w:spacing w:before="20" w:after="20"/>
              <w:jc w:val="center"/>
              <w:rPr>
                <w:noProof/>
                <w:sz w:val="16"/>
                <w:szCs w:val="16"/>
              </w:rPr>
            </w:pPr>
            <w:r>
              <w:rPr>
                <w:noProof/>
                <w:sz w:val="16"/>
                <w:szCs w:val="16"/>
              </w:rPr>
              <w:t>Year</w:t>
            </w:r>
          </w:p>
          <w:p>
            <w:pPr>
              <w:spacing w:before="20" w:after="20"/>
              <w:jc w:val="center"/>
              <w:rPr>
                <w:noProof/>
                <w:sz w:val="16"/>
                <w:szCs w:val="16"/>
              </w:rPr>
            </w:pPr>
            <w:r>
              <w:rPr>
                <w:b/>
                <w:noProof/>
                <w:sz w:val="16"/>
                <w:szCs w:val="16"/>
              </w:rPr>
              <w:t>2020</w:t>
            </w:r>
          </w:p>
        </w:tc>
        <w:tc>
          <w:tcPr>
            <w:tcW w:w="430" w:type="pct"/>
            <w:shd w:val="clear" w:color="auto" w:fill="auto"/>
            <w:vAlign w:val="center"/>
          </w:tcPr>
          <w:p>
            <w:pPr>
              <w:rPr>
                <w:b/>
                <w:noProof/>
                <w:sz w:val="16"/>
                <w:szCs w:val="16"/>
              </w:rPr>
            </w:pPr>
            <w:r>
              <w:rPr>
                <w:b/>
                <w:noProof/>
                <w:sz w:val="16"/>
                <w:szCs w:val="16"/>
              </w:rPr>
              <w:t>Year 2021</w:t>
            </w:r>
          </w:p>
        </w:tc>
        <w:tc>
          <w:tcPr>
            <w:tcW w:w="430" w:type="pct"/>
            <w:vAlign w:val="center"/>
          </w:tcPr>
          <w:p>
            <w:pPr>
              <w:jc w:val="center"/>
              <w:rPr>
                <w:b/>
                <w:noProof/>
                <w:sz w:val="16"/>
                <w:szCs w:val="16"/>
              </w:rPr>
            </w:pPr>
            <w:r>
              <w:rPr>
                <w:b/>
                <w:noProof/>
                <w:sz w:val="16"/>
                <w:szCs w:val="16"/>
              </w:rPr>
              <w:t>Year 2022</w:t>
            </w:r>
          </w:p>
        </w:tc>
      </w:tr>
      <w:tr>
        <w:trPr>
          <w:gridBefore w:val="1"/>
          <w:gridAfter w:val="1"/>
          <w:wBefore w:w="4" w:type="pct"/>
          <w:wAfter w:w="430" w:type="pct"/>
          <w:trHeight w:val="289"/>
          <w:jc w:val="center"/>
        </w:trPr>
        <w:tc>
          <w:tcPr>
            <w:tcW w:w="3581"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555" w:type="pct"/>
            <w:gridSpan w:val="2"/>
            <w:shd w:val="clear" w:color="auto" w:fill="auto"/>
            <w:vAlign w:val="center"/>
          </w:tcPr>
          <w:p>
            <w:pPr>
              <w:spacing w:before="20" w:after="20"/>
              <w:jc w:val="center"/>
              <w:rPr>
                <w:noProof/>
                <w:sz w:val="16"/>
                <w:szCs w:val="16"/>
              </w:rPr>
            </w:pPr>
          </w:p>
        </w:tc>
        <w:tc>
          <w:tcPr>
            <w:tcW w:w="430" w:type="pct"/>
          </w:tcPr>
          <w:p>
            <w:pPr>
              <w:spacing w:before="20" w:after="20"/>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08 01 05 01 (Indirect research)</w:t>
            </w:r>
          </w:p>
        </w:tc>
        <w:tc>
          <w:tcPr>
            <w:tcW w:w="369" w:type="pct"/>
            <w:shd w:val="clear" w:color="auto" w:fill="auto"/>
            <w:vAlign w:val="center"/>
          </w:tcPr>
          <w:p>
            <w:pPr>
              <w:spacing w:beforeLines="20" w:before="48" w:afterLines="20" w:after="48"/>
              <w:jc w:val="center"/>
              <w:rPr>
                <w:b/>
                <w:noProof/>
                <w:sz w:val="16"/>
                <w:szCs w:val="16"/>
              </w:rPr>
            </w:pPr>
            <w:r>
              <w:rPr>
                <w:b/>
                <w:noProof/>
                <w:sz w:val="16"/>
                <w:szCs w:val="16"/>
              </w:rPr>
              <w:t>0.2</w:t>
            </w:r>
          </w:p>
        </w:tc>
        <w:tc>
          <w:tcPr>
            <w:tcW w:w="369" w:type="pct"/>
            <w:shd w:val="clear" w:color="auto" w:fill="auto"/>
            <w:vAlign w:val="center"/>
          </w:tcPr>
          <w:p>
            <w:pPr>
              <w:spacing w:beforeLines="20" w:before="48" w:afterLines="20" w:after="48"/>
              <w:jc w:val="center"/>
              <w:rPr>
                <w:b/>
                <w:noProof/>
                <w:sz w:val="16"/>
                <w:szCs w:val="16"/>
              </w:rPr>
            </w:pPr>
            <w:r>
              <w:rPr>
                <w:b/>
                <w:noProof/>
                <w:sz w:val="16"/>
                <w:szCs w:val="16"/>
              </w:rPr>
              <w:t>0.5</w:t>
            </w:r>
          </w:p>
        </w:tc>
        <w:tc>
          <w:tcPr>
            <w:tcW w:w="656" w:type="pct"/>
            <w:shd w:val="clear" w:color="auto" w:fill="auto"/>
            <w:vAlign w:val="center"/>
          </w:tcPr>
          <w:p>
            <w:pPr>
              <w:spacing w:beforeLines="20" w:before="48" w:afterLines="20" w:after="48"/>
              <w:jc w:val="center"/>
              <w:rPr>
                <w:b/>
                <w:noProof/>
                <w:sz w:val="16"/>
                <w:szCs w:val="16"/>
              </w:rPr>
            </w:pPr>
            <w:r>
              <w:rPr>
                <w:b/>
                <w:noProof/>
                <w:sz w:val="16"/>
                <w:szCs w:val="16"/>
              </w:rPr>
              <w:t>0.5</w:t>
            </w:r>
          </w:p>
        </w:tc>
        <w:tc>
          <w:tcPr>
            <w:tcW w:w="555" w:type="pct"/>
            <w:gridSpan w:val="2"/>
            <w:shd w:val="clear" w:color="auto" w:fill="auto"/>
            <w:vAlign w:val="center"/>
          </w:tcPr>
          <w:p>
            <w:pPr>
              <w:spacing w:beforeLines="20" w:before="48" w:afterLines="20" w:after="48"/>
              <w:jc w:val="center"/>
              <w:rPr>
                <w:b/>
                <w:noProof/>
                <w:sz w:val="16"/>
                <w:szCs w:val="16"/>
              </w:rPr>
            </w:pPr>
            <w:r>
              <w:rPr>
                <w:b/>
                <w:noProof/>
                <w:sz w:val="16"/>
                <w:szCs w:val="16"/>
              </w:rPr>
              <w:t>0.5</w:t>
            </w:r>
          </w:p>
        </w:tc>
        <w:tc>
          <w:tcPr>
            <w:tcW w:w="430" w:type="pct"/>
            <w:shd w:val="clear" w:color="auto" w:fill="auto"/>
            <w:vAlign w:val="center"/>
          </w:tcPr>
          <w:p>
            <w:pPr>
              <w:spacing w:beforeLines="20" w:before="48" w:afterLines="20" w:after="48"/>
              <w:jc w:val="center"/>
              <w:rPr>
                <w:b/>
                <w:noProof/>
                <w:sz w:val="16"/>
                <w:szCs w:val="16"/>
              </w:rPr>
            </w:pPr>
            <w:r>
              <w:rPr>
                <w:b/>
                <w:noProof/>
                <w:sz w:val="16"/>
                <w:szCs w:val="16"/>
              </w:rPr>
              <w:t>0.5</w:t>
            </w:r>
          </w:p>
        </w:tc>
        <w:tc>
          <w:tcPr>
            <w:tcW w:w="430" w:type="pct"/>
          </w:tcPr>
          <w:p>
            <w:pPr>
              <w:spacing w:beforeLines="20" w:before="48" w:afterLines="20" w:after="48"/>
              <w:jc w:val="center"/>
              <w:rPr>
                <w:b/>
                <w:noProof/>
                <w:sz w:val="16"/>
                <w:szCs w:val="16"/>
              </w:rPr>
            </w:pPr>
            <w:r>
              <w:rPr>
                <w:b/>
                <w:noProof/>
                <w:sz w:val="16"/>
                <w:szCs w:val="16"/>
              </w:rPr>
              <w:t>0.3</w:t>
            </w: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After w:val="3"/>
          <w:wAfter w:w="985" w:type="pct"/>
          <w:trHeight w:val="248"/>
          <w:jc w:val="center"/>
        </w:trPr>
        <w:tc>
          <w:tcPr>
            <w:tcW w:w="3585"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0"/>
            </w:r>
          </w:p>
          <w:p>
            <w:pPr>
              <w:pStyle w:val="Text1"/>
              <w:spacing w:before="0" w:after="0"/>
              <w:ind w:left="0"/>
              <w:jc w:val="left"/>
              <w:rPr>
                <w:noProof/>
                <w:sz w:val="16"/>
                <w:szCs w:val="16"/>
              </w:rPr>
            </w:pPr>
          </w:p>
        </w:tc>
        <w:tc>
          <w:tcPr>
            <w:tcW w:w="430" w:type="pct"/>
          </w:tcPr>
          <w:p>
            <w:pPr>
              <w:pStyle w:val="Text1"/>
              <w:spacing w:before="60" w:after="60"/>
              <w:ind w:left="0"/>
              <w:jc w:val="left"/>
              <w:rPr>
                <w:b/>
                <w:noProof/>
                <w:sz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1094"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1"/>
            </w:r>
          </w:p>
          <w:p>
            <w:pPr>
              <w:pStyle w:val="Text1"/>
              <w:spacing w:beforeLines="20" w:before="48" w:afterLines="20" w:after="48"/>
              <w:ind w:left="136"/>
              <w:jc w:val="left"/>
              <w:rPr>
                <w:b/>
                <w:noProof/>
                <w:sz w:val="16"/>
                <w:szCs w:val="16"/>
              </w:rPr>
            </w:pPr>
          </w:p>
        </w:tc>
        <w:tc>
          <w:tcPr>
            <w:tcW w:w="1095"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69" w:type="pct"/>
            <w:shd w:val="clear" w:color="auto" w:fill="auto"/>
            <w:vAlign w:val="center"/>
          </w:tcPr>
          <w:p>
            <w:pPr>
              <w:pStyle w:val="Text1"/>
              <w:spacing w:beforeLines="20" w:before="48" w:afterLines="20" w:after="48"/>
              <w:ind w:left="0"/>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1094" w:type="pct"/>
            <w:vMerge/>
            <w:shd w:val="clear" w:color="auto" w:fill="auto"/>
            <w:vAlign w:val="center"/>
          </w:tcPr>
          <w:p>
            <w:pPr>
              <w:pStyle w:val="Text1"/>
              <w:spacing w:beforeLines="20" w:before="48" w:afterLines="20" w:after="48"/>
              <w:ind w:left="136"/>
              <w:jc w:val="left"/>
              <w:rPr>
                <w:b/>
                <w:noProof/>
                <w:sz w:val="16"/>
                <w:szCs w:val="16"/>
              </w:rPr>
            </w:pPr>
          </w:p>
        </w:tc>
        <w:tc>
          <w:tcPr>
            <w:tcW w:w="1095"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69" w:type="pct"/>
            <w:shd w:val="clear" w:color="auto" w:fill="auto"/>
            <w:vAlign w:val="center"/>
          </w:tcPr>
          <w:p>
            <w:pPr>
              <w:pStyle w:val="Text1"/>
              <w:spacing w:beforeLines="20" w:before="48" w:afterLines="20" w:after="48"/>
              <w:ind w:left="0"/>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6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6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5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55"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3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30" w:type="pct"/>
            <w:tcBorders>
              <w:bottom w:val="double" w:sz="4" w:space="0" w:color="auto"/>
            </w:tcBorders>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6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0.2</w:t>
            </w:r>
          </w:p>
        </w:tc>
        <w:tc>
          <w:tcPr>
            <w:tcW w:w="36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65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555"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43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430" w:type="pct"/>
            <w:tcBorders>
              <w:top w:val="double" w:sz="4" w:space="0" w:color="auto"/>
            </w:tcBorders>
          </w:tcPr>
          <w:p>
            <w:pPr>
              <w:spacing w:beforeLines="20" w:before="48" w:afterLines="20" w:after="48"/>
              <w:jc w:val="center"/>
              <w:rPr>
                <w:b/>
                <w:noProof/>
                <w:sz w:val="16"/>
                <w:szCs w:val="16"/>
              </w:rPr>
            </w:pPr>
            <w:r>
              <w:rPr>
                <w:b/>
                <w:noProof/>
                <w:sz w:val="16"/>
                <w:szCs w:val="16"/>
              </w:rPr>
              <w:t>0.3</w:t>
            </w: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Preparation and management of Joint Committee Meetings as provided for in Article VI of the Agreement, as well as follow-up of functioning and implementation of the Agreement.</w:t>
            </w:r>
          </w:p>
          <w:p>
            <w:pPr>
              <w:rPr>
                <w:noProof/>
                <w:sz w:val="20"/>
              </w:rPr>
            </w:pPr>
            <w:r>
              <w:rPr>
                <w:noProof/>
                <w:sz w:val="20"/>
              </w:rPr>
              <w:t>Calculations are done proportionally considering the duration  of the Agreement.</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Compatibility with the current multiannual financial framework</w:t>
      </w:r>
    </w:p>
    <w:p>
      <w:pPr>
        <w:pStyle w:val="ListDash1"/>
        <w:rPr>
          <w:noProof/>
        </w:rPr>
      </w:pPr>
      <w:r>
        <w:rPr>
          <w:noProof/>
        </w:rPr>
        <w:sym w:font="Wingdings" w:char="F0FE"/>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Third-party contributions</w:t>
      </w:r>
    </w:p>
    <w:p>
      <w:pPr>
        <w:pStyle w:val="ListDash1"/>
        <w:rPr>
          <w:noProof/>
        </w:rPr>
      </w:pPr>
      <w:r>
        <w:rPr>
          <w:noProof/>
        </w:rPr>
        <w:sym w:font="Wingdings" w:char="F0FE"/>
      </w:r>
      <w:r>
        <w:rPr>
          <w:noProof/>
        </w:rPr>
        <w:t xml:space="preserve"> The proposal/initiative does not provide for co-financing by third parties.</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Estimated impact on revenue</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on own resources</w:t>
      </w:r>
    </w:p>
    <w:p>
      <w:pPr>
        <w:pStyle w:val="ListNumberLevel3"/>
        <w:rPr>
          <w:noProof/>
        </w:rPr>
      </w:pPr>
      <w:r>
        <w:rPr>
          <w:noProof/>
        </w:rPr>
        <w:sym w:font="Wingdings" w:char="F0A8"/>
      </w:r>
      <w:r>
        <w:rPr>
          <w:noProof/>
        </w:rPr>
        <w:tab/>
        <w:t>on miscellaneous revenue</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295, 11.11.2005, p. 38.</w:t>
      </w:r>
    </w:p>
  </w:footnote>
  <w:footnote w:id="2">
    <w:p>
      <w:pPr>
        <w:pStyle w:val="FootnoteText"/>
      </w:pPr>
      <w:r>
        <w:rPr>
          <w:rStyle w:val="FootnoteReference"/>
        </w:rPr>
        <w:footnoteRef/>
      </w:r>
      <w:r>
        <w:tab/>
        <w:t>Council Decision 2012/646/EU of 10 October 2012 concerning the renewal of the Agreement for scientific and technological cooperation between the European Community and the Federative Republic of Brazil (OJ L 287, 18.10.2012, p. 4).</w:t>
      </w:r>
    </w:p>
  </w:footnote>
  <w:footnote w:id="3">
    <w:p>
      <w:pPr>
        <w:pStyle w:val="FootnoteText"/>
      </w:pPr>
      <w:r>
        <w:rPr>
          <w:rStyle w:val="FootnoteReference"/>
        </w:rPr>
        <w:footnoteRef/>
      </w:r>
      <w:r>
        <w:tab/>
      </w:r>
      <w:hyperlink r:id="rId1" w:anchor="view=fit&amp;pagemode=none" w:tgtFrame="_blank" w:tooltip="Document opens in new window" w:history="1">
        <w:r>
          <w:rPr>
            <w:rStyle w:val="Hyperlink"/>
            <w:i/>
            <w:color w:val="auto"/>
            <w:u w:val="none"/>
            <w:bdr w:val="none" w:sz="0" w:space="0" w:color="auto" w:frame="1"/>
            <w:shd w:val="clear" w:color="auto" w:fill="FFFFFF"/>
          </w:rPr>
          <w:t>Enhancing and focusing EU international cooperation in research and innovation: a strategic approach</w:t>
        </w:r>
      </w:hyperlink>
      <w:r>
        <w:rPr>
          <w:rStyle w:val="Hyperlink"/>
          <w:color w:val="auto"/>
          <w:u w:val="none"/>
          <w:bdr w:val="none" w:sz="0" w:space="0" w:color="auto" w:frame="1"/>
          <w:shd w:val="clear" w:color="auto" w:fill="FFFFFF"/>
        </w:rPr>
        <w:t>,</w:t>
      </w:r>
      <w:r>
        <w:rPr>
          <w:shd w:val="clear" w:color="auto" w:fill="FFFFFF"/>
        </w:rPr>
        <w:t xml:space="preserve"> </w:t>
      </w:r>
      <w:r>
        <w:rPr>
          <w:color w:val="333333"/>
          <w:shd w:val="clear" w:color="auto" w:fill="FFFFFF"/>
        </w:rPr>
        <w:t>COM(2012) 497.</w:t>
      </w:r>
    </w:p>
  </w:footnote>
  <w:footnote w:id="4">
    <w:p>
      <w:pPr>
        <w:pStyle w:val="FootnoteText"/>
      </w:pPr>
      <w:r>
        <w:rPr>
          <w:rStyle w:val="FootnoteReference"/>
        </w:rPr>
        <w:footnoteRef/>
      </w:r>
      <w:r>
        <w:tab/>
        <w:t>Council Decision 2005/781/EC of 6 June 2005 on the conclusion of the Agreement for scientific and technological cooperation between the European Community and the Federative Republic of Brazil (</w:t>
      </w:r>
      <w:r>
        <w:rPr>
          <w:iCs/>
        </w:rPr>
        <w:t>OJ L 295, 11.11.2005, p. 37)</w:t>
      </w:r>
      <w:r>
        <w:t>.</w:t>
      </w:r>
    </w:p>
  </w:footnote>
  <w:footnote w:id="5">
    <w:p>
      <w:pPr>
        <w:pStyle w:val="FootnoteText"/>
      </w:pPr>
      <w:r>
        <w:rPr>
          <w:rStyle w:val="FootnoteReference"/>
        </w:rPr>
        <w:footnoteRef/>
      </w:r>
      <w:r>
        <w:tab/>
        <w:t>Council Decision 2012/646/EU of 10 October 2012 concerning the renewal of the Agreement for scientific and technological cooperation between the European Community and the Federative Republic of Brazil (OJ L 287, 18.10.2012, p. 4).</w:t>
      </w:r>
    </w:p>
  </w:footnote>
  <w:footnote w:id="6">
    <w:p>
      <w:pPr>
        <w:pStyle w:val="FootnoteText"/>
        <w:rPr>
          <w:rStyle w:val="Hyperlink"/>
          <w:color w:val="auto"/>
          <w:u w:val="none"/>
          <w:bdr w:val="none" w:sz="0" w:space="0" w:color="auto" w:frame="1"/>
          <w:shd w:val="clear" w:color="auto" w:fill="FFFFFF"/>
        </w:rPr>
      </w:pPr>
      <w:r>
        <w:rPr>
          <w:rStyle w:val="FootnoteReference"/>
        </w:rPr>
        <w:footnoteRef/>
      </w:r>
      <w:r>
        <w:tab/>
      </w:r>
      <w:r>
        <w:rPr>
          <w:rStyle w:val="Hyperlink"/>
          <w:color w:val="auto"/>
          <w:u w:val="none"/>
          <w:bdr w:val="none" w:sz="0" w:space="0" w:color="auto" w:frame="1"/>
          <w:shd w:val="clear" w:color="auto" w:fill="FFFFFF"/>
        </w:rPr>
        <w:t>ABM: activity-based management; ABB: activity-based budgeting.</w:t>
      </w:r>
    </w:p>
  </w:footnote>
  <w:footnote w:id="7">
    <w:p>
      <w:pPr>
        <w:pStyle w:val="FootnoteText"/>
        <w:rPr>
          <w:rStyle w:val="Hyperlink"/>
          <w:color w:val="auto"/>
          <w:u w:val="none"/>
          <w:bdr w:val="none" w:sz="0" w:space="0" w:color="auto" w:frame="1"/>
          <w:shd w:val="clear" w:color="auto" w:fill="FFFFFF"/>
        </w:rPr>
      </w:pPr>
      <w:r>
        <w:rPr>
          <w:rStyle w:val="FootnoteReference"/>
        </w:rPr>
        <w:footnoteRef/>
      </w:r>
      <w:r>
        <w:rPr>
          <w:rStyle w:val="Hyperlink"/>
          <w:color w:val="auto"/>
          <w:u w:val="none"/>
          <w:bdr w:val="none" w:sz="0" w:space="0" w:color="auto" w:frame="1"/>
          <w:shd w:val="clear" w:color="auto" w:fill="FFFFFF"/>
        </w:rPr>
        <w:tab/>
        <w:t>As referred to in Article 54(2)(a) or (b) of the Financial Regulation.</w:t>
      </w:r>
    </w:p>
  </w:footnote>
  <w:footnote w:id="8">
    <w:p>
      <w:pPr>
        <w:pStyle w:val="FootnoteText"/>
      </w:pPr>
      <w:r>
        <w:rPr>
          <w:rStyle w:val="FootnoteReference"/>
        </w:rPr>
        <w:footnoteRef/>
      </w:r>
      <w:r>
        <w:tab/>
        <w:t xml:space="preserve">Details of management modes and references to the Financial Regulation may be found on the BudgWeb site: </w:t>
      </w:r>
      <w:hyperlink r:id="rId2" w:history="1">
        <w:r>
          <w:rPr>
            <w:rStyle w:val="Hyperlink"/>
          </w:rPr>
          <w:t>http://www.cc.cec/budg/man/budgmanag/budgmanag_en.html</w:t>
        </w:r>
      </w:hyperlink>
    </w:p>
  </w:footnote>
  <w:footnote w:id="9">
    <w:p>
      <w:pPr>
        <w:pStyle w:val="FootnoteText"/>
        <w:rPr>
          <w:szCs w:val="24"/>
        </w:rPr>
      </w:pPr>
      <w:r>
        <w:rPr>
          <w:rStyle w:val="FootnoteReference"/>
        </w:rPr>
        <w:footnoteRef/>
      </w:r>
      <w:r>
        <w:tab/>
        <w:t>Diff. = Differentiated appropriations / Non-diff. = Non-differentiated appropriations.</w:t>
      </w:r>
    </w:p>
  </w:footnote>
  <w:footnote w:id="10">
    <w:p>
      <w:pPr>
        <w:pStyle w:val="FootnoteText"/>
        <w:rPr>
          <w:szCs w:val="24"/>
        </w:rPr>
      </w:pPr>
      <w:r>
        <w:rPr>
          <w:rStyle w:val="FootnoteReference"/>
        </w:rPr>
        <w:footnoteRef/>
      </w:r>
      <w:r>
        <w:tab/>
        <w:t>EFTA: European Free Trade Association.</w:t>
      </w:r>
    </w:p>
  </w:footnote>
  <w:footnote w:id="11">
    <w:p>
      <w:pPr>
        <w:pStyle w:val="FootnoteText"/>
        <w:rPr>
          <w:szCs w:val="24"/>
        </w:rPr>
      </w:pPr>
      <w:r>
        <w:rPr>
          <w:rStyle w:val="FootnoteReference"/>
        </w:rPr>
        <w:footnoteRef/>
      </w:r>
      <w:r>
        <w:tab/>
        <w:t>Candidate countries and, where applicable, potential candidate countries from the Western Balkans.</w:t>
      </w:r>
    </w:p>
  </w:footnote>
  <w:footnote w:id="12">
    <w:p>
      <w:pPr>
        <w:pStyle w:val="FootnoteText"/>
        <w:rPr>
          <w:szCs w:val="24"/>
        </w:rPr>
      </w:pPr>
      <w:r>
        <w:rPr>
          <w:rStyle w:val="FootnoteReference"/>
        </w:rPr>
        <w:footnoteRef/>
      </w:r>
      <w:r>
        <w:tab/>
        <w:t>Year 2017 is the year in which implementation of the proposal/initiative starts.</w:t>
      </w:r>
    </w:p>
  </w:footnote>
  <w:footnote w:id="1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4">
    <w:p>
      <w:pPr>
        <w:pStyle w:val="FootnoteText"/>
      </w:pPr>
      <w:r>
        <w:rPr>
          <w:rStyle w:val="FootnoteReference"/>
        </w:rPr>
        <w:footnoteRef/>
      </w:r>
      <w:r>
        <w:tab/>
        <w:t>Year 2017 is the year in which implementation of the proposal/initiative starts.</w:t>
      </w:r>
    </w:p>
  </w:footnote>
  <w:footnote w:id="15">
    <w:p>
      <w:pPr>
        <w:pStyle w:val="FootnoteText"/>
        <w:rPr>
          <w:szCs w:val="24"/>
        </w:rPr>
      </w:pPr>
      <w:r>
        <w:rPr>
          <w:rStyle w:val="FootnoteReference"/>
        </w:rPr>
        <w:footnoteRef/>
      </w:r>
      <w:r>
        <w:tab/>
        <w:t>Year 2017 is the year in which implementation of the proposal/initiative starts.</w:t>
      </w:r>
    </w:p>
  </w:footnote>
  <w:footnote w:id="16">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7">
    <w:p>
      <w:pPr>
        <w:pStyle w:val="FootnoteText"/>
        <w:rPr>
          <w:szCs w:val="24"/>
        </w:rPr>
      </w:pPr>
      <w:r>
        <w:rPr>
          <w:rStyle w:val="FootnoteReference"/>
        </w:rPr>
        <w:footnoteRef/>
      </w:r>
      <w:r>
        <w:tab/>
        <w:t>As described in point 1.4.2. ‘Specific objective(s)…’.</w:t>
      </w:r>
    </w:p>
  </w:footnote>
  <w:footnote w:id="18">
    <w:p>
      <w:pPr>
        <w:pStyle w:val="FootnoteText"/>
        <w:rPr>
          <w:szCs w:val="24"/>
        </w:rPr>
      </w:pPr>
      <w:r>
        <w:rPr>
          <w:rStyle w:val="FootnoteReference"/>
        </w:rPr>
        <w:footnoteRef/>
      </w:r>
      <w:r>
        <w:tab/>
        <w:t>Year 2017 is the year in which implementation of the proposal/initiative starts.</w:t>
      </w:r>
    </w:p>
  </w:footnote>
  <w:footnote w:id="19">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0">
    <w:p>
      <w:pPr>
        <w:pStyle w:val="FootnoteText"/>
        <w:rPr>
          <w:szCs w:val="24"/>
        </w:rPr>
      </w:pPr>
      <w:r>
        <w:rPr>
          <w:rStyle w:val="FootnoteReference"/>
        </w:rPr>
        <w:footnoteRef/>
      </w:r>
      <w:r>
        <w:tab/>
        <w:t>AC= Contract Staff; AL = Local Staff; END= Seconded National Expert; INT = agency staff; JED= Junior Experts in Delegations.</w:t>
      </w:r>
    </w:p>
  </w:footnote>
  <w:footnote w:id="21">
    <w:p>
      <w:pPr>
        <w:pStyle w:val="FootnoteText"/>
        <w:rPr>
          <w:szCs w:val="24"/>
        </w:rPr>
      </w:pPr>
      <w:r>
        <w:rPr>
          <w:rStyle w:val="FootnoteReference"/>
        </w:rPr>
        <w:footnoteRef/>
      </w:r>
      <w:r>
        <w:tab/>
        <w:t>Sub-ceiling for external staff covered by operational appropriations (former ‘BA’ lines).</w:t>
      </w:r>
    </w:p>
  </w:footnote>
  <w:footnote w:id="22">
    <w:p>
      <w:pPr>
        <w:pStyle w:val="FootnoteText"/>
        <w:rPr>
          <w:szCs w:val="24"/>
        </w:rPr>
      </w:pPr>
      <w:r>
        <w:rPr>
          <w:rStyle w:val="FootnoteReference"/>
        </w:rPr>
        <w:footnoteRef/>
      </w:r>
      <w:r>
        <w:tab/>
        <w:t>As regards traditional own resources (customs duties, sugar levies), the amounts indicated must be net amounts, i.e. gross amounts after deduction of 25%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D0CD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74AFB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B26C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28AA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B8451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displayBackgroundShap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5 11:55:1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959FB5A9FFB405193880FB412073EE8"/>
    <w:docVar w:name="LW_CROSSREFERENCE" w:val="&lt;UNUSED&gt;"/>
    <w:docVar w:name="LW_DocType" w:val="COM"/>
    <w:docVar w:name="LW_EMISSION" w:val="22.6.2017"/>
    <w:docVar w:name="LW_EMISSION_ISODATE" w:val="2017-06-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39"/>
    <w:docVar w:name="LW_REF.II.NEW.CP_YEAR" w:val="2017"/>
    <w:docVar w:name="LW_REF.INST.NEW" w:val="COM"/>
    <w:docVar w:name="LW_REF.INST.NEW_ADOPTED" w:val="final"/>
    <w:docVar w:name="LW_REF.INST.NEW_TEXT" w:val="(2017) 336"/>
    <w:docVar w:name="LW_REF.INTERNE" w:val="&lt;UNUSED&gt;"/>
    <w:docVar w:name="LW_SOUS.TITRE.OBJ.CP" w:val="&lt;UNUSED&gt;"/>
    <w:docVar w:name="LW_STATUT.CP" w:val="Proposal for a"/>
    <w:docVar w:name="LW_SUPERTITRE" w:val="&lt;UNUSED&gt;"/>
    <w:docVar w:name="LW_TITRE.OBJ.CP" w:val="concerning the renewal of the Agreement for scientific and technological cooperation between the European Community and the Federative Republic of Brazil  _x000b_"/>
    <w:docVar w:name="LW_TYPE.DOC.CP" w:val="COUNCIL DECISION"/>
    <w:docVar w:name="Stamp" w:val="\\dossiers.dgt.cec.eu.int\dossiers\RTD\RTD-2017-00013\RTD-2017-00013-00-00-EN-REV-00.20170421112901676789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83367">
      <w:bodyDiv w:val="1"/>
      <w:marLeft w:val="0"/>
      <w:marRight w:val="0"/>
      <w:marTop w:val="0"/>
      <w:marBottom w:val="0"/>
      <w:divBdr>
        <w:top w:val="none" w:sz="0" w:space="0" w:color="auto"/>
        <w:left w:val="none" w:sz="0" w:space="0" w:color="auto"/>
        <w:bottom w:val="none" w:sz="0" w:space="0" w:color="auto"/>
        <w:right w:val="none" w:sz="0" w:space="0" w:color="auto"/>
      </w:divBdr>
    </w:div>
    <w:div w:id="1928032549">
      <w:bodyDiv w:val="1"/>
      <w:marLeft w:val="0"/>
      <w:marRight w:val="0"/>
      <w:marTop w:val="0"/>
      <w:marBottom w:val="0"/>
      <w:divBdr>
        <w:top w:val="none" w:sz="0" w:space="0" w:color="auto"/>
        <w:left w:val="none" w:sz="0" w:space="0" w:color="auto"/>
        <w:bottom w:val="none" w:sz="0" w:space="0" w:color="auto"/>
        <w:right w:val="none" w:sz="0" w:space="0" w:color="auto"/>
      </w:divBdr>
      <w:divsChild>
        <w:div w:id="1355228062">
          <w:marLeft w:val="0"/>
          <w:marRight w:val="0"/>
          <w:marTop w:val="0"/>
          <w:marBottom w:val="0"/>
          <w:divBdr>
            <w:top w:val="none" w:sz="0" w:space="0" w:color="auto"/>
            <w:left w:val="none" w:sz="0" w:space="0" w:color="auto"/>
            <w:bottom w:val="none" w:sz="0" w:space="0" w:color="auto"/>
            <w:right w:val="none" w:sz="0" w:space="0" w:color="auto"/>
          </w:divBdr>
          <w:divsChild>
            <w:div w:id="2059435316">
              <w:marLeft w:val="0"/>
              <w:marRight w:val="0"/>
              <w:marTop w:val="0"/>
              <w:marBottom w:val="0"/>
              <w:divBdr>
                <w:top w:val="none" w:sz="0" w:space="0" w:color="auto"/>
                <w:left w:val="none" w:sz="0" w:space="0" w:color="auto"/>
                <w:bottom w:val="none" w:sz="0" w:space="0" w:color="auto"/>
                <w:right w:val="none" w:sz="0" w:space="0" w:color="auto"/>
              </w:divBdr>
              <w:divsChild>
                <w:div w:id="166287086">
                  <w:marLeft w:val="0"/>
                  <w:marRight w:val="0"/>
                  <w:marTop w:val="0"/>
                  <w:marBottom w:val="0"/>
                  <w:divBdr>
                    <w:top w:val="none" w:sz="0" w:space="0" w:color="auto"/>
                    <w:left w:val="none" w:sz="0" w:space="0" w:color="auto"/>
                    <w:bottom w:val="none" w:sz="0" w:space="0" w:color="auto"/>
                    <w:right w:val="none" w:sz="0" w:space="0" w:color="auto"/>
                  </w:divBdr>
                  <w:divsChild>
                    <w:div w:id="1665628135">
                      <w:marLeft w:val="1"/>
                      <w:marRight w:val="1"/>
                      <w:marTop w:val="0"/>
                      <w:marBottom w:val="0"/>
                      <w:divBdr>
                        <w:top w:val="none" w:sz="0" w:space="0" w:color="auto"/>
                        <w:left w:val="none" w:sz="0" w:space="0" w:color="auto"/>
                        <w:bottom w:val="none" w:sz="0" w:space="0" w:color="auto"/>
                        <w:right w:val="none" w:sz="0" w:space="0" w:color="auto"/>
                      </w:divBdr>
                      <w:divsChild>
                        <w:div w:id="759525009">
                          <w:marLeft w:val="0"/>
                          <w:marRight w:val="0"/>
                          <w:marTop w:val="0"/>
                          <w:marBottom w:val="240"/>
                          <w:divBdr>
                            <w:top w:val="single" w:sz="6" w:space="2" w:color="BBBBBB"/>
                            <w:left w:val="single" w:sz="6" w:space="4" w:color="BBBBBB"/>
                            <w:bottom w:val="single" w:sz="6" w:space="2" w:color="BBBBBB"/>
                            <w:right w:val="single" w:sz="6" w:space="4" w:color="BBBBBB"/>
                          </w:divBdr>
                          <w:divsChild>
                            <w:div w:id="1587884040">
                              <w:marLeft w:val="0"/>
                              <w:marRight w:val="0"/>
                              <w:marTop w:val="144"/>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ec.europa.eu/research/iscp/pdf/policy/com_2012_497_communication_from_commission_to_ins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EBA8-FA42-4570-B28A-0D701072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22</Pages>
  <Words>4146</Words>
  <Characters>23637</Characters>
  <Application>Microsoft Office Word</Application>
  <DocSecurity>0</DocSecurity>
  <Lines>1390</Lines>
  <Paragraphs>631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2017-05-18T10:37:00Z</cp:lastPrinted>
  <dcterms:created xsi:type="dcterms:W3CDTF">2017-05-19T15:59:00Z</dcterms:created>
  <dcterms:modified xsi:type="dcterms:W3CDTF">2017-06-15T09:55:00Z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