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076809370E5B4346915F8BD91ECD120C" style="width:451.35pt;height:321.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Having regard to:</w:t>
      </w:r>
    </w:p>
    <w:p>
      <w:pPr>
        <w:pStyle w:val="Tiret0"/>
        <w:tabs>
          <w:tab w:val="clear" w:pos="850"/>
          <w:tab w:val="num" w:pos="1004"/>
        </w:tabs>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No 966/2012 of the European Parliament and of the Council of 25 October 2012 on the financial rules applicable to the general budget of the Union</w:t>
      </w:r>
      <w:r>
        <w:rPr>
          <w:rStyle w:val="FootnoteReference"/>
          <w:noProof/>
        </w:rPr>
        <w:footnoteReference w:id="2"/>
      </w:r>
      <w:r>
        <w:rPr>
          <w:noProof/>
        </w:rPr>
        <w:t>, and in particular Article 41 thereof,</w:t>
      </w:r>
    </w:p>
    <w:p>
      <w:pPr>
        <w:pStyle w:val="Tiret0"/>
        <w:tabs>
          <w:tab w:val="clear" w:pos="850"/>
          <w:tab w:val="num" w:pos="927"/>
        </w:tabs>
        <w:rPr>
          <w:noProof/>
        </w:rPr>
      </w:pPr>
      <w:r>
        <w:rPr>
          <w:noProof/>
        </w:rPr>
        <w:t>the general budget of the European Union for the financial year 2017, as adopted on 1 December 2016</w:t>
      </w:r>
      <w:r>
        <w:rPr>
          <w:rStyle w:val="FootnoteReference"/>
          <w:noProof/>
        </w:rPr>
        <w:footnoteReference w:id="3"/>
      </w:r>
      <w:r>
        <w:rPr>
          <w:noProof/>
        </w:rPr>
        <w:t>,</w:t>
      </w:r>
    </w:p>
    <w:p>
      <w:pPr>
        <w:pStyle w:val="Tiret0"/>
        <w:rPr>
          <w:noProof/>
        </w:rPr>
      </w:pPr>
      <w:r>
        <w:rPr>
          <w:noProof/>
        </w:rPr>
        <w:t>the amending budget No 1/2017</w:t>
      </w:r>
      <w:r>
        <w:rPr>
          <w:rStyle w:val="FootnoteReference"/>
          <w:noProof/>
        </w:rPr>
        <w:footnoteReference w:id="4"/>
      </w:r>
      <w:r>
        <w:rPr>
          <w:noProof/>
        </w:rPr>
        <w:t>, adopted on 5 April 2017,</w:t>
      </w:r>
    </w:p>
    <w:p>
      <w:pPr>
        <w:pStyle w:val="Tiret0"/>
        <w:rPr>
          <w:noProof/>
        </w:rPr>
      </w:pPr>
      <w:r>
        <w:rPr>
          <w:noProof/>
        </w:rPr>
        <w:t>the draft amending budget No 2/2017</w:t>
      </w:r>
      <w:r>
        <w:rPr>
          <w:rStyle w:val="FootnoteReference"/>
          <w:noProof/>
        </w:rPr>
        <w:footnoteReference w:id="5"/>
      </w:r>
      <w:r>
        <w:rPr>
          <w:noProof/>
        </w:rPr>
        <w:t>, adopted on 12 April 2017,</w:t>
      </w:r>
    </w:p>
    <w:p>
      <w:pPr>
        <w:pStyle w:val="Tiret0"/>
        <w:rPr>
          <w:noProof/>
        </w:rPr>
      </w:pPr>
      <w:r>
        <w:rPr>
          <w:noProof/>
        </w:rPr>
        <w:t>the draft amending budget No 3/2017</w:t>
      </w:r>
      <w:r>
        <w:rPr>
          <w:rStyle w:val="FootnoteReference"/>
          <w:noProof/>
        </w:rPr>
        <w:footnoteReference w:id="6"/>
      </w:r>
      <w:r>
        <w:rPr>
          <w:noProof/>
        </w:rPr>
        <w:t>, adopted on 30 May 2017,</w:t>
      </w:r>
    </w:p>
    <w:p>
      <w:pPr>
        <w:pStyle w:val="Tiret0"/>
        <w:numPr>
          <w:ilvl w:val="0"/>
          <w:numId w:val="0"/>
        </w:numPr>
        <w:spacing w:after="600"/>
        <w:rPr>
          <w:noProof/>
        </w:rPr>
      </w:pPr>
      <w:r>
        <w:rPr>
          <w:noProof/>
        </w:rPr>
        <w:t>The European Commission hereby presents draft amending budget No 4 to the 2017 budget to the European Parliament and to the Council.</w:t>
      </w:r>
    </w:p>
    <w:p>
      <w:pPr>
        <w:spacing w:after="240"/>
        <w:jc w:val="both"/>
        <w:rPr>
          <w:b/>
          <w:noProof/>
          <w:u w:val="single"/>
          <w:lang w:eastAsia="ko-KR"/>
        </w:rPr>
      </w:pPr>
      <w:r>
        <w:rPr>
          <w:b/>
          <w:noProof/>
          <w:u w:val="single"/>
          <w:lang w:eastAsia="ko-KR"/>
        </w:rPr>
        <w:t>CHANGES TO THE STATEMENT OF REVENUE AND EXPENDITURE BY SECTION</w:t>
      </w:r>
    </w:p>
    <w:p>
      <w:pPr>
        <w:jc w:val="both"/>
        <w:rPr>
          <w:noProof/>
          <w:lang w:eastAsia="ko-KR"/>
        </w:rPr>
      </w:pPr>
      <w:r>
        <w:rPr>
          <w:noProof/>
        </w:rPr>
        <w:t>The changes to the statement of revenue and expenditure by section are available on EUR-Lex (</w:t>
      </w:r>
      <w:hyperlink r:id="rId16" w:history="1">
        <w:r>
          <w:rPr>
            <w:rStyle w:val="Hyperlink"/>
            <w:noProof/>
            <w:color w:val="auto"/>
          </w:rPr>
          <w:t>http://eur-lex.europa.eu/budget/www/index-en.htm</w:t>
        </w:r>
      </w:hyperlink>
      <w:r>
        <w:rPr>
          <w:noProof/>
        </w:rPr>
        <w:t>). An English version of the changes to this statement is attached for information as a budgetary annex.</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TABLE OF CONTENTS</w:t>
      </w:r>
    </w:p>
    <w:sdt>
      <w:sdtPr>
        <w:rPr>
          <w:b w:val="0"/>
          <w:noProof/>
          <w:sz w:val="24"/>
          <w:lang w:eastAsia="en-GB"/>
        </w:rPr>
        <w:id w:val="2029912794"/>
        <w:docPartObj>
          <w:docPartGallery w:val="Table of Contents"/>
          <w:docPartUnique/>
        </w:docPartObj>
      </w:sdtPr>
      <w:sdtEndPr>
        <w:rPr>
          <w:bCs/>
        </w:rPr>
      </w:sdtEndPr>
      <w:sdtContent>
        <w:p>
          <w:pPr>
            <w:pStyle w:val="TOCHeading"/>
            <w:jc w:val="left"/>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484781559" w:history="1">
            <w:r>
              <w:rPr>
                <w:rStyle w:val="Hyperlink"/>
                <w:noProof/>
              </w:rPr>
              <w:t>1.</w:t>
            </w:r>
            <w:r>
              <w:rPr>
                <w:rFonts w:asciiTheme="minorHAnsi" w:eastAsiaTheme="minorEastAsia" w:hAnsiTheme="minorHAnsi" w:cstheme="minorBidi"/>
                <w:b w:val="0"/>
                <w:bCs w:val="0"/>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_Toc484781559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84781560" w:history="1">
            <w:r>
              <w:rPr>
                <w:rStyle w:val="Hyperlink"/>
                <w:noProof/>
              </w:rPr>
              <w:t>2.</w:t>
            </w:r>
            <w:r>
              <w:rPr>
                <w:rFonts w:asciiTheme="minorHAnsi" w:eastAsiaTheme="minorEastAsia" w:hAnsiTheme="minorHAnsi" w:cstheme="minorBidi"/>
                <w:b w:val="0"/>
                <w:bCs w:val="0"/>
                <w:caps w:val="0"/>
                <w:noProof/>
                <w:sz w:val="22"/>
                <w:szCs w:val="22"/>
              </w:rPr>
              <w:tab/>
            </w:r>
            <w:r>
              <w:rPr>
                <w:rStyle w:val="Hyperlink"/>
                <w:noProof/>
              </w:rPr>
              <w:t>Financing from the EUSF allocations 2016, 2017 and 2018</w:t>
            </w:r>
            <w:r>
              <w:rPr>
                <w:noProof/>
                <w:webHidden/>
              </w:rPr>
              <w:tab/>
            </w:r>
            <w:r>
              <w:rPr>
                <w:noProof/>
                <w:webHidden/>
              </w:rPr>
              <w:fldChar w:fldCharType="begin"/>
            </w:r>
            <w:r>
              <w:rPr>
                <w:noProof/>
                <w:webHidden/>
              </w:rPr>
              <w:instrText xml:space="preserve"> PAGEREF _Toc484781560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84781561" w:history="1">
            <w:r>
              <w:rPr>
                <w:rStyle w:val="Hyperlink"/>
                <w:noProof/>
              </w:rPr>
              <w:t>3.</w:t>
            </w:r>
            <w:r>
              <w:rPr>
                <w:rFonts w:asciiTheme="minorHAnsi" w:eastAsiaTheme="minorEastAsia" w:hAnsiTheme="minorHAnsi" w:cstheme="minorBidi"/>
                <w:b w:val="0"/>
                <w:bCs w:val="0"/>
                <w:caps w:val="0"/>
                <w:noProof/>
                <w:sz w:val="22"/>
                <w:szCs w:val="22"/>
              </w:rPr>
              <w:tab/>
            </w:r>
            <w:r>
              <w:rPr>
                <w:rStyle w:val="Hyperlink"/>
                <w:noProof/>
              </w:rPr>
              <w:t>Appropriations requested in the budget of 2017</w:t>
            </w:r>
            <w:r>
              <w:rPr>
                <w:noProof/>
                <w:webHidden/>
              </w:rPr>
              <w:tab/>
            </w:r>
            <w:r>
              <w:rPr>
                <w:noProof/>
                <w:webHidden/>
              </w:rPr>
              <w:fldChar w:fldCharType="begin"/>
            </w:r>
            <w:r>
              <w:rPr>
                <w:noProof/>
                <w:webHidden/>
              </w:rPr>
              <w:instrText xml:space="preserve"> PAGEREF _Toc484781561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84781562" w:history="1">
            <w:r>
              <w:rPr>
                <w:rStyle w:val="Hyperlink"/>
                <w:noProof/>
              </w:rPr>
              <w:t>4.</w:t>
            </w:r>
            <w:r>
              <w:rPr>
                <w:rFonts w:asciiTheme="minorHAnsi" w:eastAsiaTheme="minorEastAsia" w:hAnsiTheme="minorHAnsi" w:cstheme="minorBidi"/>
                <w:b w:val="0"/>
                <w:bCs w:val="0"/>
                <w:caps w:val="0"/>
                <w:noProof/>
                <w:sz w:val="22"/>
                <w:szCs w:val="22"/>
              </w:rPr>
              <w:tab/>
            </w:r>
            <w:r>
              <w:rPr>
                <w:rStyle w:val="Hyperlink"/>
                <w:noProof/>
              </w:rPr>
              <w:t>Summary table by MFF heading</w:t>
            </w:r>
            <w:r>
              <w:rPr>
                <w:noProof/>
                <w:webHidden/>
              </w:rPr>
              <w:tab/>
            </w:r>
            <w:r>
              <w:rPr>
                <w:noProof/>
                <w:webHidden/>
              </w:rPr>
              <w:fldChar w:fldCharType="begin"/>
            </w:r>
            <w:r>
              <w:rPr>
                <w:noProof/>
                <w:webHidden/>
              </w:rPr>
              <w:instrText xml:space="preserve"> PAGEREF _Toc484781562 \h </w:instrText>
            </w:r>
            <w:r>
              <w:rPr>
                <w:noProof/>
                <w:webHidden/>
              </w:rPr>
            </w:r>
            <w:r>
              <w:rPr>
                <w:noProof/>
                <w:webHidden/>
              </w:rPr>
              <w:fldChar w:fldCharType="separate"/>
            </w:r>
            <w:r>
              <w:rPr>
                <w:noProof/>
                <w:webHidden/>
              </w:rPr>
              <w:t>6</w:t>
            </w:r>
            <w:r>
              <w:rPr>
                <w:noProof/>
                <w:webHidden/>
              </w:rPr>
              <w:fldChar w:fldCharType="end"/>
            </w:r>
          </w:hyperlink>
        </w:p>
        <w:p>
          <w:pPr>
            <w:rPr>
              <w:noProof/>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r>
            <w:rPr>
              <w:b/>
              <w:bCs/>
              <w:noProof/>
            </w:rPr>
            <w:fldChar w:fldCharType="end"/>
          </w:r>
        </w:p>
      </w:sdtContent>
    </w:sdt>
    <w:p>
      <w:pPr>
        <w:pStyle w:val="ManualHeading1"/>
      </w:pPr>
      <w:bookmarkStart w:id="8" w:name="_Toc385506031"/>
      <w:bookmarkStart w:id="9" w:name="_Toc430865946"/>
      <w:bookmarkStart w:id="10" w:name="_Toc430867524"/>
      <w:bookmarkStart w:id="11" w:name="_Toc484781559"/>
      <w:bookmarkStart w:id="12" w:name="_Toc351469332"/>
      <w:bookmarkStart w:id="13" w:name="_Toc361649879"/>
      <w:r>
        <w:t>1.</w:t>
      </w:r>
      <w:r>
        <w:tab/>
        <w:t>Introduction</w:t>
      </w:r>
      <w:bookmarkEnd w:id="8"/>
      <w:bookmarkEnd w:id="9"/>
      <w:bookmarkEnd w:id="10"/>
      <w:bookmarkEnd w:id="11"/>
    </w:p>
    <w:p>
      <w:pPr>
        <w:spacing w:before="120" w:after="120"/>
        <w:jc w:val="both"/>
        <w:rPr>
          <w:noProof/>
        </w:rPr>
      </w:pPr>
      <w:bookmarkStart w:id="14" w:name="_Toc430865947"/>
      <w:bookmarkStart w:id="15" w:name="_Toc430867525"/>
      <w:r>
        <w:rPr>
          <w:noProof/>
        </w:rPr>
        <w:t>Draft Amending Budget (DAB) No 4 for the year 2017 accompanies the proposal to mobilise the European Union Solidarity Fund (EUSF) for an amount of EUR 1 196 797 579 to provide assistance to Italy further to a series of earthquakes that took place between August 2016 and January 2017 in the regions of Abruzzo, Lazio, Marche and Umbria</w:t>
      </w:r>
      <w:r>
        <w:rPr>
          <w:rStyle w:val="FootnoteReference"/>
          <w:noProof/>
        </w:rPr>
        <w:footnoteReference w:id="7"/>
      </w:r>
      <w:r>
        <w:rPr>
          <w:noProof/>
        </w:rPr>
        <w:t xml:space="preserve">. </w:t>
      </w:r>
    </w:p>
    <w:p>
      <w:pPr>
        <w:spacing w:before="120" w:after="120"/>
        <w:jc w:val="both"/>
        <w:rPr>
          <w:noProof/>
        </w:rPr>
      </w:pPr>
      <w:r>
        <w:rPr>
          <w:noProof/>
        </w:rPr>
        <w:t>DAB No 4/2017 proposes to enter in the general budget 2017 EUR 1 166 797 579 in commitment and payment appropriations to cover the budgetary needs of this mobilisation, after having deducted the advance already paid in 2016 (EUR 30 000 000).</w:t>
      </w:r>
    </w:p>
    <w:p>
      <w:pPr>
        <w:pStyle w:val="ManualHeading1"/>
      </w:pPr>
      <w:bookmarkStart w:id="16" w:name="_Toc484781560"/>
      <w:r>
        <w:t>2.</w:t>
      </w:r>
      <w:r>
        <w:tab/>
        <w:t>Financing from the EUSF allocations 2016, 2017 and 2018</w:t>
      </w:r>
      <w:bookmarkEnd w:id="16"/>
    </w:p>
    <w:p>
      <w:pPr>
        <w:spacing w:before="120" w:after="120"/>
        <w:jc w:val="both"/>
        <w:rPr>
          <w:noProof/>
        </w:rPr>
      </w:pPr>
      <w:r>
        <w:rPr>
          <w:noProof/>
        </w:rPr>
        <w:t>The total amount available for the mobilisation of the EUSF at the beginning of 2017 was EUR 1 115 121 612, being the sum of the 2017 allocation of EUR 563 081 210 (i.e. EUR 500 000 000 in 2011 prices) in accordance with Article 10(1) of the Multiannual Financial Framework (MFF) regulation</w:t>
      </w:r>
      <w:r>
        <w:rPr>
          <w:rStyle w:val="FootnoteReference"/>
          <w:noProof/>
        </w:rPr>
        <w:footnoteReference w:id="8"/>
      </w:r>
      <w:r>
        <w:rPr>
          <w:noProof/>
        </w:rPr>
        <w:t xml:space="preserve"> (hereafter "the MFF regulation"), plus the entire 2016 allocation of EUR 552 040 402 (i.e. EUR 500 000 000 in 2011 prices) that remained unspent and was carried over to the following year, in accordance with Article 10(2) of the MFF regulation.</w:t>
      </w:r>
    </w:p>
    <w:p>
      <w:pPr>
        <w:spacing w:before="120" w:after="120"/>
        <w:jc w:val="both"/>
        <w:rPr>
          <w:noProof/>
        </w:rPr>
      </w:pPr>
      <w:r>
        <w:rPr>
          <w:noProof/>
        </w:rPr>
        <w:t>The amount that may be mobilised at this stage of the year 2017 is EUR 902 826 499. This corresponds to the total amount available for the mobilisation of the EUSF at the beginning of 2017 (EUR 1 115 121 612), minus the previous mobilisation</w:t>
      </w:r>
      <w:r>
        <w:rPr>
          <w:rStyle w:val="FootnoteReference"/>
          <w:noProof/>
        </w:rPr>
        <w:footnoteReference w:id="9"/>
      </w:r>
      <w:r>
        <w:rPr>
          <w:noProof/>
        </w:rPr>
        <w:t xml:space="preserve"> (EUR 71 524 810), minus the retained amount of EUR 140 770 303 in order to respect the obligation of keeping aside 25% of the 2017 annual allocation until 1 October 2017 as stipulated by Article 10(1) of the MFF regulation. </w:t>
      </w:r>
    </w:p>
    <w:p>
      <w:pPr>
        <w:spacing w:before="120" w:after="120"/>
        <w:jc w:val="both"/>
        <w:rPr>
          <w:noProof/>
        </w:rPr>
      </w:pPr>
      <w:r>
        <w:rPr>
          <w:noProof/>
        </w:rPr>
        <w:t>This amount is not sufficient to cover the full mobilisation of the EUSF for Italy. However, the Commission considers that the conditions under Article 10(2) of the MFF regulation are fulfiled and proposes to cover the difference of EUR 293 971 080 (EUR 1 196 797 579 minus EUR 902 826 499 under 2017 budget allocation) from the annual amount available in 2018.</w:t>
      </w:r>
    </w:p>
    <w:p>
      <w:pPr>
        <w:pStyle w:val="ManualHeading1"/>
      </w:pPr>
      <w:bookmarkStart w:id="17" w:name="_Toc484781561"/>
      <w:r>
        <w:t>3.</w:t>
      </w:r>
      <w:r>
        <w:tab/>
        <w:t>Appropriations requested in the budget of 2017</w:t>
      </w:r>
      <w:bookmarkEnd w:id="17"/>
    </w:p>
    <w:p>
      <w:pPr>
        <w:spacing w:before="120" w:after="120"/>
        <w:jc w:val="both"/>
        <w:rPr>
          <w:noProof/>
        </w:rPr>
      </w:pPr>
      <w:r>
        <w:rPr>
          <w:noProof/>
        </w:rPr>
        <w:t>Considering the amount of EUR 30 000 000 that was already paid for this EUSF case as advance from the budget 2016,</w:t>
      </w:r>
      <w:r>
        <w:rPr>
          <w:noProof/>
          <w:snapToGrid w:val="0"/>
        </w:rPr>
        <w:t xml:space="preserve"> the Commission proposes </w:t>
      </w:r>
      <w:r>
        <w:rPr>
          <w:noProof/>
        </w:rPr>
        <w:t xml:space="preserve">to amend the budget 2017 by increasing budget article </w:t>
      </w:r>
      <w:r>
        <w:rPr>
          <w:i/>
          <w:noProof/>
        </w:rPr>
        <w:t>13 06 01 'Assistance to Member States in the event of a major natural disaster with serious repercussions on living conditions, the natural environment or the economy</w:t>
      </w:r>
      <w:r>
        <w:rPr>
          <w:noProof/>
        </w:rPr>
        <w:t>' by EUR 1 166 797 579 both in commitment and payment appropriations.</w:t>
      </w:r>
    </w:p>
    <w:p>
      <w:pPr>
        <w:spacing w:before="120" w:after="120"/>
        <w:jc w:val="both"/>
        <w:rPr>
          <w:noProof/>
        </w:rPr>
      </w:pPr>
      <w:r>
        <w:rPr>
          <w:noProof/>
        </w:rPr>
        <w:t>Given the level of interim payments received before the closure, the Commission proposes to fully redeploy the necessary payment appropriations for this EUSF case within the budget 2017 and to replenish the negative reserve activated in the Amending Budget No 1/2017 (EUR 70 402 434) from the budget lines for some 2007-2013 structural funds programmes.</w:t>
      </w:r>
      <w:r>
        <w:rPr>
          <w:noProof/>
        </w:rPr>
        <w:br w:type="page"/>
      </w:r>
    </w:p>
    <w:p>
      <w:pPr>
        <w:spacing w:before="120" w:after="120"/>
        <w:jc w:val="both"/>
        <w:rPr>
          <w:noProof/>
        </w:rPr>
      </w:pPr>
      <w:r>
        <w:rPr>
          <w:noProof/>
        </w:rPr>
        <w:t>The budget lines proposed to be amended in the context of this EUSF cases are listed below: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tc>
          <w:tcPr>
            <w:tcW w:w="9781"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2"/>
                <w:szCs w:val="22"/>
              </w:rPr>
            </w:pPr>
            <w:r>
              <w:rPr>
                <w:i/>
                <w:noProof/>
                <w:sz w:val="22"/>
                <w:szCs w:val="22"/>
              </w:rPr>
              <w:t>Amounts in EUR</w:t>
            </w:r>
          </w:p>
        </w:tc>
      </w:tr>
      <w:tr>
        <w:tc>
          <w:tcPr>
            <w:tcW w:w="1276"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szCs w:val="22"/>
              </w:rPr>
              <w:t>Budget line</w:t>
            </w:r>
          </w:p>
        </w:tc>
        <w:tc>
          <w:tcPr>
            <w:tcW w:w="5103"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szCs w:val="22"/>
              </w:rPr>
              <w:t>Name</w:t>
            </w:r>
          </w:p>
        </w:tc>
        <w:tc>
          <w:tcPr>
            <w:tcW w:w="1701" w:type="dxa"/>
            <w:tcBorders>
              <w:top w:val="single" w:sz="4" w:space="0" w:color="auto"/>
            </w:tcBorders>
            <w:shd w:val="clear" w:color="auto" w:fill="D9D9D9"/>
          </w:tcPr>
          <w:p>
            <w:pPr>
              <w:widowControl w:val="0"/>
              <w:spacing w:before="15" w:after="15"/>
              <w:jc w:val="center"/>
              <w:rPr>
                <w:b/>
                <w:noProof/>
                <w:sz w:val="22"/>
                <w:szCs w:val="22"/>
              </w:rPr>
            </w:pPr>
            <w:r>
              <w:rPr>
                <w:b/>
                <w:noProof/>
                <w:sz w:val="22"/>
                <w:szCs w:val="22"/>
              </w:rPr>
              <w:t>Commitment appropriations</w:t>
            </w:r>
          </w:p>
        </w:tc>
        <w:tc>
          <w:tcPr>
            <w:tcW w:w="1701"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szCs w:val="22"/>
              </w:rPr>
              <w:t>Payment appropriations</w:t>
            </w:r>
          </w:p>
        </w:tc>
      </w:tr>
      <w:tr>
        <w:tc>
          <w:tcPr>
            <w:tcW w:w="1276" w:type="dxa"/>
          </w:tcPr>
          <w:p>
            <w:pPr>
              <w:widowControl w:val="0"/>
              <w:spacing w:before="15" w:after="15"/>
              <w:ind w:right="-113"/>
              <w:jc w:val="both"/>
              <w:rPr>
                <w:noProof/>
                <w:sz w:val="22"/>
                <w:szCs w:val="22"/>
              </w:rPr>
            </w:pPr>
            <w:r>
              <w:rPr>
                <w:noProof/>
                <w:sz w:val="22"/>
                <w:szCs w:val="22"/>
              </w:rPr>
              <w:t>13 03 16</w:t>
            </w:r>
          </w:p>
        </w:tc>
        <w:tc>
          <w:tcPr>
            <w:tcW w:w="5103" w:type="dxa"/>
          </w:tcPr>
          <w:p>
            <w:pPr>
              <w:widowControl w:val="0"/>
              <w:spacing w:before="15" w:after="15"/>
              <w:ind w:right="-113"/>
              <w:jc w:val="both"/>
              <w:rPr>
                <w:noProof/>
                <w:sz w:val="22"/>
                <w:szCs w:val="22"/>
              </w:rPr>
            </w:pPr>
            <w:r>
              <w:rPr>
                <w:noProof/>
                <w:sz w:val="22"/>
                <w:szCs w:val="22"/>
              </w:rPr>
              <w:t>Completion of European Regional Development Fund (ERDF) — Convergence</w:t>
            </w:r>
          </w:p>
        </w:tc>
        <w:tc>
          <w:tcPr>
            <w:tcW w:w="1701" w:type="dxa"/>
          </w:tcPr>
          <w:p>
            <w:pPr>
              <w:widowControl w:val="0"/>
              <w:spacing w:before="15" w:after="15"/>
              <w:jc w:val="right"/>
              <w:rPr>
                <w:noProof/>
                <w:sz w:val="22"/>
                <w:szCs w:val="22"/>
              </w:rPr>
            </w:pPr>
          </w:p>
        </w:tc>
        <w:tc>
          <w:tcPr>
            <w:tcW w:w="1701" w:type="dxa"/>
          </w:tcPr>
          <w:p>
            <w:pPr>
              <w:widowControl w:val="0"/>
              <w:spacing w:before="15" w:after="15"/>
              <w:jc w:val="right"/>
              <w:rPr>
                <w:noProof/>
                <w:sz w:val="22"/>
                <w:szCs w:val="22"/>
              </w:rPr>
            </w:pPr>
            <w:r>
              <w:rPr>
                <w:noProof/>
                <w:sz w:val="22"/>
                <w:szCs w:val="22"/>
              </w:rPr>
              <w:t>-915 477 000</w:t>
            </w:r>
          </w:p>
        </w:tc>
      </w:tr>
      <w:tr>
        <w:tc>
          <w:tcPr>
            <w:tcW w:w="1276" w:type="dxa"/>
          </w:tcPr>
          <w:p>
            <w:pPr>
              <w:widowControl w:val="0"/>
              <w:spacing w:before="15" w:after="15"/>
              <w:ind w:right="-113"/>
              <w:jc w:val="both"/>
              <w:rPr>
                <w:noProof/>
                <w:sz w:val="22"/>
                <w:szCs w:val="22"/>
              </w:rPr>
            </w:pPr>
            <w:r>
              <w:rPr>
                <w:noProof/>
                <w:sz w:val="22"/>
                <w:szCs w:val="22"/>
              </w:rPr>
              <w:t>13 03 18</w:t>
            </w:r>
          </w:p>
        </w:tc>
        <w:tc>
          <w:tcPr>
            <w:tcW w:w="5103" w:type="dxa"/>
          </w:tcPr>
          <w:p>
            <w:pPr>
              <w:widowControl w:val="0"/>
              <w:spacing w:before="15" w:after="15"/>
              <w:ind w:right="-113"/>
              <w:jc w:val="both"/>
              <w:rPr>
                <w:noProof/>
                <w:sz w:val="22"/>
                <w:szCs w:val="22"/>
              </w:rPr>
            </w:pPr>
            <w:r>
              <w:rPr>
                <w:noProof/>
                <w:sz w:val="22"/>
                <w:szCs w:val="22"/>
              </w:rPr>
              <w:t>Completion of European Regional Development Fund (ERDF) — Regional competitiveness and employment</w:t>
            </w:r>
          </w:p>
        </w:tc>
        <w:tc>
          <w:tcPr>
            <w:tcW w:w="1701" w:type="dxa"/>
          </w:tcPr>
          <w:p>
            <w:pPr>
              <w:widowControl w:val="0"/>
              <w:spacing w:before="15" w:after="15"/>
              <w:jc w:val="right"/>
              <w:rPr>
                <w:noProof/>
                <w:sz w:val="22"/>
                <w:szCs w:val="22"/>
              </w:rPr>
            </w:pPr>
            <w:r>
              <w:rPr>
                <w:noProof/>
                <w:sz w:val="22"/>
                <w:szCs w:val="22"/>
              </w:rPr>
              <w:t>0</w:t>
            </w:r>
          </w:p>
        </w:tc>
        <w:tc>
          <w:tcPr>
            <w:tcW w:w="1701" w:type="dxa"/>
          </w:tcPr>
          <w:p>
            <w:pPr>
              <w:widowControl w:val="0"/>
              <w:spacing w:before="15" w:after="15"/>
              <w:jc w:val="right"/>
              <w:rPr>
                <w:noProof/>
                <w:sz w:val="22"/>
                <w:szCs w:val="22"/>
              </w:rPr>
            </w:pPr>
            <w:r>
              <w:rPr>
                <w:noProof/>
                <w:sz w:val="22"/>
                <w:szCs w:val="22"/>
              </w:rPr>
              <w:t>-23 165 000</w:t>
            </w:r>
          </w:p>
        </w:tc>
      </w:tr>
      <w:tr>
        <w:tc>
          <w:tcPr>
            <w:tcW w:w="1276" w:type="dxa"/>
          </w:tcPr>
          <w:p>
            <w:pPr>
              <w:widowControl w:val="0"/>
              <w:spacing w:before="15" w:after="15"/>
              <w:ind w:right="-113"/>
              <w:jc w:val="both"/>
              <w:rPr>
                <w:noProof/>
                <w:sz w:val="22"/>
                <w:szCs w:val="22"/>
              </w:rPr>
            </w:pPr>
            <w:r>
              <w:rPr>
                <w:noProof/>
                <w:sz w:val="22"/>
                <w:szCs w:val="22"/>
              </w:rPr>
              <w:t>13 03 19</w:t>
            </w:r>
          </w:p>
        </w:tc>
        <w:tc>
          <w:tcPr>
            <w:tcW w:w="5103" w:type="dxa"/>
          </w:tcPr>
          <w:p>
            <w:pPr>
              <w:widowControl w:val="0"/>
              <w:spacing w:before="15" w:after="15"/>
              <w:ind w:right="-113"/>
              <w:jc w:val="both"/>
              <w:rPr>
                <w:noProof/>
                <w:sz w:val="22"/>
                <w:szCs w:val="22"/>
              </w:rPr>
            </w:pPr>
            <w:r>
              <w:rPr>
                <w:noProof/>
                <w:sz w:val="22"/>
                <w:szCs w:val="22"/>
              </w:rPr>
              <w:t>Completion of European Regional Development Fund (ERDF) — European territorial cooperation</w:t>
            </w:r>
          </w:p>
        </w:tc>
        <w:tc>
          <w:tcPr>
            <w:tcW w:w="1701" w:type="dxa"/>
          </w:tcPr>
          <w:p>
            <w:pPr>
              <w:widowControl w:val="0"/>
              <w:spacing w:before="15" w:after="15"/>
              <w:jc w:val="right"/>
              <w:rPr>
                <w:noProof/>
                <w:sz w:val="22"/>
                <w:szCs w:val="22"/>
              </w:rPr>
            </w:pPr>
            <w:r>
              <w:rPr>
                <w:noProof/>
                <w:sz w:val="22"/>
                <w:szCs w:val="22"/>
              </w:rPr>
              <w:t>0</w:t>
            </w:r>
          </w:p>
        </w:tc>
        <w:tc>
          <w:tcPr>
            <w:tcW w:w="1701" w:type="dxa"/>
          </w:tcPr>
          <w:p>
            <w:pPr>
              <w:widowControl w:val="0"/>
              <w:spacing w:before="15" w:after="15"/>
              <w:jc w:val="right"/>
              <w:rPr>
                <w:noProof/>
                <w:sz w:val="22"/>
                <w:szCs w:val="22"/>
              </w:rPr>
            </w:pPr>
            <w:r>
              <w:rPr>
                <w:noProof/>
                <w:sz w:val="22"/>
                <w:szCs w:val="22"/>
              </w:rPr>
              <w:t>-42 508 000</w:t>
            </w:r>
          </w:p>
        </w:tc>
      </w:tr>
      <w:tr>
        <w:tc>
          <w:tcPr>
            <w:tcW w:w="1276" w:type="dxa"/>
          </w:tcPr>
          <w:p>
            <w:pPr>
              <w:widowControl w:val="0"/>
              <w:spacing w:before="15" w:after="15"/>
              <w:ind w:right="-113"/>
              <w:jc w:val="both"/>
              <w:rPr>
                <w:noProof/>
                <w:sz w:val="22"/>
                <w:szCs w:val="22"/>
              </w:rPr>
            </w:pPr>
            <w:r>
              <w:rPr>
                <w:noProof/>
                <w:sz w:val="22"/>
                <w:szCs w:val="22"/>
              </w:rPr>
              <w:t>13 04 02</w:t>
            </w:r>
          </w:p>
        </w:tc>
        <w:tc>
          <w:tcPr>
            <w:tcW w:w="5103" w:type="dxa"/>
          </w:tcPr>
          <w:p>
            <w:pPr>
              <w:widowControl w:val="0"/>
              <w:spacing w:before="15" w:after="15"/>
              <w:ind w:right="-113"/>
              <w:jc w:val="both"/>
              <w:rPr>
                <w:noProof/>
                <w:sz w:val="22"/>
                <w:szCs w:val="22"/>
              </w:rPr>
            </w:pPr>
            <w:r>
              <w:rPr>
                <w:noProof/>
                <w:sz w:val="22"/>
                <w:szCs w:val="22"/>
              </w:rPr>
              <w:t>Completion of Cohesion Fund (2007 to 2013)</w:t>
            </w:r>
          </w:p>
        </w:tc>
        <w:tc>
          <w:tcPr>
            <w:tcW w:w="1701" w:type="dxa"/>
          </w:tcPr>
          <w:p>
            <w:pPr>
              <w:widowControl w:val="0"/>
              <w:spacing w:before="15" w:after="15"/>
              <w:jc w:val="right"/>
              <w:rPr>
                <w:noProof/>
                <w:sz w:val="22"/>
                <w:szCs w:val="22"/>
              </w:rPr>
            </w:pPr>
            <w:r>
              <w:rPr>
                <w:noProof/>
                <w:sz w:val="22"/>
                <w:szCs w:val="22"/>
              </w:rPr>
              <w:t>0</w:t>
            </w:r>
          </w:p>
        </w:tc>
        <w:tc>
          <w:tcPr>
            <w:tcW w:w="1701" w:type="dxa"/>
          </w:tcPr>
          <w:p>
            <w:pPr>
              <w:widowControl w:val="0"/>
              <w:spacing w:before="15" w:after="15"/>
              <w:jc w:val="right"/>
              <w:rPr>
                <w:noProof/>
                <w:sz w:val="22"/>
                <w:szCs w:val="22"/>
              </w:rPr>
            </w:pPr>
            <w:r>
              <w:rPr>
                <w:noProof/>
                <w:sz w:val="22"/>
                <w:szCs w:val="22"/>
              </w:rPr>
              <w:t>-256 050 013</w:t>
            </w:r>
          </w:p>
        </w:tc>
      </w:tr>
      <w:tr>
        <w:tc>
          <w:tcPr>
            <w:tcW w:w="1276" w:type="dxa"/>
          </w:tcPr>
          <w:p>
            <w:pPr>
              <w:widowControl w:val="0"/>
              <w:spacing w:before="15" w:after="15"/>
              <w:ind w:right="-113"/>
              <w:jc w:val="both"/>
              <w:rPr>
                <w:noProof/>
                <w:sz w:val="22"/>
                <w:szCs w:val="22"/>
              </w:rPr>
            </w:pPr>
            <w:r>
              <w:rPr>
                <w:noProof/>
                <w:sz w:val="22"/>
                <w:szCs w:val="22"/>
              </w:rPr>
              <w:t>13 06 01</w:t>
            </w:r>
          </w:p>
        </w:tc>
        <w:tc>
          <w:tcPr>
            <w:tcW w:w="5103" w:type="dxa"/>
          </w:tcPr>
          <w:p>
            <w:pPr>
              <w:widowControl w:val="0"/>
              <w:spacing w:before="15" w:after="15"/>
              <w:ind w:right="-113"/>
              <w:jc w:val="both"/>
              <w:rPr>
                <w:noProof/>
                <w:sz w:val="22"/>
                <w:szCs w:val="22"/>
              </w:rPr>
            </w:pPr>
            <w:r>
              <w:rPr>
                <w:noProof/>
                <w:sz w:val="22"/>
                <w:szCs w:val="22"/>
              </w:rPr>
              <w:t>Assistance to Member States in the event of a major natural disaster with serious repercussions on living conditions, the natural environment or the economy</w:t>
            </w:r>
          </w:p>
        </w:tc>
        <w:tc>
          <w:tcPr>
            <w:tcW w:w="1701" w:type="dxa"/>
          </w:tcPr>
          <w:p>
            <w:pPr>
              <w:widowControl w:val="0"/>
              <w:spacing w:before="15" w:after="15"/>
              <w:jc w:val="right"/>
              <w:rPr>
                <w:noProof/>
                <w:sz w:val="22"/>
                <w:szCs w:val="22"/>
              </w:rPr>
            </w:pPr>
            <w:r>
              <w:rPr>
                <w:noProof/>
                <w:sz w:val="22"/>
                <w:szCs w:val="22"/>
              </w:rPr>
              <w:t>1 166 797 579</w:t>
            </w:r>
          </w:p>
        </w:tc>
        <w:tc>
          <w:tcPr>
            <w:tcW w:w="1701" w:type="dxa"/>
          </w:tcPr>
          <w:p>
            <w:pPr>
              <w:widowControl w:val="0"/>
              <w:spacing w:before="15" w:after="15"/>
              <w:jc w:val="right"/>
              <w:rPr>
                <w:noProof/>
                <w:sz w:val="22"/>
                <w:szCs w:val="22"/>
              </w:rPr>
            </w:pPr>
            <w:r>
              <w:rPr>
                <w:noProof/>
                <w:sz w:val="22"/>
                <w:szCs w:val="22"/>
              </w:rPr>
              <w:t>1 166 797 579</w:t>
            </w:r>
          </w:p>
        </w:tc>
      </w:tr>
      <w:tr>
        <w:tc>
          <w:tcPr>
            <w:tcW w:w="1276" w:type="dxa"/>
          </w:tcPr>
          <w:p>
            <w:pPr>
              <w:widowControl w:val="0"/>
              <w:spacing w:before="15" w:after="15"/>
              <w:ind w:right="-113"/>
              <w:jc w:val="both"/>
              <w:rPr>
                <w:noProof/>
                <w:sz w:val="22"/>
                <w:szCs w:val="22"/>
              </w:rPr>
            </w:pPr>
            <w:r>
              <w:rPr>
                <w:noProof/>
                <w:sz w:val="22"/>
                <w:szCs w:val="22"/>
              </w:rPr>
              <w:t>40 03 01</w:t>
            </w:r>
          </w:p>
        </w:tc>
        <w:tc>
          <w:tcPr>
            <w:tcW w:w="5103" w:type="dxa"/>
          </w:tcPr>
          <w:p>
            <w:pPr>
              <w:widowControl w:val="0"/>
              <w:spacing w:before="15" w:after="15"/>
              <w:ind w:right="-113"/>
              <w:jc w:val="both"/>
              <w:rPr>
                <w:noProof/>
                <w:sz w:val="22"/>
                <w:szCs w:val="22"/>
              </w:rPr>
            </w:pPr>
            <w:r>
              <w:rPr>
                <w:noProof/>
                <w:sz w:val="22"/>
                <w:szCs w:val="22"/>
              </w:rPr>
              <w:t>Negative reserve</w:t>
            </w:r>
          </w:p>
        </w:tc>
        <w:tc>
          <w:tcPr>
            <w:tcW w:w="1701" w:type="dxa"/>
          </w:tcPr>
          <w:p>
            <w:pPr>
              <w:widowControl w:val="0"/>
              <w:spacing w:before="15" w:after="15"/>
              <w:jc w:val="right"/>
              <w:rPr>
                <w:noProof/>
                <w:sz w:val="22"/>
                <w:szCs w:val="22"/>
              </w:rPr>
            </w:pPr>
            <w:r>
              <w:rPr>
                <w:noProof/>
                <w:sz w:val="22"/>
                <w:szCs w:val="22"/>
              </w:rPr>
              <w:t>0</w:t>
            </w:r>
          </w:p>
        </w:tc>
        <w:tc>
          <w:tcPr>
            <w:tcW w:w="1701" w:type="dxa"/>
          </w:tcPr>
          <w:p>
            <w:pPr>
              <w:widowControl w:val="0"/>
              <w:spacing w:before="15" w:after="15"/>
              <w:jc w:val="right"/>
              <w:rPr>
                <w:noProof/>
                <w:sz w:val="22"/>
                <w:szCs w:val="22"/>
              </w:rPr>
            </w:pPr>
            <w:r>
              <w:rPr>
                <w:noProof/>
                <w:sz w:val="22"/>
                <w:szCs w:val="22"/>
              </w:rPr>
              <w:t>70 402 434</w:t>
            </w:r>
          </w:p>
        </w:tc>
      </w:tr>
      <w:tr>
        <w:tc>
          <w:tcPr>
            <w:tcW w:w="6379" w:type="dxa"/>
            <w:gridSpan w:val="2"/>
            <w:shd w:val="clear" w:color="auto" w:fill="D9D9D9"/>
          </w:tcPr>
          <w:p>
            <w:pPr>
              <w:widowControl w:val="0"/>
              <w:tabs>
                <w:tab w:val="left" w:pos="975"/>
              </w:tabs>
              <w:spacing w:before="15" w:after="15"/>
              <w:jc w:val="both"/>
              <w:rPr>
                <w:b/>
                <w:noProof/>
                <w:sz w:val="22"/>
                <w:szCs w:val="22"/>
              </w:rPr>
            </w:pPr>
            <w:r>
              <w:rPr>
                <w:b/>
                <w:noProof/>
                <w:sz w:val="22"/>
                <w:szCs w:val="22"/>
              </w:rPr>
              <w:t>Total</w:t>
            </w:r>
            <w:r>
              <w:rPr>
                <w:b/>
                <w:noProof/>
                <w:sz w:val="22"/>
                <w:szCs w:val="22"/>
              </w:rPr>
              <w:tab/>
            </w:r>
          </w:p>
        </w:tc>
        <w:tc>
          <w:tcPr>
            <w:tcW w:w="1701" w:type="dxa"/>
            <w:shd w:val="clear" w:color="auto" w:fill="D9D9D9"/>
          </w:tcPr>
          <w:p>
            <w:pPr>
              <w:widowControl w:val="0"/>
              <w:spacing w:before="15" w:after="15"/>
              <w:jc w:val="right"/>
              <w:rPr>
                <w:b/>
                <w:noProof/>
                <w:sz w:val="22"/>
                <w:szCs w:val="22"/>
              </w:rPr>
            </w:pPr>
            <w:r>
              <w:rPr>
                <w:b/>
                <w:noProof/>
                <w:sz w:val="22"/>
                <w:szCs w:val="22"/>
              </w:rPr>
              <w:t>1 166 797 579</w:t>
            </w:r>
          </w:p>
        </w:tc>
        <w:tc>
          <w:tcPr>
            <w:tcW w:w="1701" w:type="dxa"/>
            <w:shd w:val="clear" w:color="auto" w:fill="D9D9D9"/>
          </w:tcPr>
          <w:p>
            <w:pPr>
              <w:widowControl w:val="0"/>
              <w:spacing w:before="15" w:after="15"/>
              <w:jc w:val="right"/>
              <w:rPr>
                <w:b/>
                <w:noProof/>
                <w:sz w:val="22"/>
                <w:szCs w:val="22"/>
              </w:rPr>
            </w:pPr>
            <w:r>
              <w:rPr>
                <w:b/>
                <w:noProof/>
                <w:sz w:val="22"/>
                <w:szCs w:val="22"/>
              </w:rPr>
              <w:t>0</w:t>
            </w:r>
          </w:p>
        </w:tc>
      </w:tr>
    </w:tbl>
    <w:p>
      <w:pPr>
        <w:rPr>
          <w:b/>
          <w:smallCaps/>
          <w:noProof/>
          <w:lang w:eastAsia="de-DE"/>
        </w:rPr>
      </w:pPr>
      <w:r>
        <w:rPr>
          <w:noProof/>
        </w:rPr>
        <w:br w:type="page"/>
      </w:r>
    </w:p>
    <w:p>
      <w:pPr>
        <w:pStyle w:val="ManualHeading1"/>
      </w:pPr>
      <w:bookmarkStart w:id="18" w:name="_Toc484781562"/>
      <w:r>
        <w:t>4.</w:t>
      </w:r>
      <w:r>
        <w:tab/>
        <w:t>Summary table by MFF heading</w:t>
      </w:r>
      <w:bookmarkEnd w:id="18"/>
    </w:p>
    <w:tbl>
      <w:tblPr>
        <w:tblW w:w="10960" w:type="dxa"/>
        <w:jc w:val="center"/>
        <w:tblInd w:w="93" w:type="dxa"/>
        <w:tblLook w:val="04A0" w:firstRow="1" w:lastRow="0" w:firstColumn="1" w:lastColumn="0" w:noHBand="0" w:noVBand="1"/>
      </w:tblPr>
      <w:tblGrid>
        <w:gridCol w:w="357"/>
        <w:gridCol w:w="2521"/>
        <w:gridCol w:w="1347"/>
        <w:gridCol w:w="1347"/>
        <w:gridCol w:w="1347"/>
        <w:gridCol w:w="1347"/>
        <w:gridCol w:w="1347"/>
        <w:gridCol w:w="1347"/>
      </w:tblGrid>
      <w:tr>
        <w:trPr>
          <w:trHeight w:val="210"/>
          <w:jc w:val="center"/>
        </w:trPr>
        <w:tc>
          <w:tcPr>
            <w:tcW w:w="280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2"/>
          <w:bookmarkEnd w:id="3"/>
          <w:bookmarkEnd w:id="4"/>
          <w:bookmarkEnd w:id="5"/>
          <w:bookmarkEnd w:id="6"/>
          <w:bookmarkEnd w:id="7"/>
          <w:bookmarkEnd w:id="12"/>
          <w:bookmarkEnd w:id="13"/>
          <w:bookmarkEnd w:id="14"/>
          <w:bookmarkEnd w:id="15"/>
          <w:p>
            <w:pPr>
              <w:jc w:val="center"/>
              <w:rPr>
                <w:b/>
                <w:bCs/>
                <w:noProof/>
                <w:color w:val="000000"/>
                <w:sz w:val="14"/>
                <w:szCs w:val="14"/>
              </w:rPr>
            </w:pPr>
            <w:r>
              <w:rPr>
                <w:b/>
                <w:bCs/>
                <w:noProof/>
                <w:color w:val="000000"/>
                <w:sz w:val="14"/>
                <w:szCs w:val="14"/>
              </w:rPr>
              <w:t>Heading</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2017</w:t>
            </w:r>
          </w:p>
        </w:tc>
        <w:tc>
          <w:tcPr>
            <w:tcW w:w="272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Draft Amending Budget 4/2017</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2017</w:t>
            </w:r>
          </w:p>
        </w:tc>
      </w:tr>
      <w:tr>
        <w:trPr>
          <w:trHeight w:val="210"/>
          <w:jc w:val="center"/>
        </w:trPr>
        <w:tc>
          <w:tcPr>
            <w:tcW w:w="280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AB 1, DAB 2&amp;3/2017)</w:t>
            </w:r>
          </w:p>
        </w:tc>
        <w:tc>
          <w:tcPr>
            <w:tcW w:w="272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AB 1 &amp; DAB 2-4/2017)</w:t>
            </w:r>
          </w:p>
        </w:tc>
      </w:tr>
      <w:tr>
        <w:trPr>
          <w:trHeight w:val="210"/>
          <w:jc w:val="center"/>
        </w:trPr>
        <w:tc>
          <w:tcPr>
            <w:tcW w:w="280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1.</w:t>
            </w:r>
          </w:p>
        </w:tc>
        <w:tc>
          <w:tcPr>
            <w:tcW w:w="254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Smart and inclusive growth</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75 398 754 456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56 521 763 545</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-1 237 200 013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75 398 754 456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55 284 563 532</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1 939 100 000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1 939 100 000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 xml:space="preserve">Ceiling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73 512 000 000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73 512 000 000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52 345 544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52 345 544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1a</w:t>
            </w:r>
          </w:p>
        </w:tc>
        <w:tc>
          <w:tcPr>
            <w:tcW w:w="254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Competitiveness for growth and jobs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21 312 155 821</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19 320 944 503</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21 312 155 821</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19 320 944 503</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1 439 100 000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1 439 100 000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19 925 000 000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19 925 000 000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51 944 179</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51 944 179</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 xml:space="preserve">1b </w:t>
            </w:r>
          </w:p>
        </w:tc>
        <w:tc>
          <w:tcPr>
            <w:tcW w:w="254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Economic  social and territorial cohesion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54 086 598 635</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37 200 819 042</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-1 237 200 013</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54 086 598 635</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35 963 619 029</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53 587 000 000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53 587 000 000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401 365</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401 365</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2.</w:t>
            </w:r>
          </w:p>
        </w:tc>
        <w:tc>
          <w:tcPr>
            <w:tcW w:w="254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Sustainable growth: natural resources</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58 584 443 884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54 913 969 537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58 584 443 884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54 913 969 537</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60 191 000 000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60 191 000 000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- 575 000 000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- 575 000 000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1 031 556 116</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1 031 556 116</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European Agricultural Guarantee Fund (EAGF) — Market related expenditure and direct payments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42 612 572 079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42 562 967 974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42 612 572 079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42 562 967 974</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44 146 000 000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44 146 000 000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Net transfer between EAGF and EAFRD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318 000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318 000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EAGF 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1 533 109 921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1 533 109 921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3.</w:t>
            </w:r>
          </w:p>
        </w:tc>
        <w:tc>
          <w:tcPr>
            <w:tcW w:w="254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Security and citizenship</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4 284 030 960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3 786 957 287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4 284 030 960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3 786 957 287</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530 000 000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530 000 000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1 176 030 960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1 176 030 960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2 578 000 000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2 578 000 000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4.</w:t>
            </w:r>
          </w:p>
        </w:tc>
        <w:tc>
          <w:tcPr>
            <w:tcW w:w="254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Global Europe</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10 162 120 000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9 483 081 178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10 162 120 000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9 483 081 178</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730 120 000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730 120 000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9 432 000 000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9 432 000 000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5.</w:t>
            </w:r>
          </w:p>
        </w:tc>
        <w:tc>
          <w:tcPr>
            <w:tcW w:w="254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Administration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9 394 513 816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9 394 599 816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9 394 513 816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9 394 599 816</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9 918 000 000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9 918 000 000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- 507 268 804</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- 507 268 804</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16 217 380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16 217 380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Administrative expenditure of the institutions</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7 418 902 660</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7 418 988 660</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7 418 902 660</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7 418 988 660</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8 007 000 000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8 007 000 000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- 507 268 804</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- 507 268 804</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80 828 536</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80 828 536</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 </w:t>
            </w:r>
          </w:p>
        </w:tc>
        <w:tc>
          <w:tcPr>
            <w:tcW w:w="254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Negative reserve</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- 70 402 434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70 402 434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r>
      <w:tr>
        <w:trPr>
          <w:trHeight w:val="225"/>
          <w:jc w:val="center"/>
        </w:trPr>
        <w:tc>
          <w:tcPr>
            <w:tcW w:w="280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157 823 863 116</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134 029 968 929</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xml:space="preserve">   </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-1 166 797 579</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157 823 863 116</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132 863 171 350</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530 000 000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981 093 985</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530 000 000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981 093 985</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1 939 100 000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1 939 100 000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Contingency margin</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1 906 150 960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1 906 150 960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Ceiling</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155 631 000 000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142 906 000 000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155 631 000 000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142 906 000 000</w:t>
            </w:r>
          </w:p>
        </w:tc>
      </w:tr>
      <w:tr>
        <w:trPr>
          <w:trHeight w:val="225"/>
          <w:jc w:val="center"/>
        </w:trPr>
        <w:tc>
          <w:tcPr>
            <w:tcW w:w="280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-1 082 268 804</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-1 082 268 804</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r>
      <w:tr>
        <w:trPr>
          <w:trHeight w:val="225"/>
          <w:jc w:val="center"/>
        </w:trPr>
        <w:tc>
          <w:tcPr>
            <w:tcW w:w="280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1 100 119 040</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9 857 125 056</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1 100 119 040</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11 023 922 635</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bCs/>
                <w:noProof/>
                <w:color w:val="000000"/>
                <w:sz w:val="14"/>
                <w:szCs w:val="14"/>
              </w:rPr>
              <w:t>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Other special Instruments</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604 326 434</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460 402 434</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1 166 797 579</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1 166 797 579</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1 771 124 013</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1 627 200 013</w:t>
            </w:r>
          </w:p>
        </w:tc>
      </w:tr>
      <w:tr>
        <w:trPr>
          <w:trHeight w:val="225"/>
          <w:jc w:val="center"/>
        </w:trPr>
        <w:tc>
          <w:tcPr>
            <w:tcW w:w="280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Grand Total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158 428 189 550</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134 490 371 363</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1 166 797 579</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xml:space="preserve">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159 594 987 129</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134 490 371 363</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347"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l-PL"/>
        </w:rPr>
      </w:pPr>
      <w:r>
        <w:rPr>
          <w:rStyle w:val="FootnoteReference"/>
        </w:rPr>
        <w:footnoteRef/>
      </w:r>
      <w:r>
        <w:rPr>
          <w:sz w:val="19"/>
          <w:szCs w:val="19"/>
          <w:lang w:val="pl-PL"/>
        </w:rPr>
        <w:tab/>
      </w:r>
      <w:r>
        <w:rPr>
          <w:sz w:val="18"/>
          <w:szCs w:val="18"/>
          <w:lang w:val="pl-PL"/>
        </w:rPr>
        <w:t>OJ L 298, 26.10.2012, p. 1.</w:t>
      </w:r>
    </w:p>
  </w:footnote>
  <w:footnote w:id="3">
    <w:p>
      <w:pPr>
        <w:pStyle w:val="FootnoteText"/>
        <w:rPr>
          <w:lang w:val="pl-PL"/>
        </w:rPr>
      </w:pPr>
      <w:r>
        <w:rPr>
          <w:rStyle w:val="FootnoteReference"/>
        </w:rPr>
        <w:footnoteRef/>
      </w:r>
      <w:r>
        <w:rPr>
          <w:lang w:val="pl-PL"/>
        </w:rPr>
        <w:tab/>
      </w:r>
      <w:r>
        <w:rPr>
          <w:sz w:val="18"/>
          <w:szCs w:val="18"/>
          <w:lang w:val="pl-PL"/>
        </w:rPr>
        <w:t>OJ L 51, 28.2.2017.</w:t>
      </w:r>
    </w:p>
  </w:footnote>
  <w:footnote w:id="4">
    <w:p>
      <w:pPr>
        <w:pStyle w:val="FootnoteText"/>
        <w:rPr>
          <w:lang w:val="pl-PL"/>
        </w:rPr>
      </w:pPr>
      <w:r>
        <w:rPr>
          <w:rStyle w:val="FootnoteReference"/>
        </w:rPr>
        <w:footnoteRef/>
      </w:r>
      <w:r>
        <w:rPr>
          <w:sz w:val="18"/>
          <w:szCs w:val="18"/>
          <w:lang w:val="pl-PL"/>
        </w:rPr>
        <w:t xml:space="preserve"> </w:t>
      </w:r>
      <w:r>
        <w:rPr>
          <w:sz w:val="18"/>
          <w:szCs w:val="18"/>
          <w:lang w:val="pl-PL"/>
        </w:rPr>
        <w:tab/>
        <w:t>OJ L 136, 24.5.2017.</w:t>
      </w:r>
    </w:p>
  </w:footnote>
  <w:footnote w:id="5">
    <w:p>
      <w:pPr>
        <w:pStyle w:val="FootnoteText"/>
      </w:pPr>
      <w:r>
        <w:rPr>
          <w:rStyle w:val="FootnoteReference"/>
        </w:rPr>
        <w:footnoteRef/>
      </w:r>
      <w:r>
        <w:rPr>
          <w:sz w:val="18"/>
          <w:szCs w:val="18"/>
        </w:rPr>
        <w:t xml:space="preserve"> </w:t>
      </w:r>
      <w:r>
        <w:rPr>
          <w:sz w:val="18"/>
          <w:szCs w:val="18"/>
        </w:rPr>
        <w:tab/>
        <w:t>COM(2017) 188, 12.4.2017.</w:t>
      </w:r>
    </w:p>
  </w:footnote>
  <w:footnote w:id="6">
    <w:p>
      <w:pPr>
        <w:pStyle w:val="FootnoteText"/>
      </w:pPr>
      <w:r>
        <w:rPr>
          <w:rStyle w:val="FootnoteReference"/>
        </w:rPr>
        <w:footnoteRef/>
      </w:r>
      <w:r>
        <w:rPr>
          <w:sz w:val="18"/>
          <w:szCs w:val="18"/>
        </w:rPr>
        <w:t xml:space="preserve"> </w:t>
      </w:r>
      <w:r>
        <w:rPr>
          <w:sz w:val="18"/>
          <w:szCs w:val="18"/>
        </w:rPr>
        <w:tab/>
        <w:t>COM(2017) 288, 30.5.2017.</w:t>
      </w:r>
    </w:p>
  </w:footnote>
  <w:footnote w:id="7">
    <w:p>
      <w:pPr>
        <w:pStyle w:val="FootnoteText"/>
      </w:pPr>
      <w:r>
        <w:rPr>
          <w:rStyle w:val="FootnoteReference"/>
        </w:rPr>
        <w:footnoteRef/>
      </w:r>
      <w:r>
        <w:t xml:space="preserve"> </w:t>
      </w:r>
      <w:r>
        <w:tab/>
        <w:t>COM(2017) 540, 26.6.2017.</w:t>
      </w:r>
    </w:p>
  </w:footnote>
  <w:footnote w:id="8">
    <w:p>
      <w:pPr>
        <w:pStyle w:val="FootnoteText"/>
      </w:pPr>
      <w:r>
        <w:rPr>
          <w:rStyle w:val="FootnoteReference"/>
        </w:rPr>
        <w:footnoteRef/>
      </w:r>
      <w:r>
        <w:t xml:space="preserve"> </w:t>
      </w:r>
      <w:r>
        <w:tab/>
      </w:r>
      <w:r>
        <w:rPr>
          <w:noProof/>
        </w:rPr>
        <w:t>Council Regulation (EU, EURATOM) No 1311/2013 of 2 December 2013 laying down the multiannual financial framework for the years 2014-2020 (</w:t>
      </w:r>
      <w:r>
        <w:t>OJ L 347, 20.12.2013, p. 884).</w:t>
      </w:r>
    </w:p>
  </w:footnote>
  <w:footnote w:id="9">
    <w:p>
      <w:pPr>
        <w:pStyle w:val="FootnoteText"/>
      </w:pPr>
      <w:r>
        <w:rPr>
          <w:rStyle w:val="FootnoteReference"/>
        </w:rPr>
        <w:footnoteRef/>
      </w:r>
      <w:r>
        <w:t xml:space="preserve"> </w:t>
      </w:r>
      <w:r>
        <w:tab/>
        <w:t>Decision (EU) 2017/741 of the European Parliament and of the Council of 5 April 2017 on the mobilisation of the European Solidarity Fund to provide assistance to the United Kingdom, Cyprus and Portugal (OJ L 111, 24.4.2017, p. 6) and the accompanying Amending Budget No 1/2017 (</w:t>
      </w:r>
      <w:r>
        <w:rPr>
          <w:sz w:val="18"/>
          <w:szCs w:val="18"/>
        </w:rPr>
        <w:t>OJ L 136, 24.5.2017,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A1A9734"/>
    <w:lvl w:ilvl="0">
      <w:start w:val="1"/>
      <w:numFmt w:val="decimal"/>
      <w:lvlText w:val="%1."/>
      <w:lvlJc w:val="left"/>
      <w:pPr>
        <w:tabs>
          <w:tab w:val="num" w:pos="360"/>
        </w:tabs>
        <w:ind w:left="360" w:hanging="360"/>
      </w:pPr>
    </w:lvl>
  </w:abstractNum>
  <w:abstractNum w:abstractNumId="3">
    <w:nsid w:val="04D63873"/>
    <w:multiLevelType w:val="multilevel"/>
    <w:tmpl w:val="86FE23B4"/>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8BE211A"/>
    <w:multiLevelType w:val="hybridMultilevel"/>
    <w:tmpl w:val="B8AAEDF2"/>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FF3F75"/>
    <w:multiLevelType w:val="hybridMultilevel"/>
    <w:tmpl w:val="A6E67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3082309E"/>
    <w:multiLevelType w:val="hybridMultilevel"/>
    <w:tmpl w:val="C5504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2">
    <w:nsid w:val="42B56982"/>
    <w:multiLevelType w:val="hybridMultilevel"/>
    <w:tmpl w:val="D0D27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69A4672"/>
    <w:multiLevelType w:val="hybridMultilevel"/>
    <w:tmpl w:val="A9FA8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290503"/>
    <w:multiLevelType w:val="hybridMultilevel"/>
    <w:tmpl w:val="ADD2FC7E"/>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8C3B69"/>
    <w:multiLevelType w:val="multilevel"/>
    <w:tmpl w:val="C18A497C"/>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7">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8">
    <w:nsid w:val="72796537"/>
    <w:multiLevelType w:val="hybridMultilevel"/>
    <w:tmpl w:val="3074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AC004F"/>
    <w:multiLevelType w:val="multilevel"/>
    <w:tmpl w:val="57CA7644"/>
    <w:lvl w:ilvl="0">
      <w:start w:val="1"/>
      <w:numFmt w:val="decimal"/>
      <w:lvlRestart w:val="0"/>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11"/>
  </w:num>
  <w:num w:numId="3">
    <w:abstractNumId w:val="17"/>
  </w:num>
  <w:num w:numId="4">
    <w:abstractNumId w:val="10"/>
  </w:num>
  <w:num w:numId="5">
    <w:abstractNumId w:val="7"/>
  </w:num>
  <w:num w:numId="6">
    <w:abstractNumId w:val="15"/>
  </w:num>
  <w:num w:numId="7">
    <w:abstractNumId w:val="6"/>
  </w:num>
  <w:num w:numId="8">
    <w:abstractNumId w:val="16"/>
  </w:num>
  <w:num w:numId="9">
    <w:abstractNumId w:val="0"/>
  </w:num>
  <w:num w:numId="10">
    <w:abstractNumId w:val="1"/>
  </w:num>
  <w:num w:numId="11">
    <w:abstractNumId w:val="8"/>
  </w:num>
  <w:num w:numId="12">
    <w:abstractNumId w:val="11"/>
  </w:num>
  <w:num w:numId="13">
    <w:abstractNumId w:val="12"/>
  </w:num>
  <w:num w:numId="14">
    <w:abstractNumId w:val="11"/>
  </w:num>
  <w:num w:numId="15">
    <w:abstractNumId w:val="11"/>
  </w:num>
  <w:num w:numId="16">
    <w:abstractNumId w:val="11"/>
  </w:num>
  <w:num w:numId="17">
    <w:abstractNumId w:val="5"/>
  </w:num>
  <w:num w:numId="18">
    <w:abstractNumId w:val="13"/>
  </w:num>
  <w:num w:numId="19">
    <w:abstractNumId w:val="18"/>
  </w:num>
  <w:num w:numId="20">
    <w:abstractNumId w:val="15"/>
  </w:num>
  <w:num w:numId="21">
    <w:abstractNumId w:val="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num>
  <w:num w:numId="25">
    <w:abstractNumId w:val="15"/>
  </w:num>
  <w:num w:numId="26">
    <w:abstractNumId w:val="15"/>
  </w:num>
  <w:num w:numId="27">
    <w:abstractNumId w:val="19"/>
  </w:num>
  <w:num w:numId="28">
    <w:abstractNumId w:val="3"/>
  </w:num>
  <w:num w:numId="29">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2">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3">
    <w:abstractNumId w:val="14"/>
  </w:num>
  <w:num w:numId="3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76809370E5B4346915F8BD91ECD120C"/>
    <w:docVar w:name="LW_CROSSREFERENCE" w:val="&lt;UNUSED&gt;"/>
    <w:docVar w:name="LW_DocType" w:val="NORMAL"/>
    <w:docVar w:name="LW_EMISSION" w:val="26.6.2017"/>
    <w:docVar w:name="LW_EMISSION_ISODATE" w:val="2017-06-26"/>
    <w:docVar w:name="LW_EMISSION_LOCATION" w:val="BRX"/>
    <w:docVar w:name="LW_EMISSION_PREFIX" w:val="Brussels, "/>
    <w:docVar w:name="LW_EMISSION_SUFFIX" w:val="&lt;EMPTY&gt;"/>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41"/>
    <w:docVar w:name="LW_REF.INTERNE" w:val="&lt;UNUSED&gt;"/>
    <w:docVar w:name="LW_SOUS.TITRE.OBJ.CP" w:val="&lt;UNUSED&gt;"/>
    <w:docVar w:name="LW_SUPERTITRE" w:val="&lt;UNUSED&gt;"/>
    <w:docVar w:name="LW_TITRE.OBJ.CP" w:val="Accompanying the proposal to mobilise the European Union Solidarity Fund to provide assistance to Italy"/>
    <w:docVar w:name="LW_TITRE.OBJ.CP_PREVIOUS" w:val="&lt;UNUSED&gt;"/>
    <w:docVar w:name="LW_TYPE.DOC.CP" w:val="DRAFT AMENDING BUDGET No 4_x000b_TO THE GENERAL BUDGET 2017"/>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caption" w:semiHidden="1" w:unhideWhenUsed="1" w:qFormat="1"/>
    <w:lsdException w:name="footnote reference" w:uiPriority="99"/>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rPr>
      <w:lang w:eastAsia="de-DE"/>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lang w:eastAsia="de-DE"/>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lang w:eastAsia="de-DE"/>
    </w:rPr>
  </w:style>
  <w:style w:type="paragraph" w:customStyle="1" w:styleId="ListDash">
    <w:name w:val="List Dash"/>
    <w:basedOn w:val="Normal"/>
    <w:link w:val="ListDashChar"/>
    <w:p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uiPriority w:val="20"/>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uiPriority w:val="99"/>
    <w:pPr>
      <w:numPr>
        <w:numId w:val="7"/>
      </w:numPr>
      <w:spacing w:before="120" w:after="120"/>
      <w:jc w:val="both"/>
    </w:pPr>
    <w:rPr>
      <w:szCs w:val="22"/>
    </w:rPr>
  </w:style>
  <w:style w:type="paragraph" w:customStyle="1" w:styleId="Point1number">
    <w:name w:val="Point 1 (number)"/>
    <w:basedOn w:val="Normal"/>
    <w:uiPriority w:val="99"/>
    <w:pPr>
      <w:numPr>
        <w:ilvl w:val="2"/>
        <w:numId w:val="7"/>
      </w:numPr>
      <w:spacing w:before="120" w:after="120"/>
      <w:jc w:val="both"/>
    </w:pPr>
    <w:rPr>
      <w:szCs w:val="22"/>
    </w:rPr>
  </w:style>
  <w:style w:type="paragraph" w:customStyle="1" w:styleId="Point2number">
    <w:name w:val="Point 2 (number)"/>
    <w:basedOn w:val="Normal"/>
    <w:uiPriority w:val="99"/>
    <w:pPr>
      <w:numPr>
        <w:ilvl w:val="4"/>
        <w:numId w:val="7"/>
      </w:numPr>
      <w:spacing w:before="120" w:after="120"/>
      <w:jc w:val="both"/>
    </w:pPr>
    <w:rPr>
      <w:szCs w:val="22"/>
    </w:rPr>
  </w:style>
  <w:style w:type="paragraph" w:customStyle="1" w:styleId="Point3number">
    <w:name w:val="Point 3 (number)"/>
    <w:basedOn w:val="Normal"/>
    <w:uiPriority w:val="99"/>
    <w:pPr>
      <w:numPr>
        <w:ilvl w:val="6"/>
        <w:numId w:val="7"/>
      </w:numPr>
      <w:spacing w:before="120" w:after="120"/>
      <w:jc w:val="both"/>
    </w:pPr>
    <w:rPr>
      <w:szCs w:val="22"/>
    </w:rPr>
  </w:style>
  <w:style w:type="paragraph" w:customStyle="1" w:styleId="Point0letter">
    <w:name w:val="Point 0 (letter)"/>
    <w:basedOn w:val="Normal"/>
    <w:uiPriority w:val="99"/>
    <w:pPr>
      <w:numPr>
        <w:ilvl w:val="1"/>
        <w:numId w:val="7"/>
      </w:numPr>
      <w:spacing w:before="120" w:after="120"/>
      <w:jc w:val="both"/>
    </w:pPr>
    <w:rPr>
      <w:szCs w:val="22"/>
    </w:rPr>
  </w:style>
  <w:style w:type="paragraph" w:customStyle="1" w:styleId="Point1letter">
    <w:name w:val="Point 1 (letter)"/>
    <w:basedOn w:val="Normal"/>
    <w:uiPriority w:val="99"/>
    <w:pPr>
      <w:numPr>
        <w:ilvl w:val="3"/>
        <w:numId w:val="7"/>
      </w:numPr>
      <w:spacing w:before="120" w:after="120"/>
      <w:jc w:val="both"/>
    </w:pPr>
    <w:rPr>
      <w:szCs w:val="22"/>
    </w:rPr>
  </w:style>
  <w:style w:type="paragraph" w:customStyle="1" w:styleId="Point2letter">
    <w:name w:val="Point 2 (letter)"/>
    <w:basedOn w:val="Normal"/>
    <w:uiPriority w:val="99"/>
    <w:pPr>
      <w:numPr>
        <w:ilvl w:val="5"/>
        <w:numId w:val="7"/>
      </w:numPr>
      <w:spacing w:before="120" w:after="120"/>
      <w:jc w:val="both"/>
    </w:pPr>
    <w:rPr>
      <w:szCs w:val="22"/>
    </w:rPr>
  </w:style>
  <w:style w:type="paragraph" w:customStyle="1" w:styleId="Point3letter">
    <w:name w:val="Point 3 (letter)"/>
    <w:basedOn w:val="Normal"/>
    <w:uiPriority w:val="99"/>
    <w:pPr>
      <w:numPr>
        <w:ilvl w:val="7"/>
        <w:numId w:val="7"/>
      </w:numPr>
      <w:spacing w:before="120" w:after="120"/>
      <w:jc w:val="both"/>
    </w:pPr>
    <w:rPr>
      <w:szCs w:val="22"/>
    </w:rPr>
  </w:style>
  <w:style w:type="paragraph" w:customStyle="1" w:styleId="Point4letter">
    <w:name w:val="Point 4 (letter)"/>
    <w:basedOn w:val="Normal"/>
    <w:uiPriority w:val="99"/>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caption" w:semiHidden="1" w:unhideWhenUsed="1" w:qFormat="1"/>
    <w:lsdException w:name="footnote reference" w:uiPriority="99"/>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rPr>
      <w:lang w:eastAsia="de-DE"/>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lang w:eastAsia="de-DE"/>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lang w:eastAsia="de-DE"/>
    </w:rPr>
  </w:style>
  <w:style w:type="paragraph" w:customStyle="1" w:styleId="ListDash">
    <w:name w:val="List Dash"/>
    <w:basedOn w:val="Normal"/>
    <w:link w:val="ListDashChar"/>
    <w:p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uiPriority w:val="20"/>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uiPriority w:val="99"/>
    <w:pPr>
      <w:numPr>
        <w:numId w:val="7"/>
      </w:numPr>
      <w:spacing w:before="120" w:after="120"/>
      <w:jc w:val="both"/>
    </w:pPr>
    <w:rPr>
      <w:szCs w:val="22"/>
    </w:rPr>
  </w:style>
  <w:style w:type="paragraph" w:customStyle="1" w:styleId="Point1number">
    <w:name w:val="Point 1 (number)"/>
    <w:basedOn w:val="Normal"/>
    <w:uiPriority w:val="99"/>
    <w:pPr>
      <w:numPr>
        <w:ilvl w:val="2"/>
        <w:numId w:val="7"/>
      </w:numPr>
      <w:spacing w:before="120" w:after="120"/>
      <w:jc w:val="both"/>
    </w:pPr>
    <w:rPr>
      <w:szCs w:val="22"/>
    </w:rPr>
  </w:style>
  <w:style w:type="paragraph" w:customStyle="1" w:styleId="Point2number">
    <w:name w:val="Point 2 (number)"/>
    <w:basedOn w:val="Normal"/>
    <w:uiPriority w:val="99"/>
    <w:pPr>
      <w:numPr>
        <w:ilvl w:val="4"/>
        <w:numId w:val="7"/>
      </w:numPr>
      <w:spacing w:before="120" w:after="120"/>
      <w:jc w:val="both"/>
    </w:pPr>
    <w:rPr>
      <w:szCs w:val="22"/>
    </w:rPr>
  </w:style>
  <w:style w:type="paragraph" w:customStyle="1" w:styleId="Point3number">
    <w:name w:val="Point 3 (number)"/>
    <w:basedOn w:val="Normal"/>
    <w:uiPriority w:val="99"/>
    <w:pPr>
      <w:numPr>
        <w:ilvl w:val="6"/>
        <w:numId w:val="7"/>
      </w:numPr>
      <w:spacing w:before="120" w:after="120"/>
      <w:jc w:val="both"/>
    </w:pPr>
    <w:rPr>
      <w:szCs w:val="22"/>
    </w:rPr>
  </w:style>
  <w:style w:type="paragraph" w:customStyle="1" w:styleId="Point0letter">
    <w:name w:val="Point 0 (letter)"/>
    <w:basedOn w:val="Normal"/>
    <w:uiPriority w:val="99"/>
    <w:pPr>
      <w:numPr>
        <w:ilvl w:val="1"/>
        <w:numId w:val="7"/>
      </w:numPr>
      <w:spacing w:before="120" w:after="120"/>
      <w:jc w:val="both"/>
    </w:pPr>
    <w:rPr>
      <w:szCs w:val="22"/>
    </w:rPr>
  </w:style>
  <w:style w:type="paragraph" w:customStyle="1" w:styleId="Point1letter">
    <w:name w:val="Point 1 (letter)"/>
    <w:basedOn w:val="Normal"/>
    <w:uiPriority w:val="99"/>
    <w:pPr>
      <w:numPr>
        <w:ilvl w:val="3"/>
        <w:numId w:val="7"/>
      </w:numPr>
      <w:spacing w:before="120" w:after="120"/>
      <w:jc w:val="both"/>
    </w:pPr>
    <w:rPr>
      <w:szCs w:val="22"/>
    </w:rPr>
  </w:style>
  <w:style w:type="paragraph" w:customStyle="1" w:styleId="Point2letter">
    <w:name w:val="Point 2 (letter)"/>
    <w:basedOn w:val="Normal"/>
    <w:uiPriority w:val="99"/>
    <w:pPr>
      <w:numPr>
        <w:ilvl w:val="5"/>
        <w:numId w:val="7"/>
      </w:numPr>
      <w:spacing w:before="120" w:after="120"/>
      <w:jc w:val="both"/>
    </w:pPr>
    <w:rPr>
      <w:szCs w:val="22"/>
    </w:rPr>
  </w:style>
  <w:style w:type="paragraph" w:customStyle="1" w:styleId="Point3letter">
    <w:name w:val="Point 3 (letter)"/>
    <w:basedOn w:val="Normal"/>
    <w:uiPriority w:val="99"/>
    <w:pPr>
      <w:numPr>
        <w:ilvl w:val="7"/>
        <w:numId w:val="7"/>
      </w:numPr>
      <w:spacing w:before="120" w:after="120"/>
      <w:jc w:val="both"/>
    </w:pPr>
    <w:rPr>
      <w:szCs w:val="22"/>
    </w:rPr>
  </w:style>
  <w:style w:type="paragraph" w:customStyle="1" w:styleId="Point4letter">
    <w:name w:val="Point 4 (letter)"/>
    <w:basedOn w:val="Normal"/>
    <w:uiPriority w:val="99"/>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381">
      <w:bodyDiv w:val="1"/>
      <w:marLeft w:val="0"/>
      <w:marRight w:val="0"/>
      <w:marTop w:val="0"/>
      <w:marBottom w:val="0"/>
      <w:divBdr>
        <w:top w:val="none" w:sz="0" w:space="0" w:color="auto"/>
        <w:left w:val="none" w:sz="0" w:space="0" w:color="auto"/>
        <w:bottom w:val="none" w:sz="0" w:space="0" w:color="auto"/>
        <w:right w:val="none" w:sz="0" w:space="0" w:color="auto"/>
      </w:divBdr>
    </w:div>
    <w:div w:id="77798609">
      <w:bodyDiv w:val="1"/>
      <w:marLeft w:val="0"/>
      <w:marRight w:val="0"/>
      <w:marTop w:val="0"/>
      <w:marBottom w:val="0"/>
      <w:divBdr>
        <w:top w:val="none" w:sz="0" w:space="0" w:color="auto"/>
        <w:left w:val="none" w:sz="0" w:space="0" w:color="auto"/>
        <w:bottom w:val="none" w:sz="0" w:space="0" w:color="auto"/>
        <w:right w:val="none" w:sz="0" w:space="0" w:color="auto"/>
      </w:divBdr>
    </w:div>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38071">
      <w:bodyDiv w:val="1"/>
      <w:marLeft w:val="0"/>
      <w:marRight w:val="0"/>
      <w:marTop w:val="0"/>
      <w:marBottom w:val="0"/>
      <w:divBdr>
        <w:top w:val="none" w:sz="0" w:space="0" w:color="auto"/>
        <w:left w:val="none" w:sz="0" w:space="0" w:color="auto"/>
        <w:bottom w:val="none" w:sz="0" w:space="0" w:color="auto"/>
        <w:right w:val="none" w:sz="0" w:space="0" w:color="auto"/>
      </w:divBdr>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280889594">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69914543">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77903604">
      <w:bodyDiv w:val="1"/>
      <w:marLeft w:val="0"/>
      <w:marRight w:val="0"/>
      <w:marTop w:val="0"/>
      <w:marBottom w:val="0"/>
      <w:divBdr>
        <w:top w:val="none" w:sz="0" w:space="0" w:color="auto"/>
        <w:left w:val="none" w:sz="0" w:space="0" w:color="auto"/>
        <w:bottom w:val="none" w:sz="0" w:space="0" w:color="auto"/>
        <w:right w:val="none" w:sz="0" w:space="0" w:color="auto"/>
      </w:divBdr>
    </w:div>
    <w:div w:id="383987845">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71955280">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778990717">
      <w:bodyDiv w:val="1"/>
      <w:marLeft w:val="0"/>
      <w:marRight w:val="0"/>
      <w:marTop w:val="0"/>
      <w:marBottom w:val="0"/>
      <w:divBdr>
        <w:top w:val="none" w:sz="0" w:space="0" w:color="auto"/>
        <w:left w:val="none" w:sz="0" w:space="0" w:color="auto"/>
        <w:bottom w:val="none" w:sz="0" w:space="0" w:color="auto"/>
        <w:right w:val="none" w:sz="0" w:space="0" w:color="auto"/>
      </w:divBdr>
    </w:div>
    <w:div w:id="788663921">
      <w:bodyDiv w:val="1"/>
      <w:marLeft w:val="0"/>
      <w:marRight w:val="0"/>
      <w:marTop w:val="0"/>
      <w:marBottom w:val="0"/>
      <w:divBdr>
        <w:top w:val="none" w:sz="0" w:space="0" w:color="auto"/>
        <w:left w:val="none" w:sz="0" w:space="0" w:color="auto"/>
        <w:bottom w:val="none" w:sz="0" w:space="0" w:color="auto"/>
        <w:right w:val="none" w:sz="0" w:space="0" w:color="auto"/>
      </w:divBdr>
    </w:div>
    <w:div w:id="831144332">
      <w:bodyDiv w:val="1"/>
      <w:marLeft w:val="0"/>
      <w:marRight w:val="0"/>
      <w:marTop w:val="0"/>
      <w:marBottom w:val="0"/>
      <w:divBdr>
        <w:top w:val="none" w:sz="0" w:space="0" w:color="auto"/>
        <w:left w:val="none" w:sz="0" w:space="0" w:color="auto"/>
        <w:bottom w:val="none" w:sz="0" w:space="0" w:color="auto"/>
        <w:right w:val="none" w:sz="0" w:space="0" w:color="auto"/>
      </w:divBdr>
    </w:div>
    <w:div w:id="864634236">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41377147">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269513">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73502690">
      <w:bodyDiv w:val="1"/>
      <w:marLeft w:val="0"/>
      <w:marRight w:val="0"/>
      <w:marTop w:val="0"/>
      <w:marBottom w:val="0"/>
      <w:divBdr>
        <w:top w:val="none" w:sz="0" w:space="0" w:color="auto"/>
        <w:left w:val="none" w:sz="0" w:space="0" w:color="auto"/>
        <w:bottom w:val="none" w:sz="0" w:space="0" w:color="auto"/>
        <w:right w:val="none" w:sz="0" w:space="0" w:color="auto"/>
      </w:divBdr>
    </w:div>
    <w:div w:id="1083726096">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61138948">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14526834">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383212917">
      <w:bodyDiv w:val="1"/>
      <w:marLeft w:val="0"/>
      <w:marRight w:val="0"/>
      <w:marTop w:val="0"/>
      <w:marBottom w:val="0"/>
      <w:divBdr>
        <w:top w:val="none" w:sz="0" w:space="0" w:color="auto"/>
        <w:left w:val="none" w:sz="0" w:space="0" w:color="auto"/>
        <w:bottom w:val="none" w:sz="0" w:space="0" w:color="auto"/>
        <w:right w:val="none" w:sz="0" w:space="0" w:color="auto"/>
      </w:divBdr>
    </w:div>
    <w:div w:id="1481313754">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796096263">
      <w:bodyDiv w:val="1"/>
      <w:marLeft w:val="0"/>
      <w:marRight w:val="0"/>
      <w:marTop w:val="0"/>
      <w:marBottom w:val="0"/>
      <w:divBdr>
        <w:top w:val="none" w:sz="0" w:space="0" w:color="auto"/>
        <w:left w:val="none" w:sz="0" w:space="0" w:color="auto"/>
        <w:bottom w:val="none" w:sz="0" w:space="0" w:color="auto"/>
        <w:right w:val="none" w:sz="0" w:space="0" w:color="auto"/>
      </w:divBdr>
    </w:div>
    <w:div w:id="1805272530">
      <w:bodyDiv w:val="1"/>
      <w:marLeft w:val="0"/>
      <w:marRight w:val="0"/>
      <w:marTop w:val="0"/>
      <w:marBottom w:val="0"/>
      <w:divBdr>
        <w:top w:val="none" w:sz="0" w:space="0" w:color="auto"/>
        <w:left w:val="none" w:sz="0" w:space="0" w:color="auto"/>
        <w:bottom w:val="none" w:sz="0" w:space="0" w:color="auto"/>
        <w:right w:val="none" w:sz="0" w:space="0" w:color="auto"/>
      </w:divBdr>
    </w:div>
    <w:div w:id="1809590868">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1914198131">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054231704">
      <w:bodyDiv w:val="1"/>
      <w:marLeft w:val="0"/>
      <w:marRight w:val="0"/>
      <w:marTop w:val="0"/>
      <w:marBottom w:val="0"/>
      <w:divBdr>
        <w:top w:val="none" w:sz="0" w:space="0" w:color="auto"/>
        <w:left w:val="none" w:sz="0" w:space="0" w:color="auto"/>
        <w:bottom w:val="none" w:sz="0" w:space="0" w:color="auto"/>
        <w:right w:val="none" w:sz="0" w:space="0" w:color="auto"/>
      </w:divBdr>
    </w:div>
    <w:div w:id="2125686423">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7B726-3EAD-42F1-B3CC-A452A306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1682</Words>
  <Characters>7253</Characters>
  <Application>Microsoft Office Word</Application>
  <DocSecurity>0</DocSecurity>
  <Lines>518</Lines>
  <Paragraphs>330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8605</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2017-06-20T08:04:00Z</dcterms:created>
  <dcterms:modified xsi:type="dcterms:W3CDTF">2017-06-21T13:41:00Z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