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22" w:rsidRDefault="00BF459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3454B817C4413A81B403F7CF90510C" style="width:451pt;height:325.5pt">
            <v:imagedata r:id="rId9" o:title=""/>
          </v:shape>
        </w:pict>
      </w:r>
    </w:p>
    <w:p w:rsidR="005C4522" w:rsidRDefault="005C4522">
      <w:pPr>
        <w:rPr>
          <w:noProof/>
        </w:rPr>
        <w:sectPr w:rsidR="005C4522" w:rsidSect="00BF459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C4522" w:rsidRDefault="00BF4593">
      <w:pPr>
        <w:pStyle w:val="Exposdesmotifstitre"/>
        <w:rPr>
          <w:noProof/>
        </w:rPr>
      </w:pPr>
      <w:r>
        <w:rPr>
          <w:noProof/>
        </w:rPr>
        <w:lastRenderedPageBreak/>
        <w:t>EXPLANATORY MEMORANDUM</w:t>
      </w:r>
    </w:p>
    <w:p w:rsidR="005C4522" w:rsidRDefault="00BF4593">
      <w:pPr>
        <w:pStyle w:val="ManualHeading1"/>
        <w:rPr>
          <w:noProof/>
        </w:rPr>
      </w:pPr>
      <w:bookmarkStart w:id="1" w:name="_Toc484762486"/>
      <w:r>
        <w:rPr>
          <w:noProof/>
        </w:rPr>
        <w:t>1.</w:t>
      </w:r>
      <w:r>
        <w:rPr>
          <w:noProof/>
        </w:rPr>
        <w:tab/>
        <w:t>Context of the proposal</w:t>
      </w:r>
      <w:bookmarkEnd w:id="1"/>
    </w:p>
    <w:p w:rsidR="005C4522" w:rsidRDefault="00BF4593">
      <w:pPr>
        <w:rPr>
          <w:noProof/>
        </w:rPr>
      </w:pPr>
      <w:r>
        <w:rPr>
          <w:noProof/>
        </w:rPr>
        <w:t xml:space="preserve">This decision covers the mobilisation of the European </w:t>
      </w:r>
      <w:r>
        <w:rPr>
          <w:noProof/>
        </w:rPr>
        <w:t>Union Solidarity Fund (EUSF) for an amount of EUR 1 196 797 579 to provide assistance to Italy further to a series of earthquakes that took place between August 2016 and January 2017 in the regions of Abruzzo, Lazio, Marche and Umbria. This mobilisation is</w:t>
      </w:r>
      <w:r>
        <w:rPr>
          <w:noProof/>
        </w:rPr>
        <w:t xml:space="preserve"> accompanied by Draft Amending Budget (DAB) No 4/2017</w:t>
      </w:r>
      <w:r>
        <w:rPr>
          <w:rStyle w:val="FootnoteReference"/>
          <w:noProof/>
        </w:rPr>
        <w:footnoteReference w:id="1"/>
      </w:r>
      <w:r>
        <w:rPr>
          <w:noProof/>
        </w:rPr>
        <w:t xml:space="preserve"> that proposes to enter the necessary appropriations in the general budget 2017, both in commitments and payments, after having deducted the advance already paid in 2016 (EUR 30 000 000). </w:t>
      </w:r>
    </w:p>
    <w:p w:rsidR="005C4522" w:rsidRDefault="00BF4593">
      <w:pPr>
        <w:pStyle w:val="ManualHeading1"/>
        <w:rPr>
          <w:noProof/>
        </w:rPr>
      </w:pPr>
      <w:bookmarkStart w:id="2" w:name="_Toc484762487"/>
      <w:r>
        <w:rPr>
          <w:noProof/>
        </w:rPr>
        <w:t>2.</w:t>
      </w:r>
      <w:r>
        <w:rPr>
          <w:noProof/>
        </w:rPr>
        <w:tab/>
        <w:t>Informatio</w:t>
      </w:r>
      <w:r>
        <w:rPr>
          <w:noProof/>
        </w:rPr>
        <w:t>n and conditions</w:t>
      </w:r>
      <w:bookmarkEnd w:id="2"/>
    </w:p>
    <w:p w:rsidR="005C4522" w:rsidRDefault="00BF4593">
      <w:pPr>
        <w:rPr>
          <w:noProof/>
        </w:rPr>
      </w:pPr>
      <w:r>
        <w:rPr>
          <w:noProof/>
        </w:rPr>
        <w:t>On 16 November 2016 the Commission received an initial application for financial assistance under the EUSF, in relation to a series of earthquakes affecting the regions of Abruzzo, Lazio, Marche and Umbria, after the first damage was recor</w:t>
      </w:r>
      <w:r>
        <w:rPr>
          <w:noProof/>
        </w:rPr>
        <w:t xml:space="preserve">ded on 24 August 2016. This initial application was incomplete as a second series of earthquakes at the end of October 2016 had occurred and the evaluation of the additional damage still had to be performed. On 18 January 2017, shortly before the intended </w:t>
      </w:r>
      <w:r>
        <w:rPr>
          <w:noProof/>
        </w:rPr>
        <w:t>submission of the updated application a third series of severe earthquakes occurred. Consequently, on 15 February 2017 the Italian authorities presented an updated application with revised estimates including all damages caused between 24 August 2016 and 1</w:t>
      </w:r>
      <w:r>
        <w:rPr>
          <w:noProof/>
        </w:rPr>
        <w:t>8 January 2017.</w:t>
      </w:r>
    </w:p>
    <w:p w:rsidR="005C4522" w:rsidRDefault="00BF4593">
      <w:pPr>
        <w:rPr>
          <w:noProof/>
        </w:rPr>
      </w:pPr>
      <w:r>
        <w:rPr>
          <w:noProof/>
        </w:rPr>
        <w:t>The Commission examined this application in accordance with Council Regulation (EC) No 2012/2002 of 11 November 2002 establishing the European Union Solidarity Fund</w:t>
      </w:r>
      <w:r>
        <w:rPr>
          <w:rStyle w:val="FootnoteReference"/>
          <w:noProof/>
        </w:rPr>
        <w:footnoteReference w:id="2"/>
      </w:r>
      <w:r>
        <w:rPr>
          <w:noProof/>
        </w:rPr>
        <w:t xml:space="preserve"> (hereafter "the EUSF regulation"), in particular with Articles 2, 3 and 4 </w:t>
      </w:r>
      <w:r>
        <w:rPr>
          <w:noProof/>
        </w:rPr>
        <w:t>thereof. The most important elements of the assessment are set out below.</w:t>
      </w:r>
    </w:p>
    <w:p w:rsidR="005C4522" w:rsidRDefault="00BF4593">
      <w:pPr>
        <w:pStyle w:val="Point0number"/>
        <w:numPr>
          <w:ilvl w:val="0"/>
          <w:numId w:val="9"/>
        </w:numPr>
        <w:tabs>
          <w:tab w:val="clear" w:pos="850"/>
          <w:tab w:val="num" w:pos="720"/>
        </w:tabs>
        <w:ind w:left="720" w:hanging="720"/>
        <w:rPr>
          <w:noProof/>
        </w:rPr>
      </w:pPr>
      <w:r>
        <w:rPr>
          <w:noProof/>
        </w:rPr>
        <w:t xml:space="preserve">During the period between 24 August 2016 and 18 January 2017, a series of strong earthquakes with magnitudes ranging from 5.9 to 6.5 in the Richter scale, followed by a multitude of </w:t>
      </w:r>
      <w:r>
        <w:rPr>
          <w:noProof/>
        </w:rPr>
        <w:t xml:space="preserve">aftershocks, affected wide areas of the Apennines chain in Central Italy, in particular the regions of Abruzzo, Lazio, Marche and Umbria. </w:t>
      </w:r>
    </w:p>
    <w:p w:rsidR="005C4522" w:rsidRDefault="00BF4593">
      <w:pPr>
        <w:pStyle w:val="Point0number"/>
        <w:numPr>
          <w:ilvl w:val="0"/>
          <w:numId w:val="9"/>
        </w:numPr>
        <w:tabs>
          <w:tab w:val="num" w:pos="720"/>
        </w:tabs>
        <w:ind w:left="720" w:hanging="720"/>
        <w:rPr>
          <w:noProof/>
        </w:rPr>
      </w:pPr>
      <w:r>
        <w:rPr>
          <w:noProof/>
        </w:rPr>
        <w:t>Earthquakes are of natural origin and therefore fall within the main field of application of the EUSF.</w:t>
      </w:r>
    </w:p>
    <w:p w:rsidR="005C4522" w:rsidRDefault="00BF4593">
      <w:pPr>
        <w:pStyle w:val="Point0number"/>
        <w:numPr>
          <w:ilvl w:val="0"/>
          <w:numId w:val="9"/>
        </w:numPr>
        <w:tabs>
          <w:tab w:val="num" w:pos="720"/>
        </w:tabs>
        <w:ind w:left="720" w:hanging="720"/>
        <w:rPr>
          <w:noProof/>
        </w:rPr>
      </w:pPr>
      <w:r>
        <w:rPr>
          <w:noProof/>
        </w:rPr>
        <w:t>The applicatio</w:t>
      </w:r>
      <w:r>
        <w:rPr>
          <w:noProof/>
        </w:rPr>
        <w:t>n from Italy, initially received on 16 November 2016, was within the deadline of 12 weeks after the first damage was recorded on 24 August 2016. In their application, the Italian authorities stressed that the assessment of the damage was incomplete and tha</w:t>
      </w:r>
      <w:r>
        <w:rPr>
          <w:noProof/>
        </w:rPr>
        <w:t>t the relevant figures were only provisional. The final application file was completed on 15 February 2017 to include the damages occurred between between 24 August 2016 and 18 January 2017.</w:t>
      </w:r>
    </w:p>
    <w:p w:rsidR="005C4522" w:rsidRDefault="00BF4593">
      <w:pPr>
        <w:pStyle w:val="Point0number"/>
        <w:numPr>
          <w:ilvl w:val="0"/>
          <w:numId w:val="9"/>
        </w:numPr>
        <w:tabs>
          <w:tab w:val="clear" w:pos="850"/>
          <w:tab w:val="num" w:pos="720"/>
        </w:tabs>
        <w:ind w:left="720" w:hanging="720"/>
        <w:rPr>
          <w:noProof/>
        </w:rPr>
      </w:pPr>
      <w:r>
        <w:rPr>
          <w:noProof/>
        </w:rPr>
        <w:t xml:space="preserve">In its application, Italy requested the payment of an advance as </w:t>
      </w:r>
      <w:r>
        <w:rPr>
          <w:noProof/>
        </w:rPr>
        <w:t xml:space="preserve">laid down in Article 4a of the EUSF regulation. On 29 November 2016 the Commission adopted Implementing Decision C(2016) 7861 awarding EUR 30 000 000 in advances (the maximum amount allowed under the provisions of the EUSF regulation) from the anticipated </w:t>
      </w:r>
      <w:r>
        <w:rPr>
          <w:noProof/>
        </w:rPr>
        <w:t>financial contribution of the EUSF and subsequently paid it out in full to Italy.</w:t>
      </w:r>
    </w:p>
    <w:p w:rsidR="005C4522" w:rsidRDefault="00BF4593">
      <w:pPr>
        <w:pStyle w:val="Point0number"/>
        <w:numPr>
          <w:ilvl w:val="0"/>
          <w:numId w:val="9"/>
        </w:numPr>
        <w:tabs>
          <w:tab w:val="clear" w:pos="850"/>
          <w:tab w:val="num" w:pos="720"/>
        </w:tabs>
        <w:ind w:left="720" w:hanging="720"/>
        <w:rPr>
          <w:noProof/>
        </w:rPr>
      </w:pPr>
      <w:r>
        <w:rPr>
          <w:noProof/>
        </w:rPr>
        <w:lastRenderedPageBreak/>
        <w:t xml:space="preserve">The Italian authorities have estimated the total direct damages caused by the disaster at EUR 21 878,8 million. This amount represents 1,36 % of Italy’s GNI, and exceeds the </w:t>
      </w:r>
      <w:r>
        <w:rPr>
          <w:noProof/>
        </w:rPr>
        <w:t>'major disaster' threshold for mobilising the EUSF of EUR 3 312,2 million applicable to Italy in 2016 (i.e. EUR 3 billion in 2011 prices). As the estimated total direct damage exceeds the 'major disaster' threshold, the disaster qualifies as a “major natur</w:t>
      </w:r>
      <w:r>
        <w:rPr>
          <w:noProof/>
        </w:rPr>
        <w:t xml:space="preserve">al disaster”. </w:t>
      </w:r>
    </w:p>
    <w:p w:rsidR="005C4522" w:rsidRDefault="00BF4593">
      <w:pPr>
        <w:pStyle w:val="Point0number"/>
        <w:numPr>
          <w:ilvl w:val="0"/>
          <w:numId w:val="9"/>
        </w:numPr>
        <w:tabs>
          <w:tab w:val="clear" w:pos="850"/>
          <w:tab w:val="num" w:pos="720"/>
        </w:tabs>
        <w:ind w:left="720" w:hanging="720"/>
        <w:rPr>
          <w:noProof/>
        </w:rPr>
      </w:pPr>
      <w:r>
        <w:rPr>
          <w:noProof/>
        </w:rPr>
        <w:t>As regards the impact and consequences of the disaster, the earthquake of 24 August 2016 caused 299 casualties and 390 people were hospitalised. The earthquakes in October did not lead to casualties. The events in January caused 34 further c</w:t>
      </w:r>
      <w:r>
        <w:rPr>
          <w:noProof/>
        </w:rPr>
        <w:t>asualties. The number of population assisted in the months following the shocks of 26 and 30 October 2016 reached its peak on 7 November with nearly 32 000 people assisted. Thousands of people needed to be evacuated, including patients from the hospitals i</w:t>
      </w:r>
      <w:r>
        <w:rPr>
          <w:noProof/>
        </w:rPr>
        <w:t xml:space="preserve">n the Umbria region. On 8 November 2016, the assisted population exceeded 30 000 units in the area of the four affected regions, whereby about 11 000 were housed in hotels and accommodations both in the territories directly affected along the coast of the </w:t>
      </w:r>
      <w:r>
        <w:rPr>
          <w:noProof/>
        </w:rPr>
        <w:t>Marche and in the hinterland of Umbria, while other people were sheltered at public facilities made available by the municipalities. The area already severely affected by the events of August and October, was hit by further seismic events on 18 January 201</w:t>
      </w:r>
      <w:r>
        <w:rPr>
          <w:noProof/>
        </w:rPr>
        <w:t xml:space="preserve">7 and heavy snowfall led to the isolation of numerous villages in the Abruzzo region and caused significant harm to the living conditions of the affected population. The search and rescue operations turned out to be extremely complex. </w:t>
      </w:r>
    </w:p>
    <w:p w:rsidR="005C4522" w:rsidRDefault="00BF4593">
      <w:pPr>
        <w:pStyle w:val="Point0number"/>
        <w:numPr>
          <w:ilvl w:val="0"/>
          <w:numId w:val="9"/>
        </w:numPr>
        <w:tabs>
          <w:tab w:val="clear" w:pos="850"/>
          <w:tab w:val="num" w:pos="720"/>
        </w:tabs>
        <w:ind w:left="720" w:hanging="720"/>
        <w:rPr>
          <w:noProof/>
        </w:rPr>
      </w:pPr>
      <w:r>
        <w:rPr>
          <w:noProof/>
        </w:rPr>
        <w:t>The area affected by the earthquake of 24 August 2016 is mainly characterised by agricultural and tourism businesses. The structures of many farms were damaged (barns, warehouses and equipment remittances). In the affected areas of the Marche and Umbria re</w:t>
      </w:r>
      <w:r>
        <w:rPr>
          <w:noProof/>
        </w:rPr>
        <w:t xml:space="preserve">gions, the number of services and industrial enterprises is considerably higher than in the rest of the affected areas. The damage to businesses in these regions is quite significant. Furthermore, the seismic events have had very negative repercussions on </w:t>
      </w:r>
      <w:r>
        <w:rPr>
          <w:noProof/>
        </w:rPr>
        <w:t>the tourism sector that was thriving in the whole area. A big number of holiday homes, located in national parks, was significantly damaged. As the earthquakes hit many medieval mountain towns, the damage to cultural heritage sites is significant. For inst</w:t>
      </w:r>
      <w:r>
        <w:rPr>
          <w:noProof/>
        </w:rPr>
        <w:t xml:space="preserve">ance, the Amatrice town centre was destroyed after the shocks of 24 August. The earthquake of 30 October destroyed the 14th-century-Basilica of St. Benedict in Norcia. </w:t>
      </w:r>
    </w:p>
    <w:p w:rsidR="005C4522" w:rsidRDefault="00BF4593">
      <w:pPr>
        <w:pStyle w:val="Point0number"/>
        <w:numPr>
          <w:ilvl w:val="0"/>
          <w:numId w:val="9"/>
        </w:numPr>
        <w:tabs>
          <w:tab w:val="num" w:pos="720"/>
        </w:tabs>
        <w:ind w:left="720" w:hanging="720"/>
        <w:rPr>
          <w:noProof/>
        </w:rPr>
      </w:pPr>
      <w:r>
        <w:rPr>
          <w:noProof/>
        </w:rPr>
        <w:t xml:space="preserve">The cost of essential emergency and recovery operations eligible under Article 3(2) of </w:t>
      </w:r>
      <w:r>
        <w:rPr>
          <w:noProof/>
        </w:rPr>
        <w:t xml:space="preserve">the EUSF Regulation has been estimated by the Italian authorities at EUR 2 149 363 344 and has been broken down by type of operation. The largest share concerns the costs for restoration to working order of infrastructure, in particular roads, followed by </w:t>
      </w:r>
      <w:r>
        <w:rPr>
          <w:noProof/>
        </w:rPr>
        <w:t xml:space="preserve">the costs of the rescue services and for temporary accommodation. </w:t>
      </w:r>
    </w:p>
    <w:p w:rsidR="005C4522" w:rsidRDefault="00BF4593">
      <w:pPr>
        <w:pStyle w:val="Point0number"/>
        <w:numPr>
          <w:ilvl w:val="0"/>
          <w:numId w:val="9"/>
        </w:numPr>
        <w:tabs>
          <w:tab w:val="num" w:pos="720"/>
        </w:tabs>
        <w:ind w:left="720" w:hanging="720"/>
        <w:rPr>
          <w:noProof/>
        </w:rPr>
      </w:pPr>
      <w:r>
        <w:rPr>
          <w:noProof/>
        </w:rPr>
        <w:t>The affected regions are "transition and more developed regions" under the European Structural and Investment (ESI) Funds (2014-2020). The Italian authorities signalled to the Commission th</w:t>
      </w:r>
      <w:r>
        <w:rPr>
          <w:noProof/>
        </w:rPr>
        <w:t>eir intention to reallocate funding from the ESI Funds programmes towards recovery measures.</w:t>
      </w:r>
    </w:p>
    <w:p w:rsidR="005C4522" w:rsidRDefault="00BF4593">
      <w:pPr>
        <w:rPr>
          <w:noProof/>
        </w:rPr>
      </w:pPr>
      <w:r>
        <w:rPr>
          <w:noProof/>
        </w:rPr>
        <w:br w:type="page"/>
      </w:r>
    </w:p>
    <w:p w:rsidR="005C4522" w:rsidRDefault="00BF4593">
      <w:pPr>
        <w:pStyle w:val="Point0number"/>
        <w:numPr>
          <w:ilvl w:val="0"/>
          <w:numId w:val="9"/>
        </w:numPr>
        <w:tabs>
          <w:tab w:val="num" w:pos="720"/>
        </w:tabs>
        <w:ind w:left="720" w:hanging="720"/>
        <w:rPr>
          <w:noProof/>
        </w:rPr>
      </w:pPr>
      <w:r>
        <w:rPr>
          <w:noProof/>
        </w:rPr>
        <w:t>As regards the implementation of Union legislation on disaster risk prevention and management, there is currently no infringement procedure on-going. Italy repor</w:t>
      </w:r>
      <w:r>
        <w:rPr>
          <w:noProof/>
        </w:rPr>
        <w:t>ts that there is no specific Union legislation on seismic risk. However, within the framework of the Union civil protection legislation</w:t>
      </w:r>
      <w:r>
        <w:rPr>
          <w:rStyle w:val="FootnoteReference"/>
          <w:noProof/>
        </w:rPr>
        <w:footnoteReference w:id="3"/>
      </w:r>
      <w:r>
        <w:rPr>
          <w:noProof/>
        </w:rPr>
        <w:t>, Member States shall develop risk assessments at national or appropriate sub-national level and make available to the C</w:t>
      </w:r>
      <w:r>
        <w:rPr>
          <w:noProof/>
        </w:rPr>
        <w:t>ommission a summary of the relevant elements thereof by 22 December 2015 and every three years thereafter. Italy is compliant with this provision and already submitted to the European Commission (DG ECHO) its National Risk Assessment Overview.</w:t>
      </w:r>
    </w:p>
    <w:p w:rsidR="005C4522" w:rsidRDefault="00BF4593">
      <w:pPr>
        <w:pStyle w:val="Point0number"/>
        <w:numPr>
          <w:ilvl w:val="0"/>
          <w:numId w:val="9"/>
        </w:numPr>
        <w:tabs>
          <w:tab w:val="num" w:pos="720"/>
        </w:tabs>
        <w:ind w:left="720" w:hanging="720"/>
        <w:rPr>
          <w:noProof/>
        </w:rPr>
      </w:pPr>
      <w:r>
        <w:rPr>
          <w:noProof/>
        </w:rPr>
        <w:t xml:space="preserve">At the date </w:t>
      </w:r>
      <w:r>
        <w:rPr>
          <w:noProof/>
        </w:rPr>
        <w:t>of submitting the application Italy was not subject to infringement proceedings concerning Union legislation relating to the nature of the disaster.</w:t>
      </w:r>
    </w:p>
    <w:p w:rsidR="005C4522" w:rsidRDefault="00BF4593">
      <w:pPr>
        <w:pStyle w:val="Point0number"/>
        <w:numPr>
          <w:ilvl w:val="0"/>
          <w:numId w:val="9"/>
        </w:numPr>
        <w:tabs>
          <w:tab w:val="num" w:pos="720"/>
        </w:tabs>
        <w:ind w:left="720" w:hanging="720"/>
        <w:rPr>
          <w:noProof/>
        </w:rPr>
      </w:pPr>
      <w:r>
        <w:rPr>
          <w:noProof/>
        </w:rPr>
        <w:t>The Italian authorities confirmed that there is no insurance coverage of eligible costs.</w:t>
      </w:r>
    </w:p>
    <w:p w:rsidR="005C4522" w:rsidRDefault="00BF4593">
      <w:pPr>
        <w:pStyle w:val="ManualHeading1"/>
        <w:rPr>
          <w:noProof/>
        </w:rPr>
      </w:pPr>
      <w:bookmarkStart w:id="3" w:name="_Toc484762488"/>
      <w:r>
        <w:rPr>
          <w:noProof/>
        </w:rPr>
        <w:t>3.</w:t>
      </w:r>
      <w:r>
        <w:rPr>
          <w:noProof/>
        </w:rPr>
        <w:tab/>
        <w:t xml:space="preserve">Financing from </w:t>
      </w:r>
      <w:r>
        <w:rPr>
          <w:noProof/>
        </w:rPr>
        <w:t>the EUSF allocations 2016, 2017 and 2018</w:t>
      </w:r>
      <w:bookmarkEnd w:id="3"/>
    </w:p>
    <w:p w:rsidR="005C4522" w:rsidRDefault="00BF4593">
      <w:pPr>
        <w:rPr>
          <w:noProof/>
        </w:rPr>
      </w:pPr>
      <w:r>
        <w:rPr>
          <w:noProof/>
        </w:rPr>
        <w:t>Council Regulation (EU, EURATOM) No 1311/2013 of 2 December 2013 laying down the multiannual financial framework for the years 2014-2020</w:t>
      </w:r>
      <w:r>
        <w:rPr>
          <w:rStyle w:val="FootnoteReference"/>
          <w:noProof/>
        </w:rPr>
        <w:footnoteReference w:id="4"/>
      </w:r>
      <w:r>
        <w:rPr>
          <w:noProof/>
        </w:rPr>
        <w:t xml:space="preserve"> (hereafter "the MFF regulation"), and in particular Article 10 thereof allows</w:t>
      </w:r>
      <w:r>
        <w:rPr>
          <w:noProof/>
        </w:rPr>
        <w:t xml:space="preserve"> for the mobilisation of the EUSF, within an annual ceiling of EUR 500 000 000 (2011 prices). Point 11 of the Interinstitutional Agreement of 2 December 2013 between the European Parliament, the Council and the Commission on budgetary discipline, on cooper</w:t>
      </w:r>
      <w:r>
        <w:rPr>
          <w:noProof/>
        </w:rPr>
        <w:t>ation on budgetary matters and on sound financial management</w:t>
      </w:r>
      <w:r>
        <w:rPr>
          <w:rStyle w:val="FootnoteReference"/>
          <w:noProof/>
        </w:rPr>
        <w:footnoteReference w:id="5"/>
      </w:r>
      <w:r>
        <w:rPr>
          <w:noProof/>
        </w:rPr>
        <w:t xml:space="preserve"> (IIA) lays down the modalities for the mobilisation of the EUSF.</w:t>
      </w:r>
    </w:p>
    <w:p w:rsidR="005C4522" w:rsidRDefault="00BF4593">
      <w:pPr>
        <w:rPr>
          <w:noProof/>
          <w:snapToGrid w:val="0"/>
        </w:rPr>
      </w:pPr>
      <w:r>
        <w:rPr>
          <w:noProof/>
          <w:snapToGrid w:val="0"/>
        </w:rPr>
        <w:t>As solidarity was the central justification for the creation of the EUSF, the Commission takes the view that aid should be progre</w:t>
      </w:r>
      <w:r>
        <w:rPr>
          <w:noProof/>
          <w:snapToGrid w:val="0"/>
        </w:rPr>
        <w:t>ssive. That means that, according to previous practice, the portion of the damages exceeding the “major disaster” threshold for mobilising the EUSF (i.e. 0,6 % of GNI or EUR 3 billion in 2011 prices, whichever is the lower amount) should give rise to highe</w:t>
      </w:r>
      <w:r>
        <w:rPr>
          <w:noProof/>
          <w:snapToGrid w:val="0"/>
        </w:rPr>
        <w:t>r aid intensity than damages up to the threshold. The rate applied in the past for defining the allocations for major disasters is 2,5 % of total direct damages under the threshold and 6 % for the part of the damages above. For regional disasters and disas</w:t>
      </w:r>
      <w:r>
        <w:rPr>
          <w:noProof/>
          <w:snapToGrid w:val="0"/>
        </w:rPr>
        <w:t>ters accepted under the “neighbouring country” provision the rate is 2,5 %.</w:t>
      </w:r>
    </w:p>
    <w:p w:rsidR="005C4522" w:rsidRDefault="00BF4593">
      <w:pPr>
        <w:rPr>
          <w:noProof/>
          <w:snapToGrid w:val="0"/>
        </w:rPr>
      </w:pPr>
      <w:r>
        <w:rPr>
          <w:noProof/>
          <w:snapToGrid w:val="0"/>
        </w:rPr>
        <w:t xml:space="preserve">The contribution may not exceed the estimated total cost of eligible operations. The methodology for calculating the aid was set out in the 2002-2003 Annual Report on the EUSF and </w:t>
      </w:r>
      <w:r>
        <w:rPr>
          <w:noProof/>
          <w:snapToGrid w:val="0"/>
        </w:rPr>
        <w:t>accepted by the Council and the European Parliament.</w:t>
      </w:r>
    </w:p>
    <w:p w:rsidR="005C4522" w:rsidRDefault="00BF4593">
      <w:pPr>
        <w:rPr>
          <w:noProof/>
        </w:rPr>
      </w:pPr>
      <w:r>
        <w:rPr>
          <w:noProof/>
        </w:rPr>
        <w:t>On the basis of the application from Italy, the calculation of the aid from the EUSF, based on the estimate of total direct damages caused is as follows:</w:t>
      </w:r>
    </w:p>
    <w:tbl>
      <w:tblPr>
        <w:tblW w:w="9298"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153"/>
        <w:gridCol w:w="1320"/>
        <w:gridCol w:w="1320"/>
        <w:gridCol w:w="1440"/>
        <w:gridCol w:w="1680"/>
        <w:gridCol w:w="1385"/>
      </w:tblGrid>
      <w:tr w:rsidR="005C4522">
        <w:trPr>
          <w:trHeight w:val="788"/>
          <w:jc w:val="center"/>
        </w:trPr>
        <w:tc>
          <w:tcPr>
            <w:tcW w:w="2153" w:type="dxa"/>
            <w:shd w:val="clear" w:color="auto" w:fill="EEECE1"/>
            <w:vAlign w:val="center"/>
            <w:hideMark/>
          </w:tcPr>
          <w:p w:rsidR="005C4522" w:rsidRDefault="00BF4593">
            <w:pPr>
              <w:spacing w:after="0"/>
              <w:rPr>
                <w:b/>
                <w:noProof/>
                <w:snapToGrid w:val="0"/>
                <w:sz w:val="18"/>
                <w:szCs w:val="18"/>
              </w:rPr>
            </w:pPr>
            <w:r>
              <w:rPr>
                <w:b/>
                <w:noProof/>
                <w:snapToGrid w:val="0"/>
                <w:sz w:val="18"/>
                <w:szCs w:val="18"/>
              </w:rPr>
              <w:t>Disaster</w:t>
            </w:r>
          </w:p>
        </w:tc>
        <w:tc>
          <w:tcPr>
            <w:tcW w:w="1320" w:type="dxa"/>
            <w:shd w:val="clear" w:color="auto" w:fill="EEECE1"/>
          </w:tcPr>
          <w:p w:rsidR="005C4522" w:rsidRDefault="00BF4593">
            <w:pPr>
              <w:spacing w:after="0"/>
              <w:ind w:right="59"/>
              <w:jc w:val="center"/>
              <w:rPr>
                <w:i/>
                <w:noProof/>
                <w:snapToGrid w:val="0"/>
                <w:sz w:val="18"/>
                <w:szCs w:val="18"/>
                <w:lang w:val="fr-BE"/>
              </w:rPr>
            </w:pPr>
            <w:r>
              <w:rPr>
                <w:i/>
                <w:noProof/>
                <w:snapToGrid w:val="0"/>
                <w:sz w:val="18"/>
                <w:szCs w:val="18"/>
                <w:lang w:val="fr-BE"/>
              </w:rPr>
              <w:t xml:space="preserve">Total direct damages    </w:t>
            </w:r>
          </w:p>
          <w:p w:rsidR="005C4522" w:rsidRDefault="00BF4593">
            <w:pPr>
              <w:spacing w:after="0"/>
              <w:ind w:right="59"/>
              <w:jc w:val="center"/>
              <w:rPr>
                <w:i/>
                <w:noProof/>
                <w:snapToGrid w:val="0"/>
                <w:sz w:val="18"/>
                <w:szCs w:val="18"/>
                <w:lang w:val="fr-BE"/>
              </w:rPr>
            </w:pPr>
            <w:r>
              <w:rPr>
                <w:i/>
                <w:noProof/>
                <w:snapToGrid w:val="0"/>
                <w:sz w:val="18"/>
                <w:szCs w:val="18"/>
                <w:lang w:val="fr-BE"/>
              </w:rPr>
              <w:t xml:space="preserve">                      </w:t>
            </w:r>
          </w:p>
          <w:p w:rsidR="005C4522" w:rsidRDefault="00BF4593">
            <w:pPr>
              <w:spacing w:after="0"/>
              <w:ind w:right="59"/>
              <w:rPr>
                <w:i/>
                <w:noProof/>
                <w:snapToGrid w:val="0"/>
                <w:sz w:val="18"/>
                <w:szCs w:val="18"/>
                <w:lang w:val="fr-BE"/>
              </w:rPr>
            </w:pPr>
            <w:r>
              <w:rPr>
                <w:i/>
                <w:noProof/>
                <w:snapToGrid w:val="0"/>
                <w:sz w:val="18"/>
                <w:szCs w:val="18"/>
                <w:lang w:val="fr-BE"/>
              </w:rPr>
              <w:t>(million EUR)</w:t>
            </w:r>
          </w:p>
        </w:tc>
        <w:tc>
          <w:tcPr>
            <w:tcW w:w="1320" w:type="dxa"/>
            <w:shd w:val="clear" w:color="auto" w:fill="EEECE1"/>
          </w:tcPr>
          <w:p w:rsidR="005C4522" w:rsidRDefault="00BF4593">
            <w:pPr>
              <w:spacing w:after="0"/>
              <w:jc w:val="center"/>
              <w:rPr>
                <w:i/>
                <w:noProof/>
                <w:snapToGrid w:val="0"/>
                <w:sz w:val="18"/>
                <w:szCs w:val="18"/>
              </w:rPr>
            </w:pPr>
            <w:r>
              <w:rPr>
                <w:i/>
                <w:noProof/>
                <w:snapToGrid w:val="0"/>
                <w:sz w:val="18"/>
                <w:szCs w:val="18"/>
              </w:rPr>
              <w:t>Major disaster threshold</w:t>
            </w:r>
          </w:p>
          <w:p w:rsidR="005C4522" w:rsidRDefault="005C4522">
            <w:pPr>
              <w:spacing w:after="0"/>
              <w:jc w:val="center"/>
              <w:rPr>
                <w:i/>
                <w:noProof/>
                <w:snapToGrid w:val="0"/>
                <w:sz w:val="18"/>
                <w:szCs w:val="18"/>
              </w:rPr>
            </w:pPr>
          </w:p>
          <w:p w:rsidR="005C4522" w:rsidRDefault="00BF4593">
            <w:pPr>
              <w:spacing w:after="0"/>
              <w:jc w:val="center"/>
              <w:rPr>
                <w:i/>
                <w:noProof/>
                <w:snapToGrid w:val="0"/>
                <w:sz w:val="18"/>
                <w:szCs w:val="18"/>
              </w:rPr>
            </w:pPr>
            <w:r>
              <w:rPr>
                <w:i/>
                <w:noProof/>
                <w:snapToGrid w:val="0"/>
                <w:sz w:val="18"/>
                <w:szCs w:val="18"/>
              </w:rPr>
              <w:t>(million EUR)</w:t>
            </w:r>
          </w:p>
        </w:tc>
        <w:tc>
          <w:tcPr>
            <w:tcW w:w="1440" w:type="dxa"/>
            <w:shd w:val="clear" w:color="auto" w:fill="EEECE1"/>
          </w:tcPr>
          <w:p w:rsidR="005C4522" w:rsidRDefault="00BF4593">
            <w:pPr>
              <w:spacing w:after="0"/>
              <w:jc w:val="center"/>
              <w:rPr>
                <w:i/>
                <w:noProof/>
                <w:snapToGrid w:val="0"/>
                <w:sz w:val="18"/>
                <w:szCs w:val="18"/>
              </w:rPr>
            </w:pPr>
            <w:r>
              <w:rPr>
                <w:i/>
                <w:noProof/>
                <w:snapToGrid w:val="0"/>
                <w:sz w:val="18"/>
                <w:szCs w:val="18"/>
              </w:rPr>
              <w:t xml:space="preserve">2,5% of direct damages up to threshold </w:t>
            </w:r>
          </w:p>
          <w:p w:rsidR="005C4522" w:rsidRDefault="00BF4593">
            <w:pPr>
              <w:spacing w:after="0"/>
              <w:jc w:val="center"/>
              <w:rPr>
                <w:i/>
                <w:noProof/>
                <w:snapToGrid w:val="0"/>
                <w:sz w:val="18"/>
                <w:szCs w:val="18"/>
              </w:rPr>
            </w:pPr>
            <w:r>
              <w:rPr>
                <w:i/>
                <w:noProof/>
                <w:snapToGrid w:val="0"/>
                <w:sz w:val="18"/>
                <w:szCs w:val="18"/>
              </w:rPr>
              <w:t xml:space="preserve"> (million EUR)                                                          </w:t>
            </w:r>
          </w:p>
          <w:p w:rsidR="005C4522" w:rsidRDefault="00BF4593">
            <w:pPr>
              <w:spacing w:after="0"/>
              <w:jc w:val="center"/>
              <w:rPr>
                <w:i/>
                <w:noProof/>
                <w:snapToGrid w:val="0"/>
                <w:sz w:val="18"/>
                <w:szCs w:val="18"/>
              </w:rPr>
            </w:pPr>
            <w:r>
              <w:rPr>
                <w:i/>
                <w:noProof/>
                <w:snapToGrid w:val="0"/>
                <w:sz w:val="18"/>
                <w:szCs w:val="18"/>
              </w:rPr>
              <w:t xml:space="preserve">                                 </w:t>
            </w:r>
          </w:p>
        </w:tc>
        <w:tc>
          <w:tcPr>
            <w:tcW w:w="1680" w:type="dxa"/>
            <w:shd w:val="clear" w:color="auto" w:fill="EEECE1"/>
          </w:tcPr>
          <w:p w:rsidR="005C4522" w:rsidRDefault="00BF4593">
            <w:pPr>
              <w:spacing w:after="0"/>
              <w:jc w:val="center"/>
              <w:rPr>
                <w:b/>
                <w:i/>
                <w:noProof/>
                <w:snapToGrid w:val="0"/>
                <w:sz w:val="18"/>
                <w:szCs w:val="18"/>
              </w:rPr>
            </w:pPr>
            <w:r>
              <w:rPr>
                <w:i/>
                <w:noProof/>
                <w:snapToGrid w:val="0"/>
                <w:sz w:val="18"/>
                <w:szCs w:val="18"/>
              </w:rPr>
              <w:t xml:space="preserve">6% of direct damages above </w:t>
            </w:r>
            <w:r>
              <w:rPr>
                <w:i/>
                <w:noProof/>
                <w:snapToGrid w:val="0"/>
                <w:sz w:val="18"/>
                <w:szCs w:val="18"/>
              </w:rPr>
              <w:t>threshold</w:t>
            </w:r>
            <w:r>
              <w:rPr>
                <w:i/>
                <w:noProof/>
                <w:snapToGrid w:val="0"/>
                <w:sz w:val="18"/>
                <w:szCs w:val="18"/>
              </w:rPr>
              <w:br/>
              <w:t>(EUR)</w:t>
            </w:r>
          </w:p>
        </w:tc>
        <w:tc>
          <w:tcPr>
            <w:tcW w:w="1385" w:type="dxa"/>
            <w:shd w:val="clear" w:color="auto" w:fill="EEECE1"/>
          </w:tcPr>
          <w:p w:rsidR="005C4522" w:rsidRDefault="00BF4593">
            <w:pPr>
              <w:spacing w:after="0"/>
              <w:jc w:val="center"/>
              <w:rPr>
                <w:b/>
                <w:i/>
                <w:noProof/>
                <w:snapToGrid w:val="0"/>
                <w:sz w:val="18"/>
                <w:szCs w:val="18"/>
              </w:rPr>
            </w:pPr>
            <w:r>
              <w:rPr>
                <w:b/>
                <w:i/>
                <w:noProof/>
                <w:snapToGrid w:val="0"/>
                <w:sz w:val="18"/>
                <w:szCs w:val="18"/>
              </w:rPr>
              <w:t>Total amount of aid proposed</w:t>
            </w:r>
          </w:p>
          <w:p w:rsidR="005C4522" w:rsidRDefault="005C4522">
            <w:pPr>
              <w:spacing w:after="0"/>
              <w:jc w:val="center"/>
              <w:rPr>
                <w:b/>
                <w:i/>
                <w:noProof/>
                <w:snapToGrid w:val="0"/>
                <w:sz w:val="18"/>
                <w:szCs w:val="18"/>
              </w:rPr>
            </w:pPr>
          </w:p>
          <w:p w:rsidR="005C4522" w:rsidRDefault="00BF4593">
            <w:pPr>
              <w:spacing w:after="0"/>
              <w:jc w:val="center"/>
              <w:rPr>
                <w:i/>
                <w:noProof/>
                <w:snapToGrid w:val="0"/>
                <w:sz w:val="18"/>
                <w:szCs w:val="18"/>
              </w:rPr>
            </w:pPr>
            <w:r>
              <w:rPr>
                <w:b/>
                <w:i/>
                <w:noProof/>
                <w:snapToGrid w:val="0"/>
                <w:sz w:val="18"/>
                <w:szCs w:val="18"/>
              </w:rPr>
              <w:t>(EUR)</w:t>
            </w:r>
          </w:p>
        </w:tc>
      </w:tr>
      <w:tr w:rsidR="005C4522">
        <w:trPr>
          <w:jc w:val="center"/>
        </w:trPr>
        <w:tc>
          <w:tcPr>
            <w:tcW w:w="2153" w:type="dxa"/>
            <w:tcBorders>
              <w:bottom w:val="single" w:sz="4" w:space="0" w:color="auto"/>
            </w:tcBorders>
            <w:shd w:val="clear" w:color="auto" w:fill="EEECE1"/>
            <w:vAlign w:val="center"/>
            <w:hideMark/>
          </w:tcPr>
          <w:p w:rsidR="005C4522" w:rsidRDefault="00BF4593">
            <w:pPr>
              <w:spacing w:before="40" w:after="40"/>
              <w:jc w:val="left"/>
              <w:rPr>
                <w:noProof/>
                <w:snapToGrid w:val="0"/>
                <w:sz w:val="18"/>
                <w:szCs w:val="18"/>
              </w:rPr>
            </w:pPr>
            <w:r>
              <w:rPr>
                <w:noProof/>
                <w:snapToGrid w:val="0"/>
                <w:sz w:val="18"/>
                <w:szCs w:val="18"/>
              </w:rPr>
              <w:t xml:space="preserve">ITALY </w:t>
            </w:r>
          </w:p>
        </w:tc>
        <w:tc>
          <w:tcPr>
            <w:tcW w:w="1320" w:type="dxa"/>
            <w:tcBorders>
              <w:bottom w:val="single" w:sz="4" w:space="0" w:color="auto"/>
            </w:tcBorders>
            <w:vAlign w:val="center"/>
            <w:hideMark/>
          </w:tcPr>
          <w:p w:rsidR="005C4522" w:rsidRDefault="00BF4593">
            <w:pPr>
              <w:jc w:val="right"/>
              <w:rPr>
                <w:i/>
                <w:iCs/>
                <w:noProof/>
                <w:sz w:val="18"/>
                <w:szCs w:val="18"/>
              </w:rPr>
            </w:pPr>
            <w:r>
              <w:rPr>
                <w:i/>
                <w:iCs/>
                <w:noProof/>
                <w:sz w:val="18"/>
                <w:szCs w:val="18"/>
              </w:rPr>
              <w:t>21 878,767</w:t>
            </w:r>
          </w:p>
        </w:tc>
        <w:tc>
          <w:tcPr>
            <w:tcW w:w="1320" w:type="dxa"/>
            <w:tcBorders>
              <w:bottom w:val="single" w:sz="4" w:space="0" w:color="auto"/>
            </w:tcBorders>
            <w:vAlign w:val="center"/>
          </w:tcPr>
          <w:p w:rsidR="005C4522" w:rsidRDefault="00BF4593">
            <w:pPr>
              <w:jc w:val="right"/>
              <w:rPr>
                <w:i/>
                <w:iCs/>
                <w:noProof/>
                <w:sz w:val="18"/>
                <w:szCs w:val="18"/>
              </w:rPr>
            </w:pPr>
            <w:r>
              <w:rPr>
                <w:i/>
                <w:iCs/>
                <w:noProof/>
                <w:sz w:val="18"/>
                <w:szCs w:val="18"/>
              </w:rPr>
              <w:t>3 312,242 </w:t>
            </w:r>
          </w:p>
        </w:tc>
        <w:tc>
          <w:tcPr>
            <w:tcW w:w="1440" w:type="dxa"/>
            <w:tcBorders>
              <w:bottom w:val="single" w:sz="4" w:space="0" w:color="auto"/>
            </w:tcBorders>
            <w:vAlign w:val="center"/>
          </w:tcPr>
          <w:p w:rsidR="005C4522" w:rsidRDefault="00BF4593">
            <w:pPr>
              <w:jc w:val="right"/>
              <w:rPr>
                <w:i/>
                <w:iCs/>
                <w:noProof/>
                <w:sz w:val="18"/>
                <w:szCs w:val="18"/>
              </w:rPr>
            </w:pPr>
            <w:r>
              <w:rPr>
                <w:i/>
                <w:iCs/>
                <w:noProof/>
                <w:sz w:val="18"/>
                <w:szCs w:val="18"/>
              </w:rPr>
              <w:t xml:space="preserve">82 806 050 </w:t>
            </w:r>
          </w:p>
        </w:tc>
        <w:tc>
          <w:tcPr>
            <w:tcW w:w="1680" w:type="dxa"/>
            <w:tcBorders>
              <w:bottom w:val="single" w:sz="4" w:space="0" w:color="auto"/>
            </w:tcBorders>
            <w:vAlign w:val="center"/>
          </w:tcPr>
          <w:p w:rsidR="005C4522" w:rsidRDefault="00BF4593">
            <w:pPr>
              <w:jc w:val="right"/>
              <w:rPr>
                <w:i/>
                <w:iCs/>
                <w:noProof/>
                <w:sz w:val="18"/>
                <w:szCs w:val="18"/>
              </w:rPr>
            </w:pPr>
            <w:r>
              <w:rPr>
                <w:i/>
                <w:iCs/>
                <w:noProof/>
                <w:sz w:val="18"/>
                <w:szCs w:val="18"/>
              </w:rPr>
              <w:t>1 113 991 529</w:t>
            </w:r>
          </w:p>
        </w:tc>
        <w:tc>
          <w:tcPr>
            <w:tcW w:w="1385" w:type="dxa"/>
            <w:tcBorders>
              <w:bottom w:val="single" w:sz="4" w:space="0" w:color="auto"/>
            </w:tcBorders>
            <w:vAlign w:val="center"/>
            <w:hideMark/>
          </w:tcPr>
          <w:p w:rsidR="005C4522" w:rsidRDefault="00BF4593">
            <w:pPr>
              <w:jc w:val="right"/>
              <w:rPr>
                <w:b/>
                <w:i/>
                <w:iCs/>
                <w:noProof/>
                <w:sz w:val="18"/>
                <w:szCs w:val="18"/>
              </w:rPr>
            </w:pPr>
            <w:r>
              <w:rPr>
                <w:b/>
                <w:i/>
                <w:iCs/>
                <w:noProof/>
                <w:sz w:val="18"/>
                <w:szCs w:val="18"/>
              </w:rPr>
              <w:t>1 196 797 579</w:t>
            </w:r>
          </w:p>
        </w:tc>
      </w:tr>
      <w:tr w:rsidR="005C4522">
        <w:trPr>
          <w:jc w:val="center"/>
        </w:trPr>
        <w:tc>
          <w:tcPr>
            <w:tcW w:w="7913" w:type="dxa"/>
            <w:gridSpan w:val="5"/>
            <w:tcBorders>
              <w:top w:val="single" w:sz="4" w:space="0" w:color="auto"/>
              <w:bottom w:val="single" w:sz="4" w:space="0" w:color="auto"/>
            </w:tcBorders>
            <w:shd w:val="clear" w:color="auto" w:fill="EEECE1"/>
            <w:vAlign w:val="center"/>
          </w:tcPr>
          <w:p w:rsidR="005C4522" w:rsidRDefault="00BF4593">
            <w:pPr>
              <w:jc w:val="left"/>
              <w:rPr>
                <w:i/>
                <w:iCs/>
                <w:noProof/>
                <w:sz w:val="18"/>
                <w:szCs w:val="18"/>
              </w:rPr>
            </w:pPr>
            <w:r>
              <w:rPr>
                <w:b/>
                <w:noProof/>
                <w:snapToGrid w:val="0"/>
                <w:sz w:val="18"/>
                <w:szCs w:val="18"/>
              </w:rPr>
              <w:t>TOTAL</w:t>
            </w:r>
          </w:p>
        </w:tc>
        <w:tc>
          <w:tcPr>
            <w:tcW w:w="1385" w:type="dxa"/>
            <w:tcBorders>
              <w:top w:val="single" w:sz="4" w:space="0" w:color="auto"/>
              <w:bottom w:val="single" w:sz="4" w:space="0" w:color="auto"/>
            </w:tcBorders>
            <w:vAlign w:val="center"/>
          </w:tcPr>
          <w:p w:rsidR="005C4522" w:rsidRDefault="00BF4593">
            <w:pPr>
              <w:jc w:val="right"/>
              <w:rPr>
                <w:b/>
                <w:bCs/>
                <w:i/>
                <w:iCs/>
                <w:noProof/>
                <w:sz w:val="18"/>
                <w:szCs w:val="18"/>
              </w:rPr>
            </w:pPr>
            <w:r>
              <w:rPr>
                <w:b/>
                <w:bCs/>
                <w:i/>
                <w:iCs/>
                <w:noProof/>
                <w:sz w:val="18"/>
                <w:szCs w:val="18"/>
              </w:rPr>
              <w:t>1 196 797 579</w:t>
            </w:r>
          </w:p>
        </w:tc>
      </w:tr>
    </w:tbl>
    <w:p w:rsidR="005C4522" w:rsidRDefault="00BF4593">
      <w:pPr>
        <w:rPr>
          <w:rFonts w:eastAsia="Times New Roman"/>
          <w:noProof/>
          <w:szCs w:val="24"/>
          <w:lang w:eastAsia="en-GB"/>
        </w:rPr>
      </w:pPr>
      <w:r>
        <w:rPr>
          <w:rFonts w:eastAsia="Times New Roman"/>
          <w:noProof/>
          <w:szCs w:val="24"/>
          <w:lang w:eastAsia="en-GB"/>
        </w:rPr>
        <w:t xml:space="preserve">The total amount available for the mobilisation of the EUSF at the beginning of 2017 was EUR 1 115 121 612, </w:t>
      </w:r>
      <w:r>
        <w:rPr>
          <w:rFonts w:eastAsia="Times New Roman"/>
          <w:noProof/>
          <w:szCs w:val="24"/>
          <w:lang w:eastAsia="en-GB"/>
        </w:rPr>
        <w:t>being the sum of the 2017 allocation of EUR 563 081 210 (i.e. EUR 500 000 000 in 2011 prices) in accordance with Article 10(1) of the MFF regulation, plus the entire 2016 allocation of EUR 552 040 402 (i.e. EUR 500 000 000 in 2011 prices) that remained uns</w:t>
      </w:r>
      <w:r>
        <w:rPr>
          <w:rFonts w:eastAsia="Times New Roman"/>
          <w:noProof/>
          <w:szCs w:val="24"/>
          <w:lang w:eastAsia="en-GB"/>
        </w:rPr>
        <w:t>pent and was carried over to the following year, in accordance with Article 10(2) of the MFF regulation.</w:t>
      </w:r>
    </w:p>
    <w:p w:rsidR="005C4522" w:rsidRDefault="00BF4593">
      <w:pPr>
        <w:rPr>
          <w:rFonts w:eastAsia="Times New Roman"/>
          <w:noProof/>
          <w:szCs w:val="24"/>
          <w:lang w:eastAsia="en-GB"/>
        </w:rPr>
      </w:pPr>
      <w:r>
        <w:rPr>
          <w:rFonts w:eastAsia="Times New Roman"/>
          <w:noProof/>
          <w:szCs w:val="24"/>
          <w:lang w:eastAsia="en-GB"/>
        </w:rPr>
        <w:t>The amount that may be mobilised at this stage of the year 2017 is EUR 902 826 499. This corresponds to the total amount available for the mobilisation</w:t>
      </w:r>
      <w:r>
        <w:rPr>
          <w:rFonts w:eastAsia="Times New Roman"/>
          <w:noProof/>
          <w:szCs w:val="24"/>
          <w:lang w:eastAsia="en-GB"/>
        </w:rPr>
        <w:t xml:space="preserve"> of the EUSF at the beginning of 2017 (EUR 1 115 121 612), minus the previous mobilisation</w:t>
      </w:r>
      <w:r>
        <w:rPr>
          <w:rStyle w:val="FootnoteReference"/>
          <w:noProof/>
        </w:rPr>
        <w:footnoteReference w:id="6"/>
      </w:r>
      <w:r>
        <w:rPr>
          <w:rFonts w:eastAsia="Times New Roman"/>
          <w:noProof/>
          <w:szCs w:val="24"/>
          <w:lang w:eastAsia="en-GB"/>
        </w:rPr>
        <w:t xml:space="preserve"> (EUR 71 524 810), minus the retained amount of EUR 140 770 303 in order to respect the obligation of keeping aside 25% of the 2017 annual allocation until 1 October</w:t>
      </w:r>
      <w:r>
        <w:rPr>
          <w:rFonts w:eastAsia="Times New Roman"/>
          <w:noProof/>
          <w:szCs w:val="24"/>
          <w:lang w:eastAsia="en-GB"/>
        </w:rPr>
        <w:t xml:space="preserve"> 2017 as stipulated by Article 10(1) of the MFF regulation. </w:t>
      </w:r>
    </w:p>
    <w:p w:rsidR="005C4522" w:rsidRDefault="00BF4593">
      <w:pPr>
        <w:rPr>
          <w:rFonts w:eastAsia="Times New Roman"/>
          <w:noProof/>
          <w:szCs w:val="24"/>
          <w:lang w:eastAsia="en-GB"/>
        </w:rPr>
      </w:pPr>
      <w:r>
        <w:rPr>
          <w:rFonts w:eastAsia="Times New Roman"/>
          <w:noProof/>
          <w:szCs w:val="24"/>
          <w:lang w:eastAsia="en-GB"/>
        </w:rPr>
        <w:t>This amount is not sufficient to cover the full mobilisation of the EUSF for Italy. However, the Commission considers that the conditions under Article 10(2) of the MFF regulation are fulfiled an</w:t>
      </w:r>
      <w:r>
        <w:rPr>
          <w:rFonts w:eastAsia="Times New Roman"/>
          <w:noProof/>
          <w:szCs w:val="24"/>
          <w:lang w:eastAsia="en-GB"/>
        </w:rPr>
        <w:t>d proposes to cover the difference of EUR 293 971 080 (EUR 1 196 797 579 minus EUR 902 826 499 under 2017 budget allocation) from the annual amount available in 2018.</w:t>
      </w:r>
    </w:p>
    <w:p w:rsidR="005C4522" w:rsidRDefault="005C4522">
      <w:pPr>
        <w:rPr>
          <w:rFonts w:eastAsia="Times New Roman"/>
          <w:noProof/>
          <w:szCs w:val="24"/>
          <w:lang w:eastAsia="en-GB"/>
        </w:rPr>
      </w:pPr>
    </w:p>
    <w:tbl>
      <w:tblPr>
        <w:tblStyle w:val="TableGrid"/>
        <w:tblW w:w="0" w:type="auto"/>
        <w:jc w:val="center"/>
        <w:tblLook w:val="04A0" w:firstRow="1" w:lastRow="0" w:firstColumn="1" w:lastColumn="0" w:noHBand="0" w:noVBand="1"/>
      </w:tblPr>
      <w:tblGrid>
        <w:gridCol w:w="6360"/>
        <w:gridCol w:w="1800"/>
      </w:tblGrid>
      <w:tr w:rsidR="005C4522">
        <w:trPr>
          <w:jc w:val="center"/>
        </w:trPr>
        <w:tc>
          <w:tcPr>
            <w:tcW w:w="6360" w:type="dxa"/>
            <w:shd w:val="clear" w:color="auto" w:fill="D9D9D9" w:themeFill="background1" w:themeFillShade="D9"/>
            <w:vAlign w:val="center"/>
          </w:tcPr>
          <w:p w:rsidR="005C4522" w:rsidRDefault="00BF4593">
            <w:pPr>
              <w:jc w:val="center"/>
              <w:rPr>
                <w:b/>
                <w:noProof/>
                <w:sz w:val="16"/>
                <w:szCs w:val="16"/>
              </w:rPr>
            </w:pPr>
            <w:r>
              <w:rPr>
                <w:b/>
                <w:noProof/>
                <w:sz w:val="20"/>
                <w:szCs w:val="20"/>
              </w:rPr>
              <w:t>EUSF financing summary table</w:t>
            </w:r>
          </w:p>
        </w:tc>
        <w:tc>
          <w:tcPr>
            <w:tcW w:w="1800" w:type="dxa"/>
            <w:shd w:val="clear" w:color="auto" w:fill="D9D9D9" w:themeFill="background1" w:themeFillShade="D9"/>
            <w:vAlign w:val="center"/>
          </w:tcPr>
          <w:p w:rsidR="005C4522" w:rsidRDefault="00BF4593">
            <w:pPr>
              <w:jc w:val="center"/>
              <w:rPr>
                <w:b/>
                <w:noProof/>
                <w:sz w:val="16"/>
                <w:szCs w:val="16"/>
              </w:rPr>
            </w:pPr>
            <w:r>
              <w:rPr>
                <w:b/>
                <w:noProof/>
                <w:sz w:val="16"/>
                <w:szCs w:val="16"/>
              </w:rPr>
              <w:t>Amount</w:t>
            </w:r>
          </w:p>
          <w:p w:rsidR="005C4522" w:rsidRDefault="00BF4593">
            <w:pPr>
              <w:jc w:val="center"/>
              <w:rPr>
                <w:noProof/>
                <w:sz w:val="16"/>
                <w:szCs w:val="16"/>
              </w:rPr>
            </w:pPr>
            <w:r>
              <w:rPr>
                <w:b/>
                <w:noProof/>
                <w:sz w:val="16"/>
                <w:szCs w:val="16"/>
              </w:rPr>
              <w:t>EUR</w:t>
            </w:r>
          </w:p>
        </w:tc>
      </w:tr>
      <w:tr w:rsidR="005C4522">
        <w:trPr>
          <w:jc w:val="center"/>
        </w:trPr>
        <w:tc>
          <w:tcPr>
            <w:tcW w:w="6360" w:type="dxa"/>
          </w:tcPr>
          <w:p w:rsidR="005C4522" w:rsidRDefault="00BF4593">
            <w:pPr>
              <w:rPr>
                <w:noProof/>
                <w:sz w:val="16"/>
                <w:szCs w:val="16"/>
              </w:rPr>
            </w:pPr>
            <w:r>
              <w:rPr>
                <w:noProof/>
                <w:sz w:val="16"/>
                <w:szCs w:val="16"/>
              </w:rPr>
              <w:t>2016 allocation carried forward to 2017</w:t>
            </w:r>
          </w:p>
        </w:tc>
        <w:tc>
          <w:tcPr>
            <w:tcW w:w="1800" w:type="dxa"/>
          </w:tcPr>
          <w:p w:rsidR="005C4522" w:rsidRDefault="00BF4593">
            <w:pPr>
              <w:jc w:val="right"/>
              <w:rPr>
                <w:noProof/>
                <w:sz w:val="16"/>
                <w:szCs w:val="16"/>
              </w:rPr>
            </w:pPr>
            <w:r>
              <w:rPr>
                <w:noProof/>
                <w:sz w:val="16"/>
                <w:szCs w:val="16"/>
              </w:rPr>
              <w:t>552 040</w:t>
            </w:r>
            <w:r>
              <w:rPr>
                <w:noProof/>
                <w:sz w:val="16"/>
                <w:szCs w:val="16"/>
              </w:rPr>
              <w:t xml:space="preserve"> 402</w:t>
            </w:r>
          </w:p>
        </w:tc>
      </w:tr>
      <w:tr w:rsidR="005C4522">
        <w:trPr>
          <w:jc w:val="center"/>
        </w:trPr>
        <w:tc>
          <w:tcPr>
            <w:tcW w:w="6360" w:type="dxa"/>
          </w:tcPr>
          <w:p w:rsidR="005C4522" w:rsidRDefault="00BF4593">
            <w:pPr>
              <w:rPr>
                <w:noProof/>
                <w:sz w:val="16"/>
                <w:szCs w:val="16"/>
              </w:rPr>
            </w:pPr>
            <w:r>
              <w:rPr>
                <w:noProof/>
                <w:sz w:val="16"/>
                <w:szCs w:val="16"/>
              </w:rPr>
              <w:t>2017 allocation</w:t>
            </w:r>
          </w:p>
        </w:tc>
        <w:tc>
          <w:tcPr>
            <w:tcW w:w="1800" w:type="dxa"/>
          </w:tcPr>
          <w:p w:rsidR="005C4522" w:rsidRDefault="00BF4593">
            <w:pPr>
              <w:spacing w:after="0"/>
              <w:jc w:val="right"/>
              <w:rPr>
                <w:noProof/>
                <w:sz w:val="16"/>
                <w:szCs w:val="16"/>
              </w:rPr>
            </w:pPr>
            <w:r>
              <w:rPr>
                <w:noProof/>
                <w:sz w:val="16"/>
                <w:szCs w:val="16"/>
              </w:rPr>
              <w:t>563 081 210</w:t>
            </w:r>
          </w:p>
          <w:p w:rsidR="005C4522" w:rsidRDefault="00BF4593">
            <w:pPr>
              <w:spacing w:before="0" w:after="0"/>
              <w:jc w:val="right"/>
              <w:rPr>
                <w:noProof/>
                <w:sz w:val="16"/>
                <w:szCs w:val="16"/>
              </w:rPr>
            </w:pPr>
            <w:r>
              <w:rPr>
                <w:noProof/>
                <w:sz w:val="16"/>
                <w:szCs w:val="16"/>
              </w:rPr>
              <w:t>----------------</w:t>
            </w:r>
          </w:p>
        </w:tc>
      </w:tr>
      <w:tr w:rsidR="005C4522">
        <w:trPr>
          <w:jc w:val="center"/>
        </w:trPr>
        <w:tc>
          <w:tcPr>
            <w:tcW w:w="6360" w:type="dxa"/>
          </w:tcPr>
          <w:p w:rsidR="005C4522" w:rsidRDefault="00BF4593">
            <w:pPr>
              <w:rPr>
                <w:b/>
                <w:noProof/>
                <w:sz w:val="16"/>
                <w:szCs w:val="16"/>
              </w:rPr>
            </w:pPr>
            <w:r>
              <w:rPr>
                <w:b/>
                <w:noProof/>
                <w:sz w:val="16"/>
                <w:szCs w:val="16"/>
              </w:rPr>
              <w:t>Total available at the beginning of 2017</w:t>
            </w:r>
          </w:p>
        </w:tc>
        <w:tc>
          <w:tcPr>
            <w:tcW w:w="1800" w:type="dxa"/>
          </w:tcPr>
          <w:p w:rsidR="005C4522" w:rsidRDefault="00BF4593">
            <w:pPr>
              <w:jc w:val="right"/>
              <w:rPr>
                <w:b/>
                <w:noProof/>
                <w:sz w:val="16"/>
                <w:szCs w:val="16"/>
              </w:rPr>
            </w:pPr>
            <w:r>
              <w:rPr>
                <w:b/>
                <w:noProof/>
                <w:sz w:val="16"/>
                <w:szCs w:val="16"/>
              </w:rPr>
              <w:t>1 115 121 612</w:t>
            </w:r>
          </w:p>
        </w:tc>
      </w:tr>
      <w:tr w:rsidR="005C4522">
        <w:trPr>
          <w:jc w:val="center"/>
        </w:trPr>
        <w:tc>
          <w:tcPr>
            <w:tcW w:w="6360" w:type="dxa"/>
          </w:tcPr>
          <w:p w:rsidR="005C4522" w:rsidRDefault="00BF4593">
            <w:pPr>
              <w:rPr>
                <w:noProof/>
                <w:sz w:val="16"/>
                <w:szCs w:val="16"/>
              </w:rPr>
            </w:pPr>
            <w:r>
              <w:rPr>
                <w:noProof/>
                <w:sz w:val="16"/>
                <w:szCs w:val="16"/>
              </w:rPr>
              <w:t>Minus already mobilised in 2017</w:t>
            </w:r>
          </w:p>
        </w:tc>
        <w:tc>
          <w:tcPr>
            <w:tcW w:w="1800" w:type="dxa"/>
          </w:tcPr>
          <w:p w:rsidR="005C4522" w:rsidRDefault="00BF4593">
            <w:pPr>
              <w:ind w:left="765"/>
              <w:rPr>
                <w:noProof/>
                <w:sz w:val="16"/>
                <w:szCs w:val="16"/>
              </w:rPr>
            </w:pPr>
            <w:r>
              <w:rPr>
                <w:noProof/>
                <w:sz w:val="16"/>
                <w:szCs w:val="16"/>
              </w:rPr>
              <w:t>-71 524 810</w:t>
            </w:r>
          </w:p>
        </w:tc>
      </w:tr>
      <w:tr w:rsidR="005C4522">
        <w:trPr>
          <w:jc w:val="center"/>
        </w:trPr>
        <w:tc>
          <w:tcPr>
            <w:tcW w:w="6360" w:type="dxa"/>
          </w:tcPr>
          <w:p w:rsidR="005C4522" w:rsidRDefault="00BF4593">
            <w:pPr>
              <w:rPr>
                <w:noProof/>
                <w:sz w:val="16"/>
                <w:szCs w:val="16"/>
              </w:rPr>
            </w:pPr>
            <w:r>
              <w:rPr>
                <w:noProof/>
                <w:sz w:val="16"/>
                <w:szCs w:val="16"/>
              </w:rPr>
              <w:t>Minus 25% of the 2017 allocation retained</w:t>
            </w:r>
          </w:p>
        </w:tc>
        <w:tc>
          <w:tcPr>
            <w:tcW w:w="1800" w:type="dxa"/>
          </w:tcPr>
          <w:p w:rsidR="005C4522" w:rsidRDefault="00BF4593">
            <w:pPr>
              <w:spacing w:after="0"/>
              <w:jc w:val="right"/>
              <w:rPr>
                <w:noProof/>
                <w:sz w:val="16"/>
                <w:szCs w:val="16"/>
              </w:rPr>
            </w:pPr>
            <w:r>
              <w:rPr>
                <w:noProof/>
                <w:sz w:val="16"/>
                <w:szCs w:val="16"/>
              </w:rPr>
              <w:t>-140 770 303</w:t>
            </w:r>
          </w:p>
          <w:p w:rsidR="005C4522" w:rsidRDefault="00BF4593">
            <w:pPr>
              <w:spacing w:before="0" w:after="0"/>
              <w:jc w:val="right"/>
              <w:rPr>
                <w:noProof/>
                <w:sz w:val="16"/>
                <w:szCs w:val="16"/>
              </w:rPr>
            </w:pPr>
            <w:r>
              <w:rPr>
                <w:noProof/>
                <w:sz w:val="16"/>
                <w:szCs w:val="16"/>
              </w:rPr>
              <w:t>----------------</w:t>
            </w:r>
          </w:p>
        </w:tc>
      </w:tr>
      <w:tr w:rsidR="005C4522">
        <w:trPr>
          <w:jc w:val="center"/>
        </w:trPr>
        <w:tc>
          <w:tcPr>
            <w:tcW w:w="6360" w:type="dxa"/>
          </w:tcPr>
          <w:p w:rsidR="005C4522" w:rsidRDefault="00BF4593">
            <w:pPr>
              <w:rPr>
                <w:b/>
                <w:noProof/>
                <w:sz w:val="16"/>
                <w:szCs w:val="16"/>
              </w:rPr>
            </w:pPr>
            <w:r>
              <w:rPr>
                <w:b/>
                <w:noProof/>
                <w:sz w:val="16"/>
                <w:szCs w:val="16"/>
              </w:rPr>
              <w:t xml:space="preserve">Maximum amount currently </w:t>
            </w:r>
            <w:r>
              <w:rPr>
                <w:b/>
                <w:noProof/>
                <w:sz w:val="16"/>
                <w:szCs w:val="16"/>
              </w:rPr>
              <w:t>available  (2016+2017 allocations)</w:t>
            </w:r>
          </w:p>
        </w:tc>
        <w:tc>
          <w:tcPr>
            <w:tcW w:w="1800" w:type="dxa"/>
          </w:tcPr>
          <w:p w:rsidR="005C4522" w:rsidRDefault="00BF4593">
            <w:pPr>
              <w:jc w:val="right"/>
              <w:rPr>
                <w:b/>
                <w:noProof/>
                <w:sz w:val="16"/>
                <w:szCs w:val="16"/>
              </w:rPr>
            </w:pPr>
            <w:r>
              <w:rPr>
                <w:b/>
                <w:noProof/>
                <w:sz w:val="16"/>
                <w:szCs w:val="16"/>
              </w:rPr>
              <w:t>902 826 499</w:t>
            </w:r>
          </w:p>
        </w:tc>
      </w:tr>
      <w:tr w:rsidR="005C4522">
        <w:trPr>
          <w:jc w:val="center"/>
        </w:trPr>
        <w:tc>
          <w:tcPr>
            <w:tcW w:w="6360" w:type="dxa"/>
          </w:tcPr>
          <w:p w:rsidR="005C4522" w:rsidRDefault="00BF4593">
            <w:pPr>
              <w:rPr>
                <w:noProof/>
                <w:sz w:val="16"/>
                <w:szCs w:val="16"/>
              </w:rPr>
            </w:pPr>
            <w:r>
              <w:rPr>
                <w:noProof/>
                <w:sz w:val="16"/>
                <w:szCs w:val="16"/>
              </w:rPr>
              <w:t>Remaining balance frontloaded from the 2018 allocation</w:t>
            </w:r>
          </w:p>
        </w:tc>
        <w:tc>
          <w:tcPr>
            <w:tcW w:w="1800" w:type="dxa"/>
          </w:tcPr>
          <w:p w:rsidR="005C4522" w:rsidRDefault="00BF4593">
            <w:pPr>
              <w:jc w:val="right"/>
              <w:rPr>
                <w:noProof/>
                <w:sz w:val="16"/>
                <w:szCs w:val="16"/>
              </w:rPr>
            </w:pPr>
            <w:r>
              <w:rPr>
                <w:noProof/>
                <w:sz w:val="16"/>
                <w:szCs w:val="16"/>
              </w:rPr>
              <w:t>293 971 080</w:t>
            </w:r>
          </w:p>
        </w:tc>
      </w:tr>
      <w:tr w:rsidR="005C4522">
        <w:trPr>
          <w:jc w:val="center"/>
        </w:trPr>
        <w:tc>
          <w:tcPr>
            <w:tcW w:w="6360" w:type="dxa"/>
          </w:tcPr>
          <w:p w:rsidR="005C4522" w:rsidRDefault="00BF4593">
            <w:pPr>
              <w:rPr>
                <w:b/>
                <w:noProof/>
                <w:sz w:val="16"/>
                <w:szCs w:val="16"/>
              </w:rPr>
            </w:pPr>
            <w:r>
              <w:rPr>
                <w:b/>
                <w:noProof/>
                <w:sz w:val="16"/>
                <w:szCs w:val="16"/>
              </w:rPr>
              <w:t>Total amount of aid proposed to Italy</w:t>
            </w:r>
          </w:p>
        </w:tc>
        <w:tc>
          <w:tcPr>
            <w:tcW w:w="1800" w:type="dxa"/>
          </w:tcPr>
          <w:p w:rsidR="005C4522" w:rsidRDefault="00BF4593">
            <w:pPr>
              <w:jc w:val="right"/>
              <w:rPr>
                <w:b/>
                <w:noProof/>
                <w:sz w:val="16"/>
                <w:szCs w:val="16"/>
                <w:u w:val="single"/>
              </w:rPr>
            </w:pPr>
            <w:r>
              <w:rPr>
                <w:b/>
                <w:noProof/>
                <w:sz w:val="16"/>
                <w:szCs w:val="16"/>
                <w:u w:val="single"/>
              </w:rPr>
              <w:t>1 196 797 579</w:t>
            </w:r>
          </w:p>
        </w:tc>
      </w:tr>
    </w:tbl>
    <w:p w:rsidR="005C4522" w:rsidRDefault="005C4522">
      <w:pPr>
        <w:rPr>
          <w:noProof/>
        </w:rPr>
        <w:sectPr w:rsidR="005C4522" w:rsidSect="00BF4593">
          <w:footerReference w:type="default" r:id="rId16"/>
          <w:footerReference w:type="first" r:id="rId17"/>
          <w:pgSz w:w="11907" w:h="16839"/>
          <w:pgMar w:top="1134" w:right="1417" w:bottom="1134" w:left="1417" w:header="709" w:footer="709" w:gutter="0"/>
          <w:pgNumType w:start="2"/>
          <w:cols w:space="720"/>
          <w:docGrid w:linePitch="360"/>
        </w:sectPr>
      </w:pPr>
    </w:p>
    <w:p w:rsidR="005C4522" w:rsidRDefault="00BF4593">
      <w:pPr>
        <w:pStyle w:val="Statut"/>
        <w:rPr>
          <w:noProof/>
        </w:rPr>
      </w:pPr>
      <w:r>
        <w:rPr>
          <w:noProof/>
        </w:rPr>
        <w:t>Proposal for a</w:t>
      </w:r>
    </w:p>
    <w:p w:rsidR="005C4522" w:rsidRDefault="00BF4593">
      <w:pPr>
        <w:pStyle w:val="Typedudocument"/>
        <w:rPr>
          <w:noProof/>
        </w:rPr>
      </w:pPr>
      <w:r>
        <w:rPr>
          <w:noProof/>
        </w:rPr>
        <w:t>DECISION OF THE EUROPEAN PARLIAMENT AND OF THE COUNCIL</w:t>
      </w:r>
    </w:p>
    <w:p w:rsidR="005C4522" w:rsidRDefault="00BF4593">
      <w:pPr>
        <w:pStyle w:val="Titreobjet"/>
        <w:rPr>
          <w:noProof/>
        </w:rPr>
      </w:pPr>
      <w:r>
        <w:rPr>
          <w:noProof/>
        </w:rPr>
        <w:t>on the mobilisation of the European Union Solidarity Fund to provide assistance to Italy</w:t>
      </w:r>
    </w:p>
    <w:p w:rsidR="005C4522" w:rsidRDefault="00BF4593">
      <w:pPr>
        <w:pStyle w:val="Institutionquiagit"/>
        <w:spacing w:before="480" w:after="360"/>
        <w:rPr>
          <w:noProof/>
        </w:rPr>
      </w:pPr>
      <w:r>
        <w:rPr>
          <w:noProof/>
        </w:rPr>
        <w:t>THE EUROPEAN PARLIAMENT AND THE COUNCIL OF THE EUROPEAN UNION,</w:t>
      </w:r>
    </w:p>
    <w:p w:rsidR="005C4522" w:rsidRDefault="00BF4593">
      <w:pPr>
        <w:rPr>
          <w:noProof/>
        </w:rPr>
      </w:pPr>
      <w:r>
        <w:rPr>
          <w:noProof/>
        </w:rPr>
        <w:t>Having reg</w:t>
      </w:r>
      <w:r>
        <w:rPr>
          <w:noProof/>
        </w:rPr>
        <w:t>ard to the Treaty on the Functioning of the European Union,</w:t>
      </w:r>
    </w:p>
    <w:p w:rsidR="005C4522" w:rsidRDefault="00BF4593">
      <w:pPr>
        <w:rPr>
          <w:noProof/>
        </w:rPr>
      </w:pPr>
      <w:r>
        <w:rPr>
          <w:noProof/>
        </w:rPr>
        <w:t>Having regard to Council Regulation (EC) No 2012/2002 of 11 November 2002 establishing the European Union Solidarity Fund</w:t>
      </w:r>
      <w:r>
        <w:rPr>
          <w:rStyle w:val="FootnoteReference"/>
          <w:noProof/>
        </w:rPr>
        <w:footnoteReference w:id="7"/>
      </w:r>
      <w:r>
        <w:rPr>
          <w:noProof/>
        </w:rPr>
        <w:t>, and in particular Article 4(3) thereof,</w:t>
      </w:r>
    </w:p>
    <w:p w:rsidR="005C4522" w:rsidRDefault="00BF4593">
      <w:pPr>
        <w:rPr>
          <w:noProof/>
        </w:rPr>
      </w:pPr>
      <w:r>
        <w:rPr>
          <w:noProof/>
        </w:rPr>
        <w:t xml:space="preserve">Having regard to the </w:t>
      </w:r>
      <w:r>
        <w:rPr>
          <w:noProof/>
        </w:rPr>
        <w:t>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8"/>
      </w:r>
      <w:r>
        <w:rPr>
          <w:noProof/>
        </w:rPr>
        <w:t>, and in particular point 11 thereof,</w:t>
      </w:r>
    </w:p>
    <w:p w:rsidR="005C4522" w:rsidRDefault="00BF4593">
      <w:pPr>
        <w:rPr>
          <w:noProof/>
        </w:rPr>
      </w:pPr>
      <w:r>
        <w:rPr>
          <w:noProof/>
        </w:rPr>
        <w:t>Having rega</w:t>
      </w:r>
      <w:r>
        <w:rPr>
          <w:noProof/>
        </w:rPr>
        <w:t>rd to the proposal from the European Commission,</w:t>
      </w:r>
    </w:p>
    <w:p w:rsidR="005C4522" w:rsidRDefault="00BF4593">
      <w:pPr>
        <w:spacing w:after="360"/>
        <w:rPr>
          <w:noProof/>
        </w:rPr>
      </w:pPr>
      <w:r>
        <w:rPr>
          <w:noProof/>
        </w:rPr>
        <w:t>Whereas:</w:t>
      </w:r>
    </w:p>
    <w:p w:rsidR="005C4522" w:rsidRDefault="00BF4593">
      <w:pPr>
        <w:pStyle w:val="ManualConsidrant"/>
        <w:rPr>
          <w:noProof/>
        </w:rPr>
      </w:pPr>
      <w:r>
        <w:rPr>
          <w:noProof/>
        </w:rPr>
        <w:t>(1)</w:t>
      </w:r>
      <w:r>
        <w:rPr>
          <w:noProof/>
        </w:rPr>
        <w:tab/>
      </w:r>
      <w:r>
        <w:rPr>
          <w:noProof/>
        </w:rPr>
        <w:t xml:space="preserve">The European Union Solidarity Fund (the "Fund") aims to enable the Union to respond in a rapid, efficient and flexible manner to emergency situations in order to show solidarity with the population of regions struck by natural disasters. </w:t>
      </w:r>
    </w:p>
    <w:p w:rsidR="005C4522" w:rsidRDefault="00BF4593">
      <w:pPr>
        <w:pStyle w:val="ManualConsidrant"/>
        <w:rPr>
          <w:noProof/>
        </w:rPr>
      </w:pPr>
      <w:r>
        <w:rPr>
          <w:noProof/>
        </w:rPr>
        <w:t>(2)</w:t>
      </w:r>
      <w:r>
        <w:rPr>
          <w:noProof/>
        </w:rPr>
        <w:tab/>
        <w:t>The Fund is n</w:t>
      </w:r>
      <w:r>
        <w:rPr>
          <w:noProof/>
        </w:rPr>
        <w:t>ot to exceed a maximum annual amount of EUR 500 000 000 (2011 prices), as laid down in Article 10(1) of Council Regulation (EU, Euratom) No 1311/2013</w:t>
      </w:r>
      <w:r>
        <w:rPr>
          <w:rStyle w:val="FootnoteReference"/>
          <w:noProof/>
          <w:szCs w:val="24"/>
        </w:rPr>
        <w:footnoteReference w:id="9"/>
      </w:r>
      <w:r>
        <w:rPr>
          <w:noProof/>
        </w:rPr>
        <w:t>. The entire 2016 allocation remained unspent and was carried over to the following year, in accordance wi</w:t>
      </w:r>
      <w:r>
        <w:rPr>
          <w:noProof/>
        </w:rPr>
        <w:t>th Article 10(2) of the MFF regulation. The 2017 allocation was not yet drawn on.</w:t>
      </w:r>
    </w:p>
    <w:p w:rsidR="005C4522" w:rsidRDefault="00BF4593">
      <w:pPr>
        <w:pStyle w:val="ManualConsidrant"/>
        <w:rPr>
          <w:noProof/>
          <w:sz w:val="22"/>
        </w:rPr>
      </w:pPr>
      <w:r>
        <w:rPr>
          <w:noProof/>
        </w:rPr>
        <w:t xml:space="preserve"> (3)</w:t>
      </w:r>
      <w:r>
        <w:rPr>
          <w:noProof/>
        </w:rPr>
        <w:tab/>
        <w:t>On 16 November 2016, Italy submitted an application to mobilise the Fund, following an earthquake that affected the regions of Abruzzo, Lazio, Marche and Umbria on 24 Au</w:t>
      </w:r>
      <w:r>
        <w:rPr>
          <w:noProof/>
        </w:rPr>
        <w:t>gust 2016. Additional earthquakes struck the previously hit areas and significantly increased the level of previously reported damage. Italy then submitted its final application on 15 February 2017 with revised estimates including all damage caused between</w:t>
      </w:r>
      <w:r>
        <w:rPr>
          <w:noProof/>
        </w:rPr>
        <w:t xml:space="preserve"> 24 August 2016 and 18 January 2017.</w:t>
      </w:r>
    </w:p>
    <w:p w:rsidR="005C4522" w:rsidRDefault="00BF4593">
      <w:pPr>
        <w:pStyle w:val="ManualConsidrant"/>
        <w:rPr>
          <w:noProof/>
          <w:sz w:val="22"/>
        </w:rPr>
      </w:pPr>
      <w:r>
        <w:rPr>
          <w:noProof/>
        </w:rPr>
        <w:t>(5)</w:t>
      </w:r>
      <w:r>
        <w:rPr>
          <w:noProof/>
        </w:rPr>
        <w:tab/>
        <w:t>The application by Italy meets the conditions for providing a financial contribution from the Fund, as laid down in Article 4 of Regulation (EC) No 2012/2002.</w:t>
      </w:r>
    </w:p>
    <w:p w:rsidR="005C4522" w:rsidRDefault="00BF4593">
      <w:pPr>
        <w:pStyle w:val="ManualConsidrant"/>
        <w:rPr>
          <w:noProof/>
        </w:rPr>
      </w:pPr>
      <w:r>
        <w:rPr>
          <w:noProof/>
        </w:rPr>
        <w:t>(7)</w:t>
      </w:r>
      <w:r>
        <w:rPr>
          <w:noProof/>
        </w:rPr>
        <w:tab/>
        <w:t>The Fund should therefore be mobilised in order to p</w:t>
      </w:r>
      <w:r>
        <w:rPr>
          <w:noProof/>
        </w:rPr>
        <w:t>rovide a financial contribution to Italy.</w:t>
      </w:r>
    </w:p>
    <w:p w:rsidR="005C4522" w:rsidRDefault="00BF4593">
      <w:pPr>
        <w:pStyle w:val="ManualConsidrant"/>
        <w:rPr>
          <w:noProof/>
          <w:sz w:val="22"/>
        </w:rPr>
      </w:pPr>
      <w:r>
        <w:rPr>
          <w:noProof/>
        </w:rPr>
        <w:t>(8)</w:t>
      </w:r>
      <w:r>
        <w:rPr>
          <w:noProof/>
        </w:rPr>
        <w:tab/>
        <w:t>Since the amount that may be mobilised for 2017 does not cover the full contribution, the difference should be financed through the annual amount available for 2018 as provided for in Article 10(2) of Regulatio</w:t>
      </w:r>
      <w:r>
        <w:rPr>
          <w:noProof/>
        </w:rPr>
        <w:t>n (EU, Euratom) No 1311/2013.</w:t>
      </w:r>
    </w:p>
    <w:p w:rsidR="005C4522" w:rsidRDefault="00BF4593">
      <w:pPr>
        <w:pStyle w:val="ManualConsidrant"/>
        <w:rPr>
          <w:noProof/>
          <w:sz w:val="22"/>
        </w:rPr>
      </w:pPr>
      <w:r>
        <w:rPr>
          <w:noProof/>
        </w:rPr>
        <w:t>(9)</w:t>
      </w:r>
      <w:r>
        <w:rPr>
          <w:noProof/>
        </w:rPr>
        <w:tab/>
        <w:t>In order to minimise the time taken to mobilise the Fund, this Decision should apply from the date of its adoption,</w:t>
      </w:r>
    </w:p>
    <w:p w:rsidR="005C4522" w:rsidRDefault="00BF4593">
      <w:pPr>
        <w:pStyle w:val="Formuledadoption"/>
        <w:rPr>
          <w:noProof/>
        </w:rPr>
      </w:pPr>
      <w:r>
        <w:rPr>
          <w:noProof/>
        </w:rPr>
        <w:t>HAVE ADOPTED THIS DECISION:</w:t>
      </w:r>
    </w:p>
    <w:p w:rsidR="005C4522" w:rsidRDefault="00BF4593">
      <w:pPr>
        <w:pStyle w:val="Titrearticle"/>
        <w:spacing w:before="240"/>
        <w:rPr>
          <w:noProof/>
        </w:rPr>
      </w:pPr>
      <w:r>
        <w:rPr>
          <w:noProof/>
        </w:rPr>
        <w:t>Article 1</w:t>
      </w:r>
    </w:p>
    <w:p w:rsidR="005C4522" w:rsidRDefault="00BF4593">
      <w:pPr>
        <w:rPr>
          <w:noProof/>
        </w:rPr>
      </w:pPr>
      <w:r>
        <w:rPr>
          <w:noProof/>
        </w:rPr>
        <w:t>For the general budget of the Union for the financial year 2017, the</w:t>
      </w:r>
      <w:r>
        <w:rPr>
          <w:noProof/>
        </w:rPr>
        <w:t xml:space="preserve"> European Union Solidarity Fund shall be mobilised to provide the amount of EUR 1 196 797 579 to Italy in commitment and payment appropriations.</w:t>
      </w:r>
    </w:p>
    <w:p w:rsidR="005C4522" w:rsidRDefault="00BF4593">
      <w:pPr>
        <w:pStyle w:val="Titrearticle"/>
        <w:rPr>
          <w:noProof/>
        </w:rPr>
      </w:pPr>
      <w:r>
        <w:rPr>
          <w:noProof/>
        </w:rPr>
        <w:t>Article 2</w:t>
      </w:r>
    </w:p>
    <w:p w:rsidR="005C4522" w:rsidRDefault="00BF4593">
      <w:pPr>
        <w:rPr>
          <w:noProof/>
        </w:rPr>
      </w:pPr>
      <w:r>
        <w:rPr>
          <w:noProof/>
        </w:rPr>
        <w:t xml:space="preserve">This Decision shall enter into force on the day of its publication in the </w:t>
      </w:r>
      <w:r>
        <w:rPr>
          <w:i/>
          <w:noProof/>
        </w:rPr>
        <w:t>Official Journal of the Eur</w:t>
      </w:r>
      <w:r>
        <w:rPr>
          <w:i/>
          <w:noProof/>
        </w:rPr>
        <w:t>opean Union</w:t>
      </w:r>
      <w:r>
        <w:rPr>
          <w:noProof/>
        </w:rPr>
        <w:t>.</w:t>
      </w:r>
    </w:p>
    <w:p w:rsidR="005C4522" w:rsidRDefault="00BF4593">
      <w:pPr>
        <w:rPr>
          <w:i/>
          <w:noProof/>
        </w:rPr>
      </w:pPr>
      <w:r>
        <w:rPr>
          <w:noProof/>
        </w:rPr>
        <w:t>It shall apply from … [</w:t>
      </w:r>
      <w:r>
        <w:rPr>
          <w:i/>
          <w:noProof/>
        </w:rPr>
        <w:t>the date of its adoption</w:t>
      </w:r>
      <w:r>
        <w:rPr>
          <w:noProof/>
        </w:rPr>
        <w:t>]</w:t>
      </w:r>
      <w:r>
        <w:rPr>
          <w:rStyle w:val="FootnoteReference"/>
          <w:noProof/>
        </w:rPr>
        <w:footnoteReference w:customMarkFollows="1" w:id="10"/>
        <w:sym w:font="Symbol" w:char="F02A"/>
      </w:r>
      <w:r>
        <w:rPr>
          <w:rStyle w:val="FootnoteReference"/>
          <w:noProof/>
        </w:rPr>
        <w:sym w:font="Symbol" w:char="F02A"/>
      </w:r>
      <w:r>
        <w:rPr>
          <w:i/>
          <w:noProof/>
        </w:rPr>
        <w:t>.</w:t>
      </w:r>
    </w:p>
    <w:p w:rsidR="005C4522" w:rsidRDefault="00BF4593">
      <w:pPr>
        <w:pStyle w:val="Fait"/>
        <w:rPr>
          <w:noProof/>
        </w:rPr>
      </w:pPr>
      <w:r>
        <w:rPr>
          <w:noProof/>
        </w:rPr>
        <w:t>Done at Brussels,</w:t>
      </w:r>
    </w:p>
    <w:p w:rsidR="005C4522" w:rsidRDefault="00BF4593">
      <w:pPr>
        <w:pStyle w:val="Institutionquisigne"/>
        <w:rPr>
          <w:noProof/>
        </w:rPr>
      </w:pPr>
      <w:r>
        <w:rPr>
          <w:noProof/>
        </w:rPr>
        <w:t>For the European Parliament</w:t>
      </w:r>
      <w:r>
        <w:rPr>
          <w:noProof/>
        </w:rPr>
        <w:tab/>
        <w:t>For the Council</w:t>
      </w:r>
    </w:p>
    <w:sectPr w:rsidR="005C4522" w:rsidSect="00BF4593">
      <w:pgSz w:w="11907" w:h="16839"/>
      <w:pgMar w:top="1134" w:right="1417" w:bottom="1134" w:left="1417" w:header="709" w:footer="709"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22" w:rsidRDefault="00BF4593">
      <w:pPr>
        <w:spacing w:before="0" w:after="0"/>
      </w:pPr>
      <w:r>
        <w:separator/>
      </w:r>
    </w:p>
  </w:endnote>
  <w:endnote w:type="continuationSeparator" w:id="0">
    <w:p w:rsidR="005C4522" w:rsidRDefault="00BF45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93" w:rsidRPr="00BF4593" w:rsidRDefault="00BF4593" w:rsidP="00BF45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22" w:rsidRPr="00BF4593" w:rsidRDefault="00BF4593" w:rsidP="00BF4593">
    <w:pPr>
      <w:pStyle w:val="Footer"/>
      <w:rPr>
        <w:rFonts w:ascii="Arial" w:hAnsi="Arial" w:cs="Arial"/>
        <w:b/>
        <w:sz w:val="48"/>
      </w:rPr>
    </w:pPr>
    <w:r w:rsidRPr="00BF4593">
      <w:rPr>
        <w:rFonts w:ascii="Arial" w:hAnsi="Arial" w:cs="Arial"/>
        <w:b/>
        <w:sz w:val="48"/>
      </w:rPr>
      <w:t>EN</w:t>
    </w:r>
    <w:r w:rsidRPr="00BF4593">
      <w:rPr>
        <w:rFonts w:ascii="Arial" w:hAnsi="Arial" w:cs="Arial"/>
        <w:b/>
        <w:sz w:val="48"/>
      </w:rPr>
      <w:tab/>
    </w:r>
    <w:r w:rsidRPr="00BF4593">
      <w:rPr>
        <w:rFonts w:ascii="Arial" w:hAnsi="Arial" w:cs="Arial"/>
        <w:b/>
        <w:sz w:val="48"/>
      </w:rPr>
      <w:tab/>
    </w:r>
    <w:fldSimple w:instr=" DOCVARIABLE &quot;LW_Confidence&quot; \* MERGEFORMAT ">
      <w:r>
        <w:t xml:space="preserve"> </w:t>
      </w:r>
    </w:fldSimple>
    <w:r w:rsidRPr="00BF4593">
      <w:tab/>
    </w:r>
    <w:proofErr w:type="spellStart"/>
    <w:r w:rsidRPr="00BF459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93" w:rsidRPr="00BF4593" w:rsidRDefault="00BF4593" w:rsidP="00BF45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22" w:rsidRPr="00BF4593" w:rsidRDefault="00BF4593" w:rsidP="00BF4593">
    <w:pPr>
      <w:pStyle w:val="Footer"/>
      <w:rPr>
        <w:rFonts w:ascii="Arial" w:hAnsi="Arial" w:cs="Arial"/>
        <w:b/>
        <w:sz w:val="48"/>
      </w:rPr>
    </w:pPr>
    <w:r w:rsidRPr="00BF4593">
      <w:rPr>
        <w:rFonts w:ascii="Arial" w:hAnsi="Arial" w:cs="Arial"/>
        <w:b/>
        <w:sz w:val="48"/>
      </w:rPr>
      <w:t>EN</w:t>
    </w:r>
    <w:r w:rsidRPr="00BF4593">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BF4593">
      <w:tab/>
    </w:r>
    <w:r w:rsidRPr="00BF459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93" w:rsidRPr="00BF4593" w:rsidRDefault="00BF4593" w:rsidP="00BF4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22" w:rsidRDefault="00BF4593">
      <w:pPr>
        <w:spacing w:before="0" w:after="0"/>
      </w:pPr>
      <w:r>
        <w:separator/>
      </w:r>
    </w:p>
  </w:footnote>
  <w:footnote w:type="continuationSeparator" w:id="0">
    <w:p w:rsidR="005C4522" w:rsidRDefault="00BF4593">
      <w:pPr>
        <w:spacing w:before="0" w:after="0"/>
      </w:pPr>
      <w:r>
        <w:continuationSeparator/>
      </w:r>
    </w:p>
  </w:footnote>
  <w:footnote w:id="1">
    <w:p w:rsidR="005C4522" w:rsidRDefault="00BF4593">
      <w:pPr>
        <w:pStyle w:val="FootnoteText"/>
      </w:pPr>
      <w:r>
        <w:rPr>
          <w:rStyle w:val="FootnoteReference"/>
        </w:rPr>
        <w:footnoteRef/>
      </w:r>
      <w:r>
        <w:tab/>
        <w:t>COM(2017) 541, 26.6.2017.</w:t>
      </w:r>
    </w:p>
  </w:footnote>
  <w:footnote w:id="2">
    <w:p w:rsidR="005C4522" w:rsidRDefault="00BF4593">
      <w:pPr>
        <w:pStyle w:val="FootnoteText"/>
      </w:pPr>
      <w:r>
        <w:rPr>
          <w:rStyle w:val="FootnoteReference"/>
        </w:rPr>
        <w:footnoteRef/>
      </w:r>
      <w:r>
        <w:tab/>
        <w:t>Council Regulation (EC) No 2012/2002 of 11 November 2002 establishing the European Union Solida</w:t>
      </w:r>
      <w:r>
        <w:t>rity Fund, (OJ L 311 of 14.11.2002, p. 3) as amended by Regulation (EU) No 661/2014 of the European Parliament and of the Council of 15 May 2014 (OJ L 189 of 27.06.2014, p.143).</w:t>
      </w:r>
    </w:p>
  </w:footnote>
  <w:footnote w:id="3">
    <w:p w:rsidR="005C4522" w:rsidRDefault="00BF4593">
      <w:pPr>
        <w:pStyle w:val="FootnoteText"/>
        <w:rPr>
          <w:lang w:val="cs-CZ"/>
        </w:rPr>
      </w:pPr>
      <w:r>
        <w:rPr>
          <w:rStyle w:val="FootnoteReference"/>
        </w:rPr>
        <w:footnoteRef/>
      </w:r>
      <w:r>
        <w:tab/>
        <w:t>Decision No 1313/2013/EU of the European Parliament and of the Council of 17</w:t>
      </w:r>
      <w:r>
        <w:t xml:space="preserve"> December 2013 on a Union Civil Protection Mechanism (OJ L 347, 20.12.2013, p. 924), Article 6</w:t>
      </w:r>
      <w:r>
        <w:rPr>
          <w:lang w:val="cs-CZ"/>
        </w:rPr>
        <w:t>.</w:t>
      </w:r>
    </w:p>
  </w:footnote>
  <w:footnote w:id="4">
    <w:p w:rsidR="005C4522" w:rsidRDefault="00BF4593">
      <w:pPr>
        <w:pStyle w:val="FootnoteText"/>
      </w:pPr>
      <w:r>
        <w:rPr>
          <w:rStyle w:val="FootnoteReference"/>
        </w:rPr>
        <w:footnoteRef/>
      </w:r>
      <w:r>
        <w:tab/>
        <w:t>OJ L 347, 20.12.2013, p. 884.</w:t>
      </w:r>
    </w:p>
  </w:footnote>
  <w:footnote w:id="5">
    <w:p w:rsidR="005C4522" w:rsidRDefault="00BF4593">
      <w:pPr>
        <w:pStyle w:val="FootnoteText"/>
      </w:pPr>
      <w:r>
        <w:rPr>
          <w:rStyle w:val="FootnoteReference"/>
        </w:rPr>
        <w:footnoteRef/>
      </w:r>
      <w:r>
        <w:tab/>
        <w:t>OJ C 373, 20.12.2013, p. 1.</w:t>
      </w:r>
    </w:p>
  </w:footnote>
  <w:footnote w:id="6">
    <w:p w:rsidR="005C4522" w:rsidRDefault="00BF4593">
      <w:pPr>
        <w:pStyle w:val="FootnoteText"/>
      </w:pPr>
      <w:r>
        <w:rPr>
          <w:rStyle w:val="FootnoteReference"/>
        </w:rPr>
        <w:footnoteRef/>
      </w:r>
      <w:r>
        <w:tab/>
        <w:t>Decision (EU) 2017/741 of the European Parliament and of the Council of 5 April 2017 on the mobi</w:t>
      </w:r>
      <w:r>
        <w:t>lisation of the European Solidarity Fund to provide assistance to the United Kingdom, Cyprus and Portugal (OJ L 111, 24.4.2017, p. 6) and the accompanying Amending Budget No 1/2017 (</w:t>
      </w:r>
      <w:r>
        <w:rPr>
          <w:sz w:val="18"/>
          <w:szCs w:val="18"/>
        </w:rPr>
        <w:t>OJ L 136, 24.5.2017, p. 1).</w:t>
      </w:r>
    </w:p>
  </w:footnote>
  <w:footnote w:id="7">
    <w:p w:rsidR="005C4522" w:rsidRDefault="00BF4593">
      <w:pPr>
        <w:pStyle w:val="FootnoteText"/>
      </w:pPr>
      <w:r>
        <w:rPr>
          <w:rStyle w:val="FootnoteReference"/>
        </w:rPr>
        <w:footnoteRef/>
      </w:r>
      <w:r>
        <w:tab/>
      </w:r>
      <w:r>
        <w:rPr>
          <w:shd w:val="clear" w:color="auto" w:fill="FFFFFF"/>
        </w:rPr>
        <w:t>OJ L 311, 14.11.2002, p. 3.</w:t>
      </w:r>
    </w:p>
  </w:footnote>
  <w:footnote w:id="8">
    <w:p w:rsidR="005C4522" w:rsidRDefault="00BF4593">
      <w:pPr>
        <w:pStyle w:val="FootnoteText"/>
      </w:pPr>
      <w:r>
        <w:rPr>
          <w:rStyle w:val="FootnoteReference"/>
        </w:rPr>
        <w:footnoteRef/>
      </w:r>
      <w:r>
        <w:tab/>
        <w:t xml:space="preserve">OJ C 373, </w:t>
      </w:r>
      <w:r>
        <w:t>20.12.2013, p.1.</w:t>
      </w:r>
    </w:p>
  </w:footnote>
  <w:footnote w:id="9">
    <w:p w:rsidR="005C4522" w:rsidRDefault="00BF4593">
      <w:pPr>
        <w:pStyle w:val="FootnoteText"/>
      </w:pPr>
      <w:r>
        <w:rPr>
          <w:rStyle w:val="FootnoteReference"/>
        </w:rPr>
        <w:footnoteRef/>
      </w:r>
      <w:r>
        <w:tab/>
        <w:t xml:space="preserve">Council Regulation (EU, </w:t>
      </w:r>
      <w:proofErr w:type="spellStart"/>
      <w:r>
        <w:t>Euratom</w:t>
      </w:r>
      <w:proofErr w:type="spellEnd"/>
      <w:r>
        <w:t>) No 1311/2013 of 2 December 2013 laying down the multiannual financial framework for the years 2014-2020 (OJ L 347, 20.12.2013, p. 884).</w:t>
      </w:r>
    </w:p>
  </w:footnote>
  <w:footnote w:id="10">
    <w:p w:rsidR="005C4522" w:rsidRDefault="00BF4593">
      <w:pPr>
        <w:pStyle w:val="FootnoteText"/>
      </w:pPr>
      <w:r>
        <w:rPr>
          <w:rStyle w:val="FootnoteReference"/>
        </w:rPr>
        <w:sym w:font="Symbol" w:char="F02A"/>
      </w:r>
      <w:r>
        <w:rPr>
          <w:rStyle w:val="FootnoteReference"/>
        </w:rPr>
        <w:sym w:font="Symbol" w:char="F02A"/>
      </w:r>
      <w:r>
        <w:t xml:space="preserve"> </w:t>
      </w:r>
      <w:r>
        <w:rPr>
          <w:i/>
        </w:rPr>
        <w:t xml:space="preserve">Date to be inserted by the Parliament before the publication in </w:t>
      </w:r>
      <w:r>
        <w:rPr>
          <w:i/>
        </w:rPr>
        <w:t>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93" w:rsidRPr="00BF4593" w:rsidRDefault="00BF4593" w:rsidP="00BF4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93" w:rsidRPr="00BF4593" w:rsidRDefault="00BF4593" w:rsidP="00BF45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93" w:rsidRPr="00BF4593" w:rsidRDefault="00BF4593" w:rsidP="00BF4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D67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2A8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CE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9C5C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220E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ECA5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ECCAEE"/>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25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displayBackgroundShape/>
  <w:hideSpellingErrors/>
  <w:hideGrammaticalErrors/>
  <w:proofState w:spelling="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0 10:07:0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2"/>
    <w:docVar w:name="DQCResult_ModifiedMarkers" w:val="0;0"/>
    <w:docVar w:name="DQCResult_ModifiedNumbering" w:val="0;0"/>
    <w:docVar w:name="DQCResult_Objects" w:val="0;0"/>
    <w:docVar w:name="DQCResult_Sections" w:val="0;2"/>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D3454B817C4413A81B403F7CF90510C"/>
    <w:docVar w:name="LW_CROSSREFERENCE" w:val="&lt;UNUSED&gt;"/>
    <w:docVar w:name="LW_DocType" w:val="COM"/>
    <w:docVar w:name="LW_EMISSION" w:val="26.6.2017"/>
    <w:docVar w:name="LW_EMISSION_ISODATE" w:val="2017-06-26"/>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40"/>
    <w:docVar w:name="LW_REF.INTERNE" w:val="&lt;UNUSED&gt;"/>
    <w:docVar w:name="LW_SOUS.TITRE.OBJ.CP" w:val="&lt;UNUSED&gt;"/>
    <w:docVar w:name="LW_STATUT.CP" w:val="Proposal for a"/>
    <w:docVar w:name="LW_SUPERTITRE" w:val="&lt;UNUSED&gt;"/>
    <w:docVar w:name="LW_TITRE.OBJ.CP" w:val="on the mobilisation of the European Union Solidarity Fund to provide assistance to Italy"/>
    <w:docVar w:name="LW_TYPE.DOC.CP" w:val="DECISION OF THE EUROPEAN PARLIAMENT AND OF THE COUNCIL"/>
  </w:docVars>
  <w:rsids>
    <w:rsidRoot w:val="005C4522"/>
    <w:rsid w:val="005C4522"/>
    <w:rsid w:val="00B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
    <w:name w:val="Table of content"/>
    <w:basedOn w:val="Normal"/>
    <w:pPr>
      <w:spacing w:before="0" w:after="240"/>
      <w:jc w:val="center"/>
    </w:pPr>
    <w:rPr>
      <w:rFonts w:eastAsia="Times New Roman"/>
      <w:b/>
      <w:noProof/>
      <w:sz w:val="28"/>
      <w:szCs w:val="24"/>
      <w:lang w:eastAsia="de-DE"/>
    </w:rPr>
  </w:style>
  <w:style w:type="paragraph" w:customStyle="1" w:styleId="Toc">
    <w:name w:val="Toc"/>
    <w:basedOn w:val="Normal"/>
    <w:pPr>
      <w:spacing w:before="0" w:after="240"/>
      <w:jc w:val="left"/>
    </w:pPr>
    <w:rPr>
      <w:rFonts w:eastAsia="Times New Roman"/>
      <w:noProof/>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
    <w:name w:val="Table of content"/>
    <w:basedOn w:val="Normal"/>
    <w:pPr>
      <w:spacing w:before="0" w:after="240"/>
      <w:jc w:val="center"/>
    </w:pPr>
    <w:rPr>
      <w:rFonts w:eastAsia="Times New Roman"/>
      <w:b/>
      <w:noProof/>
      <w:sz w:val="28"/>
      <w:szCs w:val="24"/>
      <w:lang w:eastAsia="de-DE"/>
    </w:rPr>
  </w:style>
  <w:style w:type="paragraph" w:customStyle="1" w:styleId="Toc">
    <w:name w:val="Toc"/>
    <w:basedOn w:val="Normal"/>
    <w:pPr>
      <w:spacing w:before="0" w:after="240"/>
      <w:jc w:val="left"/>
    </w:pPr>
    <w:rPr>
      <w:rFonts w:eastAsia="Times New Roman"/>
      <w:noProof/>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030C-6772-4109-97D4-B9EFED7F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2313</Words>
  <Characters>11893</Characters>
  <Application>Microsoft Office Word</Application>
  <DocSecurity>0</DocSecurity>
  <Lines>237</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2017-06-20T08:06:00Z</dcterms:created>
  <dcterms:modified xsi:type="dcterms:W3CDTF">2017-06-22T11:51:00Z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DQCStatus">
    <vt:lpwstr>Yellow (DQC version 03)</vt:lpwstr>
  </property>
</Properties>
</file>