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12" w:rsidRDefault="00AB2A2B">
      <w:pPr>
        <w:pStyle w:val="Pagedecouverture"/>
        <w:rPr>
          <w:noProof/>
        </w:rPr>
      </w:pPr>
      <w:bookmarkStart w:id="0" w:name="LW_BM_COVERPAGE"/>
      <w:bookmarkStart w:id="1" w:name="_DMBM_9471"/>
      <w:bookmarkStart w:id="2" w:name="_CSF_TOC_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023774B521647A99AB443BF97CCE14C" style="width:450.75pt;height:321pt">
            <v:imagedata r:id="rId10" o:title=""/>
          </v:shape>
        </w:pict>
      </w:r>
    </w:p>
    <w:bookmarkEnd w:id="0"/>
    <w:p w:rsidR="005D6812" w:rsidRDefault="005D6812">
      <w:pPr>
        <w:rPr>
          <w:noProof/>
        </w:rPr>
        <w:sectPr w:rsidR="005D6812">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rsidR="005D6812" w:rsidRDefault="005D6812">
      <w:pPr>
        <w:pStyle w:val="CoverPage"/>
        <w:rPr>
          <w:noProof/>
        </w:rPr>
      </w:pPr>
    </w:p>
    <w:p w:rsidR="005D6812" w:rsidRDefault="005D6812">
      <w:pPr>
        <w:pStyle w:val="CoverPage"/>
        <w:rPr>
          <w:noProof/>
        </w:rPr>
      </w:pPr>
    </w:p>
    <w:p w:rsidR="005D6812" w:rsidRDefault="00AB2A2B">
      <w:pPr>
        <w:pStyle w:val="CoverPage"/>
        <w:rPr>
          <w:noProof/>
        </w:rPr>
      </w:pPr>
      <w:r>
        <w:rPr>
          <w:noProof/>
        </w:rPr>
        <w:t xml:space="preserve">Annual accounts of the </w:t>
      </w:r>
      <w:r>
        <w:rPr>
          <w:noProof/>
        </w:rPr>
        <w:br/>
        <w:t>European Development Fund 2016</w:t>
      </w:r>
    </w:p>
    <w:p w:rsidR="005D6812" w:rsidRDefault="00AB2A2B">
      <w:pPr>
        <w:pStyle w:val="CoverPage"/>
        <w:rPr>
          <w:noProof/>
        </w:rPr>
        <w:sectPr w:rsidR="005D6812">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8" w:footer="708" w:gutter="0"/>
          <w:cols w:space="720"/>
          <w:docGrid w:linePitch="360"/>
        </w:sectPr>
      </w:pPr>
      <w:r>
        <w:rPr>
          <w:noProof/>
        </w:rPr>
        <w:t xml:space="preserve"> </w:t>
      </w:r>
      <w:bookmarkEnd w:id="1"/>
    </w:p>
    <w:p w:rsidR="005D6812" w:rsidRDefault="00AB2A2B">
      <w:pPr>
        <w:pStyle w:val="HEADERTABLE"/>
        <w:rPr>
          <w:noProof/>
        </w:rPr>
      </w:pPr>
      <w:bookmarkStart w:id="3" w:name="_DMBM_9447"/>
      <w:r>
        <w:rPr>
          <w:noProof/>
        </w:rPr>
        <w:lastRenderedPageBreak/>
        <w:t>CONTENTS</w:t>
      </w:r>
    </w:p>
    <w:p w:rsidR="005D6812" w:rsidRDefault="005D6812">
      <w:pPr>
        <w:pStyle w:val="HEADERTABLE"/>
        <w:rPr>
          <w:noProof/>
        </w:rPr>
      </w:pPr>
    </w:p>
    <w:p w:rsidR="005D6812" w:rsidRDefault="00AB2A2B">
      <w:pPr>
        <w:pStyle w:val="TOC1"/>
        <w:rPr>
          <w:rFonts w:asciiTheme="minorHAnsi" w:eastAsiaTheme="minorEastAsia" w:hAnsiTheme="minorHAnsi" w:cstheme="minorBidi"/>
          <w:color w:val="auto"/>
        </w:rPr>
      </w:pPr>
      <w:r>
        <w:rPr>
          <w:sz w:val="28"/>
          <w:szCs w:val="28"/>
        </w:rPr>
        <w:fldChar w:fldCharType="begin"/>
      </w:r>
      <w:r>
        <w:instrText xml:space="preserve"> TOC \h \z \t "FIRST CHAPTER_PAGE_1;2;FIRST_CHAPTER_PAGE;1;HEADER_TITLE;2;HEADER_TITLE_0;1" </w:instrText>
      </w:r>
      <w:r>
        <w:rPr>
          <w:sz w:val="28"/>
          <w:szCs w:val="28"/>
        </w:rPr>
        <w:fldChar w:fldCharType="separate"/>
      </w:r>
      <w:hyperlink w:anchor="_Toc484164210" w:history="1">
        <w:r>
          <w:rPr>
            <w:rStyle w:val="Hyperlink"/>
          </w:rPr>
          <w:t>CERTIFICATION OF THE ACCOUNTS</w:t>
        </w:r>
        <w:r>
          <w:rPr>
            <w:webHidden/>
          </w:rPr>
          <w:tab/>
        </w:r>
        <w:r>
          <w:rPr>
            <w:webHidden/>
          </w:rPr>
          <w:fldChar w:fldCharType="begin"/>
        </w:r>
        <w:r>
          <w:rPr>
            <w:webHidden/>
          </w:rPr>
          <w:instrText xml:space="preserve"> PAGEREF _Toc484164210 \h </w:instrText>
        </w:r>
        <w:r>
          <w:rPr>
            <w:webHidden/>
          </w:rPr>
        </w:r>
        <w:r>
          <w:rPr>
            <w:webHidden/>
          </w:rPr>
          <w:fldChar w:fldCharType="separate"/>
        </w:r>
        <w:r>
          <w:rPr>
            <w:webHidden/>
          </w:rPr>
          <w:t>4</w:t>
        </w:r>
        <w:r>
          <w:rPr>
            <w:webHidden/>
          </w:rPr>
          <w:fldChar w:fldCharType="end"/>
        </w:r>
      </w:hyperlink>
    </w:p>
    <w:p w:rsidR="005D6812" w:rsidRDefault="00AB2A2B">
      <w:pPr>
        <w:pStyle w:val="TOC1"/>
        <w:rPr>
          <w:rFonts w:asciiTheme="minorHAnsi" w:eastAsiaTheme="minorEastAsia" w:hAnsiTheme="minorHAnsi" w:cstheme="minorBidi"/>
          <w:color w:val="auto"/>
        </w:rPr>
      </w:pPr>
      <w:hyperlink w:anchor="_Toc484164211" w:history="1">
        <w:r>
          <w:rPr>
            <w:rStyle w:val="Hyperlink"/>
          </w:rPr>
          <w:t>IMPLEMENTING AND ACCOUNTING FOR THE EDF RESOURCES</w:t>
        </w:r>
        <w:r>
          <w:rPr>
            <w:webHidden/>
          </w:rPr>
          <w:tab/>
        </w:r>
        <w:r>
          <w:rPr>
            <w:webHidden/>
          </w:rPr>
          <w:fldChar w:fldCharType="begin"/>
        </w:r>
        <w:r>
          <w:rPr>
            <w:webHidden/>
          </w:rPr>
          <w:instrText xml:space="preserve"> PAGEREF _Toc484164211 \h </w:instrText>
        </w:r>
        <w:r>
          <w:rPr>
            <w:webHidden/>
          </w:rPr>
        </w:r>
        <w:r>
          <w:rPr>
            <w:webHidden/>
          </w:rPr>
          <w:fldChar w:fldCharType="separate"/>
        </w:r>
        <w:r>
          <w:rPr>
            <w:webHidden/>
          </w:rPr>
          <w:t>5</w:t>
        </w:r>
        <w:r>
          <w:rPr>
            <w:webHidden/>
          </w:rPr>
          <w:fldChar w:fldCharType="end"/>
        </w:r>
      </w:hyperlink>
    </w:p>
    <w:p w:rsidR="005D6812" w:rsidRDefault="00AB2A2B">
      <w:pPr>
        <w:pStyle w:val="TOC1"/>
        <w:rPr>
          <w:rFonts w:asciiTheme="minorHAnsi" w:eastAsiaTheme="minorEastAsia" w:hAnsiTheme="minorHAnsi" w:cstheme="minorBidi"/>
          <w:color w:val="auto"/>
        </w:rPr>
      </w:pPr>
      <w:hyperlink w:anchor="_Toc484164212" w:history="1">
        <w:r>
          <w:rPr>
            <w:rStyle w:val="Hyperlink"/>
          </w:rPr>
          <w:t>FUNDS MANAGED BY THE EUROPEAN COMMISSION</w:t>
        </w:r>
        <w:r>
          <w:rPr>
            <w:webHidden/>
          </w:rPr>
          <w:tab/>
        </w:r>
        <w:r>
          <w:rPr>
            <w:webHidden/>
          </w:rPr>
          <w:fldChar w:fldCharType="begin"/>
        </w:r>
        <w:r>
          <w:rPr>
            <w:webHidden/>
          </w:rPr>
          <w:instrText xml:space="preserve"> PAGEREF </w:instrText>
        </w:r>
        <w:r>
          <w:rPr>
            <w:webHidden/>
          </w:rPr>
          <w:instrText xml:space="preserve">_Toc484164212 \h </w:instrText>
        </w:r>
        <w:r>
          <w:rPr>
            <w:webHidden/>
          </w:rPr>
        </w:r>
        <w:r>
          <w:rPr>
            <w:webHidden/>
          </w:rPr>
          <w:fldChar w:fldCharType="separate"/>
        </w:r>
        <w:r>
          <w:rPr>
            <w:webHidden/>
          </w:rPr>
          <w:t>8</w:t>
        </w:r>
        <w:r>
          <w:rPr>
            <w:webHidden/>
          </w:rPr>
          <w:fldChar w:fldCharType="end"/>
        </w:r>
      </w:hyperlink>
    </w:p>
    <w:p w:rsidR="005D6812" w:rsidRDefault="00AB2A2B">
      <w:pPr>
        <w:pStyle w:val="TOC2"/>
        <w:rPr>
          <w:rFonts w:asciiTheme="minorHAnsi" w:eastAsiaTheme="minorEastAsia" w:hAnsiTheme="minorHAnsi" w:cstheme="minorBidi"/>
          <w:color w:val="auto"/>
        </w:rPr>
      </w:pPr>
      <w:hyperlink w:anchor="_Toc484164213" w:history="1">
        <w:r>
          <w:rPr>
            <w:rStyle w:val="Hyperlink"/>
          </w:rPr>
          <w:t>FINANCIAL STATEMENTS OF THE EDF</w:t>
        </w:r>
        <w:r>
          <w:rPr>
            <w:webHidden/>
          </w:rPr>
          <w:tab/>
        </w:r>
        <w:r>
          <w:rPr>
            <w:webHidden/>
          </w:rPr>
          <w:fldChar w:fldCharType="begin"/>
        </w:r>
        <w:r>
          <w:rPr>
            <w:webHidden/>
          </w:rPr>
          <w:instrText xml:space="preserve"> PAGEREF _Toc484164213 \h </w:instrText>
        </w:r>
        <w:r>
          <w:rPr>
            <w:webHidden/>
          </w:rPr>
        </w:r>
        <w:r>
          <w:rPr>
            <w:webHidden/>
          </w:rPr>
          <w:fldChar w:fldCharType="separate"/>
        </w:r>
        <w:r>
          <w:rPr>
            <w:webHidden/>
          </w:rPr>
          <w:t>10</w:t>
        </w:r>
        <w:r>
          <w:rPr>
            <w:webHidden/>
          </w:rPr>
          <w:fldChar w:fldCharType="end"/>
        </w:r>
      </w:hyperlink>
    </w:p>
    <w:p w:rsidR="005D6812" w:rsidRDefault="00AB2A2B">
      <w:pPr>
        <w:pStyle w:val="TOC2"/>
        <w:rPr>
          <w:rFonts w:asciiTheme="minorHAnsi" w:eastAsiaTheme="minorEastAsia" w:hAnsiTheme="minorHAnsi" w:cstheme="minorBidi"/>
          <w:color w:val="auto"/>
        </w:rPr>
      </w:pPr>
      <w:hyperlink w:anchor="_Toc484164214" w:history="1">
        <w:r>
          <w:rPr>
            <w:rStyle w:val="Hyperlink"/>
          </w:rPr>
          <w:t>NOTES TO THE FINANCIAL STATEMENTS OF THE EDF</w:t>
        </w:r>
        <w:r>
          <w:rPr>
            <w:webHidden/>
          </w:rPr>
          <w:tab/>
        </w:r>
        <w:r>
          <w:rPr>
            <w:webHidden/>
          </w:rPr>
          <w:fldChar w:fldCharType="begin"/>
        </w:r>
        <w:r>
          <w:rPr>
            <w:webHidden/>
          </w:rPr>
          <w:instrText xml:space="preserve"> PAGEREF _Toc484164214 \h </w:instrText>
        </w:r>
        <w:r>
          <w:rPr>
            <w:webHidden/>
          </w:rPr>
        </w:r>
        <w:r>
          <w:rPr>
            <w:webHidden/>
          </w:rPr>
          <w:fldChar w:fldCharType="separate"/>
        </w:r>
        <w:r>
          <w:rPr>
            <w:webHidden/>
          </w:rPr>
          <w:t>19</w:t>
        </w:r>
        <w:r>
          <w:rPr>
            <w:webHidden/>
          </w:rPr>
          <w:fldChar w:fldCharType="end"/>
        </w:r>
      </w:hyperlink>
    </w:p>
    <w:p w:rsidR="005D6812" w:rsidRDefault="00AB2A2B">
      <w:pPr>
        <w:pStyle w:val="TOC2"/>
        <w:rPr>
          <w:rFonts w:asciiTheme="minorHAnsi" w:eastAsiaTheme="minorEastAsia" w:hAnsiTheme="minorHAnsi" w:cstheme="minorBidi"/>
          <w:color w:val="auto"/>
        </w:rPr>
      </w:pPr>
      <w:hyperlink w:anchor="_Toc484164215" w:history="1">
        <w:r>
          <w:rPr>
            <w:rStyle w:val="Hyperlink"/>
          </w:rPr>
          <w:t>REVENUE</w:t>
        </w:r>
        <w:r>
          <w:rPr>
            <w:webHidden/>
          </w:rPr>
          <w:tab/>
        </w:r>
        <w:r>
          <w:rPr>
            <w:webHidden/>
          </w:rPr>
          <w:fldChar w:fldCharType="begin"/>
        </w:r>
        <w:r>
          <w:rPr>
            <w:webHidden/>
          </w:rPr>
          <w:instrText xml:space="preserve"> PAGEREF _Toc484164215 \h </w:instrText>
        </w:r>
        <w:r>
          <w:rPr>
            <w:webHidden/>
          </w:rPr>
        </w:r>
        <w:r>
          <w:rPr>
            <w:webHidden/>
          </w:rPr>
          <w:fldChar w:fldCharType="separate"/>
        </w:r>
        <w:r>
          <w:rPr>
            <w:webHidden/>
          </w:rPr>
          <w:t>36</w:t>
        </w:r>
        <w:r>
          <w:rPr>
            <w:webHidden/>
          </w:rPr>
          <w:fldChar w:fldCharType="end"/>
        </w:r>
      </w:hyperlink>
    </w:p>
    <w:p w:rsidR="005D6812" w:rsidRDefault="00AB2A2B">
      <w:pPr>
        <w:pStyle w:val="TOC2"/>
        <w:rPr>
          <w:rFonts w:asciiTheme="minorHAnsi" w:eastAsiaTheme="minorEastAsia" w:hAnsiTheme="minorHAnsi" w:cstheme="minorBidi"/>
          <w:color w:val="auto"/>
        </w:rPr>
      </w:pPr>
      <w:hyperlink w:anchor="_Toc484164216" w:history="1">
        <w:r>
          <w:rPr>
            <w:rStyle w:val="Hyperlink"/>
          </w:rPr>
          <w:t>EXPENSES</w:t>
        </w:r>
        <w:r>
          <w:rPr>
            <w:webHidden/>
          </w:rPr>
          <w:tab/>
        </w:r>
        <w:r>
          <w:rPr>
            <w:webHidden/>
          </w:rPr>
          <w:fldChar w:fldCharType="begin"/>
        </w:r>
        <w:r>
          <w:rPr>
            <w:webHidden/>
          </w:rPr>
          <w:instrText xml:space="preserve"> PAGEREF _Toc484164216 \h </w:instrText>
        </w:r>
        <w:r>
          <w:rPr>
            <w:webHidden/>
          </w:rPr>
        </w:r>
        <w:r>
          <w:rPr>
            <w:webHidden/>
          </w:rPr>
          <w:fldChar w:fldCharType="separate"/>
        </w:r>
        <w:r>
          <w:rPr>
            <w:webHidden/>
          </w:rPr>
          <w:t>37</w:t>
        </w:r>
        <w:r>
          <w:rPr>
            <w:webHidden/>
          </w:rPr>
          <w:fldChar w:fldCharType="end"/>
        </w:r>
      </w:hyperlink>
    </w:p>
    <w:p w:rsidR="005D6812" w:rsidRDefault="00AB2A2B">
      <w:pPr>
        <w:pStyle w:val="TOC2"/>
        <w:rPr>
          <w:rFonts w:asciiTheme="minorHAnsi" w:eastAsiaTheme="minorEastAsia" w:hAnsiTheme="minorHAnsi" w:cstheme="minorBidi"/>
          <w:color w:val="auto"/>
        </w:rPr>
      </w:pPr>
      <w:hyperlink w:anchor="_Toc484164217" w:history="1">
        <w:r>
          <w:rPr>
            <w:rStyle w:val="Hyperlink"/>
          </w:rPr>
          <w:t>FINANCIAL STATEMENTS OF THE EU</w:t>
        </w:r>
        <w:r>
          <w:rPr>
            <w:rStyle w:val="Hyperlink"/>
          </w:rPr>
          <w:t xml:space="preserve"> TRUST FUNDS CONSOLIDATED IN EDF</w:t>
        </w:r>
        <w:r>
          <w:rPr>
            <w:webHidden/>
          </w:rPr>
          <w:tab/>
        </w:r>
        <w:r>
          <w:rPr>
            <w:webHidden/>
          </w:rPr>
          <w:fldChar w:fldCharType="begin"/>
        </w:r>
        <w:r>
          <w:rPr>
            <w:webHidden/>
          </w:rPr>
          <w:instrText xml:space="preserve"> PAGEREF _Toc484164217 \h </w:instrText>
        </w:r>
        <w:r>
          <w:rPr>
            <w:webHidden/>
          </w:rPr>
        </w:r>
        <w:r>
          <w:rPr>
            <w:webHidden/>
          </w:rPr>
          <w:fldChar w:fldCharType="separate"/>
        </w:r>
        <w:r>
          <w:rPr>
            <w:webHidden/>
          </w:rPr>
          <w:t>47</w:t>
        </w:r>
        <w:r>
          <w:rPr>
            <w:webHidden/>
          </w:rPr>
          <w:fldChar w:fldCharType="end"/>
        </w:r>
      </w:hyperlink>
    </w:p>
    <w:p w:rsidR="005D6812" w:rsidRDefault="00AB2A2B">
      <w:pPr>
        <w:pStyle w:val="TOC2"/>
        <w:rPr>
          <w:rFonts w:asciiTheme="minorHAnsi" w:eastAsiaTheme="minorEastAsia" w:hAnsiTheme="minorHAnsi" w:cstheme="minorBidi"/>
          <w:color w:val="auto"/>
        </w:rPr>
      </w:pPr>
      <w:hyperlink w:anchor="_Toc484164218" w:history="1">
        <w:r>
          <w:rPr>
            <w:rStyle w:val="Hyperlink"/>
          </w:rPr>
          <w:t>FINAL ANNUAL ACCOUNTS OF THE BÊKOU EU TRUST FUND</w:t>
        </w:r>
        <w:r>
          <w:rPr>
            <w:webHidden/>
          </w:rPr>
          <w:tab/>
        </w:r>
        <w:r>
          <w:rPr>
            <w:webHidden/>
          </w:rPr>
          <w:fldChar w:fldCharType="begin"/>
        </w:r>
        <w:r>
          <w:rPr>
            <w:webHidden/>
          </w:rPr>
          <w:instrText xml:space="preserve"> PAGEREF _Toc484164218 \h </w:instrText>
        </w:r>
        <w:r>
          <w:rPr>
            <w:webHidden/>
          </w:rPr>
        </w:r>
        <w:r>
          <w:rPr>
            <w:webHidden/>
          </w:rPr>
          <w:fldChar w:fldCharType="separate"/>
        </w:r>
        <w:r>
          <w:rPr>
            <w:webHidden/>
          </w:rPr>
          <w:t>48</w:t>
        </w:r>
        <w:r>
          <w:rPr>
            <w:webHidden/>
          </w:rPr>
          <w:fldChar w:fldCharType="end"/>
        </w:r>
      </w:hyperlink>
    </w:p>
    <w:p w:rsidR="005D6812" w:rsidRDefault="00AB2A2B">
      <w:pPr>
        <w:pStyle w:val="TOC2"/>
        <w:rPr>
          <w:rFonts w:asciiTheme="minorHAnsi" w:eastAsiaTheme="minorEastAsia" w:hAnsiTheme="minorHAnsi" w:cstheme="minorBidi"/>
          <w:color w:val="auto"/>
        </w:rPr>
      </w:pPr>
      <w:hyperlink w:anchor="_Toc484164219" w:history="1">
        <w:r>
          <w:rPr>
            <w:rStyle w:val="Hyperlink"/>
          </w:rPr>
          <w:t>BACKGROUND INFORMATION ON THE BÊKOU EU TRUST FUND</w:t>
        </w:r>
        <w:r>
          <w:rPr>
            <w:webHidden/>
          </w:rPr>
          <w:tab/>
        </w:r>
        <w:r>
          <w:rPr>
            <w:webHidden/>
          </w:rPr>
          <w:fldChar w:fldCharType="begin"/>
        </w:r>
        <w:r>
          <w:rPr>
            <w:webHidden/>
          </w:rPr>
          <w:instrText xml:space="preserve"> PAGEREF _Toc484164219 \h </w:instrText>
        </w:r>
        <w:r>
          <w:rPr>
            <w:webHidden/>
          </w:rPr>
        </w:r>
        <w:r>
          <w:rPr>
            <w:webHidden/>
          </w:rPr>
          <w:fldChar w:fldCharType="separate"/>
        </w:r>
        <w:r>
          <w:rPr>
            <w:webHidden/>
          </w:rPr>
          <w:t>49</w:t>
        </w:r>
        <w:r>
          <w:rPr>
            <w:webHidden/>
          </w:rPr>
          <w:fldChar w:fldCharType="end"/>
        </w:r>
      </w:hyperlink>
    </w:p>
    <w:p w:rsidR="005D6812" w:rsidRDefault="00AB2A2B">
      <w:pPr>
        <w:pStyle w:val="TOC2"/>
        <w:rPr>
          <w:rFonts w:asciiTheme="minorHAnsi" w:eastAsiaTheme="minorEastAsia" w:hAnsiTheme="minorHAnsi" w:cstheme="minorBidi"/>
          <w:color w:val="auto"/>
        </w:rPr>
      </w:pPr>
      <w:hyperlink w:anchor="_Toc484164220" w:history="1">
        <w:r>
          <w:rPr>
            <w:rStyle w:val="Hyperlink"/>
          </w:rPr>
          <w:t>FINAL ANNUAL ACCOUNTS OF THE EUTF FOR AFRICA</w:t>
        </w:r>
        <w:r>
          <w:rPr>
            <w:webHidden/>
          </w:rPr>
          <w:tab/>
        </w:r>
        <w:r>
          <w:rPr>
            <w:webHidden/>
          </w:rPr>
          <w:fldChar w:fldCharType="begin"/>
        </w:r>
        <w:r>
          <w:rPr>
            <w:webHidden/>
          </w:rPr>
          <w:instrText xml:space="preserve"> PAGEREF _Toc484164220 \h </w:instrText>
        </w:r>
        <w:r>
          <w:rPr>
            <w:webHidden/>
          </w:rPr>
        </w:r>
        <w:r>
          <w:rPr>
            <w:webHidden/>
          </w:rPr>
          <w:fldChar w:fldCharType="separate"/>
        </w:r>
        <w:r>
          <w:rPr>
            <w:webHidden/>
          </w:rPr>
          <w:t>55</w:t>
        </w:r>
        <w:r>
          <w:rPr>
            <w:webHidden/>
          </w:rPr>
          <w:fldChar w:fldCharType="end"/>
        </w:r>
      </w:hyperlink>
    </w:p>
    <w:p w:rsidR="005D6812" w:rsidRDefault="00AB2A2B">
      <w:pPr>
        <w:pStyle w:val="TOC2"/>
        <w:rPr>
          <w:rFonts w:asciiTheme="minorHAnsi" w:eastAsiaTheme="minorEastAsia" w:hAnsiTheme="minorHAnsi" w:cstheme="minorBidi"/>
          <w:color w:val="auto"/>
        </w:rPr>
      </w:pPr>
      <w:hyperlink w:anchor="_Toc484164221" w:history="1">
        <w:r>
          <w:rPr>
            <w:rStyle w:val="Hyperlink"/>
          </w:rPr>
          <w:t>BACKGROUND INFORMATION ON THE EUTF FOR AFRICA</w:t>
        </w:r>
        <w:r>
          <w:rPr>
            <w:webHidden/>
          </w:rPr>
          <w:tab/>
        </w:r>
        <w:r>
          <w:rPr>
            <w:webHidden/>
          </w:rPr>
          <w:fldChar w:fldCharType="begin"/>
        </w:r>
        <w:r>
          <w:rPr>
            <w:webHidden/>
          </w:rPr>
          <w:instrText xml:space="preserve"> PAGEREF _Toc484164221 \h </w:instrText>
        </w:r>
        <w:r>
          <w:rPr>
            <w:webHidden/>
          </w:rPr>
        </w:r>
        <w:r>
          <w:rPr>
            <w:webHidden/>
          </w:rPr>
          <w:fldChar w:fldCharType="separate"/>
        </w:r>
        <w:r>
          <w:rPr>
            <w:webHidden/>
          </w:rPr>
          <w:t>56</w:t>
        </w:r>
        <w:r>
          <w:rPr>
            <w:webHidden/>
          </w:rPr>
          <w:fldChar w:fldCharType="end"/>
        </w:r>
      </w:hyperlink>
    </w:p>
    <w:p w:rsidR="005D6812" w:rsidRDefault="00AB2A2B">
      <w:pPr>
        <w:pStyle w:val="TOC2"/>
        <w:rPr>
          <w:rFonts w:asciiTheme="minorHAnsi" w:eastAsiaTheme="minorEastAsia" w:hAnsiTheme="minorHAnsi" w:cstheme="minorBidi"/>
          <w:color w:val="auto"/>
        </w:rPr>
      </w:pPr>
      <w:hyperlink w:anchor="_Toc484164222" w:history="1">
        <w:r>
          <w:rPr>
            <w:rStyle w:val="Hyperlink"/>
          </w:rPr>
          <w:t>CONSOLIDATED FINANCIAL STATEMENTS OF THE EDF AND THE EU TRUST FUNDS</w:t>
        </w:r>
        <w:r>
          <w:rPr>
            <w:webHidden/>
          </w:rPr>
          <w:tab/>
        </w:r>
        <w:r>
          <w:rPr>
            <w:webHidden/>
          </w:rPr>
          <w:fldChar w:fldCharType="begin"/>
        </w:r>
        <w:r>
          <w:rPr>
            <w:webHidden/>
          </w:rPr>
          <w:instrText xml:space="preserve"> PAGEREF _Toc484164222 \h </w:instrText>
        </w:r>
        <w:r>
          <w:rPr>
            <w:webHidden/>
          </w:rPr>
        </w:r>
        <w:r>
          <w:rPr>
            <w:webHidden/>
          </w:rPr>
          <w:fldChar w:fldCharType="separate"/>
        </w:r>
        <w:r>
          <w:rPr>
            <w:webHidden/>
          </w:rPr>
          <w:t>62</w:t>
        </w:r>
        <w:r>
          <w:rPr>
            <w:webHidden/>
          </w:rPr>
          <w:fldChar w:fldCharType="end"/>
        </w:r>
      </w:hyperlink>
    </w:p>
    <w:p w:rsidR="005D6812" w:rsidRDefault="00AB2A2B">
      <w:pPr>
        <w:pStyle w:val="TOC2"/>
        <w:rPr>
          <w:rFonts w:asciiTheme="minorHAnsi" w:eastAsiaTheme="minorEastAsia" w:hAnsiTheme="minorHAnsi" w:cstheme="minorBidi"/>
          <w:color w:val="auto"/>
        </w:rPr>
      </w:pPr>
      <w:hyperlink w:anchor="_Toc484164223" w:history="1">
        <w:r>
          <w:rPr>
            <w:rStyle w:val="Hyperlink"/>
            <w:lang w:val="fr-BE"/>
          </w:rPr>
          <w:t>EDF REPORT ON FINANCIAL IMPLEMENTATION</w:t>
        </w:r>
        <w:r>
          <w:rPr>
            <w:webHidden/>
          </w:rPr>
          <w:tab/>
        </w:r>
        <w:r>
          <w:rPr>
            <w:webHidden/>
          </w:rPr>
          <w:fldChar w:fldCharType="begin"/>
        </w:r>
        <w:r>
          <w:rPr>
            <w:webHidden/>
          </w:rPr>
          <w:instrText xml:space="preserve"> PAGEREF _Toc484164223 \h </w:instrText>
        </w:r>
        <w:r>
          <w:rPr>
            <w:webHidden/>
          </w:rPr>
        </w:r>
        <w:r>
          <w:rPr>
            <w:webHidden/>
          </w:rPr>
          <w:fldChar w:fldCharType="separate"/>
        </w:r>
        <w:r>
          <w:rPr>
            <w:webHidden/>
          </w:rPr>
          <w:t>67</w:t>
        </w:r>
        <w:r>
          <w:rPr>
            <w:webHidden/>
          </w:rPr>
          <w:fldChar w:fldCharType="end"/>
        </w:r>
      </w:hyperlink>
    </w:p>
    <w:p w:rsidR="005D6812" w:rsidRDefault="00AB2A2B">
      <w:pPr>
        <w:pStyle w:val="TOC1"/>
        <w:rPr>
          <w:rFonts w:asciiTheme="minorHAnsi" w:eastAsiaTheme="minorEastAsia" w:hAnsiTheme="minorHAnsi" w:cstheme="minorBidi"/>
          <w:color w:val="auto"/>
        </w:rPr>
      </w:pPr>
      <w:hyperlink w:anchor="_Toc484164224" w:history="1">
        <w:r>
          <w:rPr>
            <w:rStyle w:val="Hyperlink"/>
          </w:rPr>
          <w:t>ANNUAL REPORT ON IMPLEMENTATION - FUNDS MANA</w:t>
        </w:r>
        <w:r>
          <w:rPr>
            <w:rStyle w:val="Hyperlink"/>
          </w:rPr>
          <w:t>GED BY THE EUROPEAN INVESTMENT BANK</w:t>
        </w:r>
        <w:r>
          <w:rPr>
            <w:webHidden/>
          </w:rPr>
          <w:tab/>
        </w:r>
        <w:r>
          <w:rPr>
            <w:webHidden/>
          </w:rPr>
          <w:fldChar w:fldCharType="begin"/>
        </w:r>
        <w:r>
          <w:rPr>
            <w:webHidden/>
          </w:rPr>
          <w:instrText xml:space="preserve"> PAGEREF _Toc484164224 \h </w:instrText>
        </w:r>
        <w:r>
          <w:rPr>
            <w:webHidden/>
          </w:rPr>
        </w:r>
        <w:r>
          <w:rPr>
            <w:webHidden/>
          </w:rPr>
          <w:fldChar w:fldCharType="separate"/>
        </w:r>
        <w:r>
          <w:rPr>
            <w:webHidden/>
          </w:rPr>
          <w:t>8</w:t>
        </w:r>
        <w:r>
          <w:rPr>
            <w:webHidden/>
          </w:rPr>
          <w:t>1</w:t>
        </w:r>
        <w:r>
          <w:rPr>
            <w:webHidden/>
          </w:rPr>
          <w:fldChar w:fldCharType="end"/>
        </w:r>
      </w:hyperlink>
    </w:p>
    <w:p w:rsidR="005D6812" w:rsidRDefault="00AB2A2B">
      <w:pPr>
        <w:pStyle w:val="HEADERTABLE"/>
        <w:rPr>
          <w:noProof/>
        </w:rPr>
        <w:sectPr w:rsidR="005D6812">
          <w:headerReference w:type="even" r:id="rId23"/>
          <w:headerReference w:type="default" r:id="rId24"/>
          <w:footerReference w:type="even" r:id="rId25"/>
          <w:footerReference w:type="default" r:id="rId26"/>
          <w:headerReference w:type="first" r:id="rId27"/>
          <w:footerReference w:type="first" r:id="rId28"/>
          <w:pgSz w:w="11906" w:h="16838"/>
          <w:pgMar w:top="1134" w:right="1134" w:bottom="1134" w:left="1134" w:header="709" w:footer="709" w:gutter="0"/>
          <w:cols w:space="708"/>
          <w:docGrid w:linePitch="360"/>
        </w:sectPr>
      </w:pPr>
      <w:r>
        <w:rPr>
          <w:noProof/>
          <w:sz w:val="22"/>
          <w:szCs w:val="22"/>
        </w:rPr>
        <w:fldChar w:fldCharType="end"/>
      </w:r>
      <w:r>
        <w:rPr>
          <w:noProof/>
        </w:rPr>
        <w:t xml:space="preserve"> </w:t>
      </w:r>
      <w:bookmarkEnd w:id="3"/>
    </w:p>
    <w:p w:rsidR="005D6812" w:rsidRDefault="00AB2A2B">
      <w:pPr>
        <w:pStyle w:val="HEADERTITLE0"/>
      </w:pPr>
      <w:bookmarkStart w:id="4" w:name="_Toc392246586"/>
      <w:bookmarkStart w:id="5" w:name="_Toc392246597"/>
      <w:bookmarkStart w:id="6" w:name="_Toc484164210"/>
      <w:bookmarkStart w:id="7" w:name="_DMBM_9515"/>
      <w:r>
        <w:lastRenderedPageBreak/>
        <w:t>CERTIFICATION OF THE ACCOUNTS</w:t>
      </w:r>
      <w:bookmarkEnd w:id="4"/>
      <w:bookmarkEnd w:id="5"/>
      <w:bookmarkEnd w:id="6"/>
    </w:p>
    <w:p w:rsidR="005D6812" w:rsidRDefault="005D6812">
      <w:pPr>
        <w:pStyle w:val="HEADERTABLE"/>
        <w:rPr>
          <w:noProof/>
        </w:rPr>
      </w:pPr>
    </w:p>
    <w:p w:rsidR="005D6812" w:rsidRDefault="00AB2A2B">
      <w:pPr>
        <w:pStyle w:val="Textstand-alone"/>
      </w:pPr>
      <w:r>
        <w:t>The annual accounts of the European Development Fund for the year 2016 have been prepared in accordance with Title IX of the Financial Regulation of the 11th European Development Fund and with the accounting principles, rules</w:t>
      </w:r>
      <w:r>
        <w:t xml:space="preserve"> and methods set out in annex to the financial statements.</w:t>
      </w:r>
    </w:p>
    <w:p w:rsidR="005D6812" w:rsidRDefault="00AB2A2B">
      <w:pPr>
        <w:pStyle w:val="Textstand-alone"/>
      </w:pPr>
      <w:r>
        <w:t>I acknowledge my responsibility for the preparation and presentation of the annual accounts of the European Development Fund in accordance with Article 20 of the Financial Regulation of the 11th Eu</w:t>
      </w:r>
      <w:r>
        <w:t>ropean Development Fund.</w:t>
      </w:r>
    </w:p>
    <w:p w:rsidR="005D6812" w:rsidRDefault="00AB2A2B">
      <w:pPr>
        <w:pStyle w:val="Textstand-alone"/>
      </w:pPr>
      <w:r>
        <w:t>I have obtained from the authorising officers and from the EIB, who guarantee its reliability, all the information necessary for the production of the accounts that show the European Development Fund's assets and liabilities and th</w:t>
      </w:r>
      <w:r>
        <w:t>e budgetary implementation.</w:t>
      </w:r>
    </w:p>
    <w:p w:rsidR="005D6812" w:rsidRDefault="00AB2A2B">
      <w:pPr>
        <w:pStyle w:val="Textstand-alone"/>
      </w:pPr>
      <w:r>
        <w:t>I hereby certify that based on this information, and on such checks as I deemed necessary to sign off the accounts, I have a reasonable assurance that the accounts present a true and fair view of the financial position of the Eu</w:t>
      </w:r>
      <w:r>
        <w:t>ropean Development Fund in all material aspects.</w:t>
      </w:r>
    </w:p>
    <w:p w:rsidR="005D6812" w:rsidRDefault="005D6812">
      <w:pPr>
        <w:pStyle w:val="Textstand-alone"/>
      </w:pPr>
    </w:p>
    <w:p w:rsidR="005D6812" w:rsidRDefault="005D6812">
      <w:pPr>
        <w:pStyle w:val="Textstand-alone"/>
      </w:pPr>
    </w:p>
    <w:p w:rsidR="005D6812" w:rsidRDefault="00AB2A2B">
      <w:pPr>
        <w:pStyle w:val="SignatureRight"/>
        <w:rPr>
          <w:noProof/>
        </w:rPr>
      </w:pPr>
      <w:r>
        <w:rPr>
          <w:noProof/>
        </w:rPr>
        <w:t>[signed]</w:t>
      </w:r>
    </w:p>
    <w:p w:rsidR="005D6812" w:rsidRDefault="00AB2A2B">
      <w:pPr>
        <w:pStyle w:val="SignatureRight"/>
        <w:rPr>
          <w:noProof/>
        </w:rPr>
      </w:pPr>
      <w:r>
        <w:rPr>
          <w:noProof/>
        </w:rPr>
        <w:t>Rosa ALDEA BUSQUETS</w:t>
      </w:r>
    </w:p>
    <w:p w:rsidR="005D6812" w:rsidRDefault="00AB2A2B">
      <w:pPr>
        <w:pStyle w:val="SignatureRightBold"/>
        <w:rPr>
          <w:noProof/>
        </w:rPr>
      </w:pPr>
      <w:r>
        <w:rPr>
          <w:noProof/>
        </w:rPr>
        <w:t>Accounting Officer</w:t>
      </w:r>
    </w:p>
    <w:p w:rsidR="005D6812" w:rsidRDefault="00AB2A2B">
      <w:pPr>
        <w:pStyle w:val="SignatureRightBold"/>
        <w:rPr>
          <w:b w:val="0"/>
          <w:noProof/>
        </w:rPr>
      </w:pPr>
      <w:r>
        <w:rPr>
          <w:b w:val="0"/>
          <w:noProof/>
        </w:rPr>
        <w:t>23 June 2017</w:t>
      </w:r>
    </w:p>
    <w:bookmarkEnd w:id="7"/>
    <w:p w:rsidR="005D6812" w:rsidRDefault="005D6812">
      <w:pPr>
        <w:pStyle w:val="SignatureRightItalic0"/>
        <w:rPr>
          <w:noProof/>
        </w:rPr>
        <w:sectPr w:rsidR="005D6812">
          <w:headerReference w:type="even" r:id="rId29"/>
          <w:headerReference w:type="default" r:id="rId30"/>
          <w:footerReference w:type="even" r:id="rId31"/>
          <w:footerReference w:type="default" r:id="rId32"/>
          <w:headerReference w:type="first" r:id="rId33"/>
          <w:footerReference w:type="first" r:id="rId34"/>
          <w:pgSz w:w="11906" w:h="16838"/>
          <w:pgMar w:top="1134" w:right="1134" w:bottom="1134" w:left="1134" w:header="708" w:footer="708" w:gutter="0"/>
          <w:cols w:space="708"/>
          <w:docGrid w:linePitch="360"/>
        </w:sectPr>
      </w:pPr>
    </w:p>
    <w:p w:rsidR="005D6812" w:rsidRDefault="00AB2A2B">
      <w:pPr>
        <w:pStyle w:val="FIRSTCHAPTERPAGE"/>
        <w:rPr>
          <w:noProof/>
        </w:rPr>
      </w:pPr>
      <w:bookmarkStart w:id="8" w:name="_Toc484164211"/>
      <w:bookmarkStart w:id="9" w:name="_Toc484164226"/>
      <w:bookmarkStart w:id="10" w:name="_DMBM_9493"/>
      <w:r>
        <w:rPr>
          <w:noProof/>
        </w:rPr>
        <w:t xml:space="preserve">IMPLEMENTING AND ACCOUNTING FOR </w:t>
      </w:r>
      <w:r>
        <w:rPr>
          <w:noProof/>
        </w:rPr>
        <w:t>THE EDF RESOURCES</w:t>
      </w:r>
      <w:bookmarkEnd w:id="8"/>
      <w:bookmarkEnd w:id="9"/>
    </w:p>
    <w:p w:rsidR="005D6812" w:rsidRDefault="00AB2A2B">
      <w:pPr>
        <w:pStyle w:val="HEADER1Part1"/>
        <w:numPr>
          <w:ilvl w:val="0"/>
          <w:numId w:val="5"/>
        </w:numPr>
        <w:rPr>
          <w:noProof/>
        </w:rPr>
      </w:pPr>
      <w:r>
        <w:rPr>
          <w:noProof/>
        </w:rPr>
        <w:t>BACKGROUND</w:t>
      </w:r>
    </w:p>
    <w:p w:rsidR="005D6812" w:rsidRDefault="00AB2A2B">
      <w:pPr>
        <w:pStyle w:val="Textstand-alone"/>
      </w:pPr>
      <w:r>
        <w:t>The European Union (hereinafter referred to as the EU) has cooperative relations with a large number of developing countries. The main objective is to promote economic, social and environmental development, with the primary aim</w:t>
      </w:r>
      <w:r>
        <w:t xml:space="preserve"> of reducing and eradicating poverty in the long-term, by providing beneficiary countries with development aid and technical assistance. To achieve this, the EU draws up, jointly with the partner countries, cooperation strategies and mobilises the financia</w:t>
      </w:r>
      <w:r>
        <w:t>l resources to implement them. These EU resources allocated to development cooperation come from three sources:</w:t>
      </w:r>
    </w:p>
    <w:p w:rsidR="005D6812" w:rsidRDefault="00AB2A2B">
      <w:pPr>
        <w:pStyle w:val="Textstand-aloneBulletpoint"/>
        <w:numPr>
          <w:ilvl w:val="0"/>
          <w:numId w:val="14"/>
        </w:numPr>
        <w:ind w:left="357" w:hanging="357"/>
        <w:rPr>
          <w:noProof/>
        </w:rPr>
      </w:pPr>
      <w:r>
        <w:rPr>
          <w:noProof/>
        </w:rPr>
        <w:t>The EU budget;</w:t>
      </w:r>
    </w:p>
    <w:p w:rsidR="005D6812" w:rsidRDefault="00AB2A2B">
      <w:pPr>
        <w:pStyle w:val="Textstand-aloneBulletpoint"/>
        <w:numPr>
          <w:ilvl w:val="0"/>
          <w:numId w:val="14"/>
        </w:numPr>
        <w:ind w:left="357" w:hanging="357"/>
        <w:rPr>
          <w:noProof/>
        </w:rPr>
      </w:pPr>
      <w:r>
        <w:rPr>
          <w:noProof/>
        </w:rPr>
        <w:t>The European Development Fund;</w:t>
      </w:r>
    </w:p>
    <w:p w:rsidR="005D6812" w:rsidRDefault="00AB2A2B">
      <w:pPr>
        <w:pStyle w:val="Textstand-aloneBulletpoint"/>
        <w:numPr>
          <w:ilvl w:val="0"/>
          <w:numId w:val="14"/>
        </w:numPr>
        <w:ind w:left="357" w:hanging="357"/>
        <w:rPr>
          <w:noProof/>
        </w:rPr>
      </w:pPr>
      <w:r>
        <w:rPr>
          <w:noProof/>
        </w:rPr>
        <w:t>The European Investment Bank.</w:t>
      </w:r>
    </w:p>
    <w:p w:rsidR="005D6812" w:rsidRDefault="00AB2A2B">
      <w:pPr>
        <w:pStyle w:val="Textstand-alone"/>
      </w:pPr>
      <w:r>
        <w:t xml:space="preserve">The European Development Fund (hereinafter referred to as the EDF) </w:t>
      </w:r>
      <w:r>
        <w:t>is the main instrument for providing EU aid for development cooperation to the African, Caribbean and Pacific (hereinafter referred to as the ACP) States and Overseas Countries and Territories (hereinafter referred to as the OCTs).</w:t>
      </w:r>
    </w:p>
    <w:p w:rsidR="005D6812" w:rsidRDefault="00AB2A2B">
      <w:pPr>
        <w:pStyle w:val="Textstand-alone"/>
      </w:pPr>
      <w:r>
        <w:t>The EDF is not funded by</w:t>
      </w:r>
      <w:r>
        <w:t xml:space="preserve"> the EU budget. It is established by an internal agreement of the Representatives of the Member States, sitting within the Council, and managed by a specific committee. The European Commission (hereinafter referred to as the Commission) is responsible for </w:t>
      </w:r>
      <w:r>
        <w:t>the financial implementation of the operations carried out with EDF resources. The European Investment Bank (hereinafter referred to as the EIB) manages the Investment Facility.</w:t>
      </w:r>
    </w:p>
    <w:p w:rsidR="005D6812" w:rsidRDefault="00AB2A2B">
      <w:pPr>
        <w:pStyle w:val="Textstand-alone"/>
      </w:pPr>
      <w:r>
        <w:t>During the period 2014-2020, the geographic aid granted to ACP States and OCTs</w:t>
      </w:r>
      <w:r>
        <w:t xml:space="preserve"> will continue to be mainly funded by the EDF. Each EDF is usually concluded for a period of around five years and is governed by its own Financial Regulation which requires the preparation of financial statements for each individual EDF. Accordingly, fina</w:t>
      </w:r>
      <w:r>
        <w:t>ncial statements are prepared separately for each EDF in respect of the part that is managed by the Commission. These financial statements are also presented in an aggregated way so as to provide a global view of the financial situation of the resources fo</w:t>
      </w:r>
      <w:r>
        <w:t>r which the Commission is responsible.</w:t>
      </w:r>
    </w:p>
    <w:p w:rsidR="005D6812" w:rsidRDefault="00AB2A2B">
      <w:pPr>
        <w:pStyle w:val="Textstand-alone"/>
      </w:pPr>
      <w:r>
        <w:t>The Internal Agreement establishing the 11th EDF was signed by the participating Member States, meeting within the Council, in June 2013</w:t>
      </w:r>
      <w:r>
        <w:rPr>
          <w:rStyle w:val="FootnoteReference"/>
        </w:rPr>
        <w:footnoteReference w:id="1"/>
      </w:r>
      <w:r>
        <w:t xml:space="preserve">. It came into force on 1 March 2015. In order to assure continuity between the </w:t>
      </w:r>
      <w:r>
        <w:t>end of the 10th EDF and the entry into force of the 11th EDF, the Commission proposed transitional measures, known as the Bridging Facility (BF)</w:t>
      </w:r>
      <w:r>
        <w:rPr>
          <w:rStyle w:val="FootnoteReference"/>
        </w:rPr>
        <w:footnoteReference w:id="2"/>
      </w:r>
      <w:r>
        <w:t>. The BF is presented under the 11th EDF.</w:t>
      </w:r>
    </w:p>
    <w:p w:rsidR="005D6812" w:rsidRDefault="00AB2A2B">
      <w:pPr>
        <w:pStyle w:val="Textstand-alone"/>
      </w:pPr>
      <w:r>
        <w:t>At the same time the 10th EDF Financial Regulation</w:t>
      </w:r>
      <w:r>
        <w:rPr>
          <w:vertAlign w:val="superscript"/>
        </w:rPr>
        <w:footnoteReference w:id="3"/>
      </w:r>
      <w:r>
        <w:rPr>
          <w:vertAlign w:val="superscript"/>
        </w:rPr>
        <w:t xml:space="preserve"> </w:t>
      </w:r>
      <w:r>
        <w:t>was amended and t</w:t>
      </w:r>
      <w:r>
        <w:t>he new Financial Regulation applicable to the transition period was adopted</w:t>
      </w:r>
      <w:r>
        <w:rPr>
          <w:vertAlign w:val="superscript"/>
        </w:rPr>
        <w:footnoteReference w:id="4"/>
      </w:r>
      <w:r>
        <w:t>. They entered into force on 30 May 2014. On 2 March 2015 the Council adopted the 11th EDF Financial Regulation</w:t>
      </w:r>
      <w:r>
        <w:rPr>
          <w:rStyle w:val="FootnoteReference"/>
        </w:rPr>
        <w:footnoteReference w:id="5"/>
      </w:r>
      <w:r>
        <w:t xml:space="preserve"> and the Implementation Rules</w:t>
      </w:r>
      <w:r>
        <w:rPr>
          <w:rStyle w:val="FootnoteReference"/>
        </w:rPr>
        <w:footnoteReference w:id="6"/>
      </w:r>
      <w:r>
        <w:t>. They entered into force on 6 March 2</w:t>
      </w:r>
      <w:r>
        <w:t>015.</w:t>
      </w:r>
    </w:p>
    <w:p w:rsidR="005D6812" w:rsidRDefault="00AB2A2B">
      <w:pPr>
        <w:pStyle w:val="Textstand-alone"/>
      </w:pPr>
      <w:r>
        <w:t>Within the framework of the ACP-EU Partnership Agreement, the Investment Facility was established. This Investment Facility is managed by the EIB and is used to support private sector development in the ACP States by financing essentially – but not ex</w:t>
      </w:r>
      <w:r>
        <w:t xml:space="preserve">clusively – private investments. The Facility is designed as a renewable fund, so that loan repayments can be reinvested in other operations, thus resulting in a self-renewing and financially independent facility. As the Investment Facility is not managed </w:t>
      </w:r>
      <w:r>
        <w:t>by the Commission, it is not consolidated in the first part of the annual accounts – the financial statements of the EDF and the related report on financial implementation. The financial statements of the Investment Facility are included as a separate part</w:t>
      </w:r>
      <w:r>
        <w:t xml:space="preserve"> of the annual accounts (part II) to provide a full picture of the development aid of the EDF</w:t>
      </w:r>
      <w:r>
        <w:rPr>
          <w:rStyle w:val="FootnoteReference"/>
        </w:rPr>
        <w:footnoteReference w:id="7"/>
      </w:r>
      <w:r>
        <w:t>.</w:t>
      </w:r>
    </w:p>
    <w:p w:rsidR="005D6812" w:rsidRDefault="00AB2A2B">
      <w:pPr>
        <w:pStyle w:val="HEADER1Part1"/>
        <w:numPr>
          <w:ilvl w:val="0"/>
          <w:numId w:val="5"/>
        </w:numPr>
        <w:rPr>
          <w:noProof/>
        </w:rPr>
      </w:pPr>
      <w:r>
        <w:rPr>
          <w:noProof/>
        </w:rPr>
        <w:t>HOW IS THE EDF FUNDED?</w:t>
      </w:r>
    </w:p>
    <w:p w:rsidR="005D6812" w:rsidRDefault="00AB2A2B">
      <w:pPr>
        <w:pStyle w:val="Textstand-alone"/>
      </w:pPr>
      <w:r>
        <w:t xml:space="preserve">The European Council of 2 December 2013 adopted the Multi-annual Financial Framework for 2014-2020. In this context, it was decided that </w:t>
      </w:r>
      <w:r>
        <w:t>geographical cooperation with the ACP States would not be integrated into the EU budget (budgetised), but would continue to be funded through the existing inter-governmental EDF.</w:t>
      </w:r>
    </w:p>
    <w:p w:rsidR="005D6812" w:rsidRDefault="00AB2A2B">
      <w:pPr>
        <w:pStyle w:val="Textstand-alone"/>
      </w:pPr>
      <w:r>
        <w:t>The EU budget is annual and according to the budgetary principle of annuality</w:t>
      </w:r>
      <w:r>
        <w:t>, expenditure and revenue are planned and authorised for one year. Unlike the EU, the EDF is a fund operating on the basis of multiannuality. Each EDF establishes an overall fund to implement development cooperation during a period of usually five years. A</w:t>
      </w:r>
      <w:r>
        <w:t>s resources are allocated on a multiannual basis, the allocated funds may be used over the period of the EDF. The lack of budget annuality is highlighted in the budgetary reporting, where the budgetary implementation of the EDFs is measured against the tot</w:t>
      </w:r>
      <w:r>
        <w:t>al funds.</w:t>
      </w:r>
    </w:p>
    <w:p w:rsidR="005D6812" w:rsidRDefault="00AB2A2B">
      <w:pPr>
        <w:pStyle w:val="Textstand-alone"/>
      </w:pPr>
      <w:r>
        <w:t xml:space="preserve">The EDF resources are "ad hoc" contributions from the EU Member States. Approximately every five years, Member State representatives meet at intergovernmental level to decide on an overall amount that will be allocated to the fund and to oversee </w:t>
      </w:r>
      <w:r>
        <w:t>its implementation. The Commission then manages the fund in accordance with the Union policy on development cooperation. Since Member States have their own development and aid policies in parallel to the Union policy, the Member States must coordinate thei</w:t>
      </w:r>
      <w:r>
        <w:t>r policies with the EU to ensure they are complementary.</w:t>
      </w:r>
    </w:p>
    <w:p w:rsidR="005D6812" w:rsidRDefault="00AB2A2B">
      <w:pPr>
        <w:pStyle w:val="Textstand-alone"/>
      </w:pPr>
      <w:r>
        <w:t>In addition to the above mentioned contributions, it is also possible for Member States to enter into co</w:t>
      </w:r>
      <w:r>
        <w:noBreakHyphen/>
        <w:t>financing arrangements or to make voluntary financial contributions to the EDF.</w:t>
      </w:r>
    </w:p>
    <w:p w:rsidR="005D6812" w:rsidRDefault="00AB2A2B">
      <w:pPr>
        <w:pStyle w:val="HEADER1Part1"/>
        <w:numPr>
          <w:ilvl w:val="0"/>
          <w:numId w:val="5"/>
        </w:numPr>
        <w:rPr>
          <w:noProof/>
        </w:rPr>
      </w:pPr>
      <w:r>
        <w:rPr>
          <w:noProof/>
        </w:rPr>
        <w:t>YEAR-END REPOR</w:t>
      </w:r>
      <w:r>
        <w:rPr>
          <w:noProof/>
        </w:rPr>
        <w:t>TING</w:t>
      </w:r>
    </w:p>
    <w:p w:rsidR="005D6812" w:rsidRDefault="00AB2A2B">
      <w:pPr>
        <w:pStyle w:val="HEADER2Part1"/>
        <w:numPr>
          <w:ilvl w:val="1"/>
          <w:numId w:val="5"/>
        </w:numPr>
        <w:rPr>
          <w:noProof/>
        </w:rPr>
      </w:pPr>
      <w:r>
        <w:rPr>
          <w:noProof/>
        </w:rPr>
        <w:t>ANNUAL ACCOUNTS</w:t>
      </w:r>
    </w:p>
    <w:p w:rsidR="005D6812" w:rsidRDefault="00AB2A2B">
      <w:pPr>
        <w:pStyle w:val="Textstand-alone"/>
      </w:pPr>
      <w:r>
        <w:t>In accordance with Article 46 of the EDF Financial Regulation, the EDF financial statements are prepared on the basis of accrual-based accounting rules that themselves are based on International Public Sector Accounting Standards (IPSAS). The accounting ru</w:t>
      </w:r>
      <w:r>
        <w:t xml:space="preserve">les adopted by the Accounting Officer of the Commission are applied by all the Institutions and bodies of the EU in order to establish a uniform set of rules for accounting, valuation and presentation of the accounts with a view to harmonising the process </w:t>
      </w:r>
      <w:r>
        <w:t xml:space="preserve">for drawing up the financial statements and consolidation, as required by Article 152 of the EU Financial Regulation. These EU accounting rules are also applied to the EDF while taking into account the specific nature of its activities. </w:t>
      </w:r>
    </w:p>
    <w:p w:rsidR="005D6812" w:rsidRDefault="00AB2A2B">
      <w:pPr>
        <w:pStyle w:val="Textstand-alone"/>
      </w:pPr>
      <w:r>
        <w:t>The preparation of</w:t>
      </w:r>
      <w:r>
        <w:t xml:space="preserve"> the EDF annual accounts is entrusted to the Commission's Accounting Officer who is the Accounting Officer of the EDF. He/she ensures that the annual accounts of EDF present a true and fair view of the financial position of the EDF.</w:t>
      </w:r>
    </w:p>
    <w:p w:rsidR="005D6812" w:rsidRDefault="00AB2A2B">
      <w:pPr>
        <w:pStyle w:val="Textstand-alone"/>
      </w:pPr>
      <w:r>
        <w:t>The annual accounts are</w:t>
      </w:r>
      <w:r>
        <w:t xml:space="preserve"> presented as follows:</w:t>
      </w:r>
    </w:p>
    <w:p w:rsidR="005D6812" w:rsidRDefault="00AB2A2B">
      <w:pPr>
        <w:pStyle w:val="SubTextIndentJustified"/>
        <w:rPr>
          <w:noProof/>
        </w:rPr>
      </w:pPr>
      <w:r>
        <w:rPr>
          <w:noProof/>
        </w:rPr>
        <w:t>Part I: Funds managed by the Commission</w:t>
      </w:r>
    </w:p>
    <w:p w:rsidR="005D6812" w:rsidRDefault="00AB2A2B">
      <w:pPr>
        <w:pStyle w:val="SubTextIndentJustified"/>
        <w:numPr>
          <w:ilvl w:val="0"/>
          <w:numId w:val="15"/>
        </w:numPr>
        <w:tabs>
          <w:tab w:val="clear" w:pos="0"/>
          <w:tab w:val="left" w:pos="1418"/>
        </w:tabs>
        <w:ind w:left="1440" w:hanging="447"/>
        <w:rPr>
          <w:noProof/>
        </w:rPr>
      </w:pPr>
      <w:r>
        <w:rPr>
          <w:noProof/>
        </w:rPr>
        <w:t>Financial statements and explanatory notes of the EDF</w:t>
      </w:r>
    </w:p>
    <w:p w:rsidR="005D6812" w:rsidRDefault="00AB2A2B">
      <w:pPr>
        <w:pStyle w:val="SubTextIndentJustified"/>
        <w:numPr>
          <w:ilvl w:val="0"/>
          <w:numId w:val="15"/>
        </w:numPr>
        <w:tabs>
          <w:tab w:val="clear" w:pos="0"/>
          <w:tab w:val="left" w:pos="1418"/>
        </w:tabs>
        <w:ind w:left="1440" w:hanging="447"/>
        <w:rPr>
          <w:noProof/>
        </w:rPr>
      </w:pPr>
      <w:r>
        <w:rPr>
          <w:noProof/>
        </w:rPr>
        <w:t>Financial statements of the EU trust funds consolidated in the EDF</w:t>
      </w:r>
    </w:p>
    <w:p w:rsidR="005D6812" w:rsidRDefault="00AB2A2B">
      <w:pPr>
        <w:pStyle w:val="SubTextIndentJustified"/>
        <w:numPr>
          <w:ilvl w:val="0"/>
          <w:numId w:val="15"/>
        </w:numPr>
        <w:tabs>
          <w:tab w:val="clear" w:pos="0"/>
          <w:tab w:val="left" w:pos="1418"/>
        </w:tabs>
        <w:ind w:left="1440" w:hanging="447"/>
        <w:rPr>
          <w:noProof/>
        </w:rPr>
      </w:pPr>
      <w:r>
        <w:rPr>
          <w:noProof/>
        </w:rPr>
        <w:t>Consolidated financial statements of EDF and the EU trust funds</w:t>
      </w:r>
    </w:p>
    <w:p w:rsidR="005D6812" w:rsidRDefault="00AB2A2B">
      <w:pPr>
        <w:pStyle w:val="SubTextIndentJustified"/>
        <w:numPr>
          <w:ilvl w:val="0"/>
          <w:numId w:val="15"/>
        </w:numPr>
        <w:tabs>
          <w:tab w:val="clear" w:pos="0"/>
          <w:tab w:val="left" w:pos="1418"/>
        </w:tabs>
        <w:ind w:left="1440" w:hanging="447"/>
        <w:rPr>
          <w:noProof/>
        </w:rPr>
      </w:pPr>
      <w:r>
        <w:rPr>
          <w:noProof/>
        </w:rPr>
        <w:t>Report o</w:t>
      </w:r>
      <w:r>
        <w:rPr>
          <w:noProof/>
        </w:rPr>
        <w:t>n financial implementation of the EDF</w:t>
      </w:r>
    </w:p>
    <w:p w:rsidR="005D6812" w:rsidRDefault="00AB2A2B">
      <w:pPr>
        <w:pStyle w:val="SubTextIndentJustified"/>
        <w:rPr>
          <w:noProof/>
        </w:rPr>
      </w:pPr>
      <w:r>
        <w:rPr>
          <w:noProof/>
        </w:rPr>
        <w:t>Part II: Annual report on implementation - Funds managed by the EIB</w:t>
      </w:r>
    </w:p>
    <w:p w:rsidR="005D6812" w:rsidRDefault="00AB2A2B">
      <w:pPr>
        <w:pStyle w:val="SubTextIndentJustified"/>
        <w:numPr>
          <w:ilvl w:val="0"/>
          <w:numId w:val="16"/>
        </w:numPr>
        <w:tabs>
          <w:tab w:val="clear" w:pos="418"/>
          <w:tab w:val="num" w:pos="1418"/>
        </w:tabs>
        <w:ind w:left="1418" w:hanging="425"/>
        <w:rPr>
          <w:noProof/>
        </w:rPr>
      </w:pPr>
      <w:r>
        <w:rPr>
          <w:noProof/>
        </w:rPr>
        <w:t>Financial statements of the Investment Facility</w:t>
      </w:r>
    </w:p>
    <w:p w:rsidR="005D6812" w:rsidRDefault="00AB2A2B">
      <w:pPr>
        <w:pStyle w:val="Textstand-alone"/>
      </w:pPr>
      <w:r>
        <w:t>The part 'Financial statements of the European trust funds consolidated in the EDF' includes financial</w:t>
      </w:r>
      <w:r>
        <w:t xml:space="preserve"> statements of the two trust funds created under the EDF: The Bêkou EU Trust Fund (see section 'Financial statements of the Bêkou EU Trust Fund') and EU Trust Fund for Africa</w:t>
      </w:r>
      <w:r>
        <w:rPr>
          <w:rStyle w:val="FootnoteReference"/>
        </w:rPr>
        <w:footnoteReference w:id="8"/>
      </w:r>
      <w:r>
        <w:t xml:space="preserve"> (see section 'Financial statements of EUTF for Africa'). The trust funds individ</w:t>
      </w:r>
      <w:r>
        <w:t>ual financial statements are prepared under the responsibility of the EC Accounting Officer and subject to external audit carried out by a private auditor. The trust funds' financial statements included in these annual accounts are the final financial stat</w:t>
      </w:r>
      <w:r>
        <w:t xml:space="preserve">ements, i.e. after the necessary audit adjustments. </w:t>
      </w:r>
    </w:p>
    <w:p w:rsidR="005D6812" w:rsidRDefault="00AB2A2B">
      <w:pPr>
        <w:pStyle w:val="Textstand-alone"/>
      </w:pPr>
      <w:r>
        <w:t xml:space="preserve">It should be noted that the layout of the financial statements and the explanatory notes were changed in 2016. The changes are purely in the presentation of the financial information and aim at giving a </w:t>
      </w:r>
      <w:r>
        <w:t xml:space="preserve">closer alignment to the other EU entities'. The 2015 comparative amounts are presented in line with the new format. </w:t>
      </w:r>
    </w:p>
    <w:p w:rsidR="005D6812" w:rsidRDefault="00AB2A2B">
      <w:pPr>
        <w:pStyle w:val="Textstand-alone"/>
      </w:pPr>
      <w:r>
        <w:t>The annual accounts are adopted by the Commission by 31 July of the subsequent year and presented to the European Parliament and to the Cou</w:t>
      </w:r>
      <w:r>
        <w:t>ncil for discharge.</w:t>
      </w:r>
    </w:p>
    <w:p w:rsidR="005D6812" w:rsidRDefault="00AB2A2B">
      <w:pPr>
        <w:pStyle w:val="HEADER1Part1"/>
        <w:numPr>
          <w:ilvl w:val="0"/>
          <w:numId w:val="5"/>
        </w:numPr>
        <w:rPr>
          <w:noProof/>
        </w:rPr>
      </w:pPr>
      <w:r>
        <w:rPr>
          <w:noProof/>
        </w:rPr>
        <w:t>AUDIT AND DISCHARGE</w:t>
      </w:r>
    </w:p>
    <w:p w:rsidR="005D6812" w:rsidRDefault="00AB2A2B">
      <w:pPr>
        <w:pStyle w:val="HEADER2Part1"/>
        <w:numPr>
          <w:ilvl w:val="1"/>
          <w:numId w:val="5"/>
        </w:numPr>
        <w:rPr>
          <w:noProof/>
        </w:rPr>
      </w:pPr>
      <w:r>
        <w:rPr>
          <w:noProof/>
        </w:rPr>
        <w:t>AUDIT</w:t>
      </w:r>
    </w:p>
    <w:p w:rsidR="005D6812" w:rsidRDefault="00AB2A2B">
      <w:pPr>
        <w:pStyle w:val="Textstand-alone"/>
      </w:pPr>
      <w:r>
        <w:t>The EDF annual accounts and resource management are overseen by its external auditor, the European Court of Auditors (hereinafter referred to as the ECA), which draws up an annual report for the European Parlia</w:t>
      </w:r>
      <w:r>
        <w:t>ment and the Council.</w:t>
      </w:r>
    </w:p>
    <w:p w:rsidR="005D6812" w:rsidRDefault="00AB2A2B">
      <w:pPr>
        <w:pStyle w:val="HEADER2Part1"/>
        <w:numPr>
          <w:ilvl w:val="1"/>
          <w:numId w:val="5"/>
        </w:numPr>
        <w:rPr>
          <w:noProof/>
        </w:rPr>
      </w:pPr>
      <w:r>
        <w:rPr>
          <w:noProof/>
        </w:rPr>
        <w:t>DISCHARGE</w:t>
      </w:r>
    </w:p>
    <w:p w:rsidR="005D6812" w:rsidRDefault="00AB2A2B">
      <w:pPr>
        <w:pStyle w:val="Textstand-alone"/>
      </w:pPr>
      <w:r>
        <w:t>The final control is the discharge of the financial implementation of the EDF resources for a given financial year. The European Parliament is the discharge authority of the EDF. This means that following the audit and final</w:t>
      </w:r>
      <w:r>
        <w:t>isation of the annual accounts it falls to the Council to recommend and then to the European Parliament to decide whether to grant discharge to the Commission for the financial implementation of the EDF resources for a given financial year. This decision i</w:t>
      </w:r>
      <w:r>
        <w:t>s based on a review of the accounts and the annual report of the ECA (which includes an official statement of assurance) and replies of the Commission, and also following questions and further information requests to the Commission.</w:t>
      </w:r>
    </w:p>
    <w:p w:rsidR="005D6812" w:rsidRDefault="00AB2A2B">
      <w:pPr>
        <w:pStyle w:val="Textstand-alone"/>
        <w:sectPr w:rsidR="005D6812">
          <w:headerReference w:type="even" r:id="rId35"/>
          <w:headerReference w:type="default" r:id="rId36"/>
          <w:footerReference w:type="even" r:id="rId37"/>
          <w:footerReference w:type="default" r:id="rId38"/>
          <w:headerReference w:type="first" r:id="rId39"/>
          <w:footerReference w:type="first" r:id="rId40"/>
          <w:pgSz w:w="11906" w:h="16838"/>
          <w:pgMar w:top="1134" w:right="1134" w:bottom="1134" w:left="1134" w:header="709" w:footer="709" w:gutter="0"/>
          <w:cols w:space="708"/>
          <w:docGrid w:linePitch="360"/>
        </w:sectPr>
      </w:pPr>
      <w:r>
        <w:t xml:space="preserve"> </w:t>
      </w:r>
      <w:bookmarkEnd w:id="10"/>
    </w:p>
    <w:p w:rsidR="005D6812" w:rsidRDefault="00AB2A2B">
      <w:pPr>
        <w:pStyle w:val="FinancialYear"/>
        <w:rPr>
          <w:noProof/>
        </w:rPr>
      </w:pPr>
      <w:bookmarkStart w:id="11" w:name="_DMBM_9531"/>
      <w:r>
        <w:rPr>
          <w:noProof/>
        </w:rPr>
        <w:t>EUROPEAN DEVELOPMENT FUND</w:t>
      </w:r>
    </w:p>
    <w:p w:rsidR="005D6812" w:rsidRDefault="00AB2A2B">
      <w:pPr>
        <w:pStyle w:val="FinancialYear"/>
        <w:rPr>
          <w:noProof/>
        </w:rPr>
      </w:pPr>
      <w:r>
        <w:rPr>
          <w:noProof/>
        </w:rPr>
        <w:t>FINANCIAL YEAR 2016</w:t>
      </w: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AB2A2B">
      <w:pPr>
        <w:pStyle w:val="FIRSTCHAPTERPAGE"/>
        <w:rPr>
          <w:noProof/>
        </w:rPr>
      </w:pPr>
      <w:bookmarkStart w:id="12" w:name="_Toc382842754"/>
      <w:bookmarkStart w:id="13" w:name="_Toc382842766"/>
      <w:bookmarkStart w:id="14" w:name="_Toc392246587"/>
      <w:bookmarkStart w:id="15" w:name="_Toc392246598"/>
      <w:bookmarkStart w:id="16" w:name="_Toc484164212"/>
      <w:bookmarkStart w:id="17" w:name="_Toc484164227"/>
      <w:r>
        <w:rPr>
          <w:noProof/>
        </w:rPr>
        <w:t>FUNDS MANAGED BY THE EUROPEAN COMMISSION</w:t>
      </w:r>
      <w:bookmarkEnd w:id="12"/>
      <w:bookmarkEnd w:id="13"/>
      <w:bookmarkEnd w:id="14"/>
      <w:bookmarkEnd w:id="15"/>
      <w:bookmarkEnd w:id="16"/>
      <w:bookmarkEnd w:id="17"/>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AB2A2B">
      <w:pPr>
        <w:pStyle w:val="TOPHEADERNOTE"/>
        <w:rPr>
          <w:noProof/>
        </w:rPr>
      </w:pPr>
      <w:r>
        <w:rPr>
          <w:noProof/>
        </w:rPr>
        <w:t>It should be noted that due to the rounding of figures into millions of</w:t>
      </w:r>
      <w:r>
        <w:rPr>
          <w:noProof/>
        </w:rPr>
        <w:t xml:space="preserve"> euros, some financial data in the tables below may appear not to add-up.</w:t>
      </w:r>
    </w:p>
    <w:p w:rsidR="005D6812" w:rsidRDefault="00AB2A2B">
      <w:pPr>
        <w:pStyle w:val="TOPHEADERNOTE"/>
        <w:rPr>
          <w:noProof/>
        </w:rPr>
        <w:sectPr w:rsidR="005D6812">
          <w:headerReference w:type="even" r:id="rId41"/>
          <w:headerReference w:type="default" r:id="rId42"/>
          <w:footerReference w:type="even" r:id="rId43"/>
          <w:footerReference w:type="default" r:id="rId44"/>
          <w:headerReference w:type="first" r:id="rId45"/>
          <w:footerReference w:type="first" r:id="rId46"/>
          <w:pgSz w:w="11906" w:h="16838"/>
          <w:pgMar w:top="1134" w:right="1134" w:bottom="1134" w:left="1134" w:header="709" w:footer="709" w:gutter="0"/>
          <w:cols w:space="708"/>
          <w:docGrid w:linePitch="360"/>
        </w:sectPr>
      </w:pPr>
      <w:r>
        <w:rPr>
          <w:noProof/>
        </w:rPr>
        <w:t xml:space="preserve"> </w:t>
      </w:r>
      <w:bookmarkEnd w:id="11"/>
    </w:p>
    <w:p w:rsidR="005D6812" w:rsidRDefault="00AB2A2B">
      <w:pPr>
        <w:pStyle w:val="HEADERTABLE"/>
        <w:rPr>
          <w:noProof/>
        </w:rPr>
      </w:pPr>
      <w:bookmarkStart w:id="18" w:name="_DMBM_9494"/>
      <w:r>
        <w:rPr>
          <w:noProof/>
        </w:rPr>
        <w:t>CONTENTS</w:t>
      </w:r>
    </w:p>
    <w:p w:rsidR="005D6812" w:rsidRDefault="005D6812">
      <w:pPr>
        <w:pStyle w:val="HEADERTABLE"/>
        <w:rPr>
          <w:noProof/>
        </w:rPr>
      </w:pPr>
    </w:p>
    <w:p w:rsidR="005D6812" w:rsidRDefault="00AB2A2B">
      <w:pPr>
        <w:pStyle w:val="TOC1"/>
        <w:rPr>
          <w:rFonts w:eastAsiaTheme="minorEastAsia" w:cstheme="minorBidi"/>
          <w:color w:val="auto"/>
          <w:sz w:val="20"/>
          <w:szCs w:val="20"/>
        </w:rPr>
      </w:pPr>
      <w:r>
        <w:fldChar w:fldCharType="begin"/>
      </w:r>
      <w:r>
        <w:instrText xml:space="preserve"> TOC \h \z \t "FIRST CHAPTER_PAGE_1;2;FIRST_CHAPTER_PAGE;1;H</w:instrText>
      </w:r>
      <w:r>
        <w:instrText xml:space="preserve">EADER_TITLE;3;HEADER_TITLE_1;3" </w:instrText>
      </w:r>
      <w:r>
        <w:fldChar w:fldCharType="separate"/>
      </w:r>
      <w:hyperlink w:anchor="_Toc484164226" w:history="1">
        <w:r>
          <w:rPr>
            <w:rStyle w:val="Hyperlink"/>
            <w:sz w:val="20"/>
            <w:szCs w:val="20"/>
          </w:rPr>
          <w:t>IMPLEMENTING AND ACCOUNTING FOR THE EDF RESOURCES</w:t>
        </w:r>
        <w:r>
          <w:rPr>
            <w:webHidden/>
            <w:sz w:val="20"/>
            <w:szCs w:val="20"/>
          </w:rPr>
          <w:tab/>
        </w:r>
        <w:r>
          <w:rPr>
            <w:webHidden/>
            <w:sz w:val="20"/>
            <w:szCs w:val="20"/>
          </w:rPr>
          <w:fldChar w:fldCharType="begin"/>
        </w:r>
        <w:r>
          <w:rPr>
            <w:webHidden/>
            <w:sz w:val="20"/>
            <w:szCs w:val="20"/>
          </w:rPr>
          <w:instrText xml:space="preserve"> PAGEREF _Toc484164226 \h </w:instrText>
        </w:r>
        <w:r>
          <w:rPr>
            <w:webHidden/>
            <w:sz w:val="20"/>
            <w:szCs w:val="20"/>
          </w:rPr>
        </w:r>
        <w:r>
          <w:rPr>
            <w:webHidden/>
            <w:sz w:val="20"/>
            <w:szCs w:val="20"/>
          </w:rPr>
          <w:fldChar w:fldCharType="separate"/>
        </w:r>
        <w:r>
          <w:rPr>
            <w:webHidden/>
            <w:sz w:val="20"/>
            <w:szCs w:val="20"/>
          </w:rPr>
          <w:t>5</w:t>
        </w:r>
        <w:r>
          <w:rPr>
            <w:webHidden/>
            <w:sz w:val="20"/>
            <w:szCs w:val="20"/>
          </w:rPr>
          <w:fldChar w:fldCharType="end"/>
        </w:r>
      </w:hyperlink>
    </w:p>
    <w:p w:rsidR="005D6812" w:rsidRDefault="00AB2A2B">
      <w:pPr>
        <w:pStyle w:val="TOC1"/>
        <w:rPr>
          <w:rFonts w:eastAsiaTheme="minorEastAsia" w:cstheme="minorBidi"/>
          <w:color w:val="auto"/>
          <w:sz w:val="20"/>
          <w:szCs w:val="20"/>
        </w:rPr>
      </w:pPr>
      <w:hyperlink w:anchor="_Toc484164227" w:history="1">
        <w:r>
          <w:rPr>
            <w:rStyle w:val="Hyperlink"/>
            <w:sz w:val="20"/>
            <w:szCs w:val="20"/>
          </w:rPr>
          <w:t>FUNDS MANAGED BY THE EUROPEAN COMMISSION</w:t>
        </w:r>
        <w:r>
          <w:rPr>
            <w:webHidden/>
            <w:sz w:val="20"/>
            <w:szCs w:val="20"/>
          </w:rPr>
          <w:tab/>
        </w:r>
        <w:r>
          <w:rPr>
            <w:webHidden/>
            <w:sz w:val="20"/>
            <w:szCs w:val="20"/>
          </w:rPr>
          <w:fldChar w:fldCharType="begin"/>
        </w:r>
        <w:r>
          <w:rPr>
            <w:webHidden/>
            <w:sz w:val="20"/>
            <w:szCs w:val="20"/>
          </w:rPr>
          <w:instrText xml:space="preserve"> PAGEREF _Toc484164227 \h </w:instrText>
        </w:r>
        <w:r>
          <w:rPr>
            <w:webHidden/>
            <w:sz w:val="20"/>
            <w:szCs w:val="20"/>
          </w:rPr>
        </w:r>
        <w:r>
          <w:rPr>
            <w:webHidden/>
            <w:sz w:val="20"/>
            <w:szCs w:val="20"/>
          </w:rPr>
          <w:fldChar w:fldCharType="separate"/>
        </w:r>
        <w:r>
          <w:rPr>
            <w:webHidden/>
            <w:sz w:val="20"/>
            <w:szCs w:val="20"/>
          </w:rPr>
          <w:t>8</w:t>
        </w:r>
        <w:r>
          <w:rPr>
            <w:webHidden/>
            <w:sz w:val="20"/>
            <w:szCs w:val="20"/>
          </w:rPr>
          <w:fldChar w:fldCharType="end"/>
        </w:r>
      </w:hyperlink>
    </w:p>
    <w:p w:rsidR="005D6812" w:rsidRDefault="00AB2A2B">
      <w:pPr>
        <w:pStyle w:val="TOC2"/>
        <w:rPr>
          <w:rFonts w:eastAsiaTheme="minorEastAsia" w:cstheme="minorBidi"/>
          <w:color w:val="auto"/>
          <w:sz w:val="20"/>
          <w:szCs w:val="20"/>
        </w:rPr>
      </w:pPr>
      <w:hyperlink w:anchor="_Toc484164228" w:history="1">
        <w:r>
          <w:rPr>
            <w:rStyle w:val="Hyperlink"/>
            <w:sz w:val="20"/>
            <w:szCs w:val="20"/>
          </w:rPr>
          <w:t>FINANCIAL STATEMENTS OF THE EDF</w:t>
        </w:r>
        <w:r>
          <w:rPr>
            <w:webHidden/>
            <w:sz w:val="20"/>
            <w:szCs w:val="20"/>
          </w:rPr>
          <w:tab/>
        </w:r>
        <w:r>
          <w:rPr>
            <w:webHidden/>
            <w:sz w:val="20"/>
            <w:szCs w:val="20"/>
          </w:rPr>
          <w:fldChar w:fldCharType="begin"/>
        </w:r>
        <w:r>
          <w:rPr>
            <w:webHidden/>
            <w:sz w:val="20"/>
            <w:szCs w:val="20"/>
          </w:rPr>
          <w:instrText xml:space="preserve"> PAGEREF _Toc484164228 \h </w:instrText>
        </w:r>
        <w:r>
          <w:rPr>
            <w:webHidden/>
            <w:sz w:val="20"/>
            <w:szCs w:val="20"/>
          </w:rPr>
        </w:r>
        <w:r>
          <w:rPr>
            <w:webHidden/>
            <w:sz w:val="20"/>
            <w:szCs w:val="20"/>
          </w:rPr>
          <w:fldChar w:fldCharType="separate"/>
        </w:r>
        <w:r>
          <w:rPr>
            <w:webHidden/>
            <w:sz w:val="20"/>
            <w:szCs w:val="20"/>
          </w:rPr>
          <w:t>10</w:t>
        </w:r>
        <w:r>
          <w:rPr>
            <w:webHidden/>
            <w:sz w:val="20"/>
            <w:szCs w:val="20"/>
          </w:rPr>
          <w:fldChar w:fldCharType="end"/>
        </w:r>
      </w:hyperlink>
    </w:p>
    <w:p w:rsidR="005D6812" w:rsidRDefault="00AB2A2B">
      <w:pPr>
        <w:pStyle w:val="TOC3"/>
        <w:tabs>
          <w:tab w:val="right" w:leader="dot" w:pos="9628"/>
        </w:tabs>
        <w:rPr>
          <w:rFonts w:ascii="Verdana" w:eastAsiaTheme="minorEastAsia" w:hAnsi="Verdana" w:cstheme="minorBidi"/>
          <w:noProof/>
          <w:sz w:val="20"/>
          <w:szCs w:val="20"/>
        </w:rPr>
      </w:pPr>
      <w:hyperlink w:anchor="_Toc484164229" w:history="1">
        <w:r>
          <w:rPr>
            <w:rStyle w:val="Hyperlink"/>
            <w:rFonts w:ascii="Verdana" w:hAnsi="Verdana"/>
            <w:noProof/>
            <w:sz w:val="20"/>
            <w:szCs w:val="20"/>
          </w:rPr>
          <w:t>EDF BALANCE SHEET</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_Toc484164229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11</w:t>
        </w:r>
        <w:r>
          <w:rPr>
            <w:rFonts w:ascii="Verdana" w:hAnsi="Verdana"/>
            <w:noProof/>
            <w:webHidden/>
            <w:sz w:val="20"/>
            <w:szCs w:val="20"/>
          </w:rPr>
          <w:fldChar w:fldCharType="end"/>
        </w:r>
      </w:hyperlink>
    </w:p>
    <w:p w:rsidR="005D6812" w:rsidRDefault="00AB2A2B">
      <w:pPr>
        <w:pStyle w:val="TOC3"/>
        <w:tabs>
          <w:tab w:val="right" w:leader="dot" w:pos="9628"/>
        </w:tabs>
        <w:rPr>
          <w:rFonts w:ascii="Verdana" w:eastAsiaTheme="minorEastAsia" w:hAnsi="Verdana" w:cstheme="minorBidi"/>
          <w:noProof/>
          <w:sz w:val="20"/>
          <w:szCs w:val="20"/>
        </w:rPr>
      </w:pPr>
      <w:hyperlink w:anchor="_Toc484164230" w:history="1">
        <w:r>
          <w:rPr>
            <w:rStyle w:val="Hyperlink"/>
            <w:rFonts w:ascii="Verdana" w:hAnsi="Verdana"/>
            <w:noProof/>
            <w:sz w:val="20"/>
            <w:szCs w:val="20"/>
          </w:rPr>
          <w:t>EDF STATEMENT OF FINANCIAL PERFORMANCE</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_Toc484164230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12</w:t>
        </w:r>
        <w:r>
          <w:rPr>
            <w:rFonts w:ascii="Verdana" w:hAnsi="Verdana"/>
            <w:noProof/>
            <w:webHidden/>
            <w:sz w:val="20"/>
            <w:szCs w:val="20"/>
          </w:rPr>
          <w:fldChar w:fldCharType="end"/>
        </w:r>
      </w:hyperlink>
    </w:p>
    <w:p w:rsidR="005D6812" w:rsidRDefault="00AB2A2B">
      <w:pPr>
        <w:pStyle w:val="TOC3"/>
        <w:tabs>
          <w:tab w:val="right" w:leader="dot" w:pos="9628"/>
        </w:tabs>
        <w:rPr>
          <w:rFonts w:ascii="Verdana" w:eastAsiaTheme="minorEastAsia" w:hAnsi="Verdana" w:cstheme="minorBidi"/>
          <w:noProof/>
          <w:sz w:val="20"/>
          <w:szCs w:val="20"/>
        </w:rPr>
      </w:pPr>
      <w:hyperlink w:anchor="_Toc484164231" w:history="1">
        <w:r>
          <w:rPr>
            <w:rStyle w:val="Hyperlink"/>
            <w:rFonts w:ascii="Verdana" w:hAnsi="Verdana"/>
            <w:noProof/>
            <w:sz w:val="20"/>
            <w:szCs w:val="20"/>
          </w:rPr>
          <w:t>EDF CASHFLOW STATEMENT</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_Toc484164231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13</w:t>
        </w:r>
        <w:r>
          <w:rPr>
            <w:rFonts w:ascii="Verdana" w:hAnsi="Verdana"/>
            <w:noProof/>
            <w:webHidden/>
            <w:sz w:val="20"/>
            <w:szCs w:val="20"/>
          </w:rPr>
          <w:fldChar w:fldCharType="end"/>
        </w:r>
      </w:hyperlink>
    </w:p>
    <w:p w:rsidR="005D6812" w:rsidRDefault="00AB2A2B">
      <w:pPr>
        <w:pStyle w:val="TOC3"/>
        <w:tabs>
          <w:tab w:val="right" w:leader="dot" w:pos="9628"/>
        </w:tabs>
        <w:rPr>
          <w:rFonts w:ascii="Verdana" w:eastAsiaTheme="minorEastAsia" w:hAnsi="Verdana" w:cstheme="minorBidi"/>
          <w:noProof/>
          <w:sz w:val="20"/>
          <w:szCs w:val="20"/>
        </w:rPr>
      </w:pPr>
      <w:hyperlink w:anchor="_Toc484164232" w:history="1">
        <w:r>
          <w:rPr>
            <w:rStyle w:val="Hyperlink"/>
            <w:rFonts w:ascii="Verdana" w:hAnsi="Verdana"/>
            <w:noProof/>
            <w:sz w:val="20"/>
            <w:szCs w:val="20"/>
          </w:rPr>
          <w:t>EDF STATEMENT OF CHANGES IN NET ASSETS</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_Toc484164232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14</w:t>
        </w:r>
        <w:r>
          <w:rPr>
            <w:rFonts w:ascii="Verdana" w:hAnsi="Verdana"/>
            <w:noProof/>
            <w:webHidden/>
            <w:sz w:val="20"/>
            <w:szCs w:val="20"/>
          </w:rPr>
          <w:fldChar w:fldCharType="end"/>
        </w:r>
      </w:hyperlink>
    </w:p>
    <w:p w:rsidR="005D6812" w:rsidRDefault="00AB2A2B">
      <w:pPr>
        <w:pStyle w:val="TOC3"/>
        <w:tabs>
          <w:tab w:val="right" w:leader="dot" w:pos="9628"/>
        </w:tabs>
        <w:rPr>
          <w:rFonts w:ascii="Verdana" w:eastAsiaTheme="minorEastAsia" w:hAnsi="Verdana" w:cstheme="minorBidi"/>
          <w:noProof/>
          <w:sz w:val="20"/>
          <w:szCs w:val="20"/>
        </w:rPr>
      </w:pPr>
      <w:hyperlink w:anchor="_Toc484164233" w:history="1">
        <w:r>
          <w:rPr>
            <w:rStyle w:val="Hyperlink"/>
            <w:rFonts w:ascii="Verdana" w:hAnsi="Verdana"/>
            <w:noProof/>
            <w:sz w:val="20"/>
            <w:szCs w:val="20"/>
          </w:rPr>
          <w:t>BALANCE SHEET BY EDF</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_Toc484164233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15</w:t>
        </w:r>
        <w:r>
          <w:rPr>
            <w:rFonts w:ascii="Verdana" w:hAnsi="Verdana"/>
            <w:noProof/>
            <w:webHidden/>
            <w:sz w:val="20"/>
            <w:szCs w:val="20"/>
          </w:rPr>
          <w:fldChar w:fldCharType="end"/>
        </w:r>
      </w:hyperlink>
    </w:p>
    <w:p w:rsidR="005D6812" w:rsidRDefault="00AB2A2B">
      <w:pPr>
        <w:pStyle w:val="TOC3"/>
        <w:tabs>
          <w:tab w:val="right" w:leader="dot" w:pos="9628"/>
        </w:tabs>
        <w:rPr>
          <w:rFonts w:ascii="Verdana" w:eastAsiaTheme="minorEastAsia" w:hAnsi="Verdana" w:cstheme="minorBidi"/>
          <w:noProof/>
          <w:sz w:val="20"/>
          <w:szCs w:val="20"/>
        </w:rPr>
      </w:pPr>
      <w:hyperlink w:anchor="_Toc484164234" w:history="1">
        <w:r>
          <w:rPr>
            <w:rStyle w:val="Hyperlink"/>
            <w:rFonts w:ascii="Verdana" w:hAnsi="Verdana"/>
            <w:noProof/>
            <w:sz w:val="20"/>
            <w:szCs w:val="20"/>
          </w:rPr>
          <w:t>STATEMENT OF FINANCIAL PERFORMANCE BY EDF</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_Toc484164234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16</w:t>
        </w:r>
        <w:r>
          <w:rPr>
            <w:rFonts w:ascii="Verdana" w:hAnsi="Verdana"/>
            <w:noProof/>
            <w:webHidden/>
            <w:sz w:val="20"/>
            <w:szCs w:val="20"/>
          </w:rPr>
          <w:fldChar w:fldCharType="end"/>
        </w:r>
      </w:hyperlink>
    </w:p>
    <w:p w:rsidR="005D6812" w:rsidRDefault="00AB2A2B">
      <w:pPr>
        <w:pStyle w:val="TOC3"/>
        <w:tabs>
          <w:tab w:val="right" w:leader="dot" w:pos="9628"/>
        </w:tabs>
        <w:rPr>
          <w:rFonts w:ascii="Verdana" w:eastAsiaTheme="minorEastAsia" w:hAnsi="Verdana" w:cstheme="minorBidi"/>
          <w:noProof/>
          <w:sz w:val="20"/>
          <w:szCs w:val="20"/>
        </w:rPr>
      </w:pPr>
      <w:hyperlink w:anchor="_Toc484164235" w:history="1">
        <w:r>
          <w:rPr>
            <w:rStyle w:val="Hyperlink"/>
            <w:rFonts w:ascii="Verdana" w:hAnsi="Verdana"/>
            <w:noProof/>
            <w:sz w:val="20"/>
            <w:szCs w:val="20"/>
          </w:rPr>
          <w:t>STATEMENT OF CHANGES IN NET ASSETS BY EDF</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_Toc484164235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17</w:t>
        </w:r>
        <w:r>
          <w:rPr>
            <w:rFonts w:ascii="Verdana" w:hAnsi="Verdana"/>
            <w:noProof/>
            <w:webHidden/>
            <w:sz w:val="20"/>
            <w:szCs w:val="20"/>
          </w:rPr>
          <w:fldChar w:fldCharType="end"/>
        </w:r>
      </w:hyperlink>
    </w:p>
    <w:p w:rsidR="005D6812" w:rsidRDefault="00AB2A2B">
      <w:pPr>
        <w:pStyle w:val="TOC3"/>
        <w:tabs>
          <w:tab w:val="right" w:leader="dot" w:pos="9628"/>
        </w:tabs>
        <w:rPr>
          <w:rFonts w:ascii="Verdana" w:eastAsiaTheme="minorEastAsia" w:hAnsi="Verdana" w:cstheme="minorBidi"/>
          <w:noProof/>
          <w:sz w:val="20"/>
          <w:szCs w:val="20"/>
        </w:rPr>
      </w:pPr>
      <w:hyperlink w:anchor="_Toc484164236" w:history="1">
        <w:r>
          <w:rPr>
            <w:rStyle w:val="Hyperlink"/>
            <w:rFonts w:ascii="Verdana" w:hAnsi="Verdana"/>
            <w:noProof/>
            <w:sz w:val="20"/>
            <w:szCs w:val="20"/>
          </w:rPr>
          <w:t>NOTES TO THE FINANCIAL STATEMENTS OF THE EDF</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_Toc484164236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19</w:t>
        </w:r>
        <w:r>
          <w:rPr>
            <w:rFonts w:ascii="Verdana" w:hAnsi="Verdana"/>
            <w:noProof/>
            <w:webHidden/>
            <w:sz w:val="20"/>
            <w:szCs w:val="20"/>
          </w:rPr>
          <w:fldChar w:fldCharType="end"/>
        </w:r>
      </w:hyperlink>
    </w:p>
    <w:p w:rsidR="005D6812" w:rsidRDefault="00AB2A2B">
      <w:pPr>
        <w:pStyle w:val="TOC2"/>
        <w:rPr>
          <w:rFonts w:eastAsiaTheme="minorEastAsia" w:cstheme="minorBidi"/>
          <w:color w:val="auto"/>
          <w:sz w:val="20"/>
          <w:szCs w:val="20"/>
        </w:rPr>
      </w:pPr>
      <w:hyperlink w:anchor="_Toc484164239" w:history="1">
        <w:r>
          <w:rPr>
            <w:rStyle w:val="Hyperlink"/>
            <w:sz w:val="20"/>
            <w:szCs w:val="20"/>
          </w:rPr>
          <w:t>FINANCIAL STATEMENTS OF THE EU TRUST FUNDS CONSOLIDATED IN EDF</w:t>
        </w:r>
        <w:r>
          <w:rPr>
            <w:webHidden/>
            <w:sz w:val="20"/>
            <w:szCs w:val="20"/>
          </w:rPr>
          <w:tab/>
        </w:r>
        <w:r>
          <w:rPr>
            <w:webHidden/>
            <w:sz w:val="20"/>
            <w:szCs w:val="20"/>
          </w:rPr>
          <w:fldChar w:fldCharType="begin"/>
        </w:r>
        <w:r>
          <w:rPr>
            <w:webHidden/>
            <w:sz w:val="20"/>
            <w:szCs w:val="20"/>
          </w:rPr>
          <w:instrText xml:space="preserve"> PAGEREF _Toc484164239 \h </w:instrText>
        </w:r>
        <w:r>
          <w:rPr>
            <w:webHidden/>
            <w:sz w:val="20"/>
            <w:szCs w:val="20"/>
          </w:rPr>
        </w:r>
        <w:r>
          <w:rPr>
            <w:webHidden/>
            <w:sz w:val="20"/>
            <w:szCs w:val="20"/>
          </w:rPr>
          <w:fldChar w:fldCharType="separate"/>
        </w:r>
        <w:r>
          <w:rPr>
            <w:webHidden/>
            <w:sz w:val="20"/>
            <w:szCs w:val="20"/>
          </w:rPr>
          <w:t>47</w:t>
        </w:r>
        <w:r>
          <w:rPr>
            <w:webHidden/>
            <w:sz w:val="20"/>
            <w:szCs w:val="20"/>
          </w:rPr>
          <w:fldChar w:fldCharType="end"/>
        </w:r>
      </w:hyperlink>
    </w:p>
    <w:p w:rsidR="005D6812" w:rsidRDefault="00AB2A2B">
      <w:pPr>
        <w:pStyle w:val="TOC2"/>
        <w:rPr>
          <w:rFonts w:eastAsiaTheme="minorEastAsia" w:cstheme="minorBidi"/>
          <w:color w:val="auto"/>
          <w:sz w:val="20"/>
          <w:szCs w:val="20"/>
        </w:rPr>
      </w:pPr>
      <w:hyperlink w:anchor="_Toc484164240" w:history="1">
        <w:r>
          <w:rPr>
            <w:rStyle w:val="Hyperlink"/>
            <w:sz w:val="20"/>
            <w:szCs w:val="20"/>
          </w:rPr>
          <w:t>FINAL ANNUAL ACCOUNTS OF THE BÊKOU EU TRUST FUND</w:t>
        </w:r>
        <w:r>
          <w:rPr>
            <w:webHidden/>
            <w:sz w:val="20"/>
            <w:szCs w:val="20"/>
          </w:rPr>
          <w:tab/>
        </w:r>
        <w:r>
          <w:rPr>
            <w:webHidden/>
            <w:sz w:val="20"/>
            <w:szCs w:val="20"/>
          </w:rPr>
          <w:fldChar w:fldCharType="begin"/>
        </w:r>
        <w:r>
          <w:rPr>
            <w:webHidden/>
            <w:sz w:val="20"/>
            <w:szCs w:val="20"/>
          </w:rPr>
          <w:instrText xml:space="preserve"> PAGEREF _Toc484164240 \h </w:instrText>
        </w:r>
        <w:r>
          <w:rPr>
            <w:webHidden/>
            <w:sz w:val="20"/>
            <w:szCs w:val="20"/>
          </w:rPr>
        </w:r>
        <w:r>
          <w:rPr>
            <w:webHidden/>
            <w:sz w:val="20"/>
            <w:szCs w:val="20"/>
          </w:rPr>
          <w:fldChar w:fldCharType="separate"/>
        </w:r>
        <w:r>
          <w:rPr>
            <w:webHidden/>
            <w:sz w:val="20"/>
            <w:szCs w:val="20"/>
          </w:rPr>
          <w:t>48</w:t>
        </w:r>
        <w:r>
          <w:rPr>
            <w:webHidden/>
            <w:sz w:val="20"/>
            <w:szCs w:val="20"/>
          </w:rPr>
          <w:fldChar w:fldCharType="end"/>
        </w:r>
      </w:hyperlink>
    </w:p>
    <w:p w:rsidR="005D6812" w:rsidRDefault="00AB2A2B">
      <w:pPr>
        <w:pStyle w:val="TOC3"/>
        <w:tabs>
          <w:tab w:val="right" w:leader="dot" w:pos="9628"/>
        </w:tabs>
        <w:rPr>
          <w:rFonts w:ascii="Verdana" w:eastAsiaTheme="minorEastAsia" w:hAnsi="Verdana" w:cstheme="minorBidi"/>
          <w:noProof/>
          <w:sz w:val="20"/>
          <w:szCs w:val="20"/>
        </w:rPr>
      </w:pPr>
      <w:hyperlink w:anchor="_Toc484164241" w:history="1">
        <w:r>
          <w:rPr>
            <w:rStyle w:val="Hyperlink"/>
            <w:rFonts w:ascii="Verdana" w:hAnsi="Verdana"/>
            <w:noProof/>
            <w:sz w:val="20"/>
            <w:szCs w:val="20"/>
          </w:rPr>
          <w:t>BACKGROUND INFORMATION ON THE BÊKOU EU TRUST FUND</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_Toc484164241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49</w:t>
        </w:r>
        <w:r>
          <w:rPr>
            <w:rFonts w:ascii="Verdana" w:hAnsi="Verdana"/>
            <w:noProof/>
            <w:webHidden/>
            <w:sz w:val="20"/>
            <w:szCs w:val="20"/>
          </w:rPr>
          <w:fldChar w:fldCharType="end"/>
        </w:r>
      </w:hyperlink>
    </w:p>
    <w:p w:rsidR="005D6812" w:rsidRDefault="00AB2A2B">
      <w:pPr>
        <w:pStyle w:val="TOC3"/>
        <w:tabs>
          <w:tab w:val="right" w:leader="dot" w:pos="9628"/>
        </w:tabs>
        <w:rPr>
          <w:rFonts w:ascii="Verdana" w:eastAsiaTheme="minorEastAsia" w:hAnsi="Verdana" w:cstheme="minorBidi"/>
          <w:noProof/>
          <w:sz w:val="20"/>
          <w:szCs w:val="20"/>
        </w:rPr>
      </w:pPr>
      <w:hyperlink w:anchor="_Toc484164242" w:history="1">
        <w:r>
          <w:rPr>
            <w:rStyle w:val="Hyperlink"/>
            <w:rFonts w:ascii="Verdana" w:hAnsi="Verdana"/>
            <w:noProof/>
            <w:sz w:val="20"/>
            <w:szCs w:val="20"/>
          </w:rPr>
          <w:t>BALANCE SHEET</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_Toc484164242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51</w:t>
        </w:r>
        <w:r>
          <w:rPr>
            <w:rFonts w:ascii="Verdana" w:hAnsi="Verdana"/>
            <w:noProof/>
            <w:webHidden/>
            <w:sz w:val="20"/>
            <w:szCs w:val="20"/>
          </w:rPr>
          <w:fldChar w:fldCharType="end"/>
        </w:r>
      </w:hyperlink>
    </w:p>
    <w:p w:rsidR="005D6812" w:rsidRDefault="00AB2A2B">
      <w:pPr>
        <w:pStyle w:val="TOC3"/>
        <w:tabs>
          <w:tab w:val="right" w:leader="dot" w:pos="9628"/>
        </w:tabs>
        <w:rPr>
          <w:rFonts w:ascii="Verdana" w:eastAsiaTheme="minorEastAsia" w:hAnsi="Verdana" w:cstheme="minorBidi"/>
          <w:noProof/>
          <w:sz w:val="20"/>
          <w:szCs w:val="20"/>
        </w:rPr>
      </w:pPr>
      <w:hyperlink w:anchor="_Toc484164243" w:history="1">
        <w:r>
          <w:rPr>
            <w:rStyle w:val="Hyperlink"/>
            <w:rFonts w:ascii="Verdana" w:hAnsi="Verdana"/>
            <w:noProof/>
            <w:sz w:val="20"/>
            <w:szCs w:val="20"/>
          </w:rPr>
          <w:t>STATEMENT OF FINANCIAL PERFORMANCE</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_Toc484164243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52</w:t>
        </w:r>
        <w:r>
          <w:rPr>
            <w:rFonts w:ascii="Verdana" w:hAnsi="Verdana"/>
            <w:noProof/>
            <w:webHidden/>
            <w:sz w:val="20"/>
            <w:szCs w:val="20"/>
          </w:rPr>
          <w:fldChar w:fldCharType="end"/>
        </w:r>
      </w:hyperlink>
    </w:p>
    <w:p w:rsidR="005D6812" w:rsidRDefault="00AB2A2B">
      <w:pPr>
        <w:pStyle w:val="TOC3"/>
        <w:tabs>
          <w:tab w:val="right" w:leader="dot" w:pos="9628"/>
        </w:tabs>
        <w:rPr>
          <w:rFonts w:ascii="Verdana" w:eastAsiaTheme="minorEastAsia" w:hAnsi="Verdana" w:cstheme="minorBidi"/>
          <w:noProof/>
          <w:sz w:val="20"/>
          <w:szCs w:val="20"/>
        </w:rPr>
      </w:pPr>
      <w:hyperlink w:anchor="_Toc484164244" w:history="1">
        <w:r>
          <w:rPr>
            <w:rStyle w:val="Hyperlink"/>
            <w:rFonts w:ascii="Verdana" w:hAnsi="Verdana"/>
            <w:noProof/>
            <w:sz w:val="20"/>
            <w:szCs w:val="20"/>
            <w:lang w:val="fr-BE"/>
          </w:rPr>
          <w:t>CASHFLOW STATEMENT</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_Toc484164244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53</w:t>
        </w:r>
        <w:r>
          <w:rPr>
            <w:rFonts w:ascii="Verdana" w:hAnsi="Verdana"/>
            <w:noProof/>
            <w:webHidden/>
            <w:sz w:val="20"/>
            <w:szCs w:val="20"/>
          </w:rPr>
          <w:fldChar w:fldCharType="end"/>
        </w:r>
      </w:hyperlink>
    </w:p>
    <w:p w:rsidR="005D6812" w:rsidRDefault="00AB2A2B">
      <w:pPr>
        <w:pStyle w:val="TOC3"/>
        <w:tabs>
          <w:tab w:val="right" w:leader="dot" w:pos="9628"/>
        </w:tabs>
        <w:rPr>
          <w:rFonts w:ascii="Verdana" w:eastAsiaTheme="minorEastAsia" w:hAnsi="Verdana" w:cstheme="minorBidi"/>
          <w:noProof/>
          <w:sz w:val="20"/>
          <w:szCs w:val="20"/>
        </w:rPr>
      </w:pPr>
      <w:hyperlink w:anchor="_Toc484164245" w:history="1">
        <w:r>
          <w:rPr>
            <w:rStyle w:val="Hyperlink"/>
            <w:rFonts w:ascii="Verdana" w:hAnsi="Verdana"/>
            <w:noProof/>
            <w:sz w:val="20"/>
            <w:szCs w:val="20"/>
          </w:rPr>
          <w:t>STATEMENT OF CHANGES IN NET ASSETS</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_Toc484164245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54</w:t>
        </w:r>
        <w:r>
          <w:rPr>
            <w:rFonts w:ascii="Verdana" w:hAnsi="Verdana"/>
            <w:noProof/>
            <w:webHidden/>
            <w:sz w:val="20"/>
            <w:szCs w:val="20"/>
          </w:rPr>
          <w:fldChar w:fldCharType="end"/>
        </w:r>
      </w:hyperlink>
    </w:p>
    <w:p w:rsidR="005D6812" w:rsidRDefault="00AB2A2B">
      <w:pPr>
        <w:pStyle w:val="TOC2"/>
        <w:rPr>
          <w:rFonts w:eastAsiaTheme="minorEastAsia" w:cstheme="minorBidi"/>
          <w:color w:val="auto"/>
          <w:sz w:val="20"/>
          <w:szCs w:val="20"/>
        </w:rPr>
      </w:pPr>
      <w:hyperlink w:anchor="_Toc484164246" w:history="1">
        <w:r>
          <w:rPr>
            <w:rStyle w:val="Hyperlink"/>
            <w:sz w:val="20"/>
            <w:szCs w:val="20"/>
          </w:rPr>
          <w:t>FINAL ANNUAL ACCOUNTS OF THE EUTF FOR AFRICA</w:t>
        </w:r>
        <w:r>
          <w:rPr>
            <w:webHidden/>
            <w:sz w:val="20"/>
            <w:szCs w:val="20"/>
          </w:rPr>
          <w:tab/>
        </w:r>
        <w:r>
          <w:rPr>
            <w:webHidden/>
            <w:sz w:val="20"/>
            <w:szCs w:val="20"/>
          </w:rPr>
          <w:fldChar w:fldCharType="begin"/>
        </w:r>
        <w:r>
          <w:rPr>
            <w:webHidden/>
            <w:sz w:val="20"/>
            <w:szCs w:val="20"/>
          </w:rPr>
          <w:instrText xml:space="preserve"> PAGEREF _Toc484164246 \h</w:instrText>
        </w:r>
        <w:r>
          <w:rPr>
            <w:webHidden/>
            <w:sz w:val="20"/>
            <w:szCs w:val="20"/>
          </w:rPr>
          <w:instrText xml:space="preserve"> </w:instrText>
        </w:r>
        <w:r>
          <w:rPr>
            <w:webHidden/>
            <w:sz w:val="20"/>
            <w:szCs w:val="20"/>
          </w:rPr>
        </w:r>
        <w:r>
          <w:rPr>
            <w:webHidden/>
            <w:sz w:val="20"/>
            <w:szCs w:val="20"/>
          </w:rPr>
          <w:fldChar w:fldCharType="separate"/>
        </w:r>
        <w:r>
          <w:rPr>
            <w:webHidden/>
            <w:sz w:val="20"/>
            <w:szCs w:val="20"/>
          </w:rPr>
          <w:t>55</w:t>
        </w:r>
        <w:r>
          <w:rPr>
            <w:webHidden/>
            <w:sz w:val="20"/>
            <w:szCs w:val="20"/>
          </w:rPr>
          <w:fldChar w:fldCharType="end"/>
        </w:r>
      </w:hyperlink>
    </w:p>
    <w:p w:rsidR="005D6812" w:rsidRDefault="00AB2A2B">
      <w:pPr>
        <w:pStyle w:val="TOC3"/>
        <w:tabs>
          <w:tab w:val="right" w:leader="dot" w:pos="9628"/>
        </w:tabs>
        <w:rPr>
          <w:rFonts w:ascii="Verdana" w:eastAsiaTheme="minorEastAsia" w:hAnsi="Verdana" w:cstheme="minorBidi"/>
          <w:noProof/>
          <w:sz w:val="20"/>
          <w:szCs w:val="20"/>
        </w:rPr>
      </w:pPr>
      <w:hyperlink w:anchor="_Toc484164247" w:history="1">
        <w:r>
          <w:rPr>
            <w:rStyle w:val="Hyperlink"/>
            <w:rFonts w:ascii="Verdana" w:hAnsi="Verdana"/>
            <w:noProof/>
            <w:sz w:val="20"/>
            <w:szCs w:val="20"/>
          </w:rPr>
          <w:t>BACKGROUND INFORMATION ON THE EUTF FOR AFRICA</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_Toc484164247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56</w:t>
        </w:r>
        <w:r>
          <w:rPr>
            <w:rFonts w:ascii="Verdana" w:hAnsi="Verdana"/>
            <w:noProof/>
            <w:webHidden/>
            <w:sz w:val="20"/>
            <w:szCs w:val="20"/>
          </w:rPr>
          <w:fldChar w:fldCharType="end"/>
        </w:r>
      </w:hyperlink>
    </w:p>
    <w:p w:rsidR="005D6812" w:rsidRDefault="00AB2A2B">
      <w:pPr>
        <w:pStyle w:val="TOC3"/>
        <w:tabs>
          <w:tab w:val="right" w:leader="dot" w:pos="9628"/>
        </w:tabs>
        <w:rPr>
          <w:rFonts w:ascii="Verdana" w:eastAsiaTheme="minorEastAsia" w:hAnsi="Verdana" w:cstheme="minorBidi"/>
          <w:noProof/>
          <w:sz w:val="20"/>
          <w:szCs w:val="20"/>
        </w:rPr>
      </w:pPr>
      <w:hyperlink w:anchor="_Toc484164248" w:history="1">
        <w:r>
          <w:rPr>
            <w:rStyle w:val="Hyperlink"/>
            <w:rFonts w:ascii="Verdana" w:hAnsi="Verdana"/>
            <w:noProof/>
            <w:sz w:val="20"/>
            <w:szCs w:val="20"/>
          </w:rPr>
          <w:t>BALANCE SHEET</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_Toc484164248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58</w:t>
        </w:r>
        <w:r>
          <w:rPr>
            <w:rFonts w:ascii="Verdana" w:hAnsi="Verdana"/>
            <w:noProof/>
            <w:webHidden/>
            <w:sz w:val="20"/>
            <w:szCs w:val="20"/>
          </w:rPr>
          <w:fldChar w:fldCharType="end"/>
        </w:r>
      </w:hyperlink>
    </w:p>
    <w:p w:rsidR="005D6812" w:rsidRDefault="00AB2A2B">
      <w:pPr>
        <w:pStyle w:val="TOC3"/>
        <w:tabs>
          <w:tab w:val="right" w:leader="dot" w:pos="9628"/>
        </w:tabs>
        <w:rPr>
          <w:rFonts w:ascii="Verdana" w:eastAsiaTheme="minorEastAsia" w:hAnsi="Verdana" w:cstheme="minorBidi"/>
          <w:noProof/>
          <w:sz w:val="20"/>
          <w:szCs w:val="20"/>
        </w:rPr>
      </w:pPr>
      <w:hyperlink w:anchor="_Toc484164249" w:history="1">
        <w:r>
          <w:rPr>
            <w:rStyle w:val="Hyperlink"/>
            <w:rFonts w:ascii="Verdana" w:hAnsi="Verdana"/>
            <w:noProof/>
            <w:sz w:val="20"/>
            <w:szCs w:val="20"/>
          </w:rPr>
          <w:t>STATEMENT OF F</w:t>
        </w:r>
        <w:r>
          <w:rPr>
            <w:rStyle w:val="Hyperlink"/>
            <w:rFonts w:ascii="Verdana" w:hAnsi="Verdana"/>
            <w:noProof/>
            <w:sz w:val="20"/>
            <w:szCs w:val="20"/>
          </w:rPr>
          <w:t>INANCIAL PERFORMANCE</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_Toc484164249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59</w:t>
        </w:r>
        <w:r>
          <w:rPr>
            <w:rFonts w:ascii="Verdana" w:hAnsi="Verdana"/>
            <w:noProof/>
            <w:webHidden/>
            <w:sz w:val="20"/>
            <w:szCs w:val="20"/>
          </w:rPr>
          <w:fldChar w:fldCharType="end"/>
        </w:r>
      </w:hyperlink>
    </w:p>
    <w:p w:rsidR="005D6812" w:rsidRDefault="00AB2A2B">
      <w:pPr>
        <w:pStyle w:val="TOC3"/>
        <w:tabs>
          <w:tab w:val="right" w:leader="dot" w:pos="9628"/>
        </w:tabs>
        <w:rPr>
          <w:rFonts w:ascii="Verdana" w:eastAsiaTheme="minorEastAsia" w:hAnsi="Verdana" w:cstheme="minorBidi"/>
          <w:noProof/>
          <w:sz w:val="20"/>
          <w:szCs w:val="20"/>
        </w:rPr>
      </w:pPr>
      <w:hyperlink w:anchor="_Toc484164250" w:history="1">
        <w:r>
          <w:rPr>
            <w:rStyle w:val="Hyperlink"/>
            <w:rFonts w:ascii="Verdana" w:hAnsi="Verdana"/>
            <w:noProof/>
            <w:sz w:val="20"/>
            <w:szCs w:val="20"/>
            <w:lang w:val="fr-BE"/>
          </w:rPr>
          <w:t>CASHFLOW STATEMENT</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_Toc484164250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60</w:t>
        </w:r>
        <w:r>
          <w:rPr>
            <w:rFonts w:ascii="Verdana" w:hAnsi="Verdana"/>
            <w:noProof/>
            <w:webHidden/>
            <w:sz w:val="20"/>
            <w:szCs w:val="20"/>
          </w:rPr>
          <w:fldChar w:fldCharType="end"/>
        </w:r>
      </w:hyperlink>
    </w:p>
    <w:p w:rsidR="005D6812" w:rsidRDefault="00AB2A2B">
      <w:pPr>
        <w:pStyle w:val="TOC3"/>
        <w:tabs>
          <w:tab w:val="right" w:leader="dot" w:pos="9628"/>
        </w:tabs>
        <w:rPr>
          <w:rFonts w:ascii="Verdana" w:eastAsiaTheme="minorEastAsia" w:hAnsi="Verdana" w:cstheme="minorBidi"/>
          <w:noProof/>
          <w:sz w:val="20"/>
          <w:szCs w:val="20"/>
        </w:rPr>
      </w:pPr>
      <w:hyperlink w:anchor="_Toc484164251" w:history="1">
        <w:r>
          <w:rPr>
            <w:rStyle w:val="Hyperlink"/>
            <w:rFonts w:ascii="Verdana" w:hAnsi="Verdana"/>
            <w:noProof/>
            <w:sz w:val="20"/>
            <w:szCs w:val="20"/>
          </w:rPr>
          <w:t>STATEMENT OF CHANGES IN NET ASSETS</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_Toc484164251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61</w:t>
        </w:r>
        <w:r>
          <w:rPr>
            <w:rFonts w:ascii="Verdana" w:hAnsi="Verdana"/>
            <w:noProof/>
            <w:webHidden/>
            <w:sz w:val="20"/>
            <w:szCs w:val="20"/>
          </w:rPr>
          <w:fldChar w:fldCharType="end"/>
        </w:r>
      </w:hyperlink>
    </w:p>
    <w:p w:rsidR="005D6812" w:rsidRDefault="00AB2A2B">
      <w:pPr>
        <w:pStyle w:val="TOC2"/>
        <w:rPr>
          <w:rFonts w:eastAsiaTheme="minorEastAsia" w:cstheme="minorBidi"/>
          <w:color w:val="auto"/>
          <w:sz w:val="20"/>
          <w:szCs w:val="20"/>
        </w:rPr>
      </w:pPr>
      <w:hyperlink w:anchor="_Toc484164252" w:history="1">
        <w:r>
          <w:rPr>
            <w:rStyle w:val="Hyperlink"/>
            <w:sz w:val="20"/>
            <w:szCs w:val="20"/>
          </w:rPr>
          <w:t>CONSOLIDATED FINANCIAL STATEMENTS OF THE EDF AND THE EU TRUST FUNDS</w:t>
        </w:r>
        <w:r>
          <w:rPr>
            <w:webHidden/>
            <w:sz w:val="20"/>
            <w:szCs w:val="20"/>
          </w:rPr>
          <w:tab/>
        </w:r>
        <w:r>
          <w:rPr>
            <w:webHidden/>
            <w:sz w:val="20"/>
            <w:szCs w:val="20"/>
          </w:rPr>
          <w:fldChar w:fldCharType="begin"/>
        </w:r>
        <w:r>
          <w:rPr>
            <w:webHidden/>
            <w:sz w:val="20"/>
            <w:szCs w:val="20"/>
          </w:rPr>
          <w:instrText xml:space="preserve"> PAGEREF _Toc484164252 \h </w:instrText>
        </w:r>
        <w:r>
          <w:rPr>
            <w:webHidden/>
            <w:sz w:val="20"/>
            <w:szCs w:val="20"/>
          </w:rPr>
        </w:r>
        <w:r>
          <w:rPr>
            <w:webHidden/>
            <w:sz w:val="20"/>
            <w:szCs w:val="20"/>
          </w:rPr>
          <w:fldChar w:fldCharType="separate"/>
        </w:r>
        <w:r>
          <w:rPr>
            <w:webHidden/>
            <w:sz w:val="20"/>
            <w:szCs w:val="20"/>
          </w:rPr>
          <w:t>62</w:t>
        </w:r>
        <w:r>
          <w:rPr>
            <w:webHidden/>
            <w:sz w:val="20"/>
            <w:szCs w:val="20"/>
          </w:rPr>
          <w:fldChar w:fldCharType="end"/>
        </w:r>
      </w:hyperlink>
    </w:p>
    <w:p w:rsidR="005D6812" w:rsidRDefault="00AB2A2B">
      <w:pPr>
        <w:pStyle w:val="TOC3"/>
        <w:tabs>
          <w:tab w:val="right" w:leader="dot" w:pos="9628"/>
        </w:tabs>
        <w:rPr>
          <w:rFonts w:ascii="Verdana" w:eastAsiaTheme="minorEastAsia" w:hAnsi="Verdana" w:cstheme="minorBidi"/>
          <w:noProof/>
          <w:sz w:val="20"/>
          <w:szCs w:val="20"/>
        </w:rPr>
      </w:pPr>
      <w:hyperlink w:anchor="_Toc484164253" w:history="1">
        <w:r>
          <w:rPr>
            <w:rStyle w:val="Hyperlink"/>
            <w:rFonts w:ascii="Verdana" w:hAnsi="Verdana"/>
            <w:noProof/>
            <w:sz w:val="20"/>
            <w:szCs w:val="20"/>
            <w:lang w:val="fr-BE"/>
          </w:rPr>
          <w:t>CONSOLIDATED BALANCE SHEET</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_Toc484164253 \h</w:instrText>
        </w:r>
        <w:r>
          <w:rPr>
            <w:rFonts w:ascii="Verdana" w:hAnsi="Verdana"/>
            <w:noProof/>
            <w:webHidden/>
            <w:sz w:val="20"/>
            <w:szCs w:val="20"/>
          </w:rPr>
          <w:instrText xml:space="preserve">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63</w:t>
        </w:r>
        <w:r>
          <w:rPr>
            <w:rFonts w:ascii="Verdana" w:hAnsi="Verdana"/>
            <w:noProof/>
            <w:webHidden/>
            <w:sz w:val="20"/>
            <w:szCs w:val="20"/>
          </w:rPr>
          <w:fldChar w:fldCharType="end"/>
        </w:r>
      </w:hyperlink>
    </w:p>
    <w:p w:rsidR="005D6812" w:rsidRDefault="00AB2A2B">
      <w:pPr>
        <w:pStyle w:val="TOC3"/>
        <w:tabs>
          <w:tab w:val="right" w:leader="dot" w:pos="9628"/>
        </w:tabs>
        <w:rPr>
          <w:rFonts w:ascii="Verdana" w:eastAsiaTheme="minorEastAsia" w:hAnsi="Verdana" w:cstheme="minorBidi"/>
          <w:noProof/>
          <w:sz w:val="20"/>
          <w:szCs w:val="20"/>
        </w:rPr>
      </w:pPr>
      <w:hyperlink w:anchor="_Toc484164254" w:history="1">
        <w:r>
          <w:rPr>
            <w:rStyle w:val="Hyperlink"/>
            <w:rFonts w:ascii="Verdana" w:hAnsi="Verdana"/>
            <w:noProof/>
            <w:sz w:val="20"/>
            <w:szCs w:val="20"/>
            <w:lang w:val="fr-BE"/>
          </w:rPr>
          <w:t>CONSOLIDATED STATEMENT OF FINANCIAL PERFORMANCE</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_Toc484164254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64</w:t>
        </w:r>
        <w:r>
          <w:rPr>
            <w:rFonts w:ascii="Verdana" w:hAnsi="Verdana"/>
            <w:noProof/>
            <w:webHidden/>
            <w:sz w:val="20"/>
            <w:szCs w:val="20"/>
          </w:rPr>
          <w:fldChar w:fldCharType="end"/>
        </w:r>
      </w:hyperlink>
    </w:p>
    <w:p w:rsidR="005D6812" w:rsidRDefault="00AB2A2B">
      <w:pPr>
        <w:pStyle w:val="TOC3"/>
        <w:tabs>
          <w:tab w:val="right" w:leader="dot" w:pos="9628"/>
        </w:tabs>
        <w:rPr>
          <w:rFonts w:ascii="Verdana" w:eastAsiaTheme="minorEastAsia" w:hAnsi="Verdana" w:cstheme="minorBidi"/>
          <w:noProof/>
          <w:sz w:val="20"/>
          <w:szCs w:val="20"/>
        </w:rPr>
      </w:pPr>
      <w:hyperlink w:anchor="_Toc484164255" w:history="1">
        <w:r>
          <w:rPr>
            <w:rStyle w:val="Hyperlink"/>
            <w:rFonts w:ascii="Verdana" w:hAnsi="Verdana"/>
            <w:noProof/>
            <w:sz w:val="20"/>
            <w:szCs w:val="20"/>
            <w:lang w:val="fr-BE"/>
          </w:rPr>
          <w:t>CONSOLIDATED CASH FLOW STATEMENT</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_Toc484164255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65</w:t>
        </w:r>
        <w:r>
          <w:rPr>
            <w:rFonts w:ascii="Verdana" w:hAnsi="Verdana"/>
            <w:noProof/>
            <w:webHidden/>
            <w:sz w:val="20"/>
            <w:szCs w:val="20"/>
          </w:rPr>
          <w:fldChar w:fldCharType="end"/>
        </w:r>
      </w:hyperlink>
    </w:p>
    <w:p w:rsidR="005D6812" w:rsidRDefault="00AB2A2B">
      <w:pPr>
        <w:pStyle w:val="TOC3"/>
        <w:tabs>
          <w:tab w:val="right" w:leader="dot" w:pos="9628"/>
        </w:tabs>
        <w:rPr>
          <w:rFonts w:ascii="Verdana" w:eastAsiaTheme="minorEastAsia" w:hAnsi="Verdana" w:cstheme="minorBidi"/>
          <w:noProof/>
          <w:sz w:val="20"/>
          <w:szCs w:val="20"/>
        </w:rPr>
      </w:pPr>
      <w:hyperlink w:anchor="_Toc484164256" w:history="1">
        <w:r>
          <w:rPr>
            <w:rStyle w:val="Hyperlink"/>
            <w:rFonts w:ascii="Verdana" w:hAnsi="Verdana"/>
            <w:noProof/>
            <w:sz w:val="20"/>
            <w:szCs w:val="20"/>
          </w:rPr>
          <w:t>CONSOLIDATED STATEMENT OF CHANGES IN NET ASSETS</w:t>
        </w:r>
        <w:r>
          <w:rPr>
            <w:rFonts w:ascii="Verdana" w:hAnsi="Verdana"/>
            <w:noProof/>
            <w:webHidden/>
            <w:sz w:val="20"/>
            <w:szCs w:val="20"/>
          </w:rPr>
          <w:tab/>
        </w:r>
        <w:r>
          <w:rPr>
            <w:rFonts w:ascii="Verdana" w:hAnsi="Verdana"/>
            <w:noProof/>
            <w:webHidden/>
            <w:sz w:val="20"/>
            <w:szCs w:val="20"/>
          </w:rPr>
          <w:fldChar w:fldCharType="begin"/>
        </w:r>
        <w:r>
          <w:rPr>
            <w:rFonts w:ascii="Verdana" w:hAnsi="Verdana"/>
            <w:noProof/>
            <w:webHidden/>
            <w:sz w:val="20"/>
            <w:szCs w:val="20"/>
          </w:rPr>
          <w:instrText xml:space="preserve"> PAGEREF _Toc484164256 \h </w:instrText>
        </w:r>
        <w:r>
          <w:rPr>
            <w:rFonts w:ascii="Verdana" w:hAnsi="Verdana"/>
            <w:noProof/>
            <w:webHidden/>
            <w:sz w:val="20"/>
            <w:szCs w:val="20"/>
          </w:rPr>
        </w:r>
        <w:r>
          <w:rPr>
            <w:rFonts w:ascii="Verdana" w:hAnsi="Verdana"/>
            <w:noProof/>
            <w:webHidden/>
            <w:sz w:val="20"/>
            <w:szCs w:val="20"/>
          </w:rPr>
          <w:fldChar w:fldCharType="separate"/>
        </w:r>
        <w:r>
          <w:rPr>
            <w:rFonts w:ascii="Verdana" w:hAnsi="Verdana"/>
            <w:noProof/>
            <w:webHidden/>
            <w:sz w:val="20"/>
            <w:szCs w:val="20"/>
          </w:rPr>
          <w:t>66</w:t>
        </w:r>
        <w:r>
          <w:rPr>
            <w:rFonts w:ascii="Verdana" w:hAnsi="Verdana"/>
            <w:noProof/>
            <w:webHidden/>
            <w:sz w:val="20"/>
            <w:szCs w:val="20"/>
          </w:rPr>
          <w:fldChar w:fldCharType="end"/>
        </w:r>
      </w:hyperlink>
    </w:p>
    <w:p w:rsidR="005D6812" w:rsidRDefault="00AB2A2B">
      <w:pPr>
        <w:pStyle w:val="TOC2"/>
        <w:rPr>
          <w:rFonts w:eastAsiaTheme="minorEastAsia" w:cstheme="minorBidi"/>
          <w:color w:val="auto"/>
          <w:sz w:val="20"/>
          <w:szCs w:val="20"/>
        </w:rPr>
      </w:pPr>
      <w:hyperlink w:anchor="_Toc484164257" w:history="1">
        <w:r>
          <w:rPr>
            <w:rStyle w:val="Hyperlink"/>
            <w:sz w:val="20"/>
            <w:szCs w:val="20"/>
            <w:lang w:val="fr-BE"/>
          </w:rPr>
          <w:t>EDF REPORT ON FINANCIAL IMPLEMENTATION</w:t>
        </w:r>
        <w:r>
          <w:rPr>
            <w:webHidden/>
            <w:sz w:val="20"/>
            <w:szCs w:val="20"/>
          </w:rPr>
          <w:tab/>
        </w:r>
        <w:r>
          <w:rPr>
            <w:webHidden/>
            <w:sz w:val="20"/>
            <w:szCs w:val="20"/>
          </w:rPr>
          <w:fldChar w:fldCharType="begin"/>
        </w:r>
        <w:r>
          <w:rPr>
            <w:webHidden/>
            <w:sz w:val="20"/>
            <w:szCs w:val="20"/>
          </w:rPr>
          <w:instrText xml:space="preserve"> PAGEREF _Toc484164257 \h </w:instrText>
        </w:r>
        <w:r>
          <w:rPr>
            <w:webHidden/>
            <w:sz w:val="20"/>
            <w:szCs w:val="20"/>
          </w:rPr>
        </w:r>
        <w:r>
          <w:rPr>
            <w:webHidden/>
            <w:sz w:val="20"/>
            <w:szCs w:val="20"/>
          </w:rPr>
          <w:fldChar w:fldCharType="separate"/>
        </w:r>
        <w:r>
          <w:rPr>
            <w:webHidden/>
            <w:sz w:val="20"/>
            <w:szCs w:val="20"/>
          </w:rPr>
          <w:t>67</w:t>
        </w:r>
        <w:r>
          <w:rPr>
            <w:webHidden/>
            <w:sz w:val="20"/>
            <w:szCs w:val="20"/>
          </w:rPr>
          <w:fldChar w:fldCharType="end"/>
        </w:r>
      </w:hyperlink>
    </w:p>
    <w:p w:rsidR="005D6812" w:rsidRDefault="00AB2A2B">
      <w:pPr>
        <w:pStyle w:val="TOC1"/>
        <w:rPr>
          <w:rFonts w:asciiTheme="minorHAnsi" w:eastAsiaTheme="minorEastAsia" w:hAnsiTheme="minorHAnsi" w:cstheme="minorBidi"/>
          <w:color w:val="auto"/>
          <w:sz w:val="20"/>
          <w:szCs w:val="20"/>
        </w:rPr>
      </w:pPr>
      <w:hyperlink w:anchor="_Toc484164258" w:history="1">
        <w:r>
          <w:rPr>
            <w:rStyle w:val="Hyperlink"/>
            <w:sz w:val="20"/>
            <w:szCs w:val="20"/>
          </w:rPr>
          <w:t>ANNUAL REPORT ON IMPLEMENTATION - FUNDS MANAGED BY THE EUROPEAN INVESTMENT BANK</w:t>
        </w:r>
        <w:r>
          <w:rPr>
            <w:webHidden/>
            <w:sz w:val="20"/>
            <w:szCs w:val="20"/>
          </w:rPr>
          <w:tab/>
        </w:r>
        <w:r>
          <w:rPr>
            <w:webHidden/>
            <w:sz w:val="20"/>
            <w:szCs w:val="20"/>
          </w:rPr>
          <w:fldChar w:fldCharType="begin"/>
        </w:r>
        <w:r>
          <w:rPr>
            <w:webHidden/>
            <w:sz w:val="20"/>
            <w:szCs w:val="20"/>
          </w:rPr>
          <w:instrText xml:space="preserve"> PAGEREF _Toc484164258 \h </w:instrText>
        </w:r>
        <w:r>
          <w:rPr>
            <w:webHidden/>
            <w:sz w:val="20"/>
            <w:szCs w:val="20"/>
          </w:rPr>
        </w:r>
        <w:r>
          <w:rPr>
            <w:webHidden/>
            <w:sz w:val="20"/>
            <w:szCs w:val="20"/>
          </w:rPr>
          <w:fldChar w:fldCharType="separate"/>
        </w:r>
        <w:r>
          <w:rPr>
            <w:webHidden/>
            <w:sz w:val="20"/>
            <w:szCs w:val="20"/>
          </w:rPr>
          <w:t>81</w:t>
        </w:r>
        <w:r>
          <w:rPr>
            <w:webHidden/>
            <w:sz w:val="20"/>
            <w:szCs w:val="20"/>
          </w:rPr>
          <w:fldChar w:fldCharType="end"/>
        </w:r>
      </w:hyperlink>
    </w:p>
    <w:p w:rsidR="005D6812" w:rsidRDefault="00AB2A2B">
      <w:pPr>
        <w:pStyle w:val="HEADERTABLE"/>
        <w:rPr>
          <w:noProof/>
        </w:rPr>
        <w:sectPr w:rsidR="005D6812">
          <w:headerReference w:type="even" r:id="rId47"/>
          <w:headerReference w:type="default" r:id="rId48"/>
          <w:footerReference w:type="even" r:id="rId49"/>
          <w:footerReference w:type="default" r:id="rId50"/>
          <w:headerReference w:type="first" r:id="rId51"/>
          <w:footerReference w:type="first" r:id="rId52"/>
          <w:pgSz w:w="11906" w:h="16838"/>
          <w:pgMar w:top="1134" w:right="1134" w:bottom="1134" w:left="1134" w:header="709" w:footer="709" w:gutter="0"/>
          <w:cols w:space="708"/>
          <w:docGrid w:linePitch="360"/>
        </w:sectPr>
      </w:pPr>
      <w:r>
        <w:rPr>
          <w:noProof/>
        </w:rPr>
        <w:fldChar w:fldCharType="end"/>
      </w:r>
      <w:r>
        <w:rPr>
          <w:noProof/>
        </w:rPr>
        <w:t xml:space="preserve"> </w:t>
      </w:r>
      <w:bookmarkEnd w:id="18"/>
    </w:p>
    <w:p w:rsidR="005D6812" w:rsidRDefault="005D6812">
      <w:pPr>
        <w:pStyle w:val="FinancialYear"/>
        <w:rPr>
          <w:noProof/>
        </w:rPr>
      </w:pPr>
      <w:bookmarkStart w:id="19" w:name="_DMBM_9446"/>
    </w:p>
    <w:p w:rsidR="005D6812" w:rsidRDefault="005D6812">
      <w:pPr>
        <w:pStyle w:val="FinancialYear"/>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AB2A2B">
      <w:pPr>
        <w:pStyle w:val="FIRSTCHAPTERPAGE1"/>
      </w:pPr>
      <w:bookmarkStart w:id="20" w:name="_Toc484164213"/>
      <w:bookmarkStart w:id="21" w:name="_Toc484164228"/>
      <w:r>
        <w:t>FINANCIAL STATEMENTS OF THE EDF</w:t>
      </w:r>
      <w:bookmarkEnd w:id="20"/>
      <w:bookmarkEnd w:id="21"/>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TOPHEADERNOTE"/>
        <w:rPr>
          <w:noProof/>
        </w:rPr>
      </w:pPr>
    </w:p>
    <w:p w:rsidR="005D6812" w:rsidRDefault="005D6812">
      <w:pPr>
        <w:pStyle w:val="TOPHEADERNOTE"/>
        <w:rPr>
          <w:noProof/>
        </w:rPr>
      </w:pPr>
    </w:p>
    <w:p w:rsidR="005D6812" w:rsidRDefault="005D6812">
      <w:pPr>
        <w:pStyle w:val="TOPHEADERNOTE"/>
        <w:rPr>
          <w:noProof/>
        </w:rPr>
      </w:pPr>
    </w:p>
    <w:p w:rsidR="005D6812" w:rsidRDefault="005D6812">
      <w:pPr>
        <w:pStyle w:val="TOPHEADERNOTE"/>
        <w:rPr>
          <w:noProof/>
        </w:rPr>
      </w:pPr>
    </w:p>
    <w:p w:rsidR="005D6812" w:rsidRDefault="00AB2A2B">
      <w:pPr>
        <w:pStyle w:val="TOPHEADERNOTE"/>
        <w:rPr>
          <w:noProof/>
        </w:rPr>
      </w:pPr>
      <w:r>
        <w:rPr>
          <w:noProof/>
        </w:rPr>
        <w:t xml:space="preserve">It should be noted that due to the rounding of figures into millions of </w:t>
      </w:r>
      <w:r>
        <w:rPr>
          <w:noProof/>
        </w:rPr>
        <w:t>euros, some financial data in the tables may appear not to add-up.</w:t>
      </w:r>
    </w:p>
    <w:p w:rsidR="005D6812" w:rsidRDefault="00AB2A2B">
      <w:pPr>
        <w:pStyle w:val="TOPHEADERNOTE"/>
        <w:rPr>
          <w:noProof/>
        </w:rPr>
        <w:sectPr w:rsidR="005D6812">
          <w:headerReference w:type="even" r:id="rId53"/>
          <w:headerReference w:type="default" r:id="rId54"/>
          <w:footerReference w:type="even" r:id="rId55"/>
          <w:footerReference w:type="default" r:id="rId56"/>
          <w:headerReference w:type="first" r:id="rId57"/>
          <w:footerReference w:type="first" r:id="rId58"/>
          <w:pgSz w:w="11906" w:h="16838"/>
          <w:pgMar w:top="1134" w:right="1134" w:bottom="1134" w:left="1134" w:header="709" w:footer="709" w:gutter="0"/>
          <w:cols w:space="708"/>
          <w:docGrid w:linePitch="360"/>
        </w:sectPr>
      </w:pPr>
      <w:r>
        <w:rPr>
          <w:noProof/>
        </w:rPr>
        <w:t xml:space="preserve"> </w:t>
      </w:r>
      <w:bookmarkEnd w:id="19"/>
    </w:p>
    <w:p w:rsidR="005D6812" w:rsidRDefault="00AB2A2B">
      <w:pPr>
        <w:pStyle w:val="HEADERTITLE1"/>
      </w:pPr>
      <w:bookmarkStart w:id="22" w:name="_Toc484164229"/>
      <w:bookmarkStart w:id="23" w:name="_DMBM_9479"/>
      <w:r>
        <w:t>EDF BALANCE SHEET</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9"/>
        <w:gridCol w:w="861"/>
        <w:gridCol w:w="1862"/>
        <w:gridCol w:w="1862"/>
      </w:tblGrid>
      <w:tr w:rsidR="005D6812">
        <w:trPr>
          <w:cantSplit/>
          <w:trHeight w:val="268"/>
        </w:trPr>
        <w:tc>
          <w:tcPr>
            <w:tcW w:w="2673" w:type="pct"/>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24" w:name="DOC_TBL00001_1_1"/>
            <w:bookmarkEnd w:id="24"/>
          </w:p>
        </w:tc>
        <w:tc>
          <w:tcPr>
            <w:tcW w:w="437" w:type="pct"/>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bookmarkStart w:id="25" w:name="DOC_TBL00001_1_2"/>
            <w:bookmarkEnd w:id="25"/>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bookmarkStart w:id="26" w:name="DOC_TBL00001_1_3"/>
            <w:bookmarkEnd w:id="26"/>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bidi="en-GB"/>
              </w:rPr>
            </w:pPr>
            <w:bookmarkStart w:id="27" w:name="DOC_TBL00001_1_4"/>
            <w:r>
              <w:rPr>
                <w:rFonts w:eastAsia="Verdana" w:cs="Verdana"/>
                <w:lang w:bidi="en-GB"/>
              </w:rPr>
              <w:t xml:space="preserve"> EUR millions</w:t>
            </w:r>
            <w:bookmarkEnd w:id="27"/>
          </w:p>
        </w:tc>
      </w:tr>
      <w:tr w:rsidR="005D6812">
        <w:trPr>
          <w:cantSplit/>
          <w:trHeight w:val="268"/>
        </w:trPr>
        <w:tc>
          <w:tcPr>
            <w:tcW w:w="2673" w:type="pct"/>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Verdana" w:cs="Verdana"/>
                <w:lang w:bidi="en-GB"/>
              </w:rPr>
            </w:pPr>
            <w:bookmarkStart w:id="28" w:name="DOC_TBL00001_2_1"/>
            <w:bookmarkEnd w:id="28"/>
          </w:p>
        </w:tc>
        <w:tc>
          <w:tcPr>
            <w:tcW w:w="437" w:type="pct"/>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bookmarkStart w:id="29" w:name="DOC_TBL00001_2_2"/>
            <w:r>
              <w:rPr>
                <w:rFonts w:eastAsia="Verdana" w:cs="Verdana"/>
                <w:lang w:bidi="en-GB"/>
              </w:rPr>
              <w:t>Note</w:t>
            </w:r>
            <w:bookmarkEnd w:id="29"/>
          </w:p>
        </w:tc>
        <w:tc>
          <w:tcPr>
            <w:tcW w:w="945" w:type="pct"/>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bookmarkStart w:id="30" w:name="DOC_TBL00001_2_3"/>
            <w:r>
              <w:rPr>
                <w:rFonts w:eastAsia="Verdana" w:cs="Verdana"/>
                <w:lang w:bidi="en-GB"/>
              </w:rPr>
              <w:t>31.12.2016</w:t>
            </w:r>
            <w:bookmarkEnd w:id="30"/>
          </w:p>
        </w:tc>
        <w:tc>
          <w:tcPr>
            <w:tcW w:w="945" w:type="pct"/>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bookmarkStart w:id="31" w:name="DOC_TBL00001_2_4"/>
            <w:r>
              <w:rPr>
                <w:rFonts w:eastAsia="Verdana" w:cs="Verdana"/>
                <w:lang w:bidi="en-GB"/>
              </w:rPr>
              <w:t>31.12.2015</w:t>
            </w:r>
            <w:bookmarkEnd w:id="31"/>
          </w:p>
        </w:tc>
      </w:tr>
      <w:tr w:rsidR="005D6812">
        <w:trPr>
          <w:cantSplit/>
          <w:trHeight w:val="268"/>
        </w:trPr>
        <w:tc>
          <w:tcPr>
            <w:tcW w:w="2673" w:type="pct"/>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bookmarkStart w:id="32" w:name="DOC_TBL00001_3_1"/>
            <w:r>
              <w:rPr>
                <w:rFonts w:eastAsia="Verdana" w:cs="Verdana"/>
                <w:lang w:bidi="en-GB"/>
              </w:rPr>
              <w:t>NON-CURRENT</w:t>
            </w:r>
            <w:r>
              <w:rPr>
                <w:rFonts w:eastAsia="Verdana" w:cs="Verdana"/>
                <w:lang w:bidi="en-GB"/>
              </w:rPr>
              <w:t xml:space="preserve"> ASSETS</w:t>
            </w:r>
            <w:bookmarkEnd w:id="32"/>
          </w:p>
        </w:tc>
        <w:tc>
          <w:tcPr>
            <w:tcW w:w="437" w:type="pct"/>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lang w:bidi="en-GB"/>
              </w:rPr>
            </w:pPr>
            <w:bookmarkStart w:id="33" w:name="DOC_TBL00001_3_2"/>
            <w:bookmarkEnd w:id="33"/>
          </w:p>
        </w:tc>
        <w:tc>
          <w:tcPr>
            <w:tcW w:w="945" w:type="pct"/>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bookmarkStart w:id="34" w:name="DOC_TBL00001_3_3"/>
            <w:bookmarkEnd w:id="34"/>
          </w:p>
        </w:tc>
        <w:tc>
          <w:tcPr>
            <w:tcW w:w="945" w:type="pct"/>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bookmarkStart w:id="35" w:name="DOC_TBL00001_3_4"/>
            <w:bookmarkEnd w:id="35"/>
          </w:p>
        </w:tc>
      </w:tr>
      <w:tr w:rsidR="005D6812">
        <w:trPr>
          <w:cantSplit/>
          <w:trHeight w:val="268"/>
        </w:trPr>
        <w:tc>
          <w:tcPr>
            <w:tcW w:w="2673"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bookmarkStart w:id="36" w:name="DOC_TBL00001_4_1"/>
            <w:r>
              <w:rPr>
                <w:rFonts w:eastAsia="Verdana" w:cs="Verdana"/>
                <w:lang w:bidi="en-GB"/>
              </w:rPr>
              <w:t>Pre-financing</w:t>
            </w:r>
            <w:bookmarkEnd w:id="36"/>
          </w:p>
        </w:tc>
        <w:tc>
          <w:tcPr>
            <w:tcW w:w="437"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Centered"/>
              <w:rPr>
                <w:rFonts w:eastAsia="Verdana" w:cs="Verdana"/>
                <w:lang w:bidi="en-GB"/>
              </w:rPr>
            </w:pPr>
            <w:bookmarkStart w:id="37" w:name="DOC_TBL00001_4_2"/>
            <w:r>
              <w:rPr>
                <w:rFonts w:eastAsia="Verdana" w:cs="Verdana"/>
                <w:lang w:bidi="en-GB"/>
              </w:rPr>
              <w:t>2.1</w:t>
            </w:r>
            <w:bookmarkEnd w:id="37"/>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38" w:name="DOC_TBL00001_4_3"/>
            <w:r>
              <w:rPr>
                <w:rFonts w:eastAsia="Verdana" w:cs="Verdana"/>
                <w:lang w:bidi="en-GB"/>
              </w:rPr>
              <w:t xml:space="preserve"> 409</w:t>
            </w:r>
            <w:bookmarkEnd w:id="38"/>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39" w:name="DOC_TBL00001_4_4"/>
            <w:r>
              <w:rPr>
                <w:rFonts w:eastAsia="Verdana" w:cs="Verdana"/>
                <w:lang w:bidi="en-GB"/>
              </w:rPr>
              <w:t xml:space="preserve"> 516</w:t>
            </w:r>
            <w:bookmarkEnd w:id="39"/>
          </w:p>
        </w:tc>
      </w:tr>
      <w:tr w:rsidR="005D6812">
        <w:trPr>
          <w:cantSplit/>
          <w:trHeight w:val="268"/>
        </w:trPr>
        <w:tc>
          <w:tcPr>
            <w:tcW w:w="2673" w:type="pct"/>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bookmarkStart w:id="40" w:name="DOC_TBL00001_5_1"/>
            <w:r>
              <w:rPr>
                <w:rFonts w:eastAsia="Verdana" w:cs="Verdana"/>
                <w:lang w:bidi="en-GB"/>
              </w:rPr>
              <w:t>Trust Fund contributions</w:t>
            </w:r>
            <w:bookmarkEnd w:id="40"/>
          </w:p>
        </w:tc>
        <w:tc>
          <w:tcPr>
            <w:tcW w:w="437" w:type="pct"/>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Text9pItalicCentered"/>
              <w:rPr>
                <w:rFonts w:eastAsia="Verdana" w:cs="Verdana"/>
                <w:lang w:bidi="en-GB"/>
              </w:rPr>
            </w:pPr>
            <w:bookmarkStart w:id="41" w:name="DOC_TBL00001_5_2"/>
            <w:r>
              <w:rPr>
                <w:rFonts w:eastAsia="Verdana" w:cs="Verdana"/>
                <w:lang w:bidi="en-GB"/>
              </w:rPr>
              <w:t>2.2</w:t>
            </w:r>
            <w:bookmarkEnd w:id="41"/>
          </w:p>
        </w:tc>
        <w:tc>
          <w:tcPr>
            <w:tcW w:w="945" w:type="pct"/>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42" w:name="DOC_TBL00001_5_3"/>
            <w:r>
              <w:rPr>
                <w:rFonts w:eastAsia="Verdana" w:cs="Verdana"/>
                <w:lang w:bidi="en-GB"/>
              </w:rPr>
              <w:t xml:space="preserve"> 98</w:t>
            </w:r>
            <w:bookmarkEnd w:id="42"/>
          </w:p>
        </w:tc>
        <w:tc>
          <w:tcPr>
            <w:tcW w:w="945" w:type="pct"/>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43" w:name="DOC_TBL00001_5_4"/>
            <w:r>
              <w:rPr>
                <w:rFonts w:eastAsia="Verdana" w:cs="Verdana"/>
                <w:lang w:bidi="en-GB"/>
              </w:rPr>
              <w:t xml:space="preserve"> 34</w:t>
            </w:r>
            <w:bookmarkEnd w:id="43"/>
          </w:p>
        </w:tc>
      </w:tr>
      <w:tr w:rsidR="005D6812">
        <w:trPr>
          <w:cantSplit/>
          <w:trHeight w:val="268"/>
        </w:trPr>
        <w:tc>
          <w:tcPr>
            <w:tcW w:w="2673" w:type="pct"/>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Text9pBoldLeft"/>
              <w:rPr>
                <w:rFonts w:eastAsia="Verdana" w:cs="Verdana"/>
                <w:lang w:bidi="en-GB"/>
              </w:rPr>
            </w:pPr>
            <w:bookmarkStart w:id="44" w:name="DOC_TBL00001_6_1"/>
            <w:bookmarkEnd w:id="44"/>
          </w:p>
        </w:tc>
        <w:tc>
          <w:tcPr>
            <w:tcW w:w="437" w:type="pct"/>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i w:val="0"/>
                <w:lang w:bidi="en-GB"/>
              </w:rPr>
            </w:pPr>
            <w:bookmarkStart w:id="45" w:name="DOC_TBL00001_6_2"/>
            <w:bookmarkEnd w:id="45"/>
          </w:p>
        </w:tc>
        <w:tc>
          <w:tcPr>
            <w:tcW w:w="945" w:type="pct"/>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bookmarkStart w:id="46" w:name="DOC_TBL00001_6_3"/>
            <w:r>
              <w:rPr>
                <w:rFonts w:eastAsia="Verdana" w:cs="Verdana"/>
                <w:lang w:bidi="en-GB"/>
              </w:rPr>
              <w:t xml:space="preserve"> 507</w:t>
            </w:r>
            <w:bookmarkEnd w:id="46"/>
          </w:p>
        </w:tc>
        <w:tc>
          <w:tcPr>
            <w:tcW w:w="945" w:type="pct"/>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bookmarkStart w:id="47" w:name="DOC_TBL00001_6_4"/>
            <w:r>
              <w:rPr>
                <w:rFonts w:eastAsia="Verdana" w:cs="Verdana"/>
                <w:lang w:bidi="en-GB"/>
              </w:rPr>
              <w:t xml:space="preserve"> 550</w:t>
            </w:r>
            <w:bookmarkEnd w:id="47"/>
          </w:p>
        </w:tc>
      </w:tr>
      <w:tr w:rsidR="005D6812">
        <w:trPr>
          <w:cantSplit/>
          <w:trHeight w:val="268"/>
        </w:trPr>
        <w:tc>
          <w:tcPr>
            <w:tcW w:w="2673" w:type="pct"/>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bookmarkStart w:id="48" w:name="DOC_TBL00001_7_1"/>
            <w:r>
              <w:rPr>
                <w:rFonts w:eastAsia="Verdana" w:cs="Verdana"/>
                <w:lang w:bidi="en-GB"/>
              </w:rPr>
              <w:t>CURRENT ASSETS</w:t>
            </w:r>
            <w:bookmarkEnd w:id="48"/>
          </w:p>
        </w:tc>
        <w:tc>
          <w:tcPr>
            <w:tcW w:w="437" w:type="pct"/>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lang w:bidi="en-GB"/>
              </w:rPr>
            </w:pPr>
            <w:bookmarkStart w:id="49" w:name="DOC_TBL00001_7_2"/>
            <w:bookmarkEnd w:id="49"/>
          </w:p>
        </w:tc>
        <w:tc>
          <w:tcPr>
            <w:tcW w:w="945" w:type="pct"/>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bookmarkStart w:id="50" w:name="DOC_TBL00001_7_3"/>
            <w:bookmarkEnd w:id="50"/>
          </w:p>
        </w:tc>
        <w:tc>
          <w:tcPr>
            <w:tcW w:w="945" w:type="pct"/>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bookmarkStart w:id="51" w:name="DOC_TBL00001_7_4"/>
            <w:bookmarkEnd w:id="51"/>
          </w:p>
        </w:tc>
      </w:tr>
      <w:tr w:rsidR="005D6812">
        <w:trPr>
          <w:cantSplit/>
          <w:trHeight w:val="268"/>
        </w:trPr>
        <w:tc>
          <w:tcPr>
            <w:tcW w:w="2673"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bookmarkStart w:id="52" w:name="DOC_TBL00001_8_1"/>
            <w:r>
              <w:rPr>
                <w:rFonts w:eastAsia="Verdana" w:cs="Verdana"/>
                <w:lang w:bidi="en-GB"/>
              </w:rPr>
              <w:t>Pre-financing</w:t>
            </w:r>
            <w:bookmarkEnd w:id="52"/>
          </w:p>
        </w:tc>
        <w:tc>
          <w:tcPr>
            <w:tcW w:w="437"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Centered"/>
              <w:rPr>
                <w:rFonts w:eastAsia="Verdana" w:cs="Verdana"/>
                <w:lang w:bidi="en-GB"/>
              </w:rPr>
            </w:pPr>
            <w:bookmarkStart w:id="53" w:name="DOC_TBL00001_8_2"/>
            <w:r>
              <w:rPr>
                <w:rFonts w:eastAsia="Verdana" w:cs="Verdana"/>
                <w:lang w:bidi="en-GB"/>
              </w:rPr>
              <w:t>2.1</w:t>
            </w:r>
            <w:bookmarkEnd w:id="53"/>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54" w:name="DOC_TBL00001_8_3"/>
            <w:r>
              <w:rPr>
                <w:rFonts w:eastAsia="Verdana" w:cs="Verdana"/>
                <w:lang w:bidi="en-GB"/>
              </w:rPr>
              <w:t>1 372</w:t>
            </w:r>
            <w:bookmarkEnd w:id="54"/>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55" w:name="DOC_TBL00001_8_4"/>
            <w:r>
              <w:rPr>
                <w:rFonts w:eastAsia="Verdana" w:cs="Verdana"/>
                <w:lang w:bidi="en-GB"/>
              </w:rPr>
              <w:t>1 145</w:t>
            </w:r>
            <w:bookmarkEnd w:id="55"/>
          </w:p>
        </w:tc>
      </w:tr>
      <w:tr w:rsidR="005D6812">
        <w:trPr>
          <w:cantSplit/>
          <w:trHeight w:val="268"/>
        </w:trPr>
        <w:tc>
          <w:tcPr>
            <w:tcW w:w="2673"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bookmarkStart w:id="56" w:name="DOC_TBL00001_9_1"/>
            <w:r>
              <w:rPr>
                <w:rFonts w:eastAsia="Verdana" w:cs="Verdana"/>
                <w:lang w:bidi="en-GB"/>
              </w:rPr>
              <w:t>Exchange receivables and non-exchange recoverables</w:t>
            </w:r>
            <w:bookmarkEnd w:id="56"/>
          </w:p>
        </w:tc>
        <w:tc>
          <w:tcPr>
            <w:tcW w:w="437"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Centered"/>
              <w:rPr>
                <w:rFonts w:eastAsia="Verdana" w:cs="Verdana"/>
                <w:lang w:bidi="en-GB"/>
              </w:rPr>
            </w:pPr>
            <w:bookmarkStart w:id="57" w:name="DOC_TBL00001_9_2"/>
            <w:r>
              <w:rPr>
                <w:rFonts w:eastAsia="Verdana" w:cs="Verdana"/>
                <w:lang w:bidi="en-GB"/>
              </w:rPr>
              <w:t>2.3</w:t>
            </w:r>
            <w:bookmarkEnd w:id="57"/>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58" w:name="DOC_TBL00001_9_3"/>
            <w:r>
              <w:rPr>
                <w:rFonts w:eastAsia="Verdana" w:cs="Verdana"/>
                <w:lang w:bidi="en-GB"/>
              </w:rPr>
              <w:t xml:space="preserve"> 132</w:t>
            </w:r>
            <w:bookmarkEnd w:id="58"/>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59" w:name="DOC_TBL00001_9_4"/>
            <w:r>
              <w:rPr>
                <w:rFonts w:eastAsia="Verdana" w:cs="Verdana"/>
                <w:lang w:bidi="en-GB"/>
              </w:rPr>
              <w:t xml:space="preserve"> 171</w:t>
            </w:r>
            <w:bookmarkEnd w:id="59"/>
          </w:p>
        </w:tc>
      </w:tr>
      <w:tr w:rsidR="005D6812">
        <w:trPr>
          <w:cantSplit/>
          <w:trHeight w:val="268"/>
        </w:trPr>
        <w:tc>
          <w:tcPr>
            <w:tcW w:w="2673" w:type="pct"/>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bookmarkStart w:id="60" w:name="DOC_TBL00001_10_1"/>
            <w:r>
              <w:rPr>
                <w:rFonts w:eastAsia="Verdana" w:cs="Verdana"/>
                <w:lang w:bidi="en-GB"/>
              </w:rPr>
              <w:t xml:space="preserve">Cash and cash equivalents </w:t>
            </w:r>
            <w:bookmarkEnd w:id="60"/>
          </w:p>
        </w:tc>
        <w:tc>
          <w:tcPr>
            <w:tcW w:w="437" w:type="pct"/>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Centered"/>
              <w:rPr>
                <w:rFonts w:eastAsia="Verdana" w:cs="Verdana"/>
                <w:lang w:bidi="en-GB"/>
              </w:rPr>
            </w:pPr>
            <w:bookmarkStart w:id="61" w:name="DOC_TBL00001_10_2"/>
            <w:r>
              <w:rPr>
                <w:rFonts w:eastAsia="Verdana" w:cs="Verdana"/>
                <w:lang w:bidi="en-GB"/>
              </w:rPr>
              <w:t>2.4</w:t>
            </w:r>
            <w:bookmarkEnd w:id="61"/>
          </w:p>
        </w:tc>
        <w:tc>
          <w:tcPr>
            <w:tcW w:w="945" w:type="pct"/>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62" w:name="DOC_TBL00001_10_3"/>
            <w:r>
              <w:rPr>
                <w:rFonts w:eastAsia="Verdana" w:cs="Verdana"/>
                <w:lang w:bidi="en-GB"/>
              </w:rPr>
              <w:t xml:space="preserve"> 680</w:t>
            </w:r>
            <w:bookmarkEnd w:id="62"/>
          </w:p>
        </w:tc>
        <w:tc>
          <w:tcPr>
            <w:tcW w:w="945" w:type="pct"/>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63" w:name="DOC_TBL00001_10_4"/>
            <w:r>
              <w:rPr>
                <w:rFonts w:eastAsia="Verdana" w:cs="Verdana"/>
                <w:lang w:bidi="en-GB"/>
              </w:rPr>
              <w:t xml:space="preserve"> 504</w:t>
            </w:r>
            <w:bookmarkEnd w:id="63"/>
          </w:p>
        </w:tc>
      </w:tr>
      <w:tr w:rsidR="005D6812">
        <w:trPr>
          <w:cantSplit/>
          <w:trHeight w:val="268"/>
        </w:trPr>
        <w:tc>
          <w:tcPr>
            <w:tcW w:w="2673" w:type="pct"/>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bidi="en-GB"/>
              </w:rPr>
            </w:pPr>
            <w:bookmarkStart w:id="64" w:name="DOC_TBL00001_11_1"/>
            <w:bookmarkEnd w:id="64"/>
          </w:p>
        </w:tc>
        <w:tc>
          <w:tcPr>
            <w:tcW w:w="437" w:type="pct"/>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bookmarkStart w:id="65" w:name="DOC_TBL00001_11_2"/>
            <w:bookmarkEnd w:id="65"/>
          </w:p>
        </w:tc>
        <w:tc>
          <w:tcPr>
            <w:tcW w:w="945" w:type="pct"/>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bookmarkStart w:id="66" w:name="DOC_TBL00001_11_3"/>
            <w:r>
              <w:rPr>
                <w:rFonts w:eastAsia="Verdana" w:cs="Verdana"/>
                <w:lang w:bidi="en-GB"/>
              </w:rPr>
              <w:t xml:space="preserve">2 </w:t>
            </w:r>
            <w:r>
              <w:rPr>
                <w:rFonts w:eastAsia="Verdana" w:cs="Verdana"/>
                <w:lang w:bidi="en-GB"/>
              </w:rPr>
              <w:t>184</w:t>
            </w:r>
            <w:bookmarkEnd w:id="66"/>
          </w:p>
        </w:tc>
        <w:tc>
          <w:tcPr>
            <w:tcW w:w="945" w:type="pct"/>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bookmarkStart w:id="67" w:name="DOC_TBL00001_11_4"/>
            <w:r>
              <w:rPr>
                <w:rFonts w:eastAsia="Verdana" w:cs="Verdana"/>
                <w:lang w:bidi="en-GB"/>
              </w:rPr>
              <w:t>1 820</w:t>
            </w:r>
            <w:bookmarkEnd w:id="67"/>
          </w:p>
        </w:tc>
      </w:tr>
      <w:tr w:rsidR="005D6812">
        <w:trPr>
          <w:cantSplit/>
          <w:trHeight w:val="268"/>
        </w:trPr>
        <w:tc>
          <w:tcPr>
            <w:tcW w:w="2673" w:type="pct"/>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bookmarkStart w:id="68" w:name="DOC_TBL00001_12_1"/>
            <w:r>
              <w:rPr>
                <w:rFonts w:eastAsia="Verdana" w:cs="Verdana"/>
                <w:lang w:bidi="en-GB"/>
              </w:rPr>
              <w:t>TOTAL ASSETS</w:t>
            </w:r>
            <w:bookmarkEnd w:id="68"/>
          </w:p>
        </w:tc>
        <w:tc>
          <w:tcPr>
            <w:tcW w:w="437" w:type="pct"/>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i w:val="0"/>
                <w:lang w:bidi="en-GB"/>
              </w:rPr>
            </w:pPr>
            <w:bookmarkStart w:id="69" w:name="DOC_TBL00001_12_2"/>
            <w:bookmarkEnd w:id="69"/>
          </w:p>
        </w:tc>
        <w:tc>
          <w:tcPr>
            <w:tcW w:w="945" w:type="pct"/>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bookmarkStart w:id="70" w:name="DOC_TBL00001_12_3"/>
            <w:r>
              <w:rPr>
                <w:rFonts w:eastAsia="Verdana" w:cs="Verdana"/>
                <w:lang w:bidi="en-GB"/>
              </w:rPr>
              <w:t>2 691</w:t>
            </w:r>
            <w:bookmarkEnd w:id="70"/>
          </w:p>
        </w:tc>
        <w:tc>
          <w:tcPr>
            <w:tcW w:w="945" w:type="pct"/>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bookmarkStart w:id="71" w:name="DOC_TBL00001_12_4"/>
            <w:r>
              <w:rPr>
                <w:rFonts w:eastAsia="Verdana" w:cs="Verdana"/>
                <w:lang w:bidi="en-GB"/>
              </w:rPr>
              <w:t>2 370</w:t>
            </w:r>
            <w:bookmarkEnd w:id="71"/>
          </w:p>
        </w:tc>
      </w:tr>
      <w:tr w:rsidR="005D6812">
        <w:trPr>
          <w:cantSplit/>
          <w:trHeight w:val="124"/>
        </w:trPr>
        <w:tc>
          <w:tcPr>
            <w:tcW w:w="2673" w:type="pct"/>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bidi="en-GB"/>
              </w:rPr>
            </w:pPr>
            <w:bookmarkStart w:id="72" w:name="DOC_TBL00001_13_1"/>
            <w:bookmarkEnd w:id="72"/>
          </w:p>
        </w:tc>
        <w:tc>
          <w:tcPr>
            <w:tcW w:w="437" w:type="pct"/>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i w:val="0"/>
                <w:lang w:bidi="en-GB"/>
              </w:rPr>
            </w:pPr>
            <w:bookmarkStart w:id="73" w:name="DOC_TBL00001_13_2"/>
            <w:bookmarkEnd w:id="73"/>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bookmarkStart w:id="74" w:name="DOC_TBL00001_13_3"/>
            <w:bookmarkEnd w:id="74"/>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bookmarkStart w:id="75" w:name="DOC_TBL00001_13_4"/>
            <w:bookmarkEnd w:id="75"/>
          </w:p>
        </w:tc>
      </w:tr>
      <w:tr w:rsidR="005D6812">
        <w:trPr>
          <w:cantSplit/>
          <w:trHeight w:val="268"/>
        </w:trPr>
        <w:tc>
          <w:tcPr>
            <w:tcW w:w="2673" w:type="pct"/>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bookmarkStart w:id="76" w:name="DOC_TBL00001_14_1"/>
            <w:r>
              <w:rPr>
                <w:rFonts w:eastAsia="Verdana" w:cs="Verdana"/>
                <w:lang w:bidi="en-GB"/>
              </w:rPr>
              <w:t>NON-CURRENT LIABILITIES</w:t>
            </w:r>
            <w:bookmarkEnd w:id="76"/>
          </w:p>
        </w:tc>
        <w:tc>
          <w:tcPr>
            <w:tcW w:w="437" w:type="pct"/>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lang w:bidi="en-GB"/>
              </w:rPr>
            </w:pPr>
            <w:bookmarkStart w:id="77" w:name="DOC_TBL00001_14_2"/>
            <w:bookmarkEnd w:id="77"/>
          </w:p>
        </w:tc>
        <w:tc>
          <w:tcPr>
            <w:tcW w:w="945" w:type="pct"/>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bookmarkStart w:id="78" w:name="DOC_TBL00001_14_3"/>
            <w:bookmarkEnd w:id="78"/>
          </w:p>
        </w:tc>
        <w:tc>
          <w:tcPr>
            <w:tcW w:w="945" w:type="pct"/>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bookmarkStart w:id="79" w:name="DOC_TBL00001_14_4"/>
            <w:bookmarkEnd w:id="79"/>
          </w:p>
        </w:tc>
      </w:tr>
      <w:tr w:rsidR="005D6812">
        <w:trPr>
          <w:cantSplit/>
          <w:trHeight w:val="268"/>
        </w:trPr>
        <w:tc>
          <w:tcPr>
            <w:tcW w:w="2673"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bookmarkStart w:id="80" w:name="DOC_TBL00001_15_1"/>
            <w:r>
              <w:rPr>
                <w:rFonts w:eastAsia="Verdana" w:cs="Verdana"/>
                <w:lang w:bidi="en-GB"/>
              </w:rPr>
              <w:t>Provisions</w:t>
            </w:r>
            <w:bookmarkEnd w:id="80"/>
          </w:p>
        </w:tc>
        <w:tc>
          <w:tcPr>
            <w:tcW w:w="437"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Centered"/>
              <w:rPr>
                <w:rFonts w:eastAsia="Verdana" w:cs="Verdana"/>
                <w:lang w:bidi="en-GB"/>
              </w:rPr>
            </w:pPr>
            <w:bookmarkStart w:id="81" w:name="DOC_TBL00001_15_2"/>
            <w:r>
              <w:rPr>
                <w:rFonts w:eastAsia="Verdana" w:cs="Verdana"/>
                <w:lang w:bidi="en-GB"/>
              </w:rPr>
              <w:t>2.5</w:t>
            </w:r>
            <w:bookmarkEnd w:id="81"/>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82" w:name="DOC_TBL00001_15_3"/>
            <w:r>
              <w:rPr>
                <w:rFonts w:eastAsia="Verdana" w:cs="Verdana"/>
                <w:lang w:bidi="en-GB"/>
              </w:rPr>
              <w:t xml:space="preserve"> (4)</w:t>
            </w:r>
            <w:bookmarkEnd w:id="82"/>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83" w:name="DOC_TBL00001_15_4"/>
            <w:r>
              <w:rPr>
                <w:rFonts w:eastAsia="Verdana" w:cs="Verdana"/>
                <w:lang w:bidi="en-GB"/>
              </w:rPr>
              <w:t xml:space="preserve"> (4)</w:t>
            </w:r>
            <w:bookmarkEnd w:id="83"/>
          </w:p>
        </w:tc>
      </w:tr>
      <w:tr w:rsidR="005D6812">
        <w:trPr>
          <w:cantSplit/>
          <w:trHeight w:val="268"/>
        </w:trPr>
        <w:tc>
          <w:tcPr>
            <w:tcW w:w="2673" w:type="pct"/>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bookmarkStart w:id="84" w:name="DOC_TBL00001_16_1"/>
            <w:r>
              <w:rPr>
                <w:rFonts w:eastAsia="Verdana" w:cs="Verdana"/>
                <w:lang w:bidi="en-GB"/>
              </w:rPr>
              <w:t>Financial liabilities</w:t>
            </w:r>
            <w:bookmarkEnd w:id="84"/>
          </w:p>
        </w:tc>
        <w:tc>
          <w:tcPr>
            <w:tcW w:w="437" w:type="pct"/>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Text9pItalicCentered"/>
              <w:rPr>
                <w:rFonts w:eastAsia="Verdana" w:cs="Verdana"/>
                <w:lang w:bidi="en-GB"/>
              </w:rPr>
            </w:pPr>
            <w:bookmarkStart w:id="85" w:name="DOC_TBL00001_16_2"/>
            <w:r>
              <w:rPr>
                <w:rFonts w:eastAsia="Verdana" w:cs="Verdana"/>
                <w:lang w:bidi="en-GB"/>
              </w:rPr>
              <w:t>2.6</w:t>
            </w:r>
            <w:bookmarkEnd w:id="85"/>
          </w:p>
        </w:tc>
        <w:tc>
          <w:tcPr>
            <w:tcW w:w="945" w:type="pct"/>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86" w:name="DOC_TBL00001_16_3"/>
            <w:r>
              <w:rPr>
                <w:rFonts w:eastAsia="Verdana" w:cs="Verdana"/>
                <w:lang w:bidi="en-GB"/>
              </w:rPr>
              <w:t xml:space="preserve"> (6)</w:t>
            </w:r>
            <w:bookmarkEnd w:id="86"/>
          </w:p>
        </w:tc>
        <w:tc>
          <w:tcPr>
            <w:tcW w:w="945" w:type="pct"/>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87" w:name="DOC_TBL00001_16_4"/>
            <w:r>
              <w:rPr>
                <w:rFonts w:eastAsia="Verdana" w:cs="Verdana"/>
                <w:lang w:bidi="en-GB"/>
              </w:rPr>
              <w:t xml:space="preserve"> (10)</w:t>
            </w:r>
            <w:bookmarkEnd w:id="87"/>
          </w:p>
        </w:tc>
      </w:tr>
      <w:tr w:rsidR="005D6812">
        <w:trPr>
          <w:cantSplit/>
          <w:trHeight w:val="268"/>
        </w:trPr>
        <w:tc>
          <w:tcPr>
            <w:tcW w:w="2673" w:type="pct"/>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Text9pBoldLeft"/>
              <w:rPr>
                <w:rFonts w:eastAsia="Verdana" w:cs="Verdana"/>
                <w:lang w:bidi="en-GB"/>
              </w:rPr>
            </w:pPr>
            <w:bookmarkStart w:id="88" w:name="DOC_TBL00001_17_1"/>
            <w:bookmarkEnd w:id="88"/>
          </w:p>
        </w:tc>
        <w:tc>
          <w:tcPr>
            <w:tcW w:w="437" w:type="pct"/>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i w:val="0"/>
                <w:lang w:bidi="en-GB"/>
              </w:rPr>
            </w:pPr>
            <w:bookmarkStart w:id="89" w:name="DOC_TBL00001_17_2"/>
            <w:bookmarkEnd w:id="89"/>
          </w:p>
        </w:tc>
        <w:tc>
          <w:tcPr>
            <w:tcW w:w="945" w:type="pct"/>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bookmarkStart w:id="90" w:name="DOC_TBL00001_17_3"/>
            <w:r>
              <w:rPr>
                <w:rFonts w:eastAsia="Verdana" w:cs="Verdana"/>
                <w:lang w:bidi="en-GB"/>
              </w:rPr>
              <w:t xml:space="preserve"> (10)</w:t>
            </w:r>
            <w:bookmarkEnd w:id="90"/>
          </w:p>
        </w:tc>
        <w:tc>
          <w:tcPr>
            <w:tcW w:w="945" w:type="pct"/>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bookmarkStart w:id="91" w:name="DOC_TBL00001_17_4"/>
            <w:r>
              <w:rPr>
                <w:rFonts w:eastAsia="Verdana" w:cs="Verdana"/>
                <w:lang w:bidi="en-GB"/>
              </w:rPr>
              <w:t xml:space="preserve"> (14)</w:t>
            </w:r>
            <w:bookmarkEnd w:id="91"/>
          </w:p>
        </w:tc>
      </w:tr>
      <w:tr w:rsidR="005D6812">
        <w:trPr>
          <w:cantSplit/>
          <w:trHeight w:val="268"/>
        </w:trPr>
        <w:tc>
          <w:tcPr>
            <w:tcW w:w="2673" w:type="pct"/>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bookmarkStart w:id="92" w:name="DOC_TBL00001_18_1"/>
            <w:r>
              <w:rPr>
                <w:rFonts w:eastAsia="Verdana" w:cs="Verdana"/>
                <w:lang w:bidi="en-GB"/>
              </w:rPr>
              <w:t>CURRENT LIABILITIES</w:t>
            </w:r>
            <w:bookmarkEnd w:id="92"/>
          </w:p>
        </w:tc>
        <w:tc>
          <w:tcPr>
            <w:tcW w:w="437" w:type="pct"/>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lang w:bidi="en-GB"/>
              </w:rPr>
            </w:pPr>
            <w:bookmarkStart w:id="93" w:name="DOC_TBL00001_18_2"/>
            <w:bookmarkEnd w:id="93"/>
          </w:p>
        </w:tc>
        <w:tc>
          <w:tcPr>
            <w:tcW w:w="945" w:type="pct"/>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bookmarkStart w:id="94" w:name="DOC_TBL00001_18_3"/>
            <w:bookmarkEnd w:id="94"/>
          </w:p>
        </w:tc>
        <w:tc>
          <w:tcPr>
            <w:tcW w:w="945" w:type="pct"/>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bookmarkStart w:id="95" w:name="DOC_TBL00001_18_4"/>
            <w:bookmarkEnd w:id="95"/>
          </w:p>
        </w:tc>
      </w:tr>
      <w:tr w:rsidR="005D6812">
        <w:trPr>
          <w:cantSplit/>
          <w:trHeight w:val="268"/>
        </w:trPr>
        <w:tc>
          <w:tcPr>
            <w:tcW w:w="2673"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bookmarkStart w:id="96" w:name="DOC_TBL00001_19_1"/>
            <w:r>
              <w:rPr>
                <w:rFonts w:eastAsia="Verdana" w:cs="Verdana"/>
                <w:lang w:bidi="en-GB"/>
              </w:rPr>
              <w:t>Payables</w:t>
            </w:r>
            <w:bookmarkEnd w:id="96"/>
          </w:p>
        </w:tc>
        <w:tc>
          <w:tcPr>
            <w:tcW w:w="437"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Centered"/>
              <w:rPr>
                <w:rFonts w:eastAsia="Verdana" w:cs="Verdana"/>
                <w:lang w:bidi="en-GB"/>
              </w:rPr>
            </w:pPr>
            <w:bookmarkStart w:id="97" w:name="DOC_TBL00001_19_2"/>
            <w:r>
              <w:rPr>
                <w:rFonts w:eastAsia="Verdana" w:cs="Verdana"/>
                <w:lang w:bidi="en-GB"/>
              </w:rPr>
              <w:t>2.7</w:t>
            </w:r>
            <w:bookmarkEnd w:id="97"/>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98" w:name="DOC_TBL00001_19_3"/>
            <w:r>
              <w:rPr>
                <w:rFonts w:eastAsia="Verdana" w:cs="Verdana"/>
                <w:lang w:bidi="en-GB"/>
              </w:rPr>
              <w:t xml:space="preserve"> (549)</w:t>
            </w:r>
            <w:bookmarkEnd w:id="98"/>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99" w:name="DOC_TBL00001_19_4"/>
            <w:r>
              <w:rPr>
                <w:rFonts w:eastAsia="Verdana" w:cs="Verdana"/>
                <w:lang w:bidi="en-GB"/>
              </w:rPr>
              <w:t xml:space="preserve"> (520)</w:t>
            </w:r>
            <w:bookmarkEnd w:id="99"/>
          </w:p>
        </w:tc>
      </w:tr>
      <w:tr w:rsidR="005D6812">
        <w:trPr>
          <w:cantSplit/>
          <w:trHeight w:val="268"/>
        </w:trPr>
        <w:tc>
          <w:tcPr>
            <w:tcW w:w="2673" w:type="pct"/>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bookmarkStart w:id="100" w:name="DOC_TBL00001_20_1"/>
            <w:r>
              <w:rPr>
                <w:rFonts w:eastAsia="Verdana" w:cs="Verdana"/>
                <w:lang w:bidi="en-GB"/>
              </w:rPr>
              <w:t>Accrued charges and deferred income</w:t>
            </w:r>
            <w:bookmarkEnd w:id="100"/>
          </w:p>
        </w:tc>
        <w:tc>
          <w:tcPr>
            <w:tcW w:w="437" w:type="pct"/>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Centered"/>
              <w:rPr>
                <w:rFonts w:eastAsia="Verdana" w:cs="Verdana"/>
                <w:lang w:bidi="en-GB"/>
              </w:rPr>
            </w:pPr>
            <w:bookmarkStart w:id="101" w:name="DOC_TBL00001_20_2"/>
            <w:r>
              <w:rPr>
                <w:rFonts w:eastAsia="Verdana" w:cs="Verdana"/>
                <w:lang w:bidi="en-GB"/>
              </w:rPr>
              <w:t>2.8</w:t>
            </w:r>
            <w:bookmarkEnd w:id="101"/>
          </w:p>
        </w:tc>
        <w:tc>
          <w:tcPr>
            <w:tcW w:w="945" w:type="pct"/>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102" w:name="DOC_TBL00001_20_3"/>
            <w:r>
              <w:rPr>
                <w:rFonts w:eastAsia="Verdana" w:cs="Verdana"/>
                <w:lang w:bidi="en-GB"/>
              </w:rPr>
              <w:t xml:space="preserve"> (776)</w:t>
            </w:r>
            <w:bookmarkEnd w:id="102"/>
          </w:p>
        </w:tc>
        <w:tc>
          <w:tcPr>
            <w:tcW w:w="945" w:type="pct"/>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103" w:name="DOC_TBL00001_20_4"/>
            <w:r>
              <w:rPr>
                <w:rFonts w:eastAsia="Verdana" w:cs="Verdana"/>
                <w:lang w:bidi="en-GB"/>
              </w:rPr>
              <w:t xml:space="preserve"> (855)</w:t>
            </w:r>
            <w:bookmarkEnd w:id="103"/>
          </w:p>
        </w:tc>
      </w:tr>
      <w:tr w:rsidR="005D6812">
        <w:trPr>
          <w:cantSplit/>
          <w:trHeight w:val="268"/>
        </w:trPr>
        <w:tc>
          <w:tcPr>
            <w:tcW w:w="2673" w:type="pct"/>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Text9pBoldLeft"/>
              <w:rPr>
                <w:rFonts w:eastAsia="Verdana" w:cs="Verdana"/>
                <w:lang w:bidi="en-GB"/>
              </w:rPr>
            </w:pPr>
            <w:bookmarkStart w:id="104" w:name="DOC_TBL00001_21_1"/>
            <w:bookmarkEnd w:id="104"/>
          </w:p>
        </w:tc>
        <w:tc>
          <w:tcPr>
            <w:tcW w:w="437" w:type="pct"/>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i w:val="0"/>
                <w:lang w:bidi="en-GB"/>
              </w:rPr>
            </w:pPr>
            <w:bookmarkStart w:id="105" w:name="DOC_TBL00001_21_2"/>
            <w:bookmarkEnd w:id="105"/>
          </w:p>
        </w:tc>
        <w:tc>
          <w:tcPr>
            <w:tcW w:w="945" w:type="pct"/>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bookmarkStart w:id="106" w:name="DOC_TBL00001_21_3"/>
            <w:r>
              <w:rPr>
                <w:rFonts w:eastAsia="Verdana" w:cs="Verdana"/>
                <w:lang w:bidi="en-GB"/>
              </w:rPr>
              <w:t>(1 324)</w:t>
            </w:r>
            <w:bookmarkEnd w:id="106"/>
          </w:p>
        </w:tc>
        <w:tc>
          <w:tcPr>
            <w:tcW w:w="945" w:type="pct"/>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bookmarkStart w:id="107" w:name="DOC_TBL00001_21_4"/>
            <w:r>
              <w:rPr>
                <w:rFonts w:eastAsia="Verdana" w:cs="Verdana"/>
                <w:lang w:bidi="en-GB"/>
              </w:rPr>
              <w:t>(1 376)</w:t>
            </w:r>
            <w:bookmarkEnd w:id="107"/>
          </w:p>
        </w:tc>
      </w:tr>
      <w:tr w:rsidR="005D6812">
        <w:trPr>
          <w:cantSplit/>
          <w:trHeight w:val="268"/>
        </w:trPr>
        <w:tc>
          <w:tcPr>
            <w:tcW w:w="2673" w:type="pct"/>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bookmarkStart w:id="108" w:name="DOC_TBL00001_22_1"/>
            <w:r>
              <w:rPr>
                <w:rFonts w:eastAsia="Verdana" w:cs="Verdana"/>
                <w:lang w:bidi="en-GB"/>
              </w:rPr>
              <w:t>TOTAL LIABILITIES</w:t>
            </w:r>
            <w:bookmarkEnd w:id="108"/>
          </w:p>
        </w:tc>
        <w:tc>
          <w:tcPr>
            <w:tcW w:w="437" w:type="pct"/>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bookmarkStart w:id="109" w:name="DOC_TBL00001_22_2"/>
            <w:bookmarkEnd w:id="109"/>
          </w:p>
        </w:tc>
        <w:tc>
          <w:tcPr>
            <w:tcW w:w="945" w:type="pct"/>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bookmarkStart w:id="110" w:name="DOC_TBL00001_22_3"/>
            <w:r>
              <w:rPr>
                <w:rFonts w:eastAsia="Verdana" w:cs="Verdana"/>
                <w:lang w:bidi="en-GB"/>
              </w:rPr>
              <w:t>(1 334)</w:t>
            </w:r>
            <w:bookmarkEnd w:id="110"/>
          </w:p>
        </w:tc>
        <w:tc>
          <w:tcPr>
            <w:tcW w:w="945" w:type="pct"/>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bookmarkStart w:id="111" w:name="DOC_TBL00001_22_4"/>
            <w:r>
              <w:rPr>
                <w:rFonts w:eastAsia="Verdana" w:cs="Verdana"/>
                <w:lang w:bidi="en-GB"/>
              </w:rPr>
              <w:t>(1 389)</w:t>
            </w:r>
            <w:bookmarkEnd w:id="111"/>
          </w:p>
        </w:tc>
      </w:tr>
      <w:tr w:rsidR="005D6812">
        <w:trPr>
          <w:cantSplit/>
          <w:trHeight w:val="124"/>
        </w:trPr>
        <w:tc>
          <w:tcPr>
            <w:tcW w:w="2673" w:type="pct"/>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bidi="en-GB"/>
              </w:rPr>
            </w:pPr>
            <w:bookmarkStart w:id="112" w:name="DOC_TBL00001_23_1"/>
            <w:bookmarkEnd w:id="112"/>
          </w:p>
        </w:tc>
        <w:tc>
          <w:tcPr>
            <w:tcW w:w="437" w:type="pct"/>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i w:val="0"/>
                <w:lang w:bidi="en-GB"/>
              </w:rPr>
            </w:pPr>
            <w:bookmarkStart w:id="113" w:name="DOC_TBL00001_23_2"/>
            <w:bookmarkEnd w:id="113"/>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bookmarkStart w:id="114" w:name="DOC_TBL00001_23_3"/>
            <w:bookmarkEnd w:id="114"/>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bookmarkStart w:id="115" w:name="DOC_TBL00001_23_4"/>
            <w:bookmarkEnd w:id="115"/>
          </w:p>
        </w:tc>
      </w:tr>
      <w:tr w:rsidR="005D6812">
        <w:trPr>
          <w:cantSplit/>
          <w:trHeight w:val="268"/>
        </w:trPr>
        <w:tc>
          <w:tcPr>
            <w:tcW w:w="2673" w:type="pct"/>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bookmarkStart w:id="116" w:name="DOC_TBL00001_24_1"/>
            <w:r>
              <w:rPr>
                <w:rFonts w:eastAsia="Verdana" w:cs="Verdana"/>
                <w:lang w:bidi="en-GB"/>
              </w:rPr>
              <w:t>NET ASSETS</w:t>
            </w:r>
            <w:bookmarkEnd w:id="116"/>
          </w:p>
        </w:tc>
        <w:tc>
          <w:tcPr>
            <w:tcW w:w="437" w:type="pct"/>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i w:val="0"/>
                <w:lang w:bidi="en-GB"/>
              </w:rPr>
            </w:pPr>
            <w:bookmarkStart w:id="117" w:name="DOC_TBL00001_24_2"/>
            <w:bookmarkEnd w:id="117"/>
          </w:p>
        </w:tc>
        <w:tc>
          <w:tcPr>
            <w:tcW w:w="945" w:type="pct"/>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bookmarkStart w:id="118" w:name="DOC_TBL00001_24_3"/>
            <w:r>
              <w:rPr>
                <w:rFonts w:eastAsia="Verdana" w:cs="Verdana"/>
                <w:lang w:bidi="en-GB"/>
              </w:rPr>
              <w:t>1 357</w:t>
            </w:r>
            <w:bookmarkEnd w:id="118"/>
          </w:p>
        </w:tc>
        <w:tc>
          <w:tcPr>
            <w:tcW w:w="945" w:type="pct"/>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bookmarkStart w:id="119" w:name="DOC_TBL00001_24_4"/>
            <w:r>
              <w:rPr>
                <w:rFonts w:eastAsia="Verdana" w:cs="Verdana"/>
                <w:lang w:bidi="en-GB"/>
              </w:rPr>
              <w:t xml:space="preserve"> 980</w:t>
            </w:r>
            <w:bookmarkEnd w:id="119"/>
          </w:p>
        </w:tc>
      </w:tr>
      <w:tr w:rsidR="005D6812">
        <w:trPr>
          <w:cantSplit/>
          <w:trHeight w:val="124"/>
        </w:trPr>
        <w:tc>
          <w:tcPr>
            <w:tcW w:w="2673" w:type="pct"/>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bidi="en-GB"/>
              </w:rPr>
            </w:pPr>
            <w:bookmarkStart w:id="120" w:name="DOC_TBL00001_25_1"/>
            <w:bookmarkEnd w:id="120"/>
          </w:p>
        </w:tc>
        <w:tc>
          <w:tcPr>
            <w:tcW w:w="437" w:type="pct"/>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i w:val="0"/>
                <w:lang w:bidi="en-GB"/>
              </w:rPr>
            </w:pPr>
            <w:bookmarkStart w:id="121" w:name="DOC_TBL00001_25_2"/>
            <w:bookmarkEnd w:id="121"/>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bookmarkStart w:id="122" w:name="DOC_TBL00001_25_3"/>
            <w:bookmarkEnd w:id="122"/>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bookmarkStart w:id="123" w:name="DOC_TBL00001_25_4"/>
            <w:bookmarkEnd w:id="123"/>
          </w:p>
        </w:tc>
      </w:tr>
      <w:tr w:rsidR="005D6812">
        <w:trPr>
          <w:cantSplit/>
          <w:trHeight w:val="268"/>
        </w:trPr>
        <w:tc>
          <w:tcPr>
            <w:tcW w:w="2673" w:type="pct"/>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bookmarkStart w:id="124" w:name="DOC_TBL00001_26_1"/>
            <w:r>
              <w:rPr>
                <w:rFonts w:eastAsia="Verdana" w:cs="Verdana"/>
                <w:lang w:bidi="en-GB"/>
              </w:rPr>
              <w:t>FUNDS &amp; RESERVES</w:t>
            </w:r>
            <w:bookmarkEnd w:id="124"/>
          </w:p>
        </w:tc>
        <w:tc>
          <w:tcPr>
            <w:tcW w:w="437" w:type="pct"/>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lang w:bidi="en-GB"/>
              </w:rPr>
            </w:pPr>
            <w:bookmarkStart w:id="125" w:name="DOC_TBL00001_26_2"/>
            <w:bookmarkEnd w:id="125"/>
          </w:p>
        </w:tc>
        <w:tc>
          <w:tcPr>
            <w:tcW w:w="945" w:type="pct"/>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bookmarkStart w:id="126" w:name="DOC_TBL00001_26_3"/>
            <w:bookmarkEnd w:id="126"/>
          </w:p>
        </w:tc>
        <w:tc>
          <w:tcPr>
            <w:tcW w:w="945" w:type="pct"/>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bookmarkStart w:id="127" w:name="DOC_TBL00001_26_4"/>
            <w:bookmarkEnd w:id="127"/>
          </w:p>
        </w:tc>
      </w:tr>
      <w:tr w:rsidR="005D6812">
        <w:trPr>
          <w:cantSplit/>
          <w:trHeight w:val="268"/>
        </w:trPr>
        <w:tc>
          <w:tcPr>
            <w:tcW w:w="2673"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bookmarkStart w:id="128" w:name="DOC_TBL00001_27_1"/>
            <w:r>
              <w:rPr>
                <w:rFonts w:eastAsia="Verdana" w:cs="Verdana"/>
                <w:lang w:bidi="en-GB"/>
              </w:rPr>
              <w:t>Called fund capital - active EDFs</w:t>
            </w:r>
            <w:bookmarkEnd w:id="128"/>
          </w:p>
        </w:tc>
        <w:tc>
          <w:tcPr>
            <w:tcW w:w="437"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Centered"/>
              <w:rPr>
                <w:rFonts w:eastAsia="Verdana" w:cs="Verdana"/>
                <w:lang w:bidi="en-GB"/>
              </w:rPr>
            </w:pPr>
            <w:bookmarkStart w:id="129" w:name="DOC_TBL00001_27_2"/>
            <w:r>
              <w:rPr>
                <w:rFonts w:eastAsia="Verdana" w:cs="Verdana"/>
                <w:lang w:bidi="en-GB"/>
              </w:rPr>
              <w:t>2.9</w:t>
            </w:r>
            <w:bookmarkEnd w:id="129"/>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130" w:name="DOC_TBL00001_27_3"/>
            <w:r>
              <w:rPr>
                <w:rFonts w:eastAsia="Verdana" w:cs="Verdana"/>
                <w:lang w:bidi="en-GB"/>
              </w:rPr>
              <w:t>42 323</w:t>
            </w:r>
            <w:bookmarkEnd w:id="130"/>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131" w:name="DOC_TBL00001_27_4"/>
            <w:r>
              <w:rPr>
                <w:rFonts w:eastAsia="Verdana" w:cs="Verdana"/>
                <w:lang w:bidi="en-GB"/>
              </w:rPr>
              <w:t>38 873</w:t>
            </w:r>
            <w:bookmarkEnd w:id="131"/>
          </w:p>
        </w:tc>
      </w:tr>
      <w:tr w:rsidR="005D6812">
        <w:trPr>
          <w:cantSplit/>
          <w:trHeight w:val="268"/>
        </w:trPr>
        <w:tc>
          <w:tcPr>
            <w:tcW w:w="2673"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bookmarkStart w:id="132" w:name="DOC_TBL00001_28_1"/>
            <w:r>
              <w:rPr>
                <w:rFonts w:eastAsia="Verdana" w:cs="Verdana"/>
                <w:lang w:bidi="en-GB"/>
              </w:rPr>
              <w:t>Called fund capital from closed EDFs carried forward</w:t>
            </w:r>
            <w:bookmarkEnd w:id="132"/>
          </w:p>
        </w:tc>
        <w:tc>
          <w:tcPr>
            <w:tcW w:w="437"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Centered"/>
              <w:rPr>
                <w:rFonts w:eastAsia="Verdana" w:cs="Verdana"/>
                <w:lang w:bidi="en-GB"/>
              </w:rPr>
            </w:pPr>
            <w:bookmarkStart w:id="133" w:name="DOC_TBL00001_28_2"/>
            <w:r>
              <w:rPr>
                <w:rFonts w:eastAsia="Verdana" w:cs="Verdana"/>
                <w:lang w:bidi="en-GB"/>
              </w:rPr>
              <w:t>2.9</w:t>
            </w:r>
            <w:bookmarkEnd w:id="133"/>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134" w:name="DOC_TBL00001_28_3"/>
            <w:r>
              <w:rPr>
                <w:rFonts w:eastAsia="Verdana" w:cs="Verdana"/>
                <w:lang w:bidi="en-GB"/>
              </w:rPr>
              <w:t>2 252</w:t>
            </w:r>
            <w:bookmarkEnd w:id="134"/>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135" w:name="DOC_TBL00001_28_4"/>
            <w:r>
              <w:rPr>
                <w:rFonts w:eastAsia="Verdana" w:cs="Verdana"/>
                <w:lang w:bidi="en-GB"/>
              </w:rPr>
              <w:t>2 252</w:t>
            </w:r>
            <w:bookmarkEnd w:id="135"/>
          </w:p>
        </w:tc>
      </w:tr>
      <w:tr w:rsidR="005D6812">
        <w:trPr>
          <w:cantSplit/>
          <w:trHeight w:val="268"/>
        </w:trPr>
        <w:tc>
          <w:tcPr>
            <w:tcW w:w="2673"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bookmarkStart w:id="136" w:name="DOC_TBL00001_29_1"/>
            <w:r>
              <w:rPr>
                <w:rFonts w:eastAsia="Verdana" w:cs="Verdana"/>
                <w:lang w:bidi="en-GB"/>
              </w:rPr>
              <w:t xml:space="preserve">Called fund capital </w:t>
            </w:r>
            <w:r>
              <w:rPr>
                <w:rFonts w:eastAsia="Verdana" w:cs="Verdana"/>
                <w:lang w:bidi="en-GB"/>
              </w:rPr>
              <w:t>transfers between active EDFs</w:t>
            </w:r>
            <w:bookmarkEnd w:id="136"/>
          </w:p>
        </w:tc>
        <w:tc>
          <w:tcPr>
            <w:tcW w:w="437"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Centered"/>
              <w:rPr>
                <w:rFonts w:eastAsia="Verdana" w:cs="Verdana"/>
                <w:lang w:bidi="en-GB"/>
              </w:rPr>
            </w:pPr>
            <w:bookmarkStart w:id="137" w:name="DOC_TBL00001_29_2"/>
            <w:r>
              <w:rPr>
                <w:rFonts w:eastAsia="Verdana" w:cs="Verdana"/>
                <w:lang w:bidi="en-GB"/>
              </w:rPr>
              <w:t>2.9</w:t>
            </w:r>
            <w:bookmarkEnd w:id="137"/>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138" w:name="DOC_TBL00001_29_3"/>
            <w:r>
              <w:rPr>
                <w:rFonts w:eastAsia="Verdana" w:cs="Verdana"/>
                <w:lang w:bidi="en-GB"/>
              </w:rPr>
              <w:t>–</w:t>
            </w:r>
            <w:bookmarkEnd w:id="138"/>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139" w:name="DOC_TBL00001_29_4"/>
            <w:r>
              <w:rPr>
                <w:rFonts w:eastAsia="Verdana" w:cs="Verdana"/>
                <w:lang w:bidi="en-GB"/>
              </w:rPr>
              <w:t>–</w:t>
            </w:r>
            <w:bookmarkEnd w:id="139"/>
          </w:p>
        </w:tc>
      </w:tr>
      <w:tr w:rsidR="005D6812">
        <w:trPr>
          <w:cantSplit/>
          <w:trHeight w:val="268"/>
        </w:trPr>
        <w:tc>
          <w:tcPr>
            <w:tcW w:w="2673"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bookmarkStart w:id="140" w:name="DOC_TBL00001_30_1"/>
            <w:r>
              <w:rPr>
                <w:rFonts w:eastAsia="Verdana" w:cs="Verdana"/>
                <w:lang w:bidi="en-GB"/>
              </w:rPr>
              <w:t>Economic result carried forward from previous years</w:t>
            </w:r>
            <w:bookmarkEnd w:id="140"/>
          </w:p>
        </w:tc>
        <w:tc>
          <w:tcPr>
            <w:tcW w:w="437" w:type="pct"/>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bookmarkStart w:id="141" w:name="DOC_TBL00001_30_2"/>
            <w:bookmarkEnd w:id="141"/>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142" w:name="DOC_TBL00001_30_3"/>
            <w:r>
              <w:rPr>
                <w:rFonts w:eastAsia="Verdana" w:cs="Verdana"/>
                <w:lang w:bidi="en-GB"/>
              </w:rPr>
              <w:t>(40 146)</w:t>
            </w:r>
            <w:bookmarkEnd w:id="142"/>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143" w:name="DOC_TBL00001_30_4"/>
            <w:r>
              <w:rPr>
                <w:rFonts w:eastAsia="Verdana" w:cs="Verdana"/>
                <w:lang w:bidi="en-GB"/>
              </w:rPr>
              <w:t>(36 994)</w:t>
            </w:r>
            <w:bookmarkEnd w:id="143"/>
          </w:p>
        </w:tc>
      </w:tr>
      <w:tr w:rsidR="005D6812">
        <w:trPr>
          <w:cantSplit/>
          <w:trHeight w:val="268"/>
        </w:trPr>
        <w:tc>
          <w:tcPr>
            <w:tcW w:w="2673"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bookmarkStart w:id="144" w:name="DOC_TBL00001_31_1"/>
            <w:r>
              <w:rPr>
                <w:rFonts w:eastAsia="Verdana" w:cs="Verdana"/>
                <w:lang w:bidi="en-GB"/>
              </w:rPr>
              <w:t>Economic result of the year</w:t>
            </w:r>
            <w:bookmarkEnd w:id="144"/>
          </w:p>
        </w:tc>
        <w:tc>
          <w:tcPr>
            <w:tcW w:w="437" w:type="pct"/>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bookmarkStart w:id="145" w:name="DOC_TBL00001_31_2"/>
            <w:bookmarkEnd w:id="145"/>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146" w:name="DOC_TBL00001_31_3"/>
            <w:r>
              <w:rPr>
                <w:rFonts w:eastAsia="Verdana" w:cs="Verdana"/>
                <w:lang w:bidi="en-GB"/>
              </w:rPr>
              <w:t>(3 073)</w:t>
            </w:r>
            <w:bookmarkEnd w:id="146"/>
          </w:p>
        </w:tc>
        <w:tc>
          <w:tcPr>
            <w:tcW w:w="945" w:type="pct"/>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bookmarkStart w:id="147" w:name="DOC_TBL00001_31_4"/>
            <w:r>
              <w:rPr>
                <w:rFonts w:eastAsia="Verdana" w:cs="Verdana"/>
                <w:lang w:bidi="en-GB"/>
              </w:rPr>
              <w:t>(3 152)</w:t>
            </w:r>
            <w:bookmarkEnd w:id="147"/>
          </w:p>
        </w:tc>
      </w:tr>
      <w:tr w:rsidR="005D6812">
        <w:trPr>
          <w:cantSplit/>
          <w:trHeight w:val="268"/>
        </w:trPr>
        <w:tc>
          <w:tcPr>
            <w:tcW w:w="2673" w:type="pct"/>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bookmarkStart w:id="148" w:name="DOC_TBL00001_32_1"/>
            <w:r>
              <w:rPr>
                <w:rFonts w:eastAsia="Verdana" w:cs="Verdana"/>
                <w:lang w:bidi="en-GB"/>
              </w:rPr>
              <w:t>NET ASSETS</w:t>
            </w:r>
            <w:bookmarkEnd w:id="148"/>
          </w:p>
        </w:tc>
        <w:tc>
          <w:tcPr>
            <w:tcW w:w="437" w:type="pct"/>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i w:val="0"/>
                <w:lang w:bidi="en-GB"/>
              </w:rPr>
            </w:pPr>
            <w:bookmarkStart w:id="149" w:name="DOC_TBL00001_32_2"/>
            <w:bookmarkEnd w:id="149"/>
          </w:p>
        </w:tc>
        <w:tc>
          <w:tcPr>
            <w:tcW w:w="945" w:type="pct"/>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bookmarkStart w:id="150" w:name="DOC_TBL00001_32_3"/>
            <w:r>
              <w:rPr>
                <w:rFonts w:eastAsia="Verdana" w:cs="Verdana"/>
                <w:lang w:bidi="en-GB"/>
              </w:rPr>
              <w:t>1 357</w:t>
            </w:r>
            <w:bookmarkEnd w:id="150"/>
          </w:p>
        </w:tc>
        <w:tc>
          <w:tcPr>
            <w:tcW w:w="945" w:type="pct"/>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bookmarkStart w:id="151" w:name="DOC_TBL00001_32_4"/>
            <w:r>
              <w:rPr>
                <w:rFonts w:eastAsia="Verdana" w:cs="Verdana"/>
                <w:lang w:bidi="en-GB"/>
              </w:rPr>
              <w:t xml:space="preserve"> 980</w:t>
            </w:r>
            <w:bookmarkEnd w:id="151"/>
          </w:p>
        </w:tc>
      </w:tr>
    </w:tbl>
    <w:p w:rsidR="005D6812" w:rsidRDefault="00AB2A2B">
      <w:pPr>
        <w:rPr>
          <w:noProof/>
        </w:rPr>
        <w:sectPr w:rsidR="005D6812">
          <w:headerReference w:type="even" r:id="rId59"/>
          <w:headerReference w:type="default" r:id="rId60"/>
          <w:footerReference w:type="even" r:id="rId61"/>
          <w:footerReference w:type="default" r:id="rId62"/>
          <w:headerReference w:type="first" r:id="rId63"/>
          <w:footerReference w:type="first" r:id="rId64"/>
          <w:type w:val="continuous"/>
          <w:pgSz w:w="11906" w:h="16838"/>
          <w:pgMar w:top="1134" w:right="1134" w:bottom="1134" w:left="1134" w:header="709" w:footer="709" w:gutter="0"/>
          <w:cols w:space="708"/>
          <w:docGrid w:linePitch="360"/>
        </w:sectPr>
      </w:pPr>
      <w:r>
        <w:rPr>
          <w:noProof/>
        </w:rPr>
        <w:t xml:space="preserve"> </w:t>
      </w:r>
      <w:bookmarkEnd w:id="23"/>
    </w:p>
    <w:p w:rsidR="005D6812" w:rsidRDefault="00AB2A2B">
      <w:pPr>
        <w:pStyle w:val="HEADERTITLE1"/>
      </w:pPr>
      <w:bookmarkStart w:id="152" w:name="_Toc484164230"/>
      <w:bookmarkStart w:id="153" w:name="_DMBM_9463"/>
      <w:r>
        <w:t>EDF STATEMENT OF FINANCIAL PERFORMANCE</w:t>
      </w:r>
      <w:bookmarkEnd w:id="15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rsidR="005D681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154" w:name="DOC_TBL00002_1_1"/>
            <w:bookmarkEnd w:id="154"/>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bidi="en-GB"/>
              </w:rPr>
            </w:pPr>
            <w:r>
              <w:rPr>
                <w:rFonts w:eastAsia="Verdana" w:cs="Verdana"/>
                <w:lang w:bidi="en-GB"/>
              </w:rPr>
              <w:t>EUR millions</w:t>
            </w:r>
          </w:p>
        </w:tc>
      </w:tr>
      <w:tr w:rsidR="005D6812">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Verdana" w:cs="Verdana"/>
                <w:lang w:bidi="en-GB"/>
              </w:rPr>
            </w:pPr>
          </w:p>
        </w:tc>
        <w:tc>
          <w:tcPr>
            <w:tcW w:w="851"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Note</w:t>
            </w:r>
          </w:p>
        </w:tc>
        <w:tc>
          <w:tcPr>
            <w:tcW w:w="184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2016</w:t>
            </w:r>
          </w:p>
        </w:tc>
        <w:tc>
          <w:tcPr>
            <w:tcW w:w="1843"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2015</w:t>
            </w:r>
          </w:p>
        </w:tc>
      </w:tr>
      <w:tr w:rsidR="005D681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REVENUE</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b/>
                <w:i w:val="0"/>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b/>
                <w:i w:val="0"/>
                <w:lang w:bidi="en-GB"/>
              </w:rPr>
            </w:pPr>
          </w:p>
        </w:tc>
      </w:tr>
      <w:tr w:rsidR="005D6812">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Revenue from non-exchange transactions</w:t>
            </w:r>
          </w:p>
        </w:tc>
        <w:tc>
          <w:tcPr>
            <w:tcW w:w="85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ItalicCentered"/>
              <w:rPr>
                <w:rFonts w:eastAsia="Verdana" w:cs="Verdana"/>
                <w:lang w:bidi="en-GB"/>
              </w:rPr>
            </w:pPr>
            <w:r>
              <w:rPr>
                <w:rFonts w:eastAsia="Verdana" w:cs="Verdana"/>
                <w:lang w:bidi="en-GB"/>
              </w:rPr>
              <w:t>3.1</w:t>
            </w:r>
          </w:p>
        </w:tc>
        <w:tc>
          <w:tcPr>
            <w:tcW w:w="1842"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c>
          <w:tcPr>
            <w:tcW w:w="1843"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rPr>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Recovery of expenses</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8</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90</w:t>
            </w:r>
          </w:p>
        </w:tc>
      </w:tr>
      <w:tr w:rsidR="005D6812">
        <w:trPr>
          <w:trHeight w:val="268"/>
        </w:trPr>
        <w:tc>
          <w:tcPr>
            <w:tcW w:w="5211"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bidi="en-GB"/>
              </w:rPr>
            </w:pPr>
          </w:p>
        </w:tc>
        <w:tc>
          <w:tcPr>
            <w:tcW w:w="851"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8</w:t>
            </w:r>
          </w:p>
        </w:tc>
        <w:tc>
          <w:tcPr>
            <w:tcW w:w="1843"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90</w:t>
            </w:r>
          </w:p>
        </w:tc>
      </w:tr>
      <w:tr w:rsidR="005D6812">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 xml:space="preserve">Revenue from exchange </w:t>
            </w:r>
            <w:r>
              <w:rPr>
                <w:rFonts w:eastAsia="Verdana" w:cs="Verdana"/>
                <w:lang w:bidi="en-GB"/>
              </w:rPr>
              <w:t>transactions</w:t>
            </w:r>
          </w:p>
        </w:tc>
        <w:tc>
          <w:tcPr>
            <w:tcW w:w="85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ItalicCentered"/>
              <w:rPr>
                <w:rFonts w:eastAsia="Verdana" w:cs="Verdana"/>
                <w:lang w:bidi="en-GB"/>
              </w:rPr>
            </w:pPr>
            <w:r>
              <w:rPr>
                <w:rFonts w:eastAsia="Verdana" w:cs="Verdana"/>
                <w:lang w:bidi="en-GB"/>
              </w:rPr>
              <w:t>3.2</w:t>
            </w:r>
          </w:p>
        </w:tc>
        <w:tc>
          <w:tcPr>
            <w:tcW w:w="1842"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c>
          <w:tcPr>
            <w:tcW w:w="1843"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Financial income</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8</w:t>
            </w:r>
          </w:p>
        </w:tc>
      </w:tr>
      <w:tr w:rsidR="005D6812">
        <w:trPr>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Other income</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62</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42</w:t>
            </w:r>
          </w:p>
        </w:tc>
      </w:tr>
      <w:tr w:rsidR="005D6812">
        <w:trPr>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Text9pBoldLeft"/>
              <w:rPr>
                <w:rFonts w:eastAsia="Verdana" w:cs="Verdana"/>
                <w:lang w:bidi="en-GB"/>
              </w:rPr>
            </w:pP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66</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50</w:t>
            </w:r>
          </w:p>
        </w:tc>
      </w:tr>
      <w:tr w:rsidR="005D6812">
        <w:trPr>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Total Revenue</w:t>
            </w: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73</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140</w:t>
            </w:r>
          </w:p>
        </w:tc>
      </w:tr>
      <w:tr w:rsidR="005D6812">
        <w:trPr>
          <w:trHeight w:val="268"/>
        </w:trPr>
        <w:tc>
          <w:tcPr>
            <w:tcW w:w="5211"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EXPENSES</w:t>
            </w:r>
          </w:p>
        </w:tc>
        <w:tc>
          <w:tcPr>
            <w:tcW w:w="851"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b/>
                <w:i w:val="0"/>
                <w:lang w:bidi="en-GB"/>
              </w:rPr>
            </w:pPr>
          </w:p>
        </w:tc>
        <w:tc>
          <w:tcPr>
            <w:tcW w:w="1842"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b/>
                <w:i w:val="0"/>
                <w:lang w:bidi="en-GB"/>
              </w:rPr>
            </w:pPr>
          </w:p>
        </w:tc>
        <w:tc>
          <w:tcPr>
            <w:tcW w:w="1843"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b/>
                <w:i w:val="0"/>
                <w:lang w:bidi="en-GB"/>
              </w:rPr>
            </w:pPr>
          </w:p>
        </w:tc>
      </w:tr>
      <w:tr w:rsidR="005D681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Aid instruments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Centered"/>
              <w:rPr>
                <w:rFonts w:eastAsia="Verdana" w:cs="Verdana"/>
                <w:lang w:bidi="en-GB"/>
              </w:rPr>
            </w:pPr>
            <w:r>
              <w:rPr>
                <w:rFonts w:eastAsia="Verdana" w:cs="Verdana"/>
                <w:lang w:bidi="en-GB"/>
              </w:rPr>
              <w:t>3.3</w:t>
            </w: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(2 970)</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(3 059)</w:t>
            </w:r>
          </w:p>
        </w:tc>
      </w:tr>
      <w:tr w:rsidR="005D681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Co-financing expenses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Centered"/>
              <w:rPr>
                <w:rFonts w:eastAsia="Verdana" w:cs="Verdana"/>
                <w:lang w:bidi="en-GB"/>
              </w:rPr>
            </w:pPr>
            <w:r>
              <w:rPr>
                <w:rFonts w:eastAsia="Verdana" w:cs="Verdana"/>
                <w:lang w:bidi="en-GB"/>
              </w:rPr>
              <w:t>3.4</w:t>
            </w: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15</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(69)</w:t>
            </w:r>
          </w:p>
        </w:tc>
      </w:tr>
      <w:tr w:rsidR="005D681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Finance costs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Centered"/>
              <w:rPr>
                <w:rFonts w:eastAsia="Verdana" w:cs="Verdana"/>
                <w:lang w:bidi="en-GB"/>
              </w:rPr>
            </w:pPr>
            <w:r>
              <w:rPr>
                <w:rFonts w:eastAsia="Verdana" w:cs="Verdana"/>
                <w:lang w:bidi="en-GB"/>
              </w:rPr>
              <w:t>3.6</w:t>
            </w: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4</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w:t>
            </w:r>
          </w:p>
        </w:tc>
      </w:tr>
      <w:tr w:rsidR="005D6812">
        <w:trPr>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Other expenses</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Centered"/>
              <w:rPr>
                <w:rFonts w:eastAsia="Verdana" w:cs="Verdana"/>
                <w:lang w:bidi="en-GB"/>
              </w:rPr>
            </w:pPr>
            <w:r>
              <w:rPr>
                <w:rFonts w:eastAsia="Verdana" w:cs="Verdana"/>
                <w:lang w:bidi="en-GB"/>
              </w:rPr>
              <w:t>3.7</w:t>
            </w: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(196)</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(162)</w:t>
            </w:r>
          </w:p>
        </w:tc>
      </w:tr>
      <w:tr w:rsidR="005D6812">
        <w:trPr>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Total Expenses</w:t>
            </w: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(3 146)</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(3 291)</w:t>
            </w:r>
          </w:p>
        </w:tc>
      </w:tr>
      <w:tr w:rsidR="005D6812">
        <w:trPr>
          <w:trHeight w:val="268"/>
        </w:trPr>
        <w:tc>
          <w:tcPr>
            <w:tcW w:w="5211"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bidi="en-GB"/>
              </w:rPr>
            </w:pPr>
          </w:p>
        </w:tc>
        <w:tc>
          <w:tcPr>
            <w:tcW w:w="851"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1843"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r>
      <w:tr w:rsidR="005D6812">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ECONOMIC RESULT OF THE YEAR</w:t>
            </w:r>
          </w:p>
        </w:tc>
        <w:tc>
          <w:tcPr>
            <w:tcW w:w="85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i w:val="0"/>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(3 073)</w:t>
            </w:r>
          </w:p>
        </w:tc>
        <w:tc>
          <w:tcPr>
            <w:tcW w:w="184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(3 152)</w:t>
            </w:r>
          </w:p>
        </w:tc>
      </w:tr>
    </w:tbl>
    <w:p w:rsidR="005D6812" w:rsidRDefault="00AB2A2B">
      <w:pPr>
        <w:pStyle w:val="Textstand-alone"/>
        <w:sectPr w:rsidR="005D6812">
          <w:headerReference w:type="even" r:id="rId65"/>
          <w:headerReference w:type="default" r:id="rId66"/>
          <w:footerReference w:type="even" r:id="rId67"/>
          <w:footerReference w:type="default" r:id="rId68"/>
          <w:headerReference w:type="first" r:id="rId69"/>
          <w:footerReference w:type="first" r:id="rId70"/>
          <w:pgSz w:w="11906" w:h="16838"/>
          <w:pgMar w:top="1134" w:right="1134" w:bottom="1134" w:left="1134" w:header="709" w:footer="709" w:gutter="0"/>
          <w:cols w:space="708"/>
          <w:docGrid w:linePitch="360"/>
        </w:sectPr>
      </w:pPr>
      <w:r>
        <w:t xml:space="preserve"> </w:t>
      </w:r>
      <w:bookmarkEnd w:id="153"/>
    </w:p>
    <w:p w:rsidR="005D6812" w:rsidRDefault="00AB2A2B">
      <w:pPr>
        <w:pStyle w:val="HEADERTITLE1"/>
      </w:pPr>
      <w:bookmarkStart w:id="155" w:name="_Toc484164231"/>
      <w:bookmarkStart w:id="156" w:name="_DMBM_9500"/>
      <w:r>
        <w:t>EDF CASHFLOW STATEMENT</w:t>
      </w:r>
      <w:bookmarkEnd w:id="155"/>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157" w:name="DOC_TBL00003_1_1"/>
            <w:bookmarkEnd w:id="157"/>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bidi="en-GB"/>
              </w:rPr>
            </w:pPr>
            <w:r>
              <w:rPr>
                <w:rFonts w:eastAsia="Verdana" w:cs="Verdana"/>
                <w:lang w:bidi="en-GB"/>
              </w:rPr>
              <w:t>EUR millions</w:t>
            </w:r>
          </w:p>
        </w:tc>
      </w:tr>
      <w:tr w:rsidR="005D6812">
        <w:trPr>
          <w:cantSplit/>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Verdana" w:cs="Verdana"/>
                <w:lang w:bidi="en-GB"/>
              </w:rPr>
            </w:pPr>
          </w:p>
        </w:tc>
        <w:tc>
          <w:tcPr>
            <w:tcW w:w="851"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Note</w:t>
            </w:r>
          </w:p>
        </w:tc>
        <w:tc>
          <w:tcPr>
            <w:tcW w:w="184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2016</w:t>
            </w:r>
          </w:p>
        </w:tc>
        <w:tc>
          <w:tcPr>
            <w:tcW w:w="1843"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2015</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Economic result of the year</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(3 073)</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(3 152)</w:t>
            </w:r>
          </w:p>
        </w:tc>
      </w:tr>
      <w:tr w:rsidR="005D681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Operating activities</w:t>
            </w:r>
          </w:p>
        </w:tc>
        <w:tc>
          <w:tcPr>
            <w:tcW w:w="85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c>
          <w:tcPr>
            <w:tcW w:w="1843"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Capital increase - contributions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3 450</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3 200</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(Increase)/decrease in trust funds contributions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(64)</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5</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(Increase)/decrease in pre-financing</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(120)</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214</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 xml:space="preserve">(Increase)/decrease in </w:t>
            </w:r>
            <w:r>
              <w:rPr>
                <w:rFonts w:eastAsia="Verdana" w:cs="Verdana"/>
                <w:lang w:bidi="en-GB"/>
              </w:rPr>
              <w:t>exchange receivables and non-exchange recoverables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39</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(87)</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Increase/(decrease) in provisions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4</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Increase/(decrease) in financial liabilities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(4)</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(24)</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Increase/(decrease) in payables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28</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(179)</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 xml:space="preserve">Increase/(decrease) in accrued charges and </w:t>
            </w:r>
            <w:r>
              <w:rPr>
                <w:rFonts w:eastAsia="Verdana" w:cs="Verdana"/>
                <w:lang w:bidi="en-GB"/>
              </w:rPr>
              <w:t>deferred income</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(80)</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131</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bidi="en-GB"/>
              </w:rPr>
            </w:pP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r>
      <w:tr w:rsidR="005D681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NET CASHFLOW</w:t>
            </w:r>
          </w:p>
        </w:tc>
        <w:tc>
          <w:tcPr>
            <w:tcW w:w="85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177</w:t>
            </w:r>
          </w:p>
        </w:tc>
        <w:tc>
          <w:tcPr>
            <w:tcW w:w="184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113</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bidi="en-GB"/>
              </w:rPr>
            </w:pP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r>
      <w:tr w:rsidR="005D681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Net increase/(decrease) in cash and cash equivalents</w:t>
            </w:r>
          </w:p>
        </w:tc>
        <w:tc>
          <w:tcPr>
            <w:tcW w:w="85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177</w:t>
            </w:r>
          </w:p>
        </w:tc>
        <w:tc>
          <w:tcPr>
            <w:tcW w:w="184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113</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Cash and cash equivalents at the beginning of the year</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Centered"/>
              <w:rPr>
                <w:rFonts w:eastAsia="Verdana" w:cs="Verdana"/>
                <w:lang w:bidi="en-GB"/>
              </w:rPr>
            </w:pPr>
            <w:r>
              <w:rPr>
                <w:rFonts w:eastAsia="Verdana" w:cs="Verdana"/>
                <w:lang w:bidi="en-GB"/>
              </w:rPr>
              <w:t>2.4</w:t>
            </w: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504</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391</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Cash and cash equivalents at year-end</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Centered"/>
              <w:rPr>
                <w:rFonts w:eastAsia="Verdana" w:cs="Verdana"/>
                <w:lang w:bidi="en-GB"/>
              </w:rPr>
            </w:pPr>
            <w:r>
              <w:rPr>
                <w:rFonts w:eastAsia="Verdana" w:cs="Verdana"/>
                <w:lang w:bidi="en-GB"/>
              </w:rPr>
              <w:t>2.4</w:t>
            </w: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680</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504</w:t>
            </w:r>
          </w:p>
        </w:tc>
      </w:tr>
      <w:bookmarkEnd w:id="156"/>
    </w:tbl>
    <w:p w:rsidR="005D6812" w:rsidRDefault="005D6812">
      <w:pPr>
        <w:pStyle w:val="TOPHEADERNOTE"/>
        <w:rPr>
          <w:noProof/>
          <w:lang w:bidi="en-GB"/>
        </w:rPr>
        <w:sectPr w:rsidR="005D6812">
          <w:headerReference w:type="even" r:id="rId71"/>
          <w:headerReference w:type="default" r:id="rId72"/>
          <w:footerReference w:type="even" r:id="rId73"/>
          <w:footerReference w:type="default" r:id="rId74"/>
          <w:headerReference w:type="first" r:id="rId75"/>
          <w:footerReference w:type="first" r:id="rId76"/>
          <w:pgSz w:w="11906" w:h="16838"/>
          <w:pgMar w:top="1134" w:right="1134" w:bottom="1134" w:left="1134" w:header="709" w:footer="709" w:gutter="0"/>
          <w:cols w:space="708"/>
          <w:docGrid w:linePitch="360"/>
        </w:sectPr>
      </w:pPr>
    </w:p>
    <w:p w:rsidR="005D6812" w:rsidRDefault="00AB2A2B">
      <w:pPr>
        <w:pStyle w:val="HEADERTITLE1"/>
      </w:pPr>
      <w:bookmarkStart w:id="158" w:name="_Toc484164232"/>
      <w:bookmarkStart w:id="159" w:name="_DMBM_9450"/>
      <w:r>
        <w:t>EDF STATEMENT OF CHANGES IN NET ASSETS</w:t>
      </w:r>
      <w:bookmarkEnd w:id="158"/>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701"/>
        <w:gridCol w:w="1701"/>
        <w:gridCol w:w="1701"/>
        <w:gridCol w:w="1701"/>
        <w:gridCol w:w="2055"/>
        <w:gridCol w:w="2056"/>
      </w:tblGrid>
      <w:tr w:rsidR="005D6812">
        <w:tc>
          <w:tcPr>
            <w:tcW w:w="3652" w:type="dxa"/>
            <w:tcBorders>
              <w:top w:val="nil"/>
              <w:left w:val="nil"/>
              <w:bottom w:val="nil"/>
              <w:right w:val="nil"/>
            </w:tcBorders>
            <w:tcMar>
              <w:top w:w="0" w:type="dxa"/>
              <w:left w:w="108" w:type="dxa"/>
              <w:bottom w:w="0" w:type="dxa"/>
              <w:right w:w="108" w:type="dxa"/>
            </w:tcMar>
          </w:tcPr>
          <w:p w:rsidR="005D6812" w:rsidRDefault="005D6812">
            <w:pPr>
              <w:pStyle w:val="Text8pItalicLeft"/>
              <w:rPr>
                <w:rFonts w:eastAsia="Times New Roman" w:cs="Verdana"/>
                <w:color w:val="FFFFFF"/>
              </w:rPr>
            </w:pPr>
            <w:bookmarkStart w:id="160" w:name="DOC_TBL00004_1_1"/>
            <w:bookmarkEnd w:id="160"/>
          </w:p>
        </w:tc>
        <w:tc>
          <w:tcPr>
            <w:tcW w:w="1701"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701"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701"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701"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2055"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2056" w:type="dxa"/>
            <w:tcBorders>
              <w:top w:val="nil"/>
              <w:left w:val="nil"/>
              <w:bottom w:val="nil"/>
              <w:right w:val="nil"/>
            </w:tcBorders>
            <w:tcMar>
              <w:top w:w="0" w:type="dxa"/>
              <w:left w:w="108" w:type="dxa"/>
              <w:bottom w:w="0" w:type="dxa"/>
              <w:right w:w="108" w:type="dxa"/>
            </w:tcMar>
          </w:tcPr>
          <w:p w:rsidR="005D6812" w:rsidRDefault="00AB2A2B">
            <w:pPr>
              <w:pStyle w:val="Text8pItalicRight025EUR"/>
              <w:rPr>
                <w:rFonts w:eastAsia="Times New Roman" w:cs="Verdana"/>
              </w:rPr>
            </w:pPr>
            <w:r>
              <w:rPr>
                <w:rFonts w:eastAsia="Times New Roman" w:cs="Verdana"/>
              </w:rPr>
              <w:t>EUR millions</w:t>
            </w:r>
          </w:p>
        </w:tc>
      </w:tr>
      <w:tr w:rsidR="005D6812" w:rsidRPr="00AB2A2B">
        <w:trPr>
          <w:trHeight w:val="437"/>
        </w:trPr>
        <w:tc>
          <w:tcPr>
            <w:tcW w:w="3652"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Times New Roman" w:cs="Verdana"/>
              </w:rPr>
            </w:pPr>
          </w:p>
        </w:tc>
        <w:tc>
          <w:tcPr>
            <w:tcW w:w="1701"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Fund capital - active EDFs (A)</w:t>
            </w:r>
          </w:p>
        </w:tc>
        <w:tc>
          <w:tcPr>
            <w:tcW w:w="1701"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Uncalled funds - active EDFs (B)</w:t>
            </w:r>
          </w:p>
        </w:tc>
        <w:tc>
          <w:tcPr>
            <w:tcW w:w="1701"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Called fund capital</w:t>
            </w:r>
            <w:r>
              <w:rPr>
                <w:rFonts w:eastAsia="Times New Roman" w:cs="Verdana"/>
              </w:rPr>
              <w:t xml:space="preserve"> - active EDFs (C) = (A)-(B)</w:t>
            </w:r>
          </w:p>
        </w:tc>
        <w:tc>
          <w:tcPr>
            <w:tcW w:w="1701"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Cumulative Reserves (D)</w:t>
            </w:r>
          </w:p>
        </w:tc>
        <w:tc>
          <w:tcPr>
            <w:tcW w:w="2055"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Called fund capital from closed EDFs carried forward (E)</w:t>
            </w:r>
          </w:p>
        </w:tc>
        <w:tc>
          <w:tcPr>
            <w:tcW w:w="2056"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lang w:val="fr-BE"/>
              </w:rPr>
            </w:pPr>
            <w:r>
              <w:rPr>
                <w:rFonts w:eastAsia="Times New Roman" w:cs="Verdana"/>
                <w:lang w:val="fr-BE"/>
              </w:rPr>
              <w:t>Total Net Assets (C)+(D)+(E)</w:t>
            </w:r>
          </w:p>
        </w:tc>
      </w:tr>
      <w:tr w:rsidR="005D6812">
        <w:tc>
          <w:tcPr>
            <w:tcW w:w="365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ItalicBoldLeft"/>
              <w:rPr>
                <w:rFonts w:eastAsia="Times New Roman" w:cs="Verdana"/>
              </w:rPr>
            </w:pPr>
            <w:r>
              <w:rPr>
                <w:rFonts w:eastAsia="Times New Roman" w:cs="Verdana"/>
              </w:rPr>
              <w:t>BALANCE AS AT 31.12.2014</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45 691</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10 018</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35 673</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(36 994)</w:t>
            </w:r>
          </w:p>
        </w:tc>
        <w:tc>
          <w:tcPr>
            <w:tcW w:w="205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2 252</w:t>
            </w:r>
          </w:p>
        </w:tc>
        <w:tc>
          <w:tcPr>
            <w:tcW w:w="205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932</w:t>
            </w:r>
          </w:p>
        </w:tc>
      </w:tr>
      <w:tr w:rsidR="005D6812">
        <w:tc>
          <w:tcPr>
            <w:tcW w:w="3652"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Capital increase -  contributions</w:t>
            </w:r>
          </w:p>
        </w:tc>
        <w:tc>
          <w:tcPr>
            <w:tcW w:w="1701"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c>
          <w:tcPr>
            <w:tcW w:w="170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(4 795)</w:t>
            </w:r>
          </w:p>
        </w:tc>
        <w:tc>
          <w:tcPr>
            <w:tcW w:w="170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4 795</w:t>
            </w:r>
          </w:p>
        </w:tc>
        <w:tc>
          <w:tcPr>
            <w:tcW w:w="170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205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205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4 795</w:t>
            </w:r>
          </w:p>
        </w:tc>
      </w:tr>
      <w:tr w:rsidR="005D6812">
        <w:tc>
          <w:tcPr>
            <w:tcW w:w="3652"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Capital decrease - funds committed under the Bridging Facility</w:t>
            </w:r>
          </w:p>
        </w:tc>
        <w:tc>
          <w:tcPr>
            <w:tcW w:w="170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(1 595)</w:t>
            </w:r>
          </w:p>
        </w:tc>
        <w:tc>
          <w:tcPr>
            <w:tcW w:w="1701"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c>
          <w:tcPr>
            <w:tcW w:w="170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(1 595)</w:t>
            </w:r>
          </w:p>
        </w:tc>
        <w:tc>
          <w:tcPr>
            <w:tcW w:w="1701"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c>
          <w:tcPr>
            <w:tcW w:w="2055"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c>
          <w:tcPr>
            <w:tcW w:w="205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(1 595)</w:t>
            </w:r>
          </w:p>
        </w:tc>
      </w:tr>
      <w:tr w:rsidR="005D6812">
        <w:tc>
          <w:tcPr>
            <w:tcW w:w="3652"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Recognition of the 11th EDF capital</w:t>
            </w:r>
          </w:p>
        </w:tc>
        <w:tc>
          <w:tcPr>
            <w:tcW w:w="170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29 367</w:t>
            </w:r>
          </w:p>
        </w:tc>
        <w:tc>
          <w:tcPr>
            <w:tcW w:w="170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29 367</w:t>
            </w:r>
          </w:p>
        </w:tc>
        <w:tc>
          <w:tcPr>
            <w:tcW w:w="170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701"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c>
          <w:tcPr>
            <w:tcW w:w="2055"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c>
          <w:tcPr>
            <w:tcW w:w="205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r>
      <w:tr w:rsidR="005D6812">
        <w:tc>
          <w:tcPr>
            <w:tcW w:w="3652"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Economic result of the year</w:t>
            </w:r>
          </w:p>
        </w:tc>
        <w:tc>
          <w:tcPr>
            <w:tcW w:w="170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70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70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70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(3 152)</w:t>
            </w:r>
          </w:p>
        </w:tc>
        <w:tc>
          <w:tcPr>
            <w:tcW w:w="205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205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(3 152)</w:t>
            </w:r>
          </w:p>
        </w:tc>
      </w:tr>
      <w:tr w:rsidR="005D6812">
        <w:tc>
          <w:tcPr>
            <w:tcW w:w="365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ItalicBoldLeft"/>
              <w:rPr>
                <w:rFonts w:eastAsia="Times New Roman" w:cs="Verdana"/>
              </w:rPr>
            </w:pPr>
            <w:r>
              <w:rPr>
                <w:rFonts w:eastAsia="Times New Roman" w:cs="Verdana"/>
              </w:rPr>
              <w:t>BALANCE AS AT 31.12.2015</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73 464</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34 590</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38 </w:t>
            </w:r>
            <w:r>
              <w:rPr>
                <w:rFonts w:eastAsia="Times New Roman" w:cs="Verdana"/>
              </w:rPr>
              <w:t>873</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(40 146)</w:t>
            </w:r>
          </w:p>
        </w:tc>
        <w:tc>
          <w:tcPr>
            <w:tcW w:w="205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2 252</w:t>
            </w:r>
          </w:p>
        </w:tc>
        <w:tc>
          <w:tcPr>
            <w:tcW w:w="205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980</w:t>
            </w:r>
          </w:p>
        </w:tc>
      </w:tr>
      <w:tr w:rsidR="005D6812">
        <w:tc>
          <w:tcPr>
            <w:tcW w:w="3652"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Capital increase - contributions</w:t>
            </w:r>
          </w:p>
        </w:tc>
        <w:tc>
          <w:tcPr>
            <w:tcW w:w="1701"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c>
          <w:tcPr>
            <w:tcW w:w="170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(3 450)</w:t>
            </w:r>
          </w:p>
        </w:tc>
        <w:tc>
          <w:tcPr>
            <w:tcW w:w="170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3 450</w:t>
            </w:r>
          </w:p>
        </w:tc>
        <w:tc>
          <w:tcPr>
            <w:tcW w:w="1701"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c>
          <w:tcPr>
            <w:tcW w:w="2055"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c>
          <w:tcPr>
            <w:tcW w:w="205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3 450</w:t>
            </w:r>
          </w:p>
        </w:tc>
      </w:tr>
      <w:tr w:rsidR="005D6812">
        <w:tc>
          <w:tcPr>
            <w:tcW w:w="3652"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Economic result of the year</w:t>
            </w:r>
          </w:p>
        </w:tc>
        <w:tc>
          <w:tcPr>
            <w:tcW w:w="1701"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c>
          <w:tcPr>
            <w:tcW w:w="1701"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c>
          <w:tcPr>
            <w:tcW w:w="170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70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(3 073)</w:t>
            </w:r>
          </w:p>
        </w:tc>
        <w:tc>
          <w:tcPr>
            <w:tcW w:w="2055"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c>
          <w:tcPr>
            <w:tcW w:w="205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(3 073)</w:t>
            </w:r>
          </w:p>
        </w:tc>
      </w:tr>
      <w:tr w:rsidR="005D6812">
        <w:tc>
          <w:tcPr>
            <w:tcW w:w="365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ItalicBoldLeft"/>
              <w:rPr>
                <w:rFonts w:eastAsia="Times New Roman" w:cs="Verdana"/>
              </w:rPr>
            </w:pPr>
            <w:r>
              <w:rPr>
                <w:rFonts w:eastAsia="Times New Roman" w:cs="Verdana"/>
              </w:rPr>
              <w:t>BALANCE AS AT 31.12.2016</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73 464</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31 140</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42 323</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(43 219)</w:t>
            </w:r>
          </w:p>
        </w:tc>
        <w:tc>
          <w:tcPr>
            <w:tcW w:w="205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2 252</w:t>
            </w:r>
          </w:p>
        </w:tc>
        <w:tc>
          <w:tcPr>
            <w:tcW w:w="205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1 357</w:t>
            </w:r>
          </w:p>
        </w:tc>
      </w:tr>
    </w:tbl>
    <w:p w:rsidR="005D6812" w:rsidRDefault="00AB2A2B">
      <w:pPr>
        <w:pStyle w:val="Textstand-alone"/>
        <w:sectPr w:rsidR="005D6812">
          <w:headerReference w:type="even" r:id="rId77"/>
          <w:headerReference w:type="default" r:id="rId78"/>
          <w:footerReference w:type="even" r:id="rId79"/>
          <w:footerReference w:type="default" r:id="rId80"/>
          <w:headerReference w:type="first" r:id="rId81"/>
          <w:footerReference w:type="first" r:id="rId82"/>
          <w:pgSz w:w="16838" w:h="11906" w:orient="landscape"/>
          <w:pgMar w:top="1134" w:right="1134" w:bottom="1134" w:left="1134" w:header="708" w:footer="708" w:gutter="0"/>
          <w:cols w:space="708"/>
          <w:docGrid w:linePitch="360"/>
        </w:sectPr>
      </w:pPr>
      <w:r>
        <w:t xml:space="preserve"> </w:t>
      </w:r>
      <w:bookmarkEnd w:id="159"/>
    </w:p>
    <w:p w:rsidR="005D6812" w:rsidRDefault="00AB2A2B">
      <w:pPr>
        <w:pStyle w:val="Textstand-alone"/>
        <w:rPr>
          <w:lang w:val="fr-BE"/>
        </w:rPr>
        <w:sectPr w:rsidR="005D6812">
          <w:headerReference w:type="even" r:id="rId83"/>
          <w:headerReference w:type="default" r:id="rId84"/>
          <w:footerReference w:type="even" r:id="rId85"/>
          <w:footerReference w:type="default" r:id="rId86"/>
          <w:headerReference w:type="first" r:id="rId87"/>
          <w:footerReference w:type="first" r:id="rId88"/>
          <w:pgSz w:w="16838" w:h="11906" w:orient="landscape"/>
          <w:pgMar w:top="1134" w:right="1134" w:bottom="1134" w:left="1134" w:header="708" w:footer="708" w:gutter="0"/>
          <w:cols w:space="708"/>
          <w:docGrid w:linePitch="360"/>
        </w:sectPr>
      </w:pPr>
      <w:bookmarkStart w:id="161" w:name="_DMBM_9505"/>
      <w:r>
        <w:rPr>
          <w:lang w:val="fr-BE"/>
        </w:rPr>
        <w:t xml:space="preserve"> </w:t>
      </w:r>
      <w:bookmarkEnd w:id="161"/>
    </w:p>
    <w:p w:rsidR="005D6812" w:rsidRDefault="00AB2A2B">
      <w:pPr>
        <w:pStyle w:val="HEADERTITLE1"/>
      </w:pPr>
      <w:bookmarkStart w:id="162" w:name="_Toc484164233"/>
      <w:bookmarkStart w:id="163" w:name="_DMBM_9525"/>
      <w:r>
        <w:t>BALANCE SHEET BY EDF</w:t>
      </w:r>
      <w:bookmarkEnd w:id="162"/>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992"/>
        <w:gridCol w:w="1134"/>
        <w:gridCol w:w="993"/>
        <w:gridCol w:w="1275"/>
        <w:gridCol w:w="1276"/>
        <w:gridCol w:w="284"/>
        <w:gridCol w:w="1275"/>
        <w:gridCol w:w="1418"/>
        <w:gridCol w:w="992"/>
        <w:gridCol w:w="1418"/>
      </w:tblGrid>
      <w:tr w:rsidR="005D6812">
        <w:tc>
          <w:tcPr>
            <w:tcW w:w="2518"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164" w:name="DOC_TBL00005_1_1"/>
            <w:bookmarkEnd w:id="164"/>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28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i w:val="0"/>
                <w:lang w:bidi="en-GB"/>
              </w:rPr>
            </w:pPr>
            <w:r>
              <w:rPr>
                <w:rFonts w:eastAsia="Verdana" w:cs="Verdana"/>
                <w:i w:val="0"/>
                <w:lang w:bidi="en-GB"/>
              </w:rPr>
              <w:t xml:space="preserve"> EUR millions</w:t>
            </w:r>
          </w:p>
        </w:tc>
      </w:tr>
      <w:tr w:rsidR="005D6812">
        <w:trPr>
          <w:trHeight w:val="437"/>
        </w:trPr>
        <w:tc>
          <w:tcPr>
            <w:tcW w:w="2518"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7pNormalCentered"/>
              <w:rPr>
                <w:rFonts w:eastAsia="Verdana" w:cs="Verdana"/>
                <w:lang w:bidi="en-GB"/>
              </w:rPr>
            </w:pPr>
          </w:p>
        </w:tc>
        <w:tc>
          <w:tcPr>
            <w:tcW w:w="992"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7pNormalRight01"/>
              <w:rPr>
                <w:rFonts w:eastAsia="Verdana" w:cs="Verdana"/>
                <w:noProof/>
                <w:lang w:bidi="en-GB"/>
              </w:rPr>
            </w:pPr>
          </w:p>
        </w:tc>
        <w:tc>
          <w:tcPr>
            <w:tcW w:w="1134"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7pNormalRight01"/>
              <w:rPr>
                <w:rFonts w:eastAsia="Verdana" w:cs="Verdana"/>
                <w:noProof/>
                <w:lang w:bidi="en-GB"/>
              </w:rPr>
            </w:pPr>
            <w:r>
              <w:rPr>
                <w:rFonts w:eastAsia="Verdana" w:cs="Verdana"/>
                <w:noProof/>
                <w:lang w:bidi="en-GB"/>
              </w:rPr>
              <w:t>31.12.2016</w:t>
            </w:r>
          </w:p>
        </w:tc>
        <w:tc>
          <w:tcPr>
            <w:tcW w:w="993"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7pNormalRight01"/>
              <w:rPr>
                <w:rFonts w:eastAsia="Verdana" w:cs="Verdana"/>
                <w:noProof/>
                <w:lang w:bidi="en-GB"/>
              </w:rPr>
            </w:pPr>
          </w:p>
        </w:tc>
        <w:tc>
          <w:tcPr>
            <w:tcW w:w="1275"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7pNormalRight01"/>
              <w:rPr>
                <w:rFonts w:eastAsia="Verdana" w:cs="Verdana"/>
                <w:noProof/>
                <w:lang w:bidi="en-GB"/>
              </w:rPr>
            </w:pPr>
          </w:p>
        </w:tc>
        <w:tc>
          <w:tcPr>
            <w:tcW w:w="1276"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7pNormalRight01"/>
              <w:rPr>
                <w:rFonts w:eastAsia="Verdana" w:cs="Verdana"/>
                <w:noProof/>
                <w:lang w:bidi="en-GB"/>
              </w:rPr>
            </w:pPr>
          </w:p>
        </w:tc>
        <w:tc>
          <w:tcPr>
            <w:tcW w:w="284"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7pNormalRight01"/>
              <w:rPr>
                <w:rFonts w:eastAsia="Verdana" w:cs="Verdana"/>
                <w:noProof/>
                <w:lang w:bidi="en-GB"/>
              </w:rPr>
            </w:pPr>
          </w:p>
        </w:tc>
        <w:tc>
          <w:tcPr>
            <w:tcW w:w="1275"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7pNormalRight01"/>
              <w:rPr>
                <w:rFonts w:eastAsia="Verdana" w:cs="Verdana"/>
                <w:noProof/>
                <w:lang w:bidi="en-GB"/>
              </w:rPr>
            </w:pPr>
            <w:r>
              <w:rPr>
                <w:rFonts w:eastAsia="Verdana" w:cs="Verdana"/>
                <w:noProof/>
                <w:lang w:bidi="en-GB"/>
              </w:rPr>
              <w:t>31.12.2015</w:t>
            </w:r>
          </w:p>
        </w:tc>
        <w:tc>
          <w:tcPr>
            <w:tcW w:w="1418"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7pNormalRight01"/>
              <w:rPr>
                <w:rFonts w:eastAsia="Verdana" w:cs="Verdana"/>
                <w:noProof/>
                <w:lang w:bidi="en-GB"/>
              </w:rPr>
            </w:pPr>
          </w:p>
        </w:tc>
        <w:tc>
          <w:tcPr>
            <w:tcW w:w="992"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7pNormalRight01"/>
              <w:rPr>
                <w:rFonts w:eastAsia="Verdana" w:cs="Verdana"/>
                <w:noProof/>
                <w:lang w:bidi="en-GB"/>
              </w:rPr>
            </w:pPr>
          </w:p>
        </w:tc>
        <w:tc>
          <w:tcPr>
            <w:tcW w:w="1418"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7pNormalRight01"/>
              <w:rPr>
                <w:rFonts w:eastAsia="Verdana" w:cs="Verdana"/>
                <w:noProof/>
                <w:lang w:bidi="en-GB"/>
              </w:rPr>
            </w:pPr>
          </w:p>
        </w:tc>
      </w:tr>
      <w:tr w:rsidR="005D6812">
        <w:trPr>
          <w:trHeight w:val="437"/>
        </w:trPr>
        <w:tc>
          <w:tcPr>
            <w:tcW w:w="2518"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7pNormalCentered"/>
              <w:rPr>
                <w:rFonts w:eastAsia="Verdana" w:cs="Verdana"/>
                <w:lang w:bidi="en-GB"/>
              </w:rPr>
            </w:pPr>
          </w:p>
        </w:tc>
        <w:tc>
          <w:tcPr>
            <w:tcW w:w="99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7pNormalRight01"/>
              <w:rPr>
                <w:rFonts w:eastAsia="Verdana" w:cs="Verdana"/>
                <w:noProof/>
                <w:lang w:bidi="en-GB"/>
              </w:rPr>
            </w:pPr>
            <w:r>
              <w:rPr>
                <w:rFonts w:eastAsia="Verdana" w:cs="Verdana"/>
                <w:noProof/>
                <w:lang w:bidi="en-GB"/>
              </w:rPr>
              <w:t>Note</w:t>
            </w:r>
          </w:p>
        </w:tc>
        <w:tc>
          <w:tcPr>
            <w:tcW w:w="1134"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7pNormalRight01"/>
              <w:rPr>
                <w:rFonts w:eastAsia="Verdana" w:cs="Verdana"/>
                <w:noProof/>
                <w:lang w:bidi="en-GB"/>
              </w:rPr>
            </w:pPr>
            <w:r>
              <w:rPr>
                <w:rFonts w:eastAsia="Verdana" w:cs="Verdana"/>
                <w:noProof/>
                <w:lang w:bidi="en-GB"/>
              </w:rPr>
              <w:t>Eighth EDF</w:t>
            </w:r>
          </w:p>
        </w:tc>
        <w:tc>
          <w:tcPr>
            <w:tcW w:w="993"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7pNormalRight01"/>
              <w:rPr>
                <w:rFonts w:eastAsia="Verdana" w:cs="Verdana"/>
                <w:noProof/>
                <w:lang w:bidi="en-GB"/>
              </w:rPr>
            </w:pPr>
            <w:r>
              <w:rPr>
                <w:rFonts w:eastAsia="Verdana" w:cs="Verdana"/>
                <w:noProof/>
                <w:lang w:bidi="en-GB"/>
              </w:rPr>
              <w:t>Ninth EDF</w:t>
            </w:r>
          </w:p>
        </w:tc>
        <w:tc>
          <w:tcPr>
            <w:tcW w:w="1275"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7pNormalRight01"/>
              <w:rPr>
                <w:rFonts w:eastAsia="Verdana" w:cs="Verdana"/>
                <w:noProof/>
                <w:lang w:bidi="en-GB"/>
              </w:rPr>
            </w:pPr>
            <w:r>
              <w:rPr>
                <w:rFonts w:eastAsia="Verdana" w:cs="Verdana"/>
                <w:noProof/>
                <w:lang w:bidi="en-GB"/>
              </w:rPr>
              <w:t>10th EDF</w:t>
            </w:r>
          </w:p>
        </w:tc>
        <w:tc>
          <w:tcPr>
            <w:tcW w:w="1276"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7pNormalRight01"/>
              <w:rPr>
                <w:rFonts w:eastAsia="Verdana" w:cs="Verdana"/>
                <w:noProof/>
                <w:lang w:bidi="en-GB"/>
              </w:rPr>
            </w:pPr>
            <w:r>
              <w:rPr>
                <w:rFonts w:eastAsia="Verdana" w:cs="Verdana"/>
                <w:noProof/>
                <w:lang w:bidi="en-GB"/>
              </w:rPr>
              <w:t>11th EDF</w:t>
            </w:r>
          </w:p>
        </w:tc>
        <w:tc>
          <w:tcPr>
            <w:tcW w:w="284"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7pNormalRight01"/>
              <w:rPr>
                <w:rFonts w:eastAsia="Verdana" w:cs="Verdana"/>
                <w:noProof/>
                <w:lang w:bidi="en-GB"/>
              </w:rPr>
            </w:pPr>
          </w:p>
        </w:tc>
        <w:tc>
          <w:tcPr>
            <w:tcW w:w="1275"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7pNormalRight01"/>
              <w:rPr>
                <w:rFonts w:eastAsia="Verdana" w:cs="Verdana"/>
                <w:noProof/>
                <w:lang w:bidi="en-GB"/>
              </w:rPr>
            </w:pPr>
            <w:r>
              <w:rPr>
                <w:rFonts w:eastAsia="Verdana" w:cs="Verdana"/>
                <w:noProof/>
                <w:lang w:bidi="en-GB"/>
              </w:rPr>
              <w:t>Eighth EDF</w:t>
            </w:r>
          </w:p>
        </w:tc>
        <w:tc>
          <w:tcPr>
            <w:tcW w:w="1418"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7pNormalRight01"/>
              <w:rPr>
                <w:rFonts w:eastAsia="Verdana" w:cs="Verdana"/>
                <w:noProof/>
                <w:lang w:bidi="en-GB"/>
              </w:rPr>
            </w:pPr>
            <w:r>
              <w:rPr>
                <w:rFonts w:eastAsia="Verdana" w:cs="Verdana"/>
                <w:noProof/>
                <w:lang w:bidi="en-GB"/>
              </w:rPr>
              <w:t>Ninth EDF</w:t>
            </w:r>
          </w:p>
        </w:tc>
        <w:tc>
          <w:tcPr>
            <w:tcW w:w="99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7pNormalRight01"/>
              <w:rPr>
                <w:rFonts w:eastAsia="Verdana" w:cs="Verdana"/>
                <w:noProof/>
                <w:lang w:bidi="en-GB"/>
              </w:rPr>
            </w:pPr>
            <w:r>
              <w:rPr>
                <w:rFonts w:eastAsia="Verdana" w:cs="Verdana"/>
                <w:noProof/>
                <w:lang w:bidi="en-GB"/>
              </w:rPr>
              <w:t>10th EDF</w:t>
            </w:r>
          </w:p>
        </w:tc>
        <w:tc>
          <w:tcPr>
            <w:tcW w:w="1418"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7pNormalRight01"/>
              <w:rPr>
                <w:rFonts w:eastAsia="Verdana" w:cs="Verdana"/>
                <w:noProof/>
                <w:lang w:bidi="en-GB"/>
              </w:rPr>
            </w:pPr>
            <w:r>
              <w:rPr>
                <w:rFonts w:eastAsia="Verdana" w:cs="Verdana"/>
                <w:noProof/>
                <w:lang w:bidi="en-GB"/>
              </w:rPr>
              <w:t>11th EDF</w:t>
            </w:r>
          </w:p>
        </w:tc>
      </w:tr>
      <w:tr w:rsidR="005D6812">
        <w:tc>
          <w:tcPr>
            <w:tcW w:w="25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7pBoldLeft"/>
              <w:rPr>
                <w:rFonts w:eastAsia="Verdana" w:cs="Verdana"/>
                <w:lang w:bidi="en-GB"/>
              </w:rPr>
            </w:pPr>
            <w:r>
              <w:rPr>
                <w:rFonts w:eastAsia="Verdana" w:cs="Verdana"/>
                <w:lang w:bidi="en-GB"/>
              </w:rPr>
              <w:t>NON-CURRENT ASSETS</w:t>
            </w:r>
          </w:p>
        </w:tc>
        <w:tc>
          <w:tcPr>
            <w:tcW w:w="992"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134"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993"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275"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276"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284"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275"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992"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r>
      <w:tr w:rsidR="005D6812">
        <w:tc>
          <w:tcPr>
            <w:tcW w:w="25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7pItalicLeft"/>
              <w:rPr>
                <w:rFonts w:eastAsia="Verdana" w:cs="Verdana"/>
                <w:lang w:bidi="en-GB"/>
              </w:rPr>
            </w:pPr>
            <w:r>
              <w:rPr>
                <w:rFonts w:eastAsia="Verdana" w:cs="Verdana"/>
                <w:lang w:bidi="en-GB"/>
              </w:rPr>
              <w:t>Pre-financing</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2.1</w:t>
            </w: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32</w:t>
            </w: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242</w:t>
            </w: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135</w:t>
            </w:r>
          </w:p>
        </w:tc>
        <w:tc>
          <w:tcPr>
            <w:tcW w:w="28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63</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368</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84</w:t>
            </w:r>
          </w:p>
        </w:tc>
      </w:tr>
      <w:tr w:rsidR="005D6812">
        <w:tc>
          <w:tcPr>
            <w:tcW w:w="2518"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7pItalicLeft"/>
              <w:rPr>
                <w:rFonts w:eastAsia="Verdana" w:cs="Verdana"/>
                <w:lang w:bidi="en-GB"/>
              </w:rPr>
            </w:pPr>
            <w:r>
              <w:rPr>
                <w:rFonts w:eastAsia="Verdana" w:cs="Verdana"/>
                <w:lang w:bidi="en-GB"/>
              </w:rPr>
              <w:t>Trust Fund contributions</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2.2</w:t>
            </w:r>
          </w:p>
        </w:tc>
        <w:tc>
          <w:tcPr>
            <w:tcW w:w="1134"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993"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1275"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1276"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98</w:t>
            </w:r>
          </w:p>
        </w:tc>
        <w:tc>
          <w:tcPr>
            <w:tcW w:w="284"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5"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34</w:t>
            </w:r>
          </w:p>
        </w:tc>
      </w:tr>
      <w:tr w:rsidR="005D6812">
        <w:tc>
          <w:tcPr>
            <w:tcW w:w="2518"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Text7pBoldLeft"/>
              <w:rPr>
                <w:rFonts w:eastAsia="Verdana" w:cs="Verdana"/>
                <w:lang w:bidi="en-GB"/>
              </w:rPr>
            </w:pPr>
          </w:p>
        </w:tc>
        <w:tc>
          <w:tcPr>
            <w:tcW w:w="992"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7pBoldRight025"/>
              <w:rPr>
                <w:rFonts w:eastAsia="Verdana" w:cs="Verdana"/>
                <w:lang w:bidi="en-GB"/>
              </w:rPr>
            </w:pPr>
          </w:p>
        </w:tc>
        <w:tc>
          <w:tcPr>
            <w:tcW w:w="1134"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w:t>
            </w:r>
          </w:p>
        </w:tc>
        <w:tc>
          <w:tcPr>
            <w:tcW w:w="993"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32</w:t>
            </w:r>
          </w:p>
        </w:tc>
        <w:tc>
          <w:tcPr>
            <w:tcW w:w="1275"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242</w:t>
            </w:r>
          </w:p>
        </w:tc>
        <w:tc>
          <w:tcPr>
            <w:tcW w:w="1276"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232</w:t>
            </w:r>
          </w:p>
        </w:tc>
        <w:tc>
          <w:tcPr>
            <w:tcW w:w="284"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7pBoldRight025"/>
              <w:rPr>
                <w:rFonts w:eastAsia="Verdana" w:cs="Verdana"/>
                <w:lang w:bidi="en-GB"/>
              </w:rPr>
            </w:pPr>
          </w:p>
        </w:tc>
        <w:tc>
          <w:tcPr>
            <w:tcW w:w="1275"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w:t>
            </w:r>
          </w:p>
        </w:tc>
        <w:tc>
          <w:tcPr>
            <w:tcW w:w="1418"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63</w:t>
            </w:r>
          </w:p>
        </w:tc>
        <w:tc>
          <w:tcPr>
            <w:tcW w:w="992"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368</w:t>
            </w:r>
          </w:p>
        </w:tc>
        <w:tc>
          <w:tcPr>
            <w:tcW w:w="1418"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118</w:t>
            </w:r>
          </w:p>
        </w:tc>
      </w:tr>
      <w:tr w:rsidR="005D6812">
        <w:tc>
          <w:tcPr>
            <w:tcW w:w="25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7pBoldLeft"/>
              <w:rPr>
                <w:rFonts w:eastAsia="Verdana" w:cs="Verdana"/>
                <w:lang w:bidi="en-GB"/>
              </w:rPr>
            </w:pPr>
            <w:r>
              <w:rPr>
                <w:rFonts w:eastAsia="Verdana" w:cs="Verdana"/>
                <w:lang w:bidi="en-GB"/>
              </w:rPr>
              <w:t xml:space="preserve">CURRENT </w:t>
            </w:r>
            <w:r>
              <w:rPr>
                <w:rFonts w:eastAsia="Verdana" w:cs="Verdana"/>
                <w:lang w:bidi="en-GB"/>
              </w:rPr>
              <w:t>ASSETS</w:t>
            </w:r>
          </w:p>
        </w:tc>
        <w:tc>
          <w:tcPr>
            <w:tcW w:w="992"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134"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993"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275"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276"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284"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275"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992"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r>
      <w:tr w:rsidR="005D6812">
        <w:tc>
          <w:tcPr>
            <w:tcW w:w="25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7pItalicLeft"/>
              <w:rPr>
                <w:rFonts w:eastAsia="Verdana" w:cs="Verdana"/>
                <w:lang w:bidi="en-GB"/>
              </w:rPr>
            </w:pPr>
            <w:r>
              <w:rPr>
                <w:rFonts w:eastAsia="Verdana" w:cs="Verdana"/>
                <w:lang w:bidi="en-GB"/>
              </w:rPr>
              <w:t>Pre-financing</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2.1</w:t>
            </w: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1</w:t>
            </w: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50</w:t>
            </w: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909</w:t>
            </w: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412</w:t>
            </w:r>
          </w:p>
        </w:tc>
        <w:tc>
          <w:tcPr>
            <w:tcW w:w="28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3</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67</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879</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195</w:t>
            </w:r>
          </w:p>
        </w:tc>
      </w:tr>
      <w:tr w:rsidR="005D6812">
        <w:tc>
          <w:tcPr>
            <w:tcW w:w="25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7pItalicLeft"/>
              <w:rPr>
                <w:rFonts w:eastAsia="Verdana" w:cs="Verdana"/>
                <w:lang w:bidi="en-GB"/>
              </w:rPr>
            </w:pPr>
            <w:r>
              <w:rPr>
                <w:rFonts w:eastAsia="Verdana" w:cs="Verdana"/>
                <w:lang w:bidi="en-GB"/>
              </w:rPr>
              <w:t>Exchange receivables and non-exchange recoverables</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2.3</w:t>
            </w: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1</w:t>
            </w: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71</w:t>
            </w: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59</w:t>
            </w: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2</w:t>
            </w:r>
          </w:p>
        </w:tc>
        <w:tc>
          <w:tcPr>
            <w:tcW w:w="28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1</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65</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103</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2</w:t>
            </w:r>
          </w:p>
        </w:tc>
      </w:tr>
      <w:tr w:rsidR="005D6812">
        <w:tc>
          <w:tcPr>
            <w:tcW w:w="25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7pItalicLeft"/>
              <w:rPr>
                <w:rFonts w:eastAsia="Verdana" w:cs="Verdana"/>
                <w:lang w:bidi="en-GB"/>
              </w:rPr>
            </w:pPr>
            <w:r>
              <w:rPr>
                <w:rFonts w:eastAsia="Verdana" w:cs="Verdana"/>
                <w:lang w:bidi="en-GB"/>
              </w:rPr>
              <w:t>Liaison accounts</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2.3</w:t>
            </w: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196</w:t>
            </w: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424</w:t>
            </w: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3 424</w:t>
            </w: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28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214</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657</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1 190</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r>
      <w:tr w:rsidR="005D6812">
        <w:tc>
          <w:tcPr>
            <w:tcW w:w="2518"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7pItalicLeft"/>
              <w:rPr>
                <w:rFonts w:eastAsia="Verdana" w:cs="Verdana"/>
                <w:lang w:bidi="en-GB"/>
              </w:rPr>
            </w:pPr>
            <w:r>
              <w:rPr>
                <w:rFonts w:eastAsia="Verdana" w:cs="Verdana"/>
                <w:lang w:bidi="en-GB"/>
              </w:rPr>
              <w:t>Cash and cash equivalents</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2.4</w:t>
            </w:r>
          </w:p>
        </w:tc>
        <w:tc>
          <w:tcPr>
            <w:tcW w:w="1134"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993"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1275"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1276"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680</w:t>
            </w:r>
          </w:p>
        </w:tc>
        <w:tc>
          <w:tcPr>
            <w:tcW w:w="284"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5"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504</w:t>
            </w:r>
          </w:p>
        </w:tc>
      </w:tr>
      <w:tr w:rsidR="005D6812">
        <w:tc>
          <w:tcPr>
            <w:tcW w:w="2518"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Text7pBoldLeft"/>
              <w:rPr>
                <w:rFonts w:eastAsia="Verdana" w:cs="Verdana"/>
                <w:lang w:bidi="en-GB"/>
              </w:rPr>
            </w:pPr>
          </w:p>
        </w:tc>
        <w:tc>
          <w:tcPr>
            <w:tcW w:w="992"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7pBoldRight025"/>
              <w:rPr>
                <w:rFonts w:eastAsia="Verdana" w:cs="Verdana"/>
                <w:lang w:bidi="en-GB"/>
              </w:rPr>
            </w:pPr>
          </w:p>
        </w:tc>
        <w:tc>
          <w:tcPr>
            <w:tcW w:w="1134"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198</w:t>
            </w:r>
          </w:p>
        </w:tc>
        <w:tc>
          <w:tcPr>
            <w:tcW w:w="993"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544</w:t>
            </w:r>
          </w:p>
        </w:tc>
        <w:tc>
          <w:tcPr>
            <w:tcW w:w="1275"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4 391</w:t>
            </w:r>
          </w:p>
        </w:tc>
        <w:tc>
          <w:tcPr>
            <w:tcW w:w="1276"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1 094</w:t>
            </w:r>
          </w:p>
        </w:tc>
        <w:tc>
          <w:tcPr>
            <w:tcW w:w="284"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7pBoldRight025"/>
              <w:rPr>
                <w:rFonts w:eastAsia="Verdana" w:cs="Verdana"/>
                <w:lang w:bidi="en-GB"/>
              </w:rPr>
            </w:pPr>
          </w:p>
        </w:tc>
        <w:tc>
          <w:tcPr>
            <w:tcW w:w="1275"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218</w:t>
            </w:r>
          </w:p>
        </w:tc>
        <w:tc>
          <w:tcPr>
            <w:tcW w:w="1418"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790</w:t>
            </w:r>
          </w:p>
        </w:tc>
        <w:tc>
          <w:tcPr>
            <w:tcW w:w="992"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2 172</w:t>
            </w:r>
          </w:p>
        </w:tc>
        <w:tc>
          <w:tcPr>
            <w:tcW w:w="1418"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701</w:t>
            </w:r>
          </w:p>
        </w:tc>
      </w:tr>
      <w:tr w:rsidR="005D6812">
        <w:tc>
          <w:tcPr>
            <w:tcW w:w="25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7pBoldLeft"/>
              <w:rPr>
                <w:rFonts w:eastAsia="Verdana" w:cs="Verdana"/>
                <w:lang w:bidi="en-GB"/>
              </w:rPr>
            </w:pPr>
            <w:r>
              <w:rPr>
                <w:rFonts w:eastAsia="Verdana" w:cs="Verdana"/>
                <w:lang w:bidi="en-GB"/>
              </w:rPr>
              <w:t>TOTAL ASSETS</w:t>
            </w:r>
          </w:p>
        </w:tc>
        <w:tc>
          <w:tcPr>
            <w:tcW w:w="992"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134"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198</w:t>
            </w:r>
          </w:p>
        </w:tc>
        <w:tc>
          <w:tcPr>
            <w:tcW w:w="99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577</w:t>
            </w:r>
          </w:p>
        </w:tc>
        <w:tc>
          <w:tcPr>
            <w:tcW w:w="127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4 633</w:t>
            </w:r>
          </w:p>
        </w:tc>
        <w:tc>
          <w:tcPr>
            <w:tcW w:w="127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1 327</w:t>
            </w:r>
          </w:p>
        </w:tc>
        <w:tc>
          <w:tcPr>
            <w:tcW w:w="284"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27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218</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853</w:t>
            </w:r>
          </w:p>
        </w:tc>
        <w:tc>
          <w:tcPr>
            <w:tcW w:w="99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2 541</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819</w:t>
            </w:r>
          </w:p>
        </w:tc>
      </w:tr>
      <w:tr w:rsidR="005D6812">
        <w:tc>
          <w:tcPr>
            <w:tcW w:w="2518"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7pItalicLeft"/>
              <w:rPr>
                <w:rFonts w:eastAsia="Verdana" w:cs="Verdana"/>
                <w:lang w:bidi="en-GB"/>
              </w:rPr>
            </w:pP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28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r>
      <w:tr w:rsidR="005D6812">
        <w:tc>
          <w:tcPr>
            <w:tcW w:w="25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7pBoldLeft"/>
              <w:rPr>
                <w:rFonts w:eastAsia="Verdana" w:cs="Verdana"/>
                <w:lang w:bidi="en-GB"/>
              </w:rPr>
            </w:pPr>
            <w:r>
              <w:rPr>
                <w:rFonts w:eastAsia="Verdana" w:cs="Verdana"/>
                <w:lang w:bidi="en-GB"/>
              </w:rPr>
              <w:t>NON-CURRENT LIABILITIES</w:t>
            </w:r>
          </w:p>
        </w:tc>
        <w:tc>
          <w:tcPr>
            <w:tcW w:w="992"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134"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993"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275"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276"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284"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275"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992"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r>
      <w:tr w:rsidR="005D6812">
        <w:tc>
          <w:tcPr>
            <w:tcW w:w="25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7pItalicLeft"/>
              <w:rPr>
                <w:rFonts w:eastAsia="Verdana" w:cs="Verdana"/>
                <w:lang w:bidi="en-GB"/>
              </w:rPr>
            </w:pPr>
            <w:r>
              <w:rPr>
                <w:rFonts w:eastAsia="Verdana" w:cs="Verdana"/>
                <w:lang w:bidi="en-GB"/>
              </w:rPr>
              <w:t>Provisions</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2.5</w:t>
            </w: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(4)</w:t>
            </w:r>
          </w:p>
        </w:tc>
        <w:tc>
          <w:tcPr>
            <w:tcW w:w="28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(4)</w:t>
            </w:r>
          </w:p>
        </w:tc>
      </w:tr>
      <w:tr w:rsidR="005D6812">
        <w:tc>
          <w:tcPr>
            <w:tcW w:w="2518"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7pItalicLeft"/>
              <w:rPr>
                <w:rFonts w:eastAsia="Verdana" w:cs="Verdana"/>
                <w:lang w:bidi="en-GB"/>
              </w:rPr>
            </w:pPr>
            <w:r>
              <w:rPr>
                <w:rFonts w:eastAsia="Verdana" w:cs="Verdana"/>
                <w:lang w:bidi="en-GB"/>
              </w:rPr>
              <w:t>Financial liabilities</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2.6</w:t>
            </w:r>
          </w:p>
        </w:tc>
        <w:tc>
          <w:tcPr>
            <w:tcW w:w="1134"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993"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1275"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(6)</w:t>
            </w:r>
          </w:p>
        </w:tc>
        <w:tc>
          <w:tcPr>
            <w:tcW w:w="1276"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284"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5"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(10)</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r>
      <w:tr w:rsidR="005D6812">
        <w:tc>
          <w:tcPr>
            <w:tcW w:w="2518"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Text7pBoldLeft"/>
              <w:rPr>
                <w:rFonts w:eastAsia="Verdana" w:cs="Verdana"/>
                <w:lang w:bidi="en-GB"/>
              </w:rPr>
            </w:pPr>
          </w:p>
        </w:tc>
        <w:tc>
          <w:tcPr>
            <w:tcW w:w="992"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7pBoldRight025"/>
              <w:rPr>
                <w:rFonts w:eastAsia="Verdana" w:cs="Verdana"/>
                <w:lang w:bidi="en-GB"/>
              </w:rPr>
            </w:pPr>
          </w:p>
        </w:tc>
        <w:tc>
          <w:tcPr>
            <w:tcW w:w="1134"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w:t>
            </w:r>
          </w:p>
        </w:tc>
        <w:tc>
          <w:tcPr>
            <w:tcW w:w="993"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w:t>
            </w:r>
          </w:p>
        </w:tc>
        <w:tc>
          <w:tcPr>
            <w:tcW w:w="1275"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(6)</w:t>
            </w:r>
          </w:p>
        </w:tc>
        <w:tc>
          <w:tcPr>
            <w:tcW w:w="1276"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(4)</w:t>
            </w:r>
          </w:p>
        </w:tc>
        <w:tc>
          <w:tcPr>
            <w:tcW w:w="284"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7pBoldRight025"/>
              <w:rPr>
                <w:rFonts w:eastAsia="Verdana" w:cs="Verdana"/>
                <w:lang w:bidi="en-GB"/>
              </w:rPr>
            </w:pPr>
          </w:p>
        </w:tc>
        <w:tc>
          <w:tcPr>
            <w:tcW w:w="1275"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w:t>
            </w:r>
          </w:p>
        </w:tc>
        <w:tc>
          <w:tcPr>
            <w:tcW w:w="1418"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w:t>
            </w:r>
          </w:p>
        </w:tc>
        <w:tc>
          <w:tcPr>
            <w:tcW w:w="992"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(10)</w:t>
            </w:r>
          </w:p>
        </w:tc>
        <w:tc>
          <w:tcPr>
            <w:tcW w:w="1418"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(4)</w:t>
            </w:r>
          </w:p>
        </w:tc>
      </w:tr>
      <w:tr w:rsidR="005D6812">
        <w:tc>
          <w:tcPr>
            <w:tcW w:w="25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7pBoldLeft"/>
              <w:rPr>
                <w:rFonts w:eastAsia="Verdana" w:cs="Verdana"/>
                <w:lang w:bidi="en-GB"/>
              </w:rPr>
            </w:pPr>
            <w:r>
              <w:rPr>
                <w:rFonts w:eastAsia="Verdana" w:cs="Verdana"/>
                <w:lang w:bidi="en-GB"/>
              </w:rPr>
              <w:t>CURRENT LIABILITIES</w:t>
            </w:r>
          </w:p>
        </w:tc>
        <w:tc>
          <w:tcPr>
            <w:tcW w:w="992"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134"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993"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275"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276"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284"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275"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992"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r>
      <w:tr w:rsidR="005D6812">
        <w:tc>
          <w:tcPr>
            <w:tcW w:w="25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7pItalicLeft"/>
              <w:rPr>
                <w:rFonts w:eastAsia="Verdana" w:cs="Verdana"/>
                <w:lang w:bidi="en-GB"/>
              </w:rPr>
            </w:pPr>
            <w:r>
              <w:rPr>
                <w:rFonts w:eastAsia="Verdana" w:cs="Verdana"/>
                <w:lang w:bidi="en-GB"/>
              </w:rPr>
              <w:t>Payables</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2.7</w:t>
            </w: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(0)</w:t>
            </w: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(12)</w:t>
            </w: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(438)</w:t>
            </w: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(99)</w:t>
            </w:r>
          </w:p>
        </w:tc>
        <w:tc>
          <w:tcPr>
            <w:tcW w:w="28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(0)</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(14)</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(492)</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(14)</w:t>
            </w:r>
          </w:p>
        </w:tc>
      </w:tr>
      <w:tr w:rsidR="005D6812">
        <w:tc>
          <w:tcPr>
            <w:tcW w:w="25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7pItalicLeft"/>
              <w:rPr>
                <w:rFonts w:eastAsia="Verdana" w:cs="Verdana"/>
                <w:lang w:bidi="en-GB"/>
              </w:rPr>
            </w:pPr>
            <w:r>
              <w:rPr>
                <w:rFonts w:eastAsia="Verdana" w:cs="Verdana"/>
                <w:lang w:bidi="en-GB"/>
              </w:rPr>
              <w:t>Liaison accounts</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2.3</w:t>
            </w: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(4 043)</w:t>
            </w:r>
          </w:p>
        </w:tc>
        <w:tc>
          <w:tcPr>
            <w:tcW w:w="28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(2 062)</w:t>
            </w:r>
          </w:p>
        </w:tc>
      </w:tr>
      <w:tr w:rsidR="005D6812">
        <w:tc>
          <w:tcPr>
            <w:tcW w:w="2518"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7pItalicLeft"/>
              <w:rPr>
                <w:rFonts w:eastAsia="Verdana" w:cs="Verdana"/>
                <w:lang w:bidi="en-GB"/>
              </w:rPr>
            </w:pPr>
            <w:r>
              <w:rPr>
                <w:rFonts w:eastAsia="Verdana" w:cs="Verdana"/>
                <w:lang w:bidi="en-GB"/>
              </w:rPr>
              <w:t>Accrued charges and deferred income</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2.8</w:t>
            </w:r>
          </w:p>
        </w:tc>
        <w:tc>
          <w:tcPr>
            <w:tcW w:w="1134"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(1)</w:t>
            </w:r>
          </w:p>
        </w:tc>
        <w:tc>
          <w:tcPr>
            <w:tcW w:w="993"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(93)</w:t>
            </w:r>
          </w:p>
        </w:tc>
        <w:tc>
          <w:tcPr>
            <w:tcW w:w="1275"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(567)</w:t>
            </w:r>
          </w:p>
        </w:tc>
        <w:tc>
          <w:tcPr>
            <w:tcW w:w="1276"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(115)</w:t>
            </w:r>
          </w:p>
        </w:tc>
        <w:tc>
          <w:tcPr>
            <w:tcW w:w="284"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5"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(3)</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(114)</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(682)</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(57)</w:t>
            </w:r>
          </w:p>
        </w:tc>
      </w:tr>
      <w:tr w:rsidR="005D6812">
        <w:tc>
          <w:tcPr>
            <w:tcW w:w="2518"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Text7pBoldLeft"/>
              <w:rPr>
                <w:rFonts w:eastAsia="Verdana" w:cs="Verdana"/>
                <w:lang w:bidi="en-GB"/>
              </w:rPr>
            </w:pPr>
          </w:p>
        </w:tc>
        <w:tc>
          <w:tcPr>
            <w:tcW w:w="992"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7pBoldRight025"/>
              <w:rPr>
                <w:rFonts w:eastAsia="Verdana" w:cs="Verdana"/>
                <w:lang w:bidi="en-GB"/>
              </w:rPr>
            </w:pPr>
          </w:p>
        </w:tc>
        <w:tc>
          <w:tcPr>
            <w:tcW w:w="1134"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(1)</w:t>
            </w:r>
          </w:p>
        </w:tc>
        <w:tc>
          <w:tcPr>
            <w:tcW w:w="993"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(104)</w:t>
            </w:r>
          </w:p>
        </w:tc>
        <w:tc>
          <w:tcPr>
            <w:tcW w:w="1275"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(1 005)</w:t>
            </w:r>
          </w:p>
        </w:tc>
        <w:tc>
          <w:tcPr>
            <w:tcW w:w="1276"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(4 257)</w:t>
            </w:r>
          </w:p>
        </w:tc>
        <w:tc>
          <w:tcPr>
            <w:tcW w:w="284"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7pBoldRight025"/>
              <w:rPr>
                <w:rFonts w:eastAsia="Verdana" w:cs="Verdana"/>
                <w:lang w:bidi="en-GB"/>
              </w:rPr>
            </w:pPr>
          </w:p>
        </w:tc>
        <w:tc>
          <w:tcPr>
            <w:tcW w:w="1275"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(3)</w:t>
            </w:r>
          </w:p>
        </w:tc>
        <w:tc>
          <w:tcPr>
            <w:tcW w:w="1418"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(128)</w:t>
            </w:r>
          </w:p>
        </w:tc>
        <w:tc>
          <w:tcPr>
            <w:tcW w:w="992"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(1 174)</w:t>
            </w:r>
          </w:p>
        </w:tc>
        <w:tc>
          <w:tcPr>
            <w:tcW w:w="1418"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(2 132)</w:t>
            </w:r>
          </w:p>
        </w:tc>
      </w:tr>
      <w:tr w:rsidR="005D6812">
        <w:tc>
          <w:tcPr>
            <w:tcW w:w="25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7pBoldLeft"/>
              <w:rPr>
                <w:rFonts w:eastAsia="Verdana" w:cs="Verdana"/>
                <w:lang w:bidi="en-GB"/>
              </w:rPr>
            </w:pPr>
            <w:r>
              <w:rPr>
                <w:rFonts w:eastAsia="Verdana" w:cs="Verdana"/>
                <w:lang w:bidi="en-GB"/>
              </w:rPr>
              <w:t>TOTAL LIABILITIES</w:t>
            </w:r>
          </w:p>
        </w:tc>
        <w:tc>
          <w:tcPr>
            <w:tcW w:w="992"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134"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(1)</w:t>
            </w:r>
          </w:p>
        </w:tc>
        <w:tc>
          <w:tcPr>
            <w:tcW w:w="99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(104)</w:t>
            </w:r>
          </w:p>
        </w:tc>
        <w:tc>
          <w:tcPr>
            <w:tcW w:w="127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(1 011)</w:t>
            </w:r>
          </w:p>
        </w:tc>
        <w:tc>
          <w:tcPr>
            <w:tcW w:w="127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(4 261)</w:t>
            </w:r>
          </w:p>
        </w:tc>
        <w:tc>
          <w:tcPr>
            <w:tcW w:w="284"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27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(3)</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(128)</w:t>
            </w:r>
          </w:p>
        </w:tc>
        <w:tc>
          <w:tcPr>
            <w:tcW w:w="99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(1 184)</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(2 136)</w:t>
            </w:r>
          </w:p>
        </w:tc>
      </w:tr>
      <w:tr w:rsidR="005D6812">
        <w:tc>
          <w:tcPr>
            <w:tcW w:w="2518"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7pItalicLeft"/>
              <w:rPr>
                <w:rFonts w:eastAsia="Verdana" w:cs="Verdana"/>
                <w:lang w:bidi="en-GB"/>
              </w:rPr>
            </w:pP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28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r>
      <w:tr w:rsidR="005D6812">
        <w:tc>
          <w:tcPr>
            <w:tcW w:w="25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7pBoldLeft"/>
              <w:rPr>
                <w:rFonts w:eastAsia="Verdana" w:cs="Verdana"/>
                <w:lang w:bidi="en-GB"/>
              </w:rPr>
            </w:pPr>
            <w:r>
              <w:rPr>
                <w:rFonts w:eastAsia="Verdana" w:cs="Verdana"/>
                <w:lang w:bidi="en-GB"/>
              </w:rPr>
              <w:t>NET ASSETS</w:t>
            </w:r>
          </w:p>
        </w:tc>
        <w:tc>
          <w:tcPr>
            <w:tcW w:w="992"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134"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197</w:t>
            </w:r>
          </w:p>
        </w:tc>
        <w:tc>
          <w:tcPr>
            <w:tcW w:w="99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472</w:t>
            </w:r>
          </w:p>
        </w:tc>
        <w:tc>
          <w:tcPr>
            <w:tcW w:w="127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3 622</w:t>
            </w:r>
          </w:p>
        </w:tc>
        <w:tc>
          <w:tcPr>
            <w:tcW w:w="127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(2 934)</w:t>
            </w:r>
          </w:p>
        </w:tc>
        <w:tc>
          <w:tcPr>
            <w:tcW w:w="284"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27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214</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726</w:t>
            </w:r>
          </w:p>
        </w:tc>
        <w:tc>
          <w:tcPr>
            <w:tcW w:w="99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1 357</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(1 317)</w:t>
            </w:r>
          </w:p>
        </w:tc>
      </w:tr>
      <w:tr w:rsidR="005D6812">
        <w:tc>
          <w:tcPr>
            <w:tcW w:w="2518"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7pItalicLeft"/>
              <w:rPr>
                <w:rFonts w:eastAsia="Verdana" w:cs="Verdana"/>
                <w:lang w:bidi="en-GB"/>
              </w:rPr>
            </w:pP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28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r>
      <w:tr w:rsidR="005D6812">
        <w:tc>
          <w:tcPr>
            <w:tcW w:w="25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7pBoldLeft"/>
              <w:rPr>
                <w:rFonts w:eastAsia="Verdana" w:cs="Verdana"/>
                <w:lang w:bidi="en-GB"/>
              </w:rPr>
            </w:pPr>
            <w:r>
              <w:rPr>
                <w:rFonts w:eastAsia="Verdana" w:cs="Verdana"/>
                <w:lang w:bidi="en-GB"/>
              </w:rPr>
              <w:t>FUNDS &amp;</w:t>
            </w:r>
            <w:r>
              <w:rPr>
                <w:rFonts w:eastAsia="Verdana" w:cs="Verdana"/>
                <w:lang w:bidi="en-GB"/>
              </w:rPr>
              <w:t xml:space="preserve"> RESERVES</w:t>
            </w:r>
          </w:p>
        </w:tc>
        <w:tc>
          <w:tcPr>
            <w:tcW w:w="992"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134"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993"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275"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276"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284"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275"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992"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r>
      <w:tr w:rsidR="005D6812">
        <w:tc>
          <w:tcPr>
            <w:tcW w:w="25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7pItalicLeft"/>
              <w:rPr>
                <w:rFonts w:eastAsia="Verdana" w:cs="Verdana"/>
                <w:lang w:bidi="en-GB"/>
              </w:rPr>
            </w:pPr>
            <w:r>
              <w:rPr>
                <w:rFonts w:eastAsia="Verdana" w:cs="Verdana"/>
                <w:lang w:bidi="en-GB"/>
              </w:rPr>
              <w:t>Called fund capital - active EDFs</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2.9</w:t>
            </w: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12 164</w:t>
            </w: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10 973</w:t>
            </w: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19 187</w:t>
            </w: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28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12 164</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10 973</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15 737</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r>
      <w:tr w:rsidR="005D6812">
        <w:tc>
          <w:tcPr>
            <w:tcW w:w="25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7pItalicLeft"/>
              <w:rPr>
                <w:rFonts w:eastAsia="Verdana" w:cs="Verdana"/>
                <w:lang w:bidi="en-GB"/>
              </w:rPr>
            </w:pPr>
            <w:r>
              <w:rPr>
                <w:rFonts w:eastAsia="Verdana" w:cs="Verdana"/>
                <w:lang w:bidi="en-GB"/>
              </w:rPr>
              <w:t>Called fund capital from closed EDFs carried forward</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2.9</w:t>
            </w: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627</w:t>
            </w: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1 625</w:t>
            </w: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28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627</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1 625</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r>
      <w:tr w:rsidR="005D6812">
        <w:tc>
          <w:tcPr>
            <w:tcW w:w="25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7pItalicLeft"/>
              <w:rPr>
                <w:rFonts w:eastAsia="Verdana" w:cs="Verdana"/>
                <w:lang w:bidi="en-GB"/>
              </w:rPr>
            </w:pPr>
            <w:r>
              <w:rPr>
                <w:rFonts w:eastAsia="Verdana" w:cs="Verdana"/>
                <w:lang w:bidi="en-GB"/>
              </w:rPr>
              <w:t>Called fund capital transfers between active EDFs</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2.9</w:t>
            </w: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(2 </w:t>
            </w:r>
            <w:r>
              <w:rPr>
                <w:rFonts w:eastAsia="Verdana" w:cs="Verdana"/>
                <w:lang w:bidi="en-GB"/>
              </w:rPr>
              <w:t>496)</w:t>
            </w: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2 214</w:t>
            </w: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247</w:t>
            </w: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35</w:t>
            </w:r>
          </w:p>
        </w:tc>
        <w:tc>
          <w:tcPr>
            <w:tcW w:w="28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(2 476)</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2 376</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35</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65</w:t>
            </w:r>
          </w:p>
        </w:tc>
      </w:tr>
      <w:tr w:rsidR="005D6812">
        <w:tc>
          <w:tcPr>
            <w:tcW w:w="25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7pItalicLeft"/>
              <w:rPr>
                <w:rFonts w:eastAsia="Verdana" w:cs="Verdana"/>
                <w:lang w:bidi="en-GB"/>
              </w:rPr>
            </w:pPr>
            <w:r>
              <w:rPr>
                <w:rFonts w:eastAsia="Verdana" w:cs="Verdana"/>
                <w:lang w:bidi="en-GB"/>
              </w:rPr>
              <w:t>Economic result carried forward from previous years</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(10 100)</w:t>
            </w: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(14 248)</w:t>
            </w: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(14 415)</w:t>
            </w: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(1 382)</w:t>
            </w:r>
          </w:p>
        </w:tc>
        <w:tc>
          <w:tcPr>
            <w:tcW w:w="28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(10 107)</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(14 223)</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(12 183)</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(481)</w:t>
            </w:r>
          </w:p>
        </w:tc>
      </w:tr>
      <w:tr w:rsidR="005D6812">
        <w:tc>
          <w:tcPr>
            <w:tcW w:w="2518"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7pItalicLeft"/>
              <w:rPr>
                <w:rFonts w:eastAsia="Verdana" w:cs="Verdana"/>
                <w:lang w:bidi="en-GB"/>
              </w:rPr>
            </w:pPr>
            <w:r>
              <w:rPr>
                <w:rFonts w:eastAsia="Verdana" w:cs="Verdana"/>
                <w:lang w:bidi="en-GB"/>
              </w:rPr>
              <w:t>Economic result of the year</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134"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2</w:t>
            </w:r>
          </w:p>
        </w:tc>
        <w:tc>
          <w:tcPr>
            <w:tcW w:w="993"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(91)</w:t>
            </w:r>
          </w:p>
        </w:tc>
        <w:tc>
          <w:tcPr>
            <w:tcW w:w="1275"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(1 397)</w:t>
            </w:r>
          </w:p>
        </w:tc>
        <w:tc>
          <w:tcPr>
            <w:tcW w:w="1276"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(1 587)</w:t>
            </w:r>
          </w:p>
        </w:tc>
        <w:tc>
          <w:tcPr>
            <w:tcW w:w="284"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Figures7pItalicRight025"/>
              <w:rPr>
                <w:rFonts w:eastAsia="Verdana" w:cs="Verdana"/>
                <w:lang w:bidi="en-GB"/>
              </w:rPr>
            </w:pPr>
          </w:p>
        </w:tc>
        <w:tc>
          <w:tcPr>
            <w:tcW w:w="1275"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6</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(26)</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(2 232)</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(901)</w:t>
            </w:r>
          </w:p>
        </w:tc>
      </w:tr>
      <w:tr w:rsidR="005D6812">
        <w:tc>
          <w:tcPr>
            <w:tcW w:w="2518"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Text7pBoldLeft"/>
              <w:rPr>
                <w:rFonts w:eastAsia="Verdana" w:cs="Verdana"/>
                <w:lang w:bidi="en-GB"/>
              </w:rPr>
            </w:pPr>
            <w:r>
              <w:rPr>
                <w:rFonts w:eastAsia="Verdana" w:cs="Verdana"/>
                <w:lang w:bidi="en-GB"/>
              </w:rPr>
              <w:t xml:space="preserve">NET </w:t>
            </w:r>
            <w:r>
              <w:rPr>
                <w:rFonts w:eastAsia="Verdana" w:cs="Verdana"/>
                <w:lang w:bidi="en-GB"/>
              </w:rPr>
              <w:t>ASSETS</w:t>
            </w:r>
          </w:p>
        </w:tc>
        <w:tc>
          <w:tcPr>
            <w:tcW w:w="992"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134"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197</w:t>
            </w:r>
          </w:p>
        </w:tc>
        <w:tc>
          <w:tcPr>
            <w:tcW w:w="993"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472</w:t>
            </w:r>
          </w:p>
        </w:tc>
        <w:tc>
          <w:tcPr>
            <w:tcW w:w="1275"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3 622</w:t>
            </w:r>
          </w:p>
        </w:tc>
        <w:tc>
          <w:tcPr>
            <w:tcW w:w="1276"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(2 934)</w:t>
            </w:r>
          </w:p>
        </w:tc>
        <w:tc>
          <w:tcPr>
            <w:tcW w:w="284"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Figures7pBoldRight025"/>
              <w:rPr>
                <w:rFonts w:eastAsia="Verdana" w:cs="Verdana"/>
                <w:lang w:bidi="en-GB"/>
              </w:rPr>
            </w:pPr>
          </w:p>
        </w:tc>
        <w:tc>
          <w:tcPr>
            <w:tcW w:w="1275"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214</w:t>
            </w:r>
          </w:p>
        </w:tc>
        <w:tc>
          <w:tcPr>
            <w:tcW w:w="1418"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726</w:t>
            </w:r>
          </w:p>
        </w:tc>
        <w:tc>
          <w:tcPr>
            <w:tcW w:w="992"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1 357</w:t>
            </w:r>
          </w:p>
        </w:tc>
        <w:tc>
          <w:tcPr>
            <w:tcW w:w="1418"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(1 317)</w:t>
            </w:r>
          </w:p>
        </w:tc>
      </w:tr>
    </w:tbl>
    <w:p w:rsidR="005D6812" w:rsidRDefault="00AB2A2B">
      <w:pPr>
        <w:pStyle w:val="Textstand-alone"/>
        <w:sectPr w:rsidR="005D6812">
          <w:headerReference w:type="even" r:id="rId89"/>
          <w:headerReference w:type="default" r:id="rId90"/>
          <w:footerReference w:type="even" r:id="rId91"/>
          <w:footerReference w:type="default" r:id="rId92"/>
          <w:headerReference w:type="first" r:id="rId93"/>
          <w:footerReference w:type="first" r:id="rId94"/>
          <w:type w:val="continuous"/>
          <w:pgSz w:w="16838" w:h="11906" w:orient="landscape"/>
          <w:pgMar w:top="1134" w:right="1134" w:bottom="1134" w:left="1134" w:header="708" w:footer="708" w:gutter="0"/>
          <w:cols w:space="708"/>
          <w:docGrid w:linePitch="360"/>
        </w:sectPr>
      </w:pPr>
      <w:r>
        <w:t xml:space="preserve"> </w:t>
      </w:r>
      <w:bookmarkEnd w:id="163"/>
    </w:p>
    <w:p w:rsidR="005D6812" w:rsidRDefault="00AB2A2B">
      <w:pPr>
        <w:pStyle w:val="HEADERTITLE1"/>
      </w:pPr>
      <w:bookmarkStart w:id="165" w:name="_Toc484164234"/>
      <w:bookmarkStart w:id="166" w:name="_DMBM_9470"/>
      <w:r>
        <w:t>STATEMENT OF FINANCIAL PERFORMANCE BY EDF</w:t>
      </w:r>
      <w:bookmarkEnd w:id="165"/>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850"/>
        <w:gridCol w:w="1276"/>
        <w:gridCol w:w="1230"/>
        <w:gridCol w:w="1191"/>
        <w:gridCol w:w="1191"/>
        <w:gridCol w:w="397"/>
        <w:gridCol w:w="1378"/>
        <w:gridCol w:w="1275"/>
        <w:gridCol w:w="1276"/>
        <w:gridCol w:w="1276"/>
      </w:tblGrid>
      <w:tr w:rsidR="005D6812">
        <w:trPr>
          <w:trHeight w:val="234"/>
        </w:trPr>
        <w:tc>
          <w:tcPr>
            <w:tcW w:w="3227" w:type="dxa"/>
            <w:tcBorders>
              <w:top w:val="nil"/>
              <w:left w:val="nil"/>
              <w:bottom w:val="nil"/>
              <w:right w:val="nil"/>
            </w:tcBorders>
            <w:tcMar>
              <w:top w:w="0" w:type="dxa"/>
              <w:left w:w="108" w:type="dxa"/>
              <w:bottom w:w="0" w:type="dxa"/>
              <w:right w:w="108" w:type="dxa"/>
            </w:tcMar>
          </w:tcPr>
          <w:p w:rsidR="005D6812" w:rsidRDefault="005D6812">
            <w:pPr>
              <w:pStyle w:val="Text9pItalicLeft"/>
              <w:rPr>
                <w:rFonts w:eastAsia="Times New Roman" w:cs="Verdana"/>
              </w:rPr>
            </w:pPr>
            <w:bookmarkStart w:id="167" w:name="DOC_TBL00006_1_1"/>
            <w:bookmarkEnd w:id="167"/>
          </w:p>
        </w:tc>
        <w:tc>
          <w:tcPr>
            <w:tcW w:w="850" w:type="dxa"/>
            <w:tcBorders>
              <w:top w:val="nil"/>
              <w:left w:val="nil"/>
              <w:bottom w:val="nil"/>
              <w:right w:val="nil"/>
            </w:tcBorders>
            <w:tcMar>
              <w:top w:w="0" w:type="dxa"/>
              <w:left w:w="108" w:type="dxa"/>
              <w:bottom w:w="0" w:type="dxa"/>
              <w:right w:w="108" w:type="dxa"/>
            </w:tcMar>
          </w:tcPr>
          <w:p w:rsidR="005D6812" w:rsidRDefault="005D6812">
            <w:pPr>
              <w:pStyle w:val="Text9pItalicLeft025"/>
              <w:ind w:left="0"/>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rsidR="005D6812" w:rsidRDefault="005D6812">
            <w:pPr>
              <w:pStyle w:val="Text9pItalicLeft025"/>
              <w:ind w:left="0"/>
              <w:rPr>
                <w:rFonts w:eastAsia="Times New Roman" w:cs="Verdana"/>
                <w:i w:val="0"/>
              </w:rPr>
            </w:pPr>
          </w:p>
        </w:tc>
        <w:tc>
          <w:tcPr>
            <w:tcW w:w="1230" w:type="dxa"/>
            <w:tcBorders>
              <w:top w:val="nil"/>
              <w:left w:val="nil"/>
              <w:bottom w:val="nil"/>
              <w:right w:val="nil"/>
            </w:tcBorders>
            <w:tcMar>
              <w:top w:w="0" w:type="dxa"/>
              <w:left w:w="108" w:type="dxa"/>
              <w:bottom w:w="0" w:type="dxa"/>
              <w:right w:w="108" w:type="dxa"/>
            </w:tcMar>
          </w:tcPr>
          <w:p w:rsidR="005D6812" w:rsidRDefault="005D6812">
            <w:pPr>
              <w:pStyle w:val="Text9pItalicLeft025"/>
              <w:ind w:left="0"/>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rsidR="005D6812" w:rsidRDefault="005D6812">
            <w:pPr>
              <w:pStyle w:val="Text9pItalicLeft025"/>
              <w:ind w:left="0"/>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rsidR="005D6812" w:rsidRDefault="005D6812">
            <w:pPr>
              <w:pStyle w:val="Text9pItalicLeft025"/>
              <w:ind w:left="0"/>
              <w:rPr>
                <w:rFonts w:eastAsia="Times New Roman" w:cs="Verdana"/>
                <w:i w:val="0"/>
              </w:rPr>
            </w:pPr>
          </w:p>
        </w:tc>
        <w:tc>
          <w:tcPr>
            <w:tcW w:w="397" w:type="dxa"/>
            <w:tcBorders>
              <w:top w:val="nil"/>
              <w:left w:val="nil"/>
              <w:bottom w:val="nil"/>
              <w:right w:val="nil"/>
            </w:tcBorders>
            <w:tcMar>
              <w:top w:w="0" w:type="dxa"/>
              <w:left w:w="108" w:type="dxa"/>
              <w:bottom w:w="0" w:type="dxa"/>
              <w:right w:w="108" w:type="dxa"/>
            </w:tcMar>
          </w:tcPr>
          <w:p w:rsidR="005D6812" w:rsidRDefault="005D6812">
            <w:pPr>
              <w:pStyle w:val="Text9pItalicLeft025"/>
              <w:ind w:left="0"/>
              <w:rPr>
                <w:rFonts w:eastAsia="Times New Roman" w:cs="Verdana"/>
                <w:i w:val="0"/>
              </w:rPr>
            </w:pPr>
          </w:p>
        </w:tc>
        <w:tc>
          <w:tcPr>
            <w:tcW w:w="1378" w:type="dxa"/>
            <w:tcBorders>
              <w:top w:val="nil"/>
              <w:left w:val="nil"/>
              <w:bottom w:val="nil"/>
              <w:right w:val="nil"/>
            </w:tcBorders>
            <w:tcMar>
              <w:top w:w="0" w:type="dxa"/>
              <w:left w:w="108" w:type="dxa"/>
              <w:bottom w:w="0" w:type="dxa"/>
              <w:right w:w="108" w:type="dxa"/>
            </w:tcMar>
          </w:tcPr>
          <w:p w:rsidR="005D6812" w:rsidRDefault="005D6812">
            <w:pPr>
              <w:pStyle w:val="Text9pItalicLeft025"/>
              <w:ind w:left="0"/>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rsidR="005D6812" w:rsidRDefault="005D6812">
            <w:pPr>
              <w:pStyle w:val="Text9pItalicLeft025"/>
              <w:ind w:left="0"/>
              <w:rPr>
                <w:rFonts w:eastAsia="Times New Roman" w:cs="Verdana"/>
                <w:i w:val="0"/>
              </w:rPr>
            </w:pPr>
          </w:p>
        </w:tc>
        <w:tc>
          <w:tcPr>
            <w:tcW w:w="2552" w:type="dxa"/>
            <w:gridSpan w:val="2"/>
            <w:tcBorders>
              <w:top w:val="nil"/>
              <w:left w:val="nil"/>
              <w:bottom w:val="nil"/>
              <w:right w:val="nil"/>
            </w:tcBorders>
            <w:tcMar>
              <w:top w:w="0" w:type="dxa"/>
              <w:left w:w="108" w:type="dxa"/>
              <w:bottom w:w="0" w:type="dxa"/>
              <w:right w:w="108" w:type="dxa"/>
            </w:tcMar>
          </w:tcPr>
          <w:p w:rsidR="005D6812" w:rsidRDefault="00AB2A2B">
            <w:pPr>
              <w:pStyle w:val="Text8pItalicRight025EUR"/>
              <w:rPr>
                <w:rFonts w:eastAsia="Times New Roman" w:cs="Verdana"/>
              </w:rPr>
            </w:pPr>
            <w:r>
              <w:rPr>
                <w:rFonts w:eastAsia="Times New Roman" w:cs="Verdana"/>
              </w:rPr>
              <w:t>EUR millions</w:t>
            </w:r>
          </w:p>
        </w:tc>
      </w:tr>
      <w:tr w:rsidR="005D6812">
        <w:trPr>
          <w:trHeight w:val="312"/>
        </w:trPr>
        <w:tc>
          <w:tcPr>
            <w:tcW w:w="3227" w:type="dxa"/>
            <w:tcBorders>
              <w:top w:val="nil"/>
              <w:left w:val="nil"/>
              <w:bottom w:val="nil"/>
              <w:right w:val="nil"/>
            </w:tcBorders>
            <w:shd w:val="clear" w:color="auto" w:fill="016794"/>
            <w:tcMar>
              <w:top w:w="0" w:type="dxa"/>
              <w:left w:w="108" w:type="dxa"/>
              <w:bottom w:w="0" w:type="dxa"/>
              <w:right w:w="108" w:type="dxa"/>
            </w:tcMar>
            <w:vAlign w:val="bottom"/>
          </w:tcPr>
          <w:p w:rsidR="005D6812" w:rsidRDefault="005D6812">
            <w:pPr>
              <w:pStyle w:val="Heading9pNormalCentered"/>
              <w:rPr>
                <w:rFonts w:cs="Verdana"/>
                <w:noProof/>
              </w:rPr>
            </w:pPr>
          </w:p>
        </w:tc>
        <w:tc>
          <w:tcPr>
            <w:tcW w:w="850" w:type="dxa"/>
            <w:tcBorders>
              <w:top w:val="nil"/>
              <w:left w:val="nil"/>
              <w:bottom w:val="nil"/>
              <w:right w:val="nil"/>
            </w:tcBorders>
            <w:shd w:val="clear" w:color="auto" w:fill="016794"/>
            <w:tcMar>
              <w:top w:w="0" w:type="dxa"/>
              <w:left w:w="108" w:type="dxa"/>
              <w:bottom w:w="0" w:type="dxa"/>
              <w:right w:w="108" w:type="dxa"/>
            </w:tcMar>
            <w:vAlign w:val="bottom"/>
          </w:tcPr>
          <w:p w:rsidR="005D6812" w:rsidRDefault="005D6812">
            <w:pPr>
              <w:pStyle w:val="Heading9pNormalCentered"/>
              <w:rPr>
                <w:rFonts w:cs="Verdana"/>
                <w:noProof/>
              </w:rPr>
            </w:pPr>
          </w:p>
        </w:tc>
        <w:tc>
          <w:tcPr>
            <w:tcW w:w="4888" w:type="dxa"/>
            <w:gridSpan w:val="4"/>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10pNormalCentered"/>
              <w:rPr>
                <w:rFonts w:eastAsia="Times New Roman" w:cs="Verdana"/>
              </w:rPr>
            </w:pPr>
            <w:r>
              <w:rPr>
                <w:rFonts w:eastAsia="Times New Roman" w:cs="Verdana"/>
              </w:rPr>
              <w:t>2016</w:t>
            </w:r>
          </w:p>
        </w:tc>
        <w:tc>
          <w:tcPr>
            <w:tcW w:w="397"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Centered"/>
              <w:rPr>
                <w:rFonts w:eastAsia="Times New Roman" w:cs="Verdana"/>
                <w:color w:val="auto"/>
              </w:rPr>
            </w:pPr>
          </w:p>
        </w:tc>
        <w:tc>
          <w:tcPr>
            <w:tcW w:w="5205" w:type="dxa"/>
            <w:gridSpan w:val="4"/>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10pNormalCentered"/>
              <w:rPr>
                <w:rFonts w:eastAsia="Times New Roman" w:cs="Verdana"/>
              </w:rPr>
            </w:pPr>
            <w:r>
              <w:rPr>
                <w:rFonts w:eastAsia="Times New Roman" w:cs="Verdana"/>
              </w:rPr>
              <w:t>2015</w:t>
            </w:r>
          </w:p>
        </w:tc>
      </w:tr>
      <w:tr w:rsidR="005D6812">
        <w:trPr>
          <w:trHeight w:val="471"/>
        </w:trPr>
        <w:tc>
          <w:tcPr>
            <w:tcW w:w="3227" w:type="dxa"/>
            <w:tcBorders>
              <w:top w:val="nil"/>
              <w:left w:val="nil"/>
              <w:bottom w:val="nil"/>
              <w:right w:val="nil"/>
            </w:tcBorders>
            <w:shd w:val="clear" w:color="auto" w:fill="016794"/>
            <w:tcMar>
              <w:top w:w="0" w:type="dxa"/>
              <w:left w:w="108" w:type="dxa"/>
              <w:bottom w:w="0" w:type="dxa"/>
              <w:right w:w="108" w:type="dxa"/>
            </w:tcMar>
            <w:vAlign w:val="bottom"/>
          </w:tcPr>
          <w:p w:rsidR="005D6812" w:rsidRDefault="005D6812">
            <w:pPr>
              <w:pStyle w:val="Heading9pNormalCentered"/>
              <w:rPr>
                <w:rFonts w:cs="Verdana"/>
                <w:noProof/>
              </w:rPr>
            </w:pPr>
          </w:p>
        </w:tc>
        <w:tc>
          <w:tcPr>
            <w:tcW w:w="850" w:type="dxa"/>
            <w:tcBorders>
              <w:top w:val="nil"/>
              <w:left w:val="nil"/>
              <w:bottom w:val="nil"/>
              <w:right w:val="nil"/>
            </w:tcBorders>
            <w:shd w:val="clear" w:color="auto" w:fill="016794"/>
            <w:tcMar>
              <w:top w:w="0" w:type="dxa"/>
              <w:left w:w="108" w:type="dxa"/>
              <w:bottom w:w="0" w:type="dxa"/>
              <w:right w:w="108" w:type="dxa"/>
            </w:tcMar>
            <w:vAlign w:val="bottom"/>
          </w:tcPr>
          <w:p w:rsidR="005D6812" w:rsidRDefault="00AB2A2B">
            <w:pPr>
              <w:pStyle w:val="Heading9pNormalCentered"/>
              <w:rPr>
                <w:rFonts w:cs="Verdana"/>
                <w:noProof/>
              </w:rPr>
            </w:pPr>
            <w:r>
              <w:rPr>
                <w:rFonts w:cs="Verdana"/>
                <w:noProof/>
              </w:rPr>
              <w:t>Note</w:t>
            </w:r>
          </w:p>
        </w:tc>
        <w:tc>
          <w:tcPr>
            <w:tcW w:w="1276" w:type="dxa"/>
            <w:tcBorders>
              <w:top w:val="nil"/>
              <w:left w:val="nil"/>
              <w:bottom w:val="nil"/>
              <w:right w:val="nil"/>
            </w:tcBorders>
            <w:shd w:val="clear" w:color="auto" w:fill="016794"/>
            <w:tcMar>
              <w:top w:w="0" w:type="dxa"/>
              <w:left w:w="108" w:type="dxa"/>
              <w:bottom w:w="0" w:type="dxa"/>
              <w:right w:w="108" w:type="dxa"/>
            </w:tcMar>
            <w:vAlign w:val="bottom"/>
          </w:tcPr>
          <w:p w:rsidR="005D6812" w:rsidRDefault="00AB2A2B">
            <w:pPr>
              <w:pStyle w:val="Heading9pNormalCentered"/>
              <w:rPr>
                <w:rFonts w:cs="Verdana"/>
                <w:noProof/>
              </w:rPr>
            </w:pPr>
            <w:r>
              <w:rPr>
                <w:rFonts w:cs="Verdana"/>
                <w:noProof/>
              </w:rPr>
              <w:t>Eighth EDF</w:t>
            </w:r>
          </w:p>
        </w:tc>
        <w:tc>
          <w:tcPr>
            <w:tcW w:w="1230" w:type="dxa"/>
            <w:tcBorders>
              <w:top w:val="nil"/>
              <w:left w:val="nil"/>
              <w:bottom w:val="nil"/>
              <w:right w:val="nil"/>
            </w:tcBorders>
            <w:shd w:val="clear" w:color="auto" w:fill="016794"/>
            <w:tcMar>
              <w:top w:w="0" w:type="dxa"/>
              <w:left w:w="108" w:type="dxa"/>
              <w:bottom w:w="0" w:type="dxa"/>
              <w:right w:w="108" w:type="dxa"/>
            </w:tcMar>
            <w:vAlign w:val="bottom"/>
          </w:tcPr>
          <w:p w:rsidR="005D6812" w:rsidRDefault="00AB2A2B">
            <w:pPr>
              <w:pStyle w:val="Heading9pNormalCentered"/>
              <w:rPr>
                <w:rFonts w:cs="Verdana"/>
                <w:noProof/>
              </w:rPr>
            </w:pPr>
            <w:r>
              <w:rPr>
                <w:rFonts w:cs="Verdana"/>
                <w:noProof/>
              </w:rPr>
              <w:t>Ninth EDF</w:t>
            </w:r>
          </w:p>
        </w:tc>
        <w:tc>
          <w:tcPr>
            <w:tcW w:w="1191" w:type="dxa"/>
            <w:tcBorders>
              <w:top w:val="nil"/>
              <w:left w:val="nil"/>
              <w:bottom w:val="nil"/>
              <w:right w:val="nil"/>
            </w:tcBorders>
            <w:shd w:val="clear" w:color="auto" w:fill="016794"/>
            <w:tcMar>
              <w:top w:w="0" w:type="dxa"/>
              <w:left w:w="108" w:type="dxa"/>
              <w:bottom w:w="0" w:type="dxa"/>
              <w:right w:w="108" w:type="dxa"/>
            </w:tcMar>
            <w:vAlign w:val="bottom"/>
          </w:tcPr>
          <w:p w:rsidR="005D6812" w:rsidRDefault="00AB2A2B">
            <w:pPr>
              <w:pStyle w:val="Heading9pNormalCentered"/>
              <w:rPr>
                <w:rFonts w:cs="Verdana"/>
                <w:noProof/>
              </w:rPr>
            </w:pPr>
            <w:r>
              <w:rPr>
                <w:rFonts w:cs="Verdana"/>
                <w:noProof/>
              </w:rPr>
              <w:t>10th EDF</w:t>
            </w:r>
          </w:p>
        </w:tc>
        <w:tc>
          <w:tcPr>
            <w:tcW w:w="1191" w:type="dxa"/>
            <w:tcBorders>
              <w:top w:val="nil"/>
              <w:left w:val="nil"/>
              <w:bottom w:val="nil"/>
              <w:right w:val="nil"/>
            </w:tcBorders>
            <w:shd w:val="clear" w:color="auto" w:fill="016794"/>
            <w:tcMar>
              <w:top w:w="0" w:type="dxa"/>
              <w:left w:w="108" w:type="dxa"/>
              <w:bottom w:w="0" w:type="dxa"/>
              <w:right w:w="108" w:type="dxa"/>
            </w:tcMar>
            <w:vAlign w:val="bottom"/>
          </w:tcPr>
          <w:p w:rsidR="005D6812" w:rsidRDefault="00AB2A2B">
            <w:pPr>
              <w:pStyle w:val="Heading9pNormalCentered"/>
              <w:rPr>
                <w:rFonts w:cs="Verdana"/>
                <w:noProof/>
              </w:rPr>
            </w:pPr>
            <w:r>
              <w:rPr>
                <w:rFonts w:cs="Verdana"/>
                <w:noProof/>
              </w:rPr>
              <w:t>11th EDF</w:t>
            </w:r>
          </w:p>
        </w:tc>
        <w:tc>
          <w:tcPr>
            <w:tcW w:w="397" w:type="dxa"/>
            <w:tcBorders>
              <w:top w:val="nil"/>
              <w:left w:val="nil"/>
              <w:bottom w:val="nil"/>
              <w:right w:val="single" w:sz="4" w:space="0" w:color="016794"/>
            </w:tcBorders>
            <w:shd w:val="clear" w:color="auto" w:fill="016794"/>
            <w:tcMar>
              <w:top w:w="0" w:type="dxa"/>
              <w:left w:w="108" w:type="dxa"/>
              <w:bottom w:w="0" w:type="dxa"/>
              <w:right w:w="108" w:type="dxa"/>
            </w:tcMar>
          </w:tcPr>
          <w:p w:rsidR="005D6812" w:rsidRDefault="005D6812">
            <w:pPr>
              <w:pStyle w:val="Heading9pNormalCentered"/>
              <w:rPr>
                <w:rFonts w:cs="Verdana"/>
                <w:noProof/>
                <w:color w:val="auto"/>
              </w:rPr>
            </w:pPr>
          </w:p>
        </w:tc>
        <w:tc>
          <w:tcPr>
            <w:tcW w:w="1378" w:type="dxa"/>
            <w:tcBorders>
              <w:top w:val="nil"/>
              <w:left w:val="single" w:sz="4" w:space="0" w:color="016794"/>
              <w:bottom w:val="nil"/>
              <w:right w:val="nil"/>
            </w:tcBorders>
            <w:shd w:val="clear" w:color="auto" w:fill="016794"/>
            <w:tcMar>
              <w:top w:w="0" w:type="dxa"/>
              <w:left w:w="108" w:type="dxa"/>
              <w:bottom w:w="0" w:type="dxa"/>
              <w:right w:w="108" w:type="dxa"/>
            </w:tcMar>
            <w:vAlign w:val="bottom"/>
          </w:tcPr>
          <w:p w:rsidR="005D6812" w:rsidRDefault="00AB2A2B">
            <w:pPr>
              <w:pStyle w:val="Heading9pNormalCentered"/>
              <w:rPr>
                <w:rFonts w:cs="Verdana"/>
                <w:noProof/>
              </w:rPr>
            </w:pPr>
            <w:r>
              <w:rPr>
                <w:rFonts w:cs="Verdana"/>
                <w:noProof/>
              </w:rPr>
              <w:t>Eighth EDF</w:t>
            </w:r>
          </w:p>
        </w:tc>
        <w:tc>
          <w:tcPr>
            <w:tcW w:w="1275" w:type="dxa"/>
            <w:tcBorders>
              <w:top w:val="nil"/>
              <w:left w:val="nil"/>
              <w:bottom w:val="nil"/>
              <w:right w:val="nil"/>
            </w:tcBorders>
            <w:shd w:val="clear" w:color="auto" w:fill="016794"/>
            <w:tcMar>
              <w:top w:w="0" w:type="dxa"/>
              <w:left w:w="108" w:type="dxa"/>
              <w:bottom w:w="0" w:type="dxa"/>
              <w:right w:w="108" w:type="dxa"/>
            </w:tcMar>
            <w:vAlign w:val="bottom"/>
          </w:tcPr>
          <w:p w:rsidR="005D6812" w:rsidRDefault="00AB2A2B">
            <w:pPr>
              <w:pStyle w:val="Heading9pNormalCentered"/>
              <w:rPr>
                <w:rFonts w:cs="Verdana"/>
                <w:noProof/>
              </w:rPr>
            </w:pPr>
            <w:r>
              <w:rPr>
                <w:rFonts w:cs="Verdana"/>
                <w:noProof/>
              </w:rPr>
              <w:t>Ninth EDF</w:t>
            </w:r>
          </w:p>
        </w:tc>
        <w:tc>
          <w:tcPr>
            <w:tcW w:w="1276" w:type="dxa"/>
            <w:tcBorders>
              <w:top w:val="nil"/>
              <w:left w:val="nil"/>
              <w:bottom w:val="nil"/>
              <w:right w:val="nil"/>
            </w:tcBorders>
            <w:shd w:val="clear" w:color="auto" w:fill="016794"/>
            <w:tcMar>
              <w:top w:w="0" w:type="dxa"/>
              <w:left w:w="108" w:type="dxa"/>
              <w:bottom w:w="0" w:type="dxa"/>
              <w:right w:w="108" w:type="dxa"/>
            </w:tcMar>
            <w:vAlign w:val="bottom"/>
          </w:tcPr>
          <w:p w:rsidR="005D6812" w:rsidRDefault="00AB2A2B">
            <w:pPr>
              <w:pStyle w:val="Heading9pNormalCentered"/>
              <w:rPr>
                <w:rFonts w:cs="Verdana"/>
                <w:noProof/>
              </w:rPr>
            </w:pPr>
            <w:r>
              <w:rPr>
                <w:rFonts w:cs="Verdana"/>
                <w:noProof/>
              </w:rPr>
              <w:t>10th EDF</w:t>
            </w:r>
          </w:p>
        </w:tc>
        <w:tc>
          <w:tcPr>
            <w:tcW w:w="1276" w:type="dxa"/>
            <w:tcBorders>
              <w:top w:val="nil"/>
              <w:left w:val="nil"/>
              <w:bottom w:val="nil"/>
              <w:right w:val="nil"/>
            </w:tcBorders>
            <w:shd w:val="clear" w:color="auto" w:fill="016794"/>
            <w:tcMar>
              <w:top w:w="0" w:type="dxa"/>
              <w:left w:w="108" w:type="dxa"/>
              <w:bottom w:w="0" w:type="dxa"/>
              <w:right w:w="108" w:type="dxa"/>
            </w:tcMar>
            <w:vAlign w:val="bottom"/>
          </w:tcPr>
          <w:p w:rsidR="005D6812" w:rsidRDefault="00AB2A2B">
            <w:pPr>
              <w:pStyle w:val="Heading9pNormalCentered"/>
              <w:rPr>
                <w:rFonts w:cs="Verdana"/>
                <w:noProof/>
              </w:rPr>
            </w:pPr>
            <w:r>
              <w:rPr>
                <w:rFonts w:cs="Verdana"/>
                <w:noProof/>
              </w:rPr>
              <w:t>11th EDF</w:t>
            </w:r>
          </w:p>
        </w:tc>
      </w:tr>
      <w:tr w:rsidR="005D6812">
        <w:trPr>
          <w:trHeight w:val="220"/>
        </w:trPr>
        <w:tc>
          <w:tcPr>
            <w:tcW w:w="3227" w:type="dxa"/>
            <w:tcBorders>
              <w:top w:val="nil"/>
              <w:left w:val="nil"/>
              <w:bottom w:val="nil"/>
              <w:right w:val="nil"/>
            </w:tcBorders>
            <w:tcMar>
              <w:top w:w="0" w:type="dxa"/>
              <w:left w:w="108" w:type="dxa"/>
              <w:bottom w:w="0" w:type="dxa"/>
              <w:right w:w="108" w:type="dxa"/>
            </w:tcMar>
          </w:tcPr>
          <w:p w:rsidR="005D6812" w:rsidRDefault="005D6812">
            <w:pPr>
              <w:pStyle w:val="Text8pItalicLeft"/>
              <w:rPr>
                <w:rFonts w:eastAsia="Times New Roman" w:cs="Verdana"/>
                <w:color w:val="FFFFFF"/>
              </w:rPr>
            </w:pPr>
          </w:p>
        </w:tc>
        <w:tc>
          <w:tcPr>
            <w:tcW w:w="850"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230"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397" w:type="dxa"/>
            <w:tcBorders>
              <w:top w:val="nil"/>
              <w:left w:val="nil"/>
              <w:bottom w:val="nil"/>
              <w:right w:val="single" w:sz="4" w:space="0" w:color="016794"/>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378" w:type="dxa"/>
            <w:tcBorders>
              <w:top w:val="nil"/>
              <w:left w:val="single" w:sz="4" w:space="0" w:color="016794"/>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r>
      <w:tr w:rsidR="005D6812">
        <w:trPr>
          <w:trHeight w:val="234"/>
        </w:trPr>
        <w:tc>
          <w:tcPr>
            <w:tcW w:w="322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REVENUE</w:t>
            </w:r>
          </w:p>
        </w:tc>
        <w:tc>
          <w:tcPr>
            <w:tcW w:w="850"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ItalicRight025"/>
              <w:rPr>
                <w:rFonts w:eastAsia="Times New Roman"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230"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397" w:type="dxa"/>
            <w:tcBorders>
              <w:top w:val="nil"/>
              <w:left w:val="nil"/>
              <w:bottom w:val="nil"/>
              <w:right w:val="single" w:sz="4" w:space="0" w:color="016794"/>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275"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r>
      <w:tr w:rsidR="005D6812">
        <w:trPr>
          <w:trHeight w:val="234"/>
        </w:trPr>
        <w:tc>
          <w:tcPr>
            <w:tcW w:w="322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Revenue from non-exchange transactions</w:t>
            </w:r>
          </w:p>
        </w:tc>
        <w:tc>
          <w:tcPr>
            <w:tcW w:w="85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3.1</w:t>
            </w:r>
          </w:p>
        </w:tc>
        <w:tc>
          <w:tcPr>
            <w:tcW w:w="1276"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230"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397" w:type="dxa"/>
            <w:tcBorders>
              <w:top w:val="nil"/>
              <w:left w:val="nil"/>
              <w:bottom w:val="nil"/>
              <w:right w:val="single" w:sz="4" w:space="0" w:color="016794"/>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275"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r>
      <w:tr w:rsidR="005D6812">
        <w:trPr>
          <w:trHeight w:val="234"/>
        </w:trPr>
        <w:tc>
          <w:tcPr>
            <w:tcW w:w="3227" w:type="dxa"/>
            <w:tcBorders>
              <w:top w:val="nil"/>
              <w:left w:val="nil"/>
              <w:bottom w:val="single" w:sz="4" w:space="0" w:color="016794"/>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Recovery of expenses</w:t>
            </w:r>
          </w:p>
        </w:tc>
        <w:tc>
          <w:tcPr>
            <w:tcW w:w="850" w:type="dxa"/>
            <w:tcBorders>
              <w:top w:val="nil"/>
              <w:left w:val="nil"/>
              <w:bottom w:val="single" w:sz="4" w:space="0" w:color="016794"/>
              <w:right w:val="nil"/>
            </w:tcBorders>
            <w:tcMar>
              <w:top w:w="0" w:type="dxa"/>
              <w:left w:w="108" w:type="dxa"/>
              <w:bottom w:w="0" w:type="dxa"/>
              <w:right w:w="108" w:type="dxa"/>
            </w:tcMar>
          </w:tcPr>
          <w:p w:rsidR="005D6812" w:rsidRDefault="005D6812">
            <w:pPr>
              <w:pStyle w:val="Figures9pItalicRight025"/>
              <w:rPr>
                <w:rFonts w:eastAsia="Times New Roman" w:cs="Verdana"/>
              </w:rPr>
            </w:pPr>
          </w:p>
        </w:tc>
        <w:tc>
          <w:tcPr>
            <w:tcW w:w="1276" w:type="dxa"/>
            <w:tcBorders>
              <w:top w:val="nil"/>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w:t>
            </w:r>
          </w:p>
        </w:tc>
        <w:tc>
          <w:tcPr>
            <w:tcW w:w="1230" w:type="dxa"/>
            <w:tcBorders>
              <w:top w:val="nil"/>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5</w:t>
            </w:r>
          </w:p>
        </w:tc>
        <w:tc>
          <w:tcPr>
            <w:tcW w:w="1191" w:type="dxa"/>
            <w:tcBorders>
              <w:top w:val="nil"/>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(2)</w:t>
            </w:r>
          </w:p>
        </w:tc>
        <w:tc>
          <w:tcPr>
            <w:tcW w:w="1191" w:type="dxa"/>
            <w:tcBorders>
              <w:top w:val="nil"/>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4</w:t>
            </w:r>
          </w:p>
        </w:tc>
        <w:tc>
          <w:tcPr>
            <w:tcW w:w="397" w:type="dxa"/>
            <w:tcBorders>
              <w:top w:val="nil"/>
              <w:left w:val="nil"/>
              <w:bottom w:val="single" w:sz="4" w:space="0" w:color="016794"/>
              <w:right w:val="single" w:sz="4" w:space="0" w:color="016794"/>
            </w:tcBorders>
            <w:tcMar>
              <w:top w:w="0" w:type="dxa"/>
              <w:left w:w="108" w:type="dxa"/>
              <w:bottom w:w="0" w:type="dxa"/>
              <w:right w:w="108" w:type="dxa"/>
            </w:tcMar>
          </w:tcPr>
          <w:p w:rsidR="005D6812" w:rsidRDefault="005D6812">
            <w:pPr>
              <w:pStyle w:val="Figures9pItalicRight025"/>
              <w:rPr>
                <w:rFonts w:eastAsia="Times New Roman" w:cs="Verdana"/>
                <w:i w:val="0"/>
              </w:rPr>
            </w:pPr>
          </w:p>
        </w:tc>
        <w:tc>
          <w:tcPr>
            <w:tcW w:w="1378" w:type="dxa"/>
            <w:tcBorders>
              <w:top w:val="nil"/>
              <w:left w:val="single" w:sz="4" w:space="0" w:color="016794"/>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w:t>
            </w:r>
          </w:p>
        </w:tc>
        <w:tc>
          <w:tcPr>
            <w:tcW w:w="1275" w:type="dxa"/>
            <w:tcBorders>
              <w:top w:val="nil"/>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10</w:t>
            </w:r>
          </w:p>
        </w:tc>
        <w:tc>
          <w:tcPr>
            <w:tcW w:w="1276" w:type="dxa"/>
            <w:tcBorders>
              <w:top w:val="nil"/>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77</w:t>
            </w:r>
          </w:p>
        </w:tc>
        <w:tc>
          <w:tcPr>
            <w:tcW w:w="1276" w:type="dxa"/>
            <w:tcBorders>
              <w:top w:val="nil"/>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2</w:t>
            </w:r>
          </w:p>
        </w:tc>
      </w:tr>
      <w:tr w:rsidR="005D6812">
        <w:trPr>
          <w:trHeight w:val="249"/>
        </w:trPr>
        <w:tc>
          <w:tcPr>
            <w:tcW w:w="3227" w:type="dxa"/>
            <w:tcBorders>
              <w:top w:val="single" w:sz="4" w:space="0" w:color="016794"/>
              <w:left w:val="nil"/>
              <w:bottom w:val="nil"/>
              <w:right w:val="nil"/>
            </w:tcBorders>
            <w:shd w:val="clear" w:color="auto" w:fill="FFFFFF"/>
            <w:tcMar>
              <w:top w:w="0" w:type="dxa"/>
              <w:left w:w="108" w:type="dxa"/>
              <w:bottom w:w="0" w:type="dxa"/>
              <w:right w:w="108" w:type="dxa"/>
            </w:tcMar>
          </w:tcPr>
          <w:p w:rsidR="005D6812" w:rsidRDefault="005D6812">
            <w:pPr>
              <w:pStyle w:val="Text9pBoldLeft"/>
              <w:rPr>
                <w:rFonts w:eastAsia="Times New Roman" w:cs="Verdana"/>
              </w:rPr>
            </w:pPr>
          </w:p>
        </w:tc>
        <w:tc>
          <w:tcPr>
            <w:tcW w:w="850" w:type="dxa"/>
            <w:tcBorders>
              <w:top w:val="single" w:sz="4" w:space="0" w:color="016794"/>
              <w:left w:val="nil"/>
              <w:bottom w:val="nil"/>
              <w:right w:val="nil"/>
            </w:tcBorders>
            <w:shd w:val="clear" w:color="auto" w:fill="FFFFFF"/>
            <w:tcMar>
              <w:top w:w="0" w:type="dxa"/>
              <w:left w:w="108" w:type="dxa"/>
              <w:bottom w:w="0" w:type="dxa"/>
              <w:right w:w="108" w:type="dxa"/>
            </w:tcMar>
          </w:tcPr>
          <w:p w:rsidR="005D6812" w:rsidRDefault="005D6812">
            <w:pPr>
              <w:pStyle w:val="Figures9pItalicBoldRight025"/>
              <w:rPr>
                <w:rFonts w:eastAsia="Times New Roman" w:cs="Verdana"/>
              </w:rPr>
            </w:pPr>
          </w:p>
        </w:tc>
        <w:tc>
          <w:tcPr>
            <w:tcW w:w="1276" w:type="dxa"/>
            <w:tcBorders>
              <w:top w:val="single" w:sz="4" w:space="0" w:color="016794"/>
              <w:left w:val="nil"/>
              <w:bottom w:val="nil"/>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1</w:t>
            </w:r>
          </w:p>
        </w:tc>
        <w:tc>
          <w:tcPr>
            <w:tcW w:w="1230" w:type="dxa"/>
            <w:tcBorders>
              <w:top w:val="single" w:sz="4" w:space="0" w:color="016794"/>
              <w:left w:val="nil"/>
              <w:bottom w:val="nil"/>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5</w:t>
            </w:r>
          </w:p>
        </w:tc>
        <w:tc>
          <w:tcPr>
            <w:tcW w:w="1191" w:type="dxa"/>
            <w:tcBorders>
              <w:top w:val="single" w:sz="4" w:space="0" w:color="016794"/>
              <w:left w:val="nil"/>
              <w:bottom w:val="nil"/>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(2)</w:t>
            </w:r>
          </w:p>
        </w:tc>
        <w:tc>
          <w:tcPr>
            <w:tcW w:w="1191" w:type="dxa"/>
            <w:tcBorders>
              <w:top w:val="single" w:sz="4" w:space="0" w:color="016794"/>
              <w:left w:val="nil"/>
              <w:bottom w:val="nil"/>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4</w:t>
            </w:r>
          </w:p>
        </w:tc>
        <w:tc>
          <w:tcPr>
            <w:tcW w:w="397" w:type="dxa"/>
            <w:tcBorders>
              <w:top w:val="single" w:sz="4" w:space="0" w:color="016794"/>
              <w:left w:val="nil"/>
              <w:bottom w:val="nil"/>
              <w:right w:val="single" w:sz="4" w:space="0" w:color="016794"/>
            </w:tcBorders>
            <w:shd w:val="clear" w:color="auto" w:fill="FFFFFF"/>
            <w:tcMar>
              <w:top w:w="0" w:type="dxa"/>
              <w:left w:w="108" w:type="dxa"/>
              <w:bottom w:w="0" w:type="dxa"/>
              <w:right w:w="108" w:type="dxa"/>
            </w:tcMar>
          </w:tcPr>
          <w:p w:rsidR="005D6812" w:rsidRDefault="005D6812">
            <w:pPr>
              <w:pStyle w:val="Figures9pBoldRight025"/>
              <w:rPr>
                <w:rFonts w:eastAsia="Times New Roman" w:cs="Verdana"/>
                <w:b w:val="0"/>
              </w:rPr>
            </w:pPr>
          </w:p>
        </w:tc>
        <w:tc>
          <w:tcPr>
            <w:tcW w:w="1378" w:type="dxa"/>
            <w:tcBorders>
              <w:top w:val="single" w:sz="4" w:space="0" w:color="016794"/>
              <w:left w:val="single" w:sz="4" w:space="0" w:color="016794"/>
              <w:bottom w:val="nil"/>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1</w:t>
            </w:r>
          </w:p>
        </w:tc>
        <w:tc>
          <w:tcPr>
            <w:tcW w:w="1275" w:type="dxa"/>
            <w:tcBorders>
              <w:top w:val="single" w:sz="4" w:space="0" w:color="016794"/>
              <w:left w:val="nil"/>
              <w:bottom w:val="nil"/>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10</w:t>
            </w:r>
          </w:p>
        </w:tc>
        <w:tc>
          <w:tcPr>
            <w:tcW w:w="1276" w:type="dxa"/>
            <w:tcBorders>
              <w:top w:val="single" w:sz="4" w:space="0" w:color="016794"/>
              <w:left w:val="nil"/>
              <w:bottom w:val="nil"/>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77</w:t>
            </w:r>
          </w:p>
        </w:tc>
        <w:tc>
          <w:tcPr>
            <w:tcW w:w="1276" w:type="dxa"/>
            <w:tcBorders>
              <w:top w:val="single" w:sz="4" w:space="0" w:color="016794"/>
              <w:left w:val="nil"/>
              <w:bottom w:val="nil"/>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2</w:t>
            </w:r>
          </w:p>
        </w:tc>
      </w:tr>
      <w:tr w:rsidR="005D6812">
        <w:trPr>
          <w:trHeight w:val="234"/>
        </w:trPr>
        <w:tc>
          <w:tcPr>
            <w:tcW w:w="322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Revenue from exchange transactions</w:t>
            </w:r>
          </w:p>
        </w:tc>
        <w:tc>
          <w:tcPr>
            <w:tcW w:w="85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3.2</w:t>
            </w:r>
          </w:p>
        </w:tc>
        <w:tc>
          <w:tcPr>
            <w:tcW w:w="1276"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230"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397" w:type="dxa"/>
            <w:tcBorders>
              <w:top w:val="nil"/>
              <w:left w:val="nil"/>
              <w:bottom w:val="nil"/>
              <w:right w:val="single" w:sz="4" w:space="0" w:color="016794"/>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275"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r>
      <w:tr w:rsidR="005D6812">
        <w:trPr>
          <w:trHeight w:val="234"/>
        </w:trPr>
        <w:tc>
          <w:tcPr>
            <w:tcW w:w="3227"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Financial income</w:t>
            </w:r>
          </w:p>
        </w:tc>
        <w:tc>
          <w:tcPr>
            <w:tcW w:w="850"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c>
          <w:tcPr>
            <w:tcW w:w="127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1230"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2</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2</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w:t>
            </w:r>
          </w:p>
        </w:tc>
        <w:tc>
          <w:tcPr>
            <w:tcW w:w="397" w:type="dxa"/>
            <w:tcBorders>
              <w:top w:val="nil"/>
              <w:left w:val="nil"/>
              <w:bottom w:val="nil"/>
              <w:right w:val="single" w:sz="4" w:space="0" w:color="016794"/>
            </w:tcBorders>
            <w:tcMar>
              <w:top w:w="0" w:type="dxa"/>
              <w:left w:w="108" w:type="dxa"/>
              <w:bottom w:w="0" w:type="dxa"/>
              <w:right w:w="108" w:type="dxa"/>
            </w:tcMar>
          </w:tcPr>
          <w:p w:rsidR="005D6812" w:rsidRDefault="005D6812">
            <w:pPr>
              <w:pStyle w:val="Figures9pItalicRight025"/>
              <w:rPr>
                <w:rFonts w:eastAsia="Times New Roman" w:cs="Verdana"/>
                <w:i w:val="0"/>
              </w:rPr>
            </w:pPr>
          </w:p>
        </w:tc>
        <w:tc>
          <w:tcPr>
            <w:tcW w:w="1378" w:type="dxa"/>
            <w:tcBorders>
              <w:top w:val="nil"/>
              <w:left w:val="single" w:sz="4" w:space="0" w:color="016794"/>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127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6</w:t>
            </w:r>
          </w:p>
        </w:tc>
        <w:tc>
          <w:tcPr>
            <w:tcW w:w="127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127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2</w:t>
            </w:r>
          </w:p>
        </w:tc>
      </w:tr>
      <w:tr w:rsidR="005D6812">
        <w:trPr>
          <w:trHeight w:val="234"/>
        </w:trPr>
        <w:tc>
          <w:tcPr>
            <w:tcW w:w="3227" w:type="dxa"/>
            <w:tcBorders>
              <w:top w:val="nil"/>
              <w:left w:val="nil"/>
              <w:bottom w:val="single" w:sz="4" w:space="0" w:color="016794"/>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Other income</w:t>
            </w:r>
          </w:p>
        </w:tc>
        <w:tc>
          <w:tcPr>
            <w:tcW w:w="850" w:type="dxa"/>
            <w:tcBorders>
              <w:top w:val="nil"/>
              <w:left w:val="nil"/>
              <w:bottom w:val="single" w:sz="4" w:space="0" w:color="016794"/>
              <w:right w:val="nil"/>
            </w:tcBorders>
            <w:tcMar>
              <w:top w:w="0" w:type="dxa"/>
              <w:left w:w="108" w:type="dxa"/>
              <w:bottom w:w="0" w:type="dxa"/>
              <w:right w:w="108" w:type="dxa"/>
            </w:tcMar>
          </w:tcPr>
          <w:p w:rsidR="005D6812" w:rsidRDefault="005D6812">
            <w:pPr>
              <w:pStyle w:val="Figures9pItalicRight025"/>
              <w:rPr>
                <w:rFonts w:eastAsia="Times New Roman" w:cs="Verdana"/>
              </w:rPr>
            </w:pPr>
          </w:p>
        </w:tc>
        <w:tc>
          <w:tcPr>
            <w:tcW w:w="1276" w:type="dxa"/>
            <w:tcBorders>
              <w:top w:val="nil"/>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2</w:t>
            </w:r>
          </w:p>
        </w:tc>
        <w:tc>
          <w:tcPr>
            <w:tcW w:w="1230" w:type="dxa"/>
            <w:tcBorders>
              <w:top w:val="nil"/>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17</w:t>
            </w:r>
          </w:p>
        </w:tc>
        <w:tc>
          <w:tcPr>
            <w:tcW w:w="1191" w:type="dxa"/>
            <w:tcBorders>
              <w:top w:val="nil"/>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40</w:t>
            </w:r>
          </w:p>
        </w:tc>
        <w:tc>
          <w:tcPr>
            <w:tcW w:w="1191" w:type="dxa"/>
            <w:tcBorders>
              <w:top w:val="nil"/>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w:t>
            </w:r>
          </w:p>
        </w:tc>
        <w:tc>
          <w:tcPr>
            <w:tcW w:w="397" w:type="dxa"/>
            <w:tcBorders>
              <w:top w:val="nil"/>
              <w:left w:val="nil"/>
              <w:bottom w:val="single" w:sz="4" w:space="0" w:color="016794"/>
              <w:right w:val="single" w:sz="4" w:space="0" w:color="016794"/>
            </w:tcBorders>
            <w:tcMar>
              <w:top w:w="0" w:type="dxa"/>
              <w:left w:w="108" w:type="dxa"/>
              <w:bottom w:w="0" w:type="dxa"/>
              <w:right w:w="108" w:type="dxa"/>
            </w:tcMar>
          </w:tcPr>
          <w:p w:rsidR="005D6812" w:rsidRDefault="005D6812">
            <w:pPr>
              <w:pStyle w:val="Figures9pItalicRight025"/>
              <w:rPr>
                <w:rFonts w:eastAsia="Times New Roman" w:cs="Verdana"/>
                <w:i w:val="0"/>
              </w:rPr>
            </w:pPr>
          </w:p>
        </w:tc>
        <w:tc>
          <w:tcPr>
            <w:tcW w:w="1378" w:type="dxa"/>
            <w:tcBorders>
              <w:top w:val="nil"/>
              <w:left w:val="single" w:sz="4" w:space="0" w:color="016794"/>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w:t>
            </w:r>
          </w:p>
        </w:tc>
        <w:tc>
          <w:tcPr>
            <w:tcW w:w="1275" w:type="dxa"/>
            <w:tcBorders>
              <w:top w:val="nil"/>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15</w:t>
            </w:r>
          </w:p>
        </w:tc>
        <w:tc>
          <w:tcPr>
            <w:tcW w:w="1276" w:type="dxa"/>
            <w:tcBorders>
              <w:top w:val="nil"/>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22</w:t>
            </w:r>
          </w:p>
        </w:tc>
        <w:tc>
          <w:tcPr>
            <w:tcW w:w="1276" w:type="dxa"/>
            <w:tcBorders>
              <w:top w:val="nil"/>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2</w:t>
            </w:r>
          </w:p>
        </w:tc>
      </w:tr>
      <w:tr w:rsidR="005D6812">
        <w:trPr>
          <w:trHeight w:val="249"/>
        </w:trPr>
        <w:tc>
          <w:tcPr>
            <w:tcW w:w="3227"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5D6812">
            <w:pPr>
              <w:pStyle w:val="Text9pBoldLeft"/>
              <w:rPr>
                <w:rFonts w:eastAsia="Times New Roman" w:cs="Verdana"/>
              </w:rPr>
            </w:pPr>
          </w:p>
        </w:tc>
        <w:tc>
          <w:tcPr>
            <w:tcW w:w="850"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5D6812">
            <w:pPr>
              <w:pStyle w:val="Figures9pItalicBoldRight025"/>
              <w:rPr>
                <w:rFonts w:eastAsia="Times New Roman" w:cs="Verdana"/>
              </w:rPr>
            </w:pPr>
          </w:p>
        </w:tc>
        <w:tc>
          <w:tcPr>
            <w:tcW w:w="1276"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2</w:t>
            </w:r>
          </w:p>
        </w:tc>
        <w:tc>
          <w:tcPr>
            <w:tcW w:w="1230"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19</w:t>
            </w:r>
          </w:p>
        </w:tc>
        <w:tc>
          <w:tcPr>
            <w:tcW w:w="1191"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43</w:t>
            </w:r>
          </w:p>
        </w:tc>
        <w:tc>
          <w:tcPr>
            <w:tcW w:w="1191"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2</w:t>
            </w:r>
          </w:p>
        </w:tc>
        <w:tc>
          <w:tcPr>
            <w:tcW w:w="397"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5D6812">
            <w:pPr>
              <w:pStyle w:val="Figures9pBoldRight025"/>
              <w:rPr>
                <w:rFonts w:eastAsia="Times New Roman" w:cs="Verdana"/>
                <w:b w:val="0"/>
              </w:rPr>
            </w:pPr>
          </w:p>
        </w:tc>
        <w:tc>
          <w:tcPr>
            <w:tcW w:w="1378"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3</w:t>
            </w:r>
          </w:p>
        </w:tc>
        <w:tc>
          <w:tcPr>
            <w:tcW w:w="1275"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21</w:t>
            </w:r>
          </w:p>
        </w:tc>
        <w:tc>
          <w:tcPr>
            <w:tcW w:w="1276"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22</w:t>
            </w:r>
          </w:p>
        </w:tc>
        <w:tc>
          <w:tcPr>
            <w:tcW w:w="1276"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4</w:t>
            </w:r>
          </w:p>
        </w:tc>
      </w:tr>
      <w:tr w:rsidR="005D6812">
        <w:trPr>
          <w:trHeight w:val="249"/>
        </w:trPr>
        <w:tc>
          <w:tcPr>
            <w:tcW w:w="3227"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Total revenue</w:t>
            </w:r>
          </w:p>
        </w:tc>
        <w:tc>
          <w:tcPr>
            <w:tcW w:w="850"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5D6812">
            <w:pPr>
              <w:pStyle w:val="Figures9pItalicBoldRight025"/>
              <w:rPr>
                <w:rFonts w:eastAsia="Times New Roman" w:cs="Verdana"/>
              </w:rPr>
            </w:pPr>
          </w:p>
        </w:tc>
        <w:tc>
          <w:tcPr>
            <w:tcW w:w="1276"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3</w:t>
            </w:r>
          </w:p>
        </w:tc>
        <w:tc>
          <w:tcPr>
            <w:tcW w:w="1230"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23</w:t>
            </w:r>
          </w:p>
        </w:tc>
        <w:tc>
          <w:tcPr>
            <w:tcW w:w="1191"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41</w:t>
            </w:r>
          </w:p>
        </w:tc>
        <w:tc>
          <w:tcPr>
            <w:tcW w:w="1191"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7</w:t>
            </w:r>
          </w:p>
        </w:tc>
        <w:tc>
          <w:tcPr>
            <w:tcW w:w="397"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5D6812">
            <w:pPr>
              <w:pStyle w:val="Figures9pBoldRight025"/>
              <w:rPr>
                <w:rFonts w:eastAsia="Times New Roman" w:cs="Verdana"/>
                <w:b w:val="0"/>
              </w:rPr>
            </w:pPr>
          </w:p>
        </w:tc>
        <w:tc>
          <w:tcPr>
            <w:tcW w:w="1378"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4</w:t>
            </w:r>
          </w:p>
        </w:tc>
        <w:tc>
          <w:tcPr>
            <w:tcW w:w="1275"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30</w:t>
            </w:r>
          </w:p>
        </w:tc>
        <w:tc>
          <w:tcPr>
            <w:tcW w:w="1276"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99</w:t>
            </w:r>
          </w:p>
        </w:tc>
        <w:tc>
          <w:tcPr>
            <w:tcW w:w="1276"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6</w:t>
            </w:r>
          </w:p>
        </w:tc>
      </w:tr>
      <w:tr w:rsidR="005D6812">
        <w:trPr>
          <w:trHeight w:val="234"/>
        </w:trPr>
        <w:tc>
          <w:tcPr>
            <w:tcW w:w="3227"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EXPENSES</w:t>
            </w:r>
          </w:p>
        </w:tc>
        <w:tc>
          <w:tcPr>
            <w:tcW w:w="850"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Figures9pItalicRight025"/>
              <w:rPr>
                <w:rFonts w:eastAsia="Times New Roman" w:cs="Verdana"/>
              </w:rPr>
            </w:pPr>
          </w:p>
        </w:tc>
        <w:tc>
          <w:tcPr>
            <w:tcW w:w="1276"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230"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191"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191"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397" w:type="dxa"/>
            <w:tcBorders>
              <w:top w:val="single" w:sz="4" w:space="0" w:color="016794"/>
              <w:left w:val="nil"/>
              <w:bottom w:val="nil"/>
              <w:right w:val="single" w:sz="4" w:space="0" w:color="016794"/>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b w:val="0"/>
              </w:rPr>
            </w:pPr>
          </w:p>
        </w:tc>
        <w:tc>
          <w:tcPr>
            <w:tcW w:w="1378" w:type="dxa"/>
            <w:tcBorders>
              <w:top w:val="single" w:sz="4" w:space="0" w:color="016794"/>
              <w:left w:val="single" w:sz="4" w:space="0" w:color="016794"/>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275"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276"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276"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r>
      <w:tr w:rsidR="005D6812">
        <w:trPr>
          <w:trHeight w:val="234"/>
        </w:trPr>
        <w:tc>
          <w:tcPr>
            <w:tcW w:w="3227"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Aid instruments</w:t>
            </w:r>
          </w:p>
        </w:tc>
        <w:tc>
          <w:tcPr>
            <w:tcW w:w="850"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3.3</w:t>
            </w:r>
          </w:p>
        </w:tc>
        <w:tc>
          <w:tcPr>
            <w:tcW w:w="127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2</w:t>
            </w:r>
          </w:p>
        </w:tc>
        <w:tc>
          <w:tcPr>
            <w:tcW w:w="1230"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(95)</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(1 411)</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(1 465)</w:t>
            </w:r>
          </w:p>
        </w:tc>
        <w:tc>
          <w:tcPr>
            <w:tcW w:w="397" w:type="dxa"/>
            <w:tcBorders>
              <w:top w:val="nil"/>
              <w:left w:val="nil"/>
              <w:bottom w:val="nil"/>
              <w:right w:val="single" w:sz="4" w:space="0" w:color="016794"/>
            </w:tcBorders>
            <w:tcMar>
              <w:top w:w="0" w:type="dxa"/>
              <w:left w:w="108" w:type="dxa"/>
              <w:bottom w:w="0" w:type="dxa"/>
              <w:right w:w="108" w:type="dxa"/>
            </w:tcMar>
          </w:tcPr>
          <w:p w:rsidR="005D6812" w:rsidRDefault="005D6812">
            <w:pPr>
              <w:pStyle w:val="Figures9pItalicRight025"/>
              <w:rPr>
                <w:rFonts w:eastAsia="Times New Roman" w:cs="Verdana"/>
                <w:i w:val="0"/>
              </w:rPr>
            </w:pPr>
          </w:p>
        </w:tc>
        <w:tc>
          <w:tcPr>
            <w:tcW w:w="1378" w:type="dxa"/>
            <w:tcBorders>
              <w:top w:val="nil"/>
              <w:left w:val="single" w:sz="4" w:space="0" w:color="016794"/>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5</w:t>
            </w:r>
          </w:p>
        </w:tc>
        <w:tc>
          <w:tcPr>
            <w:tcW w:w="127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(47)</w:t>
            </w:r>
          </w:p>
        </w:tc>
        <w:tc>
          <w:tcPr>
            <w:tcW w:w="127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(2 197)</w:t>
            </w:r>
          </w:p>
        </w:tc>
        <w:tc>
          <w:tcPr>
            <w:tcW w:w="127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(820)</w:t>
            </w:r>
          </w:p>
        </w:tc>
      </w:tr>
      <w:tr w:rsidR="005D6812">
        <w:trPr>
          <w:trHeight w:val="234"/>
        </w:trPr>
        <w:tc>
          <w:tcPr>
            <w:tcW w:w="3227"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Co-financing expenses</w:t>
            </w:r>
          </w:p>
        </w:tc>
        <w:tc>
          <w:tcPr>
            <w:tcW w:w="850"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3.4</w:t>
            </w:r>
          </w:p>
        </w:tc>
        <w:tc>
          <w:tcPr>
            <w:tcW w:w="127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230"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15</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397" w:type="dxa"/>
            <w:tcBorders>
              <w:top w:val="nil"/>
              <w:left w:val="nil"/>
              <w:bottom w:val="nil"/>
              <w:right w:val="single" w:sz="4" w:space="0" w:color="016794"/>
            </w:tcBorders>
            <w:tcMar>
              <w:top w:w="0" w:type="dxa"/>
              <w:left w:w="108" w:type="dxa"/>
              <w:bottom w:w="0" w:type="dxa"/>
              <w:right w:w="108" w:type="dxa"/>
            </w:tcMar>
          </w:tcPr>
          <w:p w:rsidR="005D6812" w:rsidRDefault="005D6812">
            <w:pPr>
              <w:pStyle w:val="Figures9pItalicRight025"/>
              <w:rPr>
                <w:rFonts w:eastAsia="Times New Roman" w:cs="Verdana"/>
                <w:i w:val="0"/>
              </w:rPr>
            </w:pPr>
          </w:p>
        </w:tc>
        <w:tc>
          <w:tcPr>
            <w:tcW w:w="1378" w:type="dxa"/>
            <w:tcBorders>
              <w:top w:val="nil"/>
              <w:left w:val="single" w:sz="4" w:space="0" w:color="016794"/>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27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27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(68)</w:t>
            </w:r>
          </w:p>
        </w:tc>
        <w:tc>
          <w:tcPr>
            <w:tcW w:w="127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w:t>
            </w:r>
          </w:p>
        </w:tc>
      </w:tr>
      <w:tr w:rsidR="005D6812">
        <w:trPr>
          <w:trHeight w:val="234"/>
        </w:trPr>
        <w:tc>
          <w:tcPr>
            <w:tcW w:w="3227"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Finance costs</w:t>
            </w:r>
          </w:p>
        </w:tc>
        <w:tc>
          <w:tcPr>
            <w:tcW w:w="850"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3.6</w:t>
            </w:r>
          </w:p>
        </w:tc>
        <w:tc>
          <w:tcPr>
            <w:tcW w:w="127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1230"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4</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397" w:type="dxa"/>
            <w:tcBorders>
              <w:top w:val="nil"/>
              <w:left w:val="nil"/>
              <w:bottom w:val="nil"/>
              <w:right w:val="single" w:sz="4" w:space="0" w:color="016794"/>
            </w:tcBorders>
            <w:tcMar>
              <w:top w:w="0" w:type="dxa"/>
              <w:left w:w="108" w:type="dxa"/>
              <w:bottom w:w="0" w:type="dxa"/>
              <w:right w:w="108" w:type="dxa"/>
            </w:tcMar>
          </w:tcPr>
          <w:p w:rsidR="005D6812" w:rsidRDefault="005D6812">
            <w:pPr>
              <w:pStyle w:val="Figures9pItalicRight025"/>
              <w:rPr>
                <w:rFonts w:eastAsia="Times New Roman" w:cs="Verdana"/>
                <w:i w:val="0"/>
              </w:rPr>
            </w:pPr>
          </w:p>
        </w:tc>
        <w:tc>
          <w:tcPr>
            <w:tcW w:w="1378" w:type="dxa"/>
            <w:tcBorders>
              <w:top w:val="nil"/>
              <w:left w:val="single" w:sz="4" w:space="0" w:color="016794"/>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127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7</w:t>
            </w:r>
          </w:p>
        </w:tc>
        <w:tc>
          <w:tcPr>
            <w:tcW w:w="127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(8)</w:t>
            </w:r>
          </w:p>
        </w:tc>
        <w:tc>
          <w:tcPr>
            <w:tcW w:w="127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r>
      <w:tr w:rsidR="005D6812">
        <w:trPr>
          <w:trHeight w:val="234"/>
        </w:trPr>
        <w:tc>
          <w:tcPr>
            <w:tcW w:w="3227" w:type="dxa"/>
            <w:tcBorders>
              <w:top w:val="nil"/>
              <w:left w:val="nil"/>
              <w:bottom w:val="single" w:sz="4" w:space="0" w:color="016794"/>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Other expenses</w:t>
            </w:r>
          </w:p>
        </w:tc>
        <w:tc>
          <w:tcPr>
            <w:tcW w:w="850" w:type="dxa"/>
            <w:tcBorders>
              <w:top w:val="nil"/>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3.7</w:t>
            </w:r>
          </w:p>
        </w:tc>
        <w:tc>
          <w:tcPr>
            <w:tcW w:w="1276" w:type="dxa"/>
            <w:tcBorders>
              <w:top w:val="nil"/>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w:t>
            </w:r>
          </w:p>
        </w:tc>
        <w:tc>
          <w:tcPr>
            <w:tcW w:w="1230" w:type="dxa"/>
            <w:tcBorders>
              <w:top w:val="nil"/>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(19)</w:t>
            </w:r>
          </w:p>
        </w:tc>
        <w:tc>
          <w:tcPr>
            <w:tcW w:w="1191" w:type="dxa"/>
            <w:tcBorders>
              <w:top w:val="nil"/>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(46)</w:t>
            </w:r>
          </w:p>
        </w:tc>
        <w:tc>
          <w:tcPr>
            <w:tcW w:w="1191" w:type="dxa"/>
            <w:tcBorders>
              <w:top w:val="nil"/>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(129)</w:t>
            </w:r>
          </w:p>
        </w:tc>
        <w:tc>
          <w:tcPr>
            <w:tcW w:w="397" w:type="dxa"/>
            <w:tcBorders>
              <w:top w:val="nil"/>
              <w:left w:val="nil"/>
              <w:bottom w:val="single" w:sz="4" w:space="0" w:color="016794"/>
              <w:right w:val="single" w:sz="4" w:space="0" w:color="016794"/>
            </w:tcBorders>
            <w:tcMar>
              <w:top w:w="0" w:type="dxa"/>
              <w:left w:w="108" w:type="dxa"/>
              <w:bottom w:w="0" w:type="dxa"/>
              <w:right w:w="108" w:type="dxa"/>
            </w:tcMar>
          </w:tcPr>
          <w:p w:rsidR="005D6812" w:rsidRDefault="005D6812">
            <w:pPr>
              <w:pStyle w:val="Figures9pItalicRight025"/>
              <w:rPr>
                <w:rFonts w:eastAsia="Times New Roman" w:cs="Verdana"/>
                <w:i w:val="0"/>
              </w:rPr>
            </w:pPr>
          </w:p>
        </w:tc>
        <w:tc>
          <w:tcPr>
            <w:tcW w:w="1378" w:type="dxa"/>
            <w:tcBorders>
              <w:top w:val="nil"/>
              <w:left w:val="single" w:sz="4" w:space="0" w:color="016794"/>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w:t>
            </w:r>
          </w:p>
        </w:tc>
        <w:tc>
          <w:tcPr>
            <w:tcW w:w="1275" w:type="dxa"/>
            <w:tcBorders>
              <w:top w:val="nil"/>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(15)</w:t>
            </w:r>
          </w:p>
        </w:tc>
        <w:tc>
          <w:tcPr>
            <w:tcW w:w="1276" w:type="dxa"/>
            <w:tcBorders>
              <w:top w:val="nil"/>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(58)</w:t>
            </w:r>
          </w:p>
        </w:tc>
        <w:tc>
          <w:tcPr>
            <w:tcW w:w="1276" w:type="dxa"/>
            <w:tcBorders>
              <w:top w:val="nil"/>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(86)</w:t>
            </w:r>
          </w:p>
        </w:tc>
      </w:tr>
      <w:tr w:rsidR="005D6812">
        <w:trPr>
          <w:trHeight w:val="249"/>
        </w:trPr>
        <w:tc>
          <w:tcPr>
            <w:tcW w:w="3227"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Total expenses</w:t>
            </w:r>
          </w:p>
        </w:tc>
        <w:tc>
          <w:tcPr>
            <w:tcW w:w="850"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5D6812">
            <w:pPr>
              <w:pStyle w:val="Figures9pItalicBoldRight025"/>
              <w:rPr>
                <w:rFonts w:eastAsia="Times New Roman" w:cs="Verdana"/>
              </w:rPr>
            </w:pPr>
          </w:p>
        </w:tc>
        <w:tc>
          <w:tcPr>
            <w:tcW w:w="1276"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(1)</w:t>
            </w:r>
          </w:p>
        </w:tc>
        <w:tc>
          <w:tcPr>
            <w:tcW w:w="1230"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(114)</w:t>
            </w:r>
          </w:p>
        </w:tc>
        <w:tc>
          <w:tcPr>
            <w:tcW w:w="1191"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(1 437)</w:t>
            </w:r>
          </w:p>
        </w:tc>
        <w:tc>
          <w:tcPr>
            <w:tcW w:w="1191"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(1 594)</w:t>
            </w:r>
          </w:p>
        </w:tc>
        <w:tc>
          <w:tcPr>
            <w:tcW w:w="397"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5D6812">
            <w:pPr>
              <w:pStyle w:val="Figures9pBoldRight025"/>
              <w:rPr>
                <w:rFonts w:eastAsia="Times New Roman" w:cs="Verdana"/>
                <w:b w:val="0"/>
              </w:rPr>
            </w:pPr>
          </w:p>
        </w:tc>
        <w:tc>
          <w:tcPr>
            <w:tcW w:w="1378"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2</w:t>
            </w:r>
          </w:p>
        </w:tc>
        <w:tc>
          <w:tcPr>
            <w:tcW w:w="1275"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(56)</w:t>
            </w:r>
          </w:p>
        </w:tc>
        <w:tc>
          <w:tcPr>
            <w:tcW w:w="1276"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(2 331)</w:t>
            </w:r>
          </w:p>
        </w:tc>
        <w:tc>
          <w:tcPr>
            <w:tcW w:w="1276"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(907)</w:t>
            </w:r>
          </w:p>
        </w:tc>
      </w:tr>
      <w:tr w:rsidR="005D6812">
        <w:trPr>
          <w:trHeight w:val="220"/>
        </w:trPr>
        <w:tc>
          <w:tcPr>
            <w:tcW w:w="3227" w:type="dxa"/>
            <w:tcBorders>
              <w:top w:val="single" w:sz="4" w:space="0" w:color="016794"/>
              <w:left w:val="nil"/>
              <w:bottom w:val="nil"/>
              <w:right w:val="nil"/>
            </w:tcBorders>
            <w:tcMar>
              <w:top w:w="0" w:type="dxa"/>
              <w:left w:w="108" w:type="dxa"/>
              <w:bottom w:w="0" w:type="dxa"/>
              <w:right w:w="108" w:type="dxa"/>
            </w:tcMar>
          </w:tcPr>
          <w:p w:rsidR="005D6812" w:rsidRDefault="005D6812">
            <w:pPr>
              <w:pStyle w:val="Text8pItalicLeft"/>
              <w:rPr>
                <w:rFonts w:eastAsia="Times New Roman" w:cs="Verdana"/>
                <w:color w:val="FFFFFF"/>
              </w:rPr>
            </w:pPr>
          </w:p>
        </w:tc>
        <w:tc>
          <w:tcPr>
            <w:tcW w:w="850" w:type="dxa"/>
            <w:tcBorders>
              <w:top w:val="single" w:sz="4" w:space="0" w:color="016794"/>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276" w:type="dxa"/>
            <w:tcBorders>
              <w:top w:val="single" w:sz="4" w:space="0" w:color="016794"/>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230" w:type="dxa"/>
            <w:tcBorders>
              <w:top w:val="single" w:sz="4" w:space="0" w:color="016794"/>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91" w:type="dxa"/>
            <w:tcBorders>
              <w:top w:val="single" w:sz="4" w:space="0" w:color="016794"/>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91" w:type="dxa"/>
            <w:tcBorders>
              <w:top w:val="single" w:sz="4" w:space="0" w:color="016794"/>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397" w:type="dxa"/>
            <w:tcBorders>
              <w:top w:val="single" w:sz="4" w:space="0" w:color="016794"/>
              <w:left w:val="nil"/>
              <w:bottom w:val="nil"/>
              <w:right w:val="single" w:sz="4" w:space="0" w:color="016794"/>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378" w:type="dxa"/>
            <w:tcBorders>
              <w:top w:val="single" w:sz="4" w:space="0" w:color="016794"/>
              <w:left w:val="single" w:sz="4" w:space="0" w:color="016794"/>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275" w:type="dxa"/>
            <w:tcBorders>
              <w:top w:val="single" w:sz="4" w:space="0" w:color="016794"/>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276" w:type="dxa"/>
            <w:tcBorders>
              <w:top w:val="single" w:sz="4" w:space="0" w:color="016794"/>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276" w:type="dxa"/>
            <w:tcBorders>
              <w:top w:val="single" w:sz="4" w:space="0" w:color="016794"/>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r>
      <w:tr w:rsidR="005D6812">
        <w:trPr>
          <w:trHeight w:val="234"/>
        </w:trPr>
        <w:tc>
          <w:tcPr>
            <w:tcW w:w="322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ECONOMIC RESULT OF THE YEAR</w:t>
            </w:r>
          </w:p>
        </w:tc>
        <w:tc>
          <w:tcPr>
            <w:tcW w:w="850"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b w:val="0"/>
              </w:rPr>
            </w:pPr>
          </w:p>
        </w:tc>
        <w:tc>
          <w:tcPr>
            <w:tcW w:w="127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2</w:t>
            </w:r>
          </w:p>
        </w:tc>
        <w:tc>
          <w:tcPr>
            <w:tcW w:w="123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(91)</w:t>
            </w:r>
          </w:p>
        </w:tc>
        <w:tc>
          <w:tcPr>
            <w:tcW w:w="119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(1 397)</w:t>
            </w:r>
          </w:p>
        </w:tc>
        <w:tc>
          <w:tcPr>
            <w:tcW w:w="119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(1 587)</w:t>
            </w:r>
          </w:p>
        </w:tc>
        <w:tc>
          <w:tcPr>
            <w:tcW w:w="397" w:type="dxa"/>
            <w:tcBorders>
              <w:top w:val="nil"/>
              <w:left w:val="nil"/>
              <w:bottom w:val="nil"/>
              <w:right w:val="single" w:sz="4" w:space="0" w:color="016794"/>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6</w:t>
            </w:r>
          </w:p>
        </w:tc>
        <w:tc>
          <w:tcPr>
            <w:tcW w:w="127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(25)</w:t>
            </w:r>
          </w:p>
        </w:tc>
        <w:tc>
          <w:tcPr>
            <w:tcW w:w="127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(2 232)</w:t>
            </w:r>
          </w:p>
        </w:tc>
        <w:tc>
          <w:tcPr>
            <w:tcW w:w="127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(901)</w:t>
            </w:r>
          </w:p>
        </w:tc>
      </w:tr>
    </w:tbl>
    <w:p w:rsidR="005D6812" w:rsidRDefault="00AB2A2B">
      <w:pPr>
        <w:pStyle w:val="Textstand-alone"/>
        <w:sectPr w:rsidR="005D6812">
          <w:headerReference w:type="even" r:id="rId95"/>
          <w:headerReference w:type="default" r:id="rId96"/>
          <w:footerReference w:type="even" r:id="rId97"/>
          <w:footerReference w:type="default" r:id="rId98"/>
          <w:headerReference w:type="first" r:id="rId99"/>
          <w:footerReference w:type="first" r:id="rId100"/>
          <w:pgSz w:w="16838" w:h="11906" w:orient="landscape"/>
          <w:pgMar w:top="1134" w:right="1134" w:bottom="1134" w:left="1134" w:header="708" w:footer="708" w:gutter="0"/>
          <w:cols w:space="708"/>
          <w:docGrid w:linePitch="360"/>
        </w:sectPr>
      </w:pPr>
      <w:r>
        <w:t xml:space="preserve"> </w:t>
      </w:r>
      <w:bookmarkEnd w:id="166"/>
    </w:p>
    <w:p w:rsidR="005D6812" w:rsidRDefault="00AB2A2B">
      <w:pPr>
        <w:pStyle w:val="HEADERTITLE1"/>
      </w:pPr>
      <w:bookmarkStart w:id="168" w:name="_Toc484164235"/>
      <w:bookmarkStart w:id="169" w:name="_DMBM_9507"/>
      <w:r>
        <w:t>STATEMENT OF CHANGES IN NET ASSETS BY EDF</w:t>
      </w:r>
      <w:bookmarkEnd w:id="168"/>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620"/>
        <w:gridCol w:w="1782"/>
        <w:gridCol w:w="1418"/>
        <w:gridCol w:w="142"/>
        <w:gridCol w:w="1275"/>
        <w:gridCol w:w="284"/>
        <w:gridCol w:w="1559"/>
        <w:gridCol w:w="1559"/>
        <w:gridCol w:w="1418"/>
      </w:tblGrid>
      <w:tr w:rsidR="005D6812">
        <w:trPr>
          <w:trHeight w:val="250"/>
        </w:trPr>
        <w:tc>
          <w:tcPr>
            <w:tcW w:w="4077" w:type="dxa"/>
            <w:tcBorders>
              <w:top w:val="nil"/>
              <w:left w:val="nil"/>
              <w:bottom w:val="nil"/>
              <w:right w:val="nil"/>
            </w:tcBorders>
            <w:tcMar>
              <w:top w:w="0" w:type="dxa"/>
              <w:left w:w="108" w:type="dxa"/>
              <w:bottom w:w="0" w:type="dxa"/>
              <w:right w:w="108" w:type="dxa"/>
            </w:tcMar>
          </w:tcPr>
          <w:p w:rsidR="005D6812" w:rsidRDefault="005D6812">
            <w:pPr>
              <w:pStyle w:val="Text8pItalicLeft"/>
              <w:rPr>
                <w:rFonts w:eastAsia="Times New Roman" w:cs="Verdana"/>
                <w:color w:val="FFFFFF"/>
              </w:rPr>
            </w:pPr>
            <w:bookmarkStart w:id="170" w:name="DOC_TBL00007_1_1"/>
            <w:bookmarkEnd w:id="170"/>
          </w:p>
        </w:tc>
        <w:tc>
          <w:tcPr>
            <w:tcW w:w="1620"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417" w:type="dxa"/>
            <w:gridSpan w:val="2"/>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843" w:type="dxa"/>
            <w:gridSpan w:val="2"/>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rsidR="005D6812" w:rsidRDefault="00AB2A2B">
            <w:pPr>
              <w:pStyle w:val="Text8pItalicRight025EUR"/>
              <w:rPr>
                <w:rFonts w:eastAsia="Times New Roman" w:cs="Verdana"/>
              </w:rPr>
            </w:pPr>
            <w:r>
              <w:rPr>
                <w:rFonts w:eastAsia="Times New Roman" w:cs="Verdana"/>
              </w:rPr>
              <w:t>EUR millions</w:t>
            </w:r>
          </w:p>
        </w:tc>
      </w:tr>
      <w:tr w:rsidR="005D6812" w:rsidRPr="00AB2A2B">
        <w:trPr>
          <w:trHeight w:val="499"/>
        </w:trPr>
        <w:tc>
          <w:tcPr>
            <w:tcW w:w="4077"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Left"/>
              <w:rPr>
                <w:rFonts w:eastAsia="Times New Roman" w:cs="Verdana"/>
              </w:rPr>
            </w:pPr>
            <w:r>
              <w:rPr>
                <w:rFonts w:eastAsia="Times New Roman" w:cs="Verdana"/>
              </w:rPr>
              <w:t>Eighth EDF</w:t>
            </w:r>
          </w:p>
        </w:tc>
        <w:tc>
          <w:tcPr>
            <w:tcW w:w="1620"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Fund capital - active EDFs (A)</w:t>
            </w:r>
          </w:p>
        </w:tc>
        <w:tc>
          <w:tcPr>
            <w:tcW w:w="178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Uncalled funds - active EDFs (B)</w:t>
            </w:r>
          </w:p>
        </w:tc>
        <w:tc>
          <w:tcPr>
            <w:tcW w:w="1560" w:type="dxa"/>
            <w:gridSpan w:val="2"/>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Called fund capital - active EDFs (C) = (A)-(B)</w:t>
            </w:r>
          </w:p>
        </w:tc>
        <w:tc>
          <w:tcPr>
            <w:tcW w:w="1559" w:type="dxa"/>
            <w:gridSpan w:val="2"/>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Cumulative Reserves (D)</w:t>
            </w:r>
          </w:p>
        </w:tc>
        <w:tc>
          <w:tcPr>
            <w:tcW w:w="1559"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 xml:space="preserve">Called fund capital from closed EDFs carried </w:t>
            </w:r>
            <w:r>
              <w:rPr>
                <w:rFonts w:eastAsia="Times New Roman" w:cs="Verdana"/>
              </w:rPr>
              <w:t>forward (E)</w:t>
            </w:r>
          </w:p>
        </w:tc>
        <w:tc>
          <w:tcPr>
            <w:tcW w:w="1559"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Called fund capital transfers between active EDFs (F)</w:t>
            </w:r>
          </w:p>
        </w:tc>
        <w:tc>
          <w:tcPr>
            <w:tcW w:w="1418"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lang w:val="fr-BE"/>
              </w:rPr>
            </w:pPr>
            <w:r>
              <w:rPr>
                <w:rFonts w:eastAsia="Times New Roman" w:cs="Verdana"/>
                <w:lang w:val="fr-BE"/>
              </w:rPr>
              <w:t>Total Net Assets (C)+(D)+(E)+(F)</w:t>
            </w:r>
          </w:p>
        </w:tc>
      </w:tr>
      <w:tr w:rsidR="005D6812">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8pBoldLeft"/>
              <w:rPr>
                <w:rFonts w:eastAsia="Times New Roman" w:cs="Verdana"/>
              </w:rPr>
            </w:pPr>
            <w:r>
              <w:rPr>
                <w:rFonts w:eastAsia="Times New Roman" w:cs="Verdana"/>
              </w:rPr>
              <w:t>BALANCE AS AT 31.12.2014</w:t>
            </w:r>
          </w:p>
        </w:tc>
        <w:tc>
          <w:tcPr>
            <w:tcW w:w="162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12 840</w:t>
            </w:r>
          </w:p>
        </w:tc>
        <w:tc>
          <w:tcPr>
            <w:tcW w:w="178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12 840</w:t>
            </w:r>
          </w:p>
        </w:tc>
        <w:tc>
          <w:tcPr>
            <w:tcW w:w="1417" w:type="dxa"/>
            <w:gridSpan w:val="2"/>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(10 107)</w:t>
            </w:r>
          </w:p>
        </w:tc>
        <w:tc>
          <w:tcPr>
            <w:tcW w:w="1843" w:type="dxa"/>
            <w:gridSpan w:val="2"/>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 xml:space="preserve"> 627</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(3 147)</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 xml:space="preserve"> 214</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Capital decrease - funds committed under the Bridging Facility</w:t>
            </w:r>
          </w:p>
        </w:tc>
        <w:tc>
          <w:tcPr>
            <w:tcW w:w="162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(676)</w:t>
            </w:r>
          </w:p>
        </w:tc>
        <w:tc>
          <w:tcPr>
            <w:tcW w:w="178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(676)</w:t>
            </w:r>
          </w:p>
        </w:tc>
        <w:tc>
          <w:tcPr>
            <w:tcW w:w="1417" w:type="dxa"/>
            <w:gridSpan w:val="2"/>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843" w:type="dxa"/>
            <w:gridSpan w:val="2"/>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(676)</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Transfers to/from the 10th EDF</w:t>
            </w:r>
          </w:p>
        </w:tc>
        <w:tc>
          <w:tcPr>
            <w:tcW w:w="162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417" w:type="dxa"/>
            <w:gridSpan w:val="2"/>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843" w:type="dxa"/>
            <w:gridSpan w:val="2"/>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(6)</w:t>
            </w: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(6)</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Transfers to/from the 11th EDF</w:t>
            </w:r>
          </w:p>
        </w:tc>
        <w:tc>
          <w:tcPr>
            <w:tcW w:w="162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417" w:type="dxa"/>
            <w:gridSpan w:val="2"/>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843" w:type="dxa"/>
            <w:gridSpan w:val="2"/>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676</w:t>
            </w: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676</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Economic result of the year</w:t>
            </w:r>
          </w:p>
        </w:tc>
        <w:tc>
          <w:tcPr>
            <w:tcW w:w="162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417" w:type="dxa"/>
            <w:gridSpan w:val="2"/>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6</w:t>
            </w:r>
          </w:p>
        </w:tc>
        <w:tc>
          <w:tcPr>
            <w:tcW w:w="1843" w:type="dxa"/>
            <w:gridSpan w:val="2"/>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6</w:t>
            </w:r>
          </w:p>
        </w:tc>
      </w:tr>
      <w:tr w:rsidR="005D6812">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8pBoldLeft"/>
              <w:rPr>
                <w:rFonts w:eastAsia="Times New Roman" w:cs="Verdana"/>
              </w:rPr>
            </w:pPr>
            <w:r>
              <w:rPr>
                <w:rFonts w:eastAsia="Times New Roman" w:cs="Verdana"/>
              </w:rPr>
              <w:t>BALANCE AS AT 31.12.2015</w:t>
            </w:r>
          </w:p>
        </w:tc>
        <w:tc>
          <w:tcPr>
            <w:tcW w:w="162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12 164</w:t>
            </w:r>
          </w:p>
        </w:tc>
        <w:tc>
          <w:tcPr>
            <w:tcW w:w="178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12 164</w:t>
            </w:r>
          </w:p>
        </w:tc>
        <w:tc>
          <w:tcPr>
            <w:tcW w:w="1417" w:type="dxa"/>
            <w:gridSpan w:val="2"/>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(10 100)</w:t>
            </w:r>
          </w:p>
        </w:tc>
        <w:tc>
          <w:tcPr>
            <w:tcW w:w="1843" w:type="dxa"/>
            <w:gridSpan w:val="2"/>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 xml:space="preserve"> 627</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(2 476)</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 xml:space="preserve"> 214</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Transfers to/from the 10th EDF</w:t>
            </w:r>
          </w:p>
        </w:tc>
        <w:tc>
          <w:tcPr>
            <w:tcW w:w="162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417" w:type="dxa"/>
            <w:gridSpan w:val="2"/>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843" w:type="dxa"/>
            <w:gridSpan w:val="2"/>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(20)</w:t>
            </w: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(20)</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Transfers to/from the 11th EDF</w:t>
            </w:r>
          </w:p>
        </w:tc>
        <w:tc>
          <w:tcPr>
            <w:tcW w:w="162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417" w:type="dxa"/>
            <w:gridSpan w:val="2"/>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843" w:type="dxa"/>
            <w:gridSpan w:val="2"/>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Economic result of the year</w:t>
            </w:r>
          </w:p>
        </w:tc>
        <w:tc>
          <w:tcPr>
            <w:tcW w:w="162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417" w:type="dxa"/>
            <w:gridSpan w:val="2"/>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2</w:t>
            </w:r>
          </w:p>
        </w:tc>
        <w:tc>
          <w:tcPr>
            <w:tcW w:w="1843" w:type="dxa"/>
            <w:gridSpan w:val="2"/>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2</w:t>
            </w:r>
          </w:p>
        </w:tc>
      </w:tr>
      <w:tr w:rsidR="005D6812">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8pBoldLeft"/>
              <w:rPr>
                <w:rFonts w:eastAsia="Times New Roman" w:cs="Verdana"/>
              </w:rPr>
            </w:pPr>
            <w:r>
              <w:rPr>
                <w:rFonts w:eastAsia="Times New Roman" w:cs="Verdana"/>
              </w:rPr>
              <w:t>BALANCE AS AT 31.12.2016</w:t>
            </w:r>
          </w:p>
        </w:tc>
        <w:tc>
          <w:tcPr>
            <w:tcW w:w="162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12 164</w:t>
            </w:r>
          </w:p>
        </w:tc>
        <w:tc>
          <w:tcPr>
            <w:tcW w:w="178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12 164</w:t>
            </w:r>
          </w:p>
        </w:tc>
        <w:tc>
          <w:tcPr>
            <w:tcW w:w="1417" w:type="dxa"/>
            <w:gridSpan w:val="2"/>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(10 098)</w:t>
            </w:r>
          </w:p>
        </w:tc>
        <w:tc>
          <w:tcPr>
            <w:tcW w:w="1843" w:type="dxa"/>
            <w:gridSpan w:val="2"/>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 xml:space="preserve"> 627</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(2 496)</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 xml:space="preserve"> 197</w:t>
            </w:r>
          </w:p>
        </w:tc>
      </w:tr>
    </w:tbl>
    <w:p w:rsidR="005D6812" w:rsidRDefault="005D6812">
      <w:pPr>
        <w:pStyle w:val="HEADERTABLE"/>
        <w:rPr>
          <w:noProof/>
          <w:sz w:val="4"/>
          <w:szCs w:val="4"/>
          <w:lang w:bidi="en-G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620"/>
        <w:gridCol w:w="1782"/>
        <w:gridCol w:w="1560"/>
        <w:gridCol w:w="1559"/>
        <w:gridCol w:w="1559"/>
        <w:gridCol w:w="1559"/>
        <w:gridCol w:w="1418"/>
      </w:tblGrid>
      <w:tr w:rsidR="005D6812">
        <w:trPr>
          <w:trHeight w:val="250"/>
        </w:trPr>
        <w:tc>
          <w:tcPr>
            <w:tcW w:w="4077" w:type="dxa"/>
            <w:tcBorders>
              <w:top w:val="nil"/>
              <w:left w:val="nil"/>
              <w:bottom w:val="nil"/>
              <w:right w:val="nil"/>
            </w:tcBorders>
            <w:tcMar>
              <w:top w:w="0" w:type="dxa"/>
              <w:left w:w="108" w:type="dxa"/>
              <w:bottom w:w="0" w:type="dxa"/>
              <w:right w:w="108" w:type="dxa"/>
            </w:tcMar>
          </w:tcPr>
          <w:p w:rsidR="005D6812" w:rsidRDefault="005D6812">
            <w:pPr>
              <w:pStyle w:val="Text8pItalicLeft"/>
              <w:rPr>
                <w:rFonts w:eastAsia="Times New Roman" w:cs="Verdana"/>
                <w:color w:val="FFFFFF"/>
              </w:rPr>
            </w:pPr>
            <w:bookmarkStart w:id="171" w:name="DOC_TBL00008_1_1"/>
            <w:bookmarkEnd w:id="171"/>
          </w:p>
        </w:tc>
        <w:tc>
          <w:tcPr>
            <w:tcW w:w="1620"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560"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rsidR="005D6812" w:rsidRDefault="00AB2A2B">
            <w:pPr>
              <w:pStyle w:val="Text8pItalicRight025EUR"/>
              <w:rPr>
                <w:rFonts w:eastAsia="Times New Roman" w:cs="Verdana"/>
              </w:rPr>
            </w:pPr>
            <w:r>
              <w:rPr>
                <w:rFonts w:eastAsia="Times New Roman" w:cs="Verdana"/>
              </w:rPr>
              <w:t>EUR millions</w:t>
            </w:r>
          </w:p>
        </w:tc>
      </w:tr>
      <w:tr w:rsidR="005D6812" w:rsidRPr="00AB2A2B">
        <w:trPr>
          <w:trHeight w:val="499"/>
        </w:trPr>
        <w:tc>
          <w:tcPr>
            <w:tcW w:w="4077"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Left"/>
              <w:rPr>
                <w:rFonts w:eastAsia="Times New Roman" w:cs="Verdana"/>
              </w:rPr>
            </w:pPr>
            <w:r>
              <w:rPr>
                <w:rFonts w:eastAsia="Times New Roman" w:cs="Verdana"/>
              </w:rPr>
              <w:t>Ninth EDF</w:t>
            </w:r>
          </w:p>
        </w:tc>
        <w:tc>
          <w:tcPr>
            <w:tcW w:w="1620"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Fund capital - active EDFs (A)</w:t>
            </w:r>
          </w:p>
        </w:tc>
        <w:tc>
          <w:tcPr>
            <w:tcW w:w="178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Uncalled funds - active EDFs (B)</w:t>
            </w:r>
          </w:p>
        </w:tc>
        <w:tc>
          <w:tcPr>
            <w:tcW w:w="1560"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 xml:space="preserve">Called </w:t>
            </w:r>
            <w:r>
              <w:rPr>
                <w:rFonts w:eastAsia="Times New Roman" w:cs="Verdana"/>
              </w:rPr>
              <w:t>fund capital - active EDFs (C) = (A)-(B)</w:t>
            </w:r>
          </w:p>
        </w:tc>
        <w:tc>
          <w:tcPr>
            <w:tcW w:w="1559"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Cumulative Reserves (D)</w:t>
            </w:r>
          </w:p>
        </w:tc>
        <w:tc>
          <w:tcPr>
            <w:tcW w:w="1559"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Called fund capital from closed EDFs carried forward (E)</w:t>
            </w:r>
          </w:p>
        </w:tc>
        <w:tc>
          <w:tcPr>
            <w:tcW w:w="1559"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Called fund capital transfers between active EDFs (F)</w:t>
            </w:r>
          </w:p>
        </w:tc>
        <w:tc>
          <w:tcPr>
            <w:tcW w:w="1418"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lang w:val="fr-BE"/>
              </w:rPr>
            </w:pPr>
            <w:r>
              <w:rPr>
                <w:rFonts w:eastAsia="Times New Roman" w:cs="Verdana"/>
                <w:lang w:val="fr-BE"/>
              </w:rPr>
              <w:t>Total Net Assets (C)+(D)+(E)+(F)</w:t>
            </w:r>
          </w:p>
        </w:tc>
      </w:tr>
      <w:tr w:rsidR="005D6812">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8pBoldLeft"/>
              <w:rPr>
                <w:rFonts w:eastAsia="Times New Roman" w:cs="Verdana"/>
              </w:rPr>
            </w:pPr>
            <w:r>
              <w:rPr>
                <w:rFonts w:eastAsia="Times New Roman" w:cs="Verdana"/>
              </w:rPr>
              <w:t>BALANCE AS AT 31.12.2014</w:t>
            </w:r>
          </w:p>
        </w:tc>
        <w:tc>
          <w:tcPr>
            <w:tcW w:w="162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11 699</w:t>
            </w:r>
          </w:p>
        </w:tc>
        <w:tc>
          <w:tcPr>
            <w:tcW w:w="178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w:t>
            </w:r>
          </w:p>
        </w:tc>
        <w:tc>
          <w:tcPr>
            <w:tcW w:w="156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11 699</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 xml:space="preserve">(14 </w:t>
            </w:r>
            <w:r>
              <w:rPr>
                <w:rFonts w:eastAsia="Times New Roman" w:cs="Verdana"/>
              </w:rPr>
              <w:t>223)</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1 625</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1 758</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 xml:space="preserve"> 860</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Capital decrease - funds committed under the Bridging Facility</w:t>
            </w:r>
          </w:p>
        </w:tc>
        <w:tc>
          <w:tcPr>
            <w:tcW w:w="162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(727)</w:t>
            </w:r>
          </w:p>
        </w:tc>
        <w:tc>
          <w:tcPr>
            <w:tcW w:w="1782"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56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(727)</w:t>
            </w: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(727)</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Transfers to/from the 10th EDF</w:t>
            </w:r>
          </w:p>
        </w:tc>
        <w:tc>
          <w:tcPr>
            <w:tcW w:w="162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(109)</w:t>
            </w: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(109)</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Transfers to/from the 11th EDF</w:t>
            </w:r>
          </w:p>
        </w:tc>
        <w:tc>
          <w:tcPr>
            <w:tcW w:w="162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727</w:t>
            </w: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727</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Economic result of the year</w:t>
            </w:r>
          </w:p>
        </w:tc>
        <w:tc>
          <w:tcPr>
            <w:tcW w:w="162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559"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(26)</w:t>
            </w: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(26)</w:t>
            </w:r>
          </w:p>
        </w:tc>
      </w:tr>
      <w:tr w:rsidR="005D6812">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8pBoldLeft"/>
              <w:rPr>
                <w:rFonts w:eastAsia="Times New Roman" w:cs="Verdana"/>
              </w:rPr>
            </w:pPr>
            <w:r>
              <w:rPr>
                <w:rFonts w:eastAsia="Times New Roman" w:cs="Verdana"/>
              </w:rPr>
              <w:t>BALANCE AS AT 31.12.2015</w:t>
            </w:r>
          </w:p>
        </w:tc>
        <w:tc>
          <w:tcPr>
            <w:tcW w:w="162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10 973</w:t>
            </w:r>
          </w:p>
        </w:tc>
        <w:tc>
          <w:tcPr>
            <w:tcW w:w="178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w:t>
            </w:r>
          </w:p>
        </w:tc>
        <w:tc>
          <w:tcPr>
            <w:tcW w:w="156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10 973</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(14 249)</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1 625</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2 376</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 xml:space="preserve"> 726</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Transfers to/from the 10th EDF</w:t>
            </w:r>
          </w:p>
        </w:tc>
        <w:tc>
          <w:tcPr>
            <w:tcW w:w="162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(163)</w:t>
            </w: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(163)</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Transfers to/from the 11th EDF</w:t>
            </w:r>
          </w:p>
        </w:tc>
        <w:tc>
          <w:tcPr>
            <w:tcW w:w="162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Economic result of the year</w:t>
            </w:r>
          </w:p>
        </w:tc>
        <w:tc>
          <w:tcPr>
            <w:tcW w:w="162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559"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(91)</w:t>
            </w: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(91)</w:t>
            </w:r>
          </w:p>
        </w:tc>
      </w:tr>
      <w:tr w:rsidR="005D6812">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8pBoldLeft"/>
              <w:rPr>
                <w:rFonts w:eastAsia="Times New Roman" w:cs="Verdana"/>
              </w:rPr>
            </w:pPr>
            <w:r>
              <w:rPr>
                <w:rFonts w:eastAsia="Times New Roman" w:cs="Verdana"/>
              </w:rPr>
              <w:t>BALANCE AS AT 31.12.2016</w:t>
            </w:r>
          </w:p>
        </w:tc>
        <w:tc>
          <w:tcPr>
            <w:tcW w:w="162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10 973</w:t>
            </w:r>
          </w:p>
        </w:tc>
        <w:tc>
          <w:tcPr>
            <w:tcW w:w="178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w:t>
            </w:r>
          </w:p>
        </w:tc>
        <w:tc>
          <w:tcPr>
            <w:tcW w:w="156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10 973</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(14 339)</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1 625</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2 214</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 xml:space="preserve"> 472</w:t>
            </w:r>
          </w:p>
        </w:tc>
      </w:tr>
    </w:tbl>
    <w:p w:rsidR="005D6812" w:rsidRDefault="005D6812">
      <w:pPr>
        <w:pStyle w:val="HEADERTABLE"/>
        <w:rPr>
          <w:noProof/>
          <w:sz w:val="4"/>
          <w:szCs w:val="4"/>
          <w:lang w:bidi="en-G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620"/>
        <w:gridCol w:w="1782"/>
        <w:gridCol w:w="1560"/>
        <w:gridCol w:w="1559"/>
        <w:gridCol w:w="1559"/>
        <w:gridCol w:w="1559"/>
        <w:gridCol w:w="1418"/>
      </w:tblGrid>
      <w:tr w:rsidR="005D6812">
        <w:trPr>
          <w:trHeight w:val="250"/>
        </w:trPr>
        <w:tc>
          <w:tcPr>
            <w:tcW w:w="4077" w:type="dxa"/>
            <w:tcBorders>
              <w:top w:val="nil"/>
              <w:left w:val="nil"/>
              <w:bottom w:val="nil"/>
              <w:right w:val="nil"/>
            </w:tcBorders>
            <w:tcMar>
              <w:top w:w="0" w:type="dxa"/>
              <w:left w:w="108" w:type="dxa"/>
              <w:bottom w:w="0" w:type="dxa"/>
              <w:right w:w="108" w:type="dxa"/>
            </w:tcMar>
          </w:tcPr>
          <w:p w:rsidR="005D6812" w:rsidRDefault="005D6812">
            <w:pPr>
              <w:pStyle w:val="Text8pItalicLeft"/>
              <w:rPr>
                <w:rFonts w:eastAsia="Times New Roman" w:cs="Verdana"/>
                <w:color w:val="FFFFFF"/>
              </w:rPr>
            </w:pPr>
            <w:bookmarkStart w:id="172" w:name="DOC_TBL00009_1_1"/>
            <w:bookmarkEnd w:id="172"/>
          </w:p>
        </w:tc>
        <w:tc>
          <w:tcPr>
            <w:tcW w:w="1620"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560"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rPr>
            </w:pPr>
          </w:p>
          <w:p w:rsidR="005D6812" w:rsidRDefault="00AB2A2B">
            <w:pPr>
              <w:pStyle w:val="Text8pItalicRight025EUR"/>
              <w:rPr>
                <w:rFonts w:eastAsia="Times New Roman" w:cs="Verdana"/>
              </w:rPr>
            </w:pPr>
            <w:r>
              <w:rPr>
                <w:rFonts w:eastAsia="Times New Roman" w:cs="Verdana"/>
              </w:rPr>
              <w:t>EUR millions</w:t>
            </w:r>
          </w:p>
        </w:tc>
      </w:tr>
      <w:tr w:rsidR="005D6812" w:rsidRPr="00AB2A2B">
        <w:trPr>
          <w:trHeight w:val="499"/>
        </w:trPr>
        <w:tc>
          <w:tcPr>
            <w:tcW w:w="4077"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Left"/>
              <w:rPr>
                <w:rFonts w:eastAsia="Times New Roman" w:cs="Verdana"/>
              </w:rPr>
            </w:pPr>
            <w:r>
              <w:rPr>
                <w:rFonts w:eastAsia="Times New Roman" w:cs="Verdana"/>
              </w:rPr>
              <w:t>10th EDF</w:t>
            </w:r>
          </w:p>
        </w:tc>
        <w:tc>
          <w:tcPr>
            <w:tcW w:w="1620"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Fund capital - active EDFs (A)</w:t>
            </w:r>
          </w:p>
        </w:tc>
        <w:tc>
          <w:tcPr>
            <w:tcW w:w="178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Uncalled funds - active EDFs (B)</w:t>
            </w:r>
          </w:p>
        </w:tc>
        <w:tc>
          <w:tcPr>
            <w:tcW w:w="1560"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Called fund capital - active EDFs (C) = (A)-(B)</w:t>
            </w:r>
          </w:p>
        </w:tc>
        <w:tc>
          <w:tcPr>
            <w:tcW w:w="1559"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Cumulative Reserves (D)</w:t>
            </w:r>
          </w:p>
        </w:tc>
        <w:tc>
          <w:tcPr>
            <w:tcW w:w="1559"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Called fund capital from closed EDFs carried forward (E)</w:t>
            </w:r>
          </w:p>
        </w:tc>
        <w:tc>
          <w:tcPr>
            <w:tcW w:w="1559"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Called fund capital transfers between active EDFs (F)</w:t>
            </w:r>
          </w:p>
        </w:tc>
        <w:tc>
          <w:tcPr>
            <w:tcW w:w="1418"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lang w:val="fr-BE"/>
              </w:rPr>
            </w:pPr>
            <w:r>
              <w:rPr>
                <w:rFonts w:eastAsia="Times New Roman" w:cs="Verdana"/>
                <w:lang w:val="fr-BE"/>
              </w:rPr>
              <w:t>Total Net Assets (C)+(D)+(E)+(F)</w:t>
            </w:r>
          </w:p>
        </w:tc>
      </w:tr>
      <w:tr w:rsidR="005D6812">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8pBoldLeft"/>
              <w:rPr>
                <w:rFonts w:eastAsia="Times New Roman" w:cs="Verdana"/>
              </w:rPr>
            </w:pPr>
            <w:r>
              <w:rPr>
                <w:rFonts w:eastAsia="Times New Roman" w:cs="Verdana"/>
              </w:rPr>
              <w:t>BALANCE AS AT 31.12.2014</w:t>
            </w:r>
          </w:p>
        </w:tc>
        <w:tc>
          <w:tcPr>
            <w:tcW w:w="162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21 152</w:t>
            </w:r>
          </w:p>
        </w:tc>
        <w:tc>
          <w:tcPr>
            <w:tcW w:w="178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10 018</w:t>
            </w:r>
          </w:p>
        </w:tc>
        <w:tc>
          <w:tcPr>
            <w:tcW w:w="156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11 134</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(12 183)</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 xml:space="preserve"> (209)</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(1 258)</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Capital increase - contributions</w:t>
            </w:r>
          </w:p>
        </w:tc>
        <w:tc>
          <w:tcPr>
            <w:tcW w:w="162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(4 795)</w:t>
            </w:r>
          </w:p>
        </w:tc>
        <w:tc>
          <w:tcPr>
            <w:tcW w:w="156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4 795</w:t>
            </w: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4 795</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 xml:space="preserve">Capital decrease - funds committed </w:t>
            </w:r>
            <w:r>
              <w:rPr>
                <w:rFonts w:eastAsia="Times New Roman" w:cs="Verdana"/>
              </w:rPr>
              <w:t>under the Bridging Facility</w:t>
            </w:r>
          </w:p>
        </w:tc>
        <w:tc>
          <w:tcPr>
            <w:tcW w:w="162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(192)</w:t>
            </w:r>
          </w:p>
        </w:tc>
        <w:tc>
          <w:tcPr>
            <w:tcW w:w="178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(192)</w:t>
            </w: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(192)</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Transfers to/from the Eighth and Ninth EDF</w:t>
            </w:r>
          </w:p>
        </w:tc>
        <w:tc>
          <w:tcPr>
            <w:tcW w:w="162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84</w:t>
            </w: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84</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Transfers to/from the 11th EDF</w:t>
            </w:r>
          </w:p>
        </w:tc>
        <w:tc>
          <w:tcPr>
            <w:tcW w:w="162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160</w:t>
            </w: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160</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Economic result of the year</w:t>
            </w:r>
          </w:p>
        </w:tc>
        <w:tc>
          <w:tcPr>
            <w:tcW w:w="162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559"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(2 232)</w:t>
            </w: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(2 232)</w:t>
            </w:r>
          </w:p>
        </w:tc>
      </w:tr>
      <w:tr w:rsidR="005D6812">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8pBoldLeft"/>
              <w:rPr>
                <w:rFonts w:eastAsia="Times New Roman" w:cs="Verdana"/>
              </w:rPr>
            </w:pPr>
            <w:r>
              <w:rPr>
                <w:rFonts w:eastAsia="Times New Roman" w:cs="Verdana"/>
              </w:rPr>
              <w:t>BALANCE AS AT 31.12.2015</w:t>
            </w:r>
          </w:p>
        </w:tc>
        <w:tc>
          <w:tcPr>
            <w:tcW w:w="162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20 960</w:t>
            </w:r>
          </w:p>
        </w:tc>
        <w:tc>
          <w:tcPr>
            <w:tcW w:w="178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5 223</w:t>
            </w:r>
          </w:p>
        </w:tc>
        <w:tc>
          <w:tcPr>
            <w:tcW w:w="156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15 737</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(14 415)</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 xml:space="preserve"> 35</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1 357</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Capital increase - contributions</w:t>
            </w:r>
          </w:p>
        </w:tc>
        <w:tc>
          <w:tcPr>
            <w:tcW w:w="162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(3 450)</w:t>
            </w:r>
          </w:p>
        </w:tc>
        <w:tc>
          <w:tcPr>
            <w:tcW w:w="156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3 450</w:t>
            </w: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3 450</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Transfers to/from the Eighth and Ninth EDF</w:t>
            </w:r>
          </w:p>
        </w:tc>
        <w:tc>
          <w:tcPr>
            <w:tcW w:w="162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182</w:t>
            </w: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182</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Transfers to/from the 11th EDF</w:t>
            </w:r>
          </w:p>
        </w:tc>
        <w:tc>
          <w:tcPr>
            <w:tcW w:w="162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30</w:t>
            </w: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30</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Economic result of the year</w:t>
            </w:r>
          </w:p>
        </w:tc>
        <w:tc>
          <w:tcPr>
            <w:tcW w:w="162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559"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(1 397)</w:t>
            </w: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(1 397)</w:t>
            </w:r>
          </w:p>
        </w:tc>
      </w:tr>
      <w:tr w:rsidR="005D6812">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8pBoldLeft"/>
              <w:rPr>
                <w:rFonts w:eastAsia="Times New Roman" w:cs="Verdana"/>
              </w:rPr>
            </w:pPr>
            <w:r>
              <w:rPr>
                <w:rFonts w:eastAsia="Times New Roman" w:cs="Verdana"/>
              </w:rPr>
              <w:t xml:space="preserve">BALANCE AS AT </w:t>
            </w:r>
            <w:r>
              <w:rPr>
                <w:rFonts w:eastAsia="Times New Roman" w:cs="Verdana"/>
              </w:rPr>
              <w:t>31.12.2016</w:t>
            </w:r>
          </w:p>
        </w:tc>
        <w:tc>
          <w:tcPr>
            <w:tcW w:w="162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20 960</w:t>
            </w:r>
          </w:p>
        </w:tc>
        <w:tc>
          <w:tcPr>
            <w:tcW w:w="178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1 773</w:t>
            </w:r>
          </w:p>
        </w:tc>
        <w:tc>
          <w:tcPr>
            <w:tcW w:w="156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19 187</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(15 812)</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 xml:space="preserve"> 247</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3 622</w:t>
            </w:r>
          </w:p>
        </w:tc>
      </w:tr>
    </w:tbl>
    <w:p w:rsidR="005D6812" w:rsidRDefault="005D6812">
      <w:pPr>
        <w:pStyle w:val="HEADERTABLE"/>
        <w:rPr>
          <w:noProof/>
          <w:lang w:bidi="en-G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620"/>
        <w:gridCol w:w="1782"/>
        <w:gridCol w:w="1560"/>
        <w:gridCol w:w="1559"/>
        <w:gridCol w:w="1559"/>
        <w:gridCol w:w="1559"/>
        <w:gridCol w:w="1418"/>
      </w:tblGrid>
      <w:tr w:rsidR="005D6812">
        <w:trPr>
          <w:trHeight w:val="250"/>
        </w:trPr>
        <w:tc>
          <w:tcPr>
            <w:tcW w:w="4077" w:type="dxa"/>
            <w:tcBorders>
              <w:top w:val="nil"/>
              <w:left w:val="nil"/>
              <w:bottom w:val="nil"/>
              <w:right w:val="nil"/>
            </w:tcBorders>
            <w:tcMar>
              <w:top w:w="0" w:type="dxa"/>
              <w:left w:w="108" w:type="dxa"/>
              <w:bottom w:w="0" w:type="dxa"/>
              <w:right w:w="108" w:type="dxa"/>
            </w:tcMar>
          </w:tcPr>
          <w:p w:rsidR="005D6812" w:rsidRDefault="005D6812">
            <w:pPr>
              <w:pStyle w:val="Text8pItalicLeft"/>
              <w:rPr>
                <w:rFonts w:eastAsia="Times New Roman" w:cs="Verdana"/>
                <w:color w:val="FFFFFF"/>
              </w:rPr>
            </w:pPr>
            <w:bookmarkStart w:id="173" w:name="DOC_TBL00010_1_1"/>
            <w:bookmarkEnd w:id="173"/>
          </w:p>
        </w:tc>
        <w:tc>
          <w:tcPr>
            <w:tcW w:w="1620"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560"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rsidR="005D6812" w:rsidRDefault="00AB2A2B">
            <w:pPr>
              <w:pStyle w:val="Text8pItalicRight025EUR"/>
              <w:rPr>
                <w:rFonts w:eastAsia="Times New Roman" w:cs="Verdana"/>
              </w:rPr>
            </w:pPr>
            <w:r>
              <w:rPr>
                <w:rFonts w:eastAsia="Times New Roman" w:cs="Verdana"/>
              </w:rPr>
              <w:t>EUR millions</w:t>
            </w:r>
          </w:p>
        </w:tc>
      </w:tr>
      <w:tr w:rsidR="005D6812" w:rsidRPr="00AB2A2B">
        <w:trPr>
          <w:trHeight w:val="499"/>
        </w:trPr>
        <w:tc>
          <w:tcPr>
            <w:tcW w:w="4077"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Left"/>
              <w:rPr>
                <w:rFonts w:eastAsia="Times New Roman" w:cs="Verdana"/>
              </w:rPr>
            </w:pPr>
            <w:r>
              <w:rPr>
                <w:rFonts w:eastAsia="Times New Roman" w:cs="Verdana"/>
              </w:rPr>
              <w:t>11th EDF</w:t>
            </w:r>
          </w:p>
        </w:tc>
        <w:tc>
          <w:tcPr>
            <w:tcW w:w="1620"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Fund capital - active EDFs (A)</w:t>
            </w:r>
          </w:p>
        </w:tc>
        <w:tc>
          <w:tcPr>
            <w:tcW w:w="178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Uncalled funds - active EDFs (B)</w:t>
            </w:r>
          </w:p>
        </w:tc>
        <w:tc>
          <w:tcPr>
            <w:tcW w:w="1560"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Called fund capital - active EDFs (C) = (A)-(B)</w:t>
            </w:r>
          </w:p>
        </w:tc>
        <w:tc>
          <w:tcPr>
            <w:tcW w:w="1559"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Cumulative Reserves (D)</w:t>
            </w:r>
          </w:p>
        </w:tc>
        <w:tc>
          <w:tcPr>
            <w:tcW w:w="1559"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 xml:space="preserve">Called fund capital from closed </w:t>
            </w:r>
            <w:r>
              <w:rPr>
                <w:rFonts w:eastAsia="Times New Roman" w:cs="Verdana"/>
              </w:rPr>
              <w:t>EDFs carried forward (E)</w:t>
            </w:r>
          </w:p>
        </w:tc>
        <w:tc>
          <w:tcPr>
            <w:tcW w:w="1559"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Called fund capital transfers between active EDFs (F)</w:t>
            </w:r>
          </w:p>
        </w:tc>
        <w:tc>
          <w:tcPr>
            <w:tcW w:w="1418"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lang w:val="fr-BE"/>
              </w:rPr>
            </w:pPr>
            <w:r>
              <w:rPr>
                <w:rFonts w:eastAsia="Times New Roman" w:cs="Verdana"/>
                <w:lang w:val="fr-BE"/>
              </w:rPr>
              <w:t>Total Net Assets (C)+(D)+(E)+(F)</w:t>
            </w:r>
          </w:p>
        </w:tc>
      </w:tr>
      <w:tr w:rsidR="005D6812">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8pBoldLeft"/>
              <w:rPr>
                <w:rFonts w:eastAsia="Times New Roman" w:cs="Verdana"/>
              </w:rPr>
            </w:pPr>
            <w:r>
              <w:rPr>
                <w:rFonts w:eastAsia="Times New Roman" w:cs="Verdana"/>
              </w:rPr>
              <w:t>BALANCE AS AT 31.12.2014</w:t>
            </w:r>
          </w:p>
        </w:tc>
        <w:tc>
          <w:tcPr>
            <w:tcW w:w="162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w:t>
            </w:r>
          </w:p>
        </w:tc>
        <w:tc>
          <w:tcPr>
            <w:tcW w:w="178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w:t>
            </w:r>
          </w:p>
        </w:tc>
        <w:tc>
          <w:tcPr>
            <w:tcW w:w="156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 xml:space="preserve"> (481)</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1 597</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1 116</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Recognition of the 11th EDF capital in line with the Internal Agreement</w:t>
            </w:r>
          </w:p>
        </w:tc>
        <w:tc>
          <w:tcPr>
            <w:tcW w:w="162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29 367</w:t>
            </w:r>
          </w:p>
        </w:tc>
        <w:tc>
          <w:tcPr>
            <w:tcW w:w="1782"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(29 367)</w:t>
            </w:r>
          </w:p>
        </w:tc>
        <w:tc>
          <w:tcPr>
            <w:tcW w:w="156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Transfers to/from the Eighth, Ninth and 10th EDF</w:t>
            </w:r>
          </w:p>
        </w:tc>
        <w:tc>
          <w:tcPr>
            <w:tcW w:w="162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559"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(1 532)</w:t>
            </w: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(1 532)</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Economic result of the year</w:t>
            </w:r>
          </w:p>
        </w:tc>
        <w:tc>
          <w:tcPr>
            <w:tcW w:w="162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559"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(901)</w:t>
            </w: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(901)</w:t>
            </w:r>
          </w:p>
        </w:tc>
      </w:tr>
      <w:tr w:rsidR="005D6812">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8pBoldLeft"/>
              <w:rPr>
                <w:rFonts w:eastAsia="Times New Roman" w:cs="Verdana"/>
              </w:rPr>
            </w:pPr>
            <w:r>
              <w:rPr>
                <w:rFonts w:eastAsia="Times New Roman" w:cs="Verdana"/>
              </w:rPr>
              <w:t>BALANCE AS AT 31.12.2015</w:t>
            </w:r>
          </w:p>
        </w:tc>
        <w:tc>
          <w:tcPr>
            <w:tcW w:w="162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29 367</w:t>
            </w:r>
          </w:p>
        </w:tc>
        <w:tc>
          <w:tcPr>
            <w:tcW w:w="178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(29 367)</w:t>
            </w:r>
          </w:p>
        </w:tc>
        <w:tc>
          <w:tcPr>
            <w:tcW w:w="156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(1 382)</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8pBoldRight025"/>
              <w:rPr>
                <w:rFonts w:eastAsia="Times New Roman" w:cs="Verdana"/>
              </w:rPr>
            </w:pP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 xml:space="preserve"> 65</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(1 317)</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Transfers to/from the Eighth, Ninth and 10th EDF</w:t>
            </w:r>
          </w:p>
        </w:tc>
        <w:tc>
          <w:tcPr>
            <w:tcW w:w="162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(30)</w:t>
            </w: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(30)</w:t>
            </w:r>
          </w:p>
        </w:tc>
      </w:tr>
      <w:tr w:rsidR="005D6812">
        <w:trPr>
          <w:trHeight w:val="218"/>
        </w:trPr>
        <w:tc>
          <w:tcPr>
            <w:tcW w:w="4077"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Economic result of the year</w:t>
            </w:r>
          </w:p>
        </w:tc>
        <w:tc>
          <w:tcPr>
            <w:tcW w:w="162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559"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(1 587)</w:t>
            </w: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(1 587)</w:t>
            </w:r>
          </w:p>
        </w:tc>
      </w:tr>
      <w:tr w:rsidR="005D6812">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8pBoldLeft"/>
              <w:rPr>
                <w:rFonts w:eastAsia="Times New Roman" w:cs="Verdana"/>
              </w:rPr>
            </w:pPr>
            <w:r>
              <w:rPr>
                <w:rFonts w:eastAsia="Times New Roman" w:cs="Verdana"/>
              </w:rPr>
              <w:t>BALANCE AS AT 31.12.2016</w:t>
            </w:r>
          </w:p>
        </w:tc>
        <w:tc>
          <w:tcPr>
            <w:tcW w:w="162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29 367</w:t>
            </w:r>
          </w:p>
        </w:tc>
        <w:tc>
          <w:tcPr>
            <w:tcW w:w="178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(29 367)</w:t>
            </w:r>
          </w:p>
        </w:tc>
        <w:tc>
          <w:tcPr>
            <w:tcW w:w="156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(2 969)</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 xml:space="preserve"> 35</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(2 934)</w:t>
            </w:r>
          </w:p>
        </w:tc>
      </w:tr>
    </w:tbl>
    <w:p w:rsidR="005D6812" w:rsidRDefault="00AB2A2B">
      <w:pPr>
        <w:rPr>
          <w:noProof/>
        </w:rPr>
        <w:sectPr w:rsidR="005D6812">
          <w:headerReference w:type="even" r:id="rId101"/>
          <w:headerReference w:type="default" r:id="rId102"/>
          <w:footerReference w:type="even" r:id="rId103"/>
          <w:footerReference w:type="default" r:id="rId104"/>
          <w:headerReference w:type="first" r:id="rId105"/>
          <w:footerReference w:type="first" r:id="rId106"/>
          <w:pgSz w:w="16838" w:h="11906" w:orient="landscape"/>
          <w:pgMar w:top="1134" w:right="1134" w:bottom="1134" w:left="1134" w:header="708" w:footer="708" w:gutter="0"/>
          <w:cols w:space="708"/>
          <w:docGrid w:linePitch="360"/>
        </w:sectPr>
      </w:pPr>
      <w:r>
        <w:rPr>
          <w:noProof/>
        </w:rPr>
        <w:t xml:space="preserve"> </w:t>
      </w:r>
      <w:bookmarkEnd w:id="169"/>
    </w:p>
    <w:p w:rsidR="005D6812" w:rsidRDefault="005D6812">
      <w:pPr>
        <w:pStyle w:val="HEADERTITLE"/>
      </w:pPr>
      <w:bookmarkStart w:id="174" w:name="_DMBM_9549"/>
    </w:p>
    <w:p w:rsidR="005D6812" w:rsidRDefault="005D6812">
      <w:pPr>
        <w:pStyle w:val="HEADERTITLE"/>
      </w:pPr>
    </w:p>
    <w:p w:rsidR="005D6812" w:rsidRDefault="005D6812">
      <w:pPr>
        <w:pStyle w:val="HEADERTITLE"/>
      </w:pPr>
    </w:p>
    <w:p w:rsidR="005D6812" w:rsidRDefault="005D6812">
      <w:pPr>
        <w:pStyle w:val="HEADERTITLE"/>
      </w:pPr>
    </w:p>
    <w:p w:rsidR="005D6812" w:rsidRDefault="005D6812">
      <w:pPr>
        <w:pStyle w:val="HEADERTITLE"/>
      </w:pPr>
    </w:p>
    <w:p w:rsidR="005D6812" w:rsidRDefault="005D6812">
      <w:pPr>
        <w:pStyle w:val="HEADERTITLE"/>
      </w:pPr>
    </w:p>
    <w:p w:rsidR="005D6812" w:rsidRDefault="005D6812">
      <w:pPr>
        <w:pStyle w:val="HEADERTITLE"/>
      </w:pPr>
    </w:p>
    <w:p w:rsidR="005D6812" w:rsidRDefault="005D6812">
      <w:pPr>
        <w:pStyle w:val="HEADERTITLE"/>
      </w:pPr>
    </w:p>
    <w:p w:rsidR="005D6812" w:rsidRDefault="005D6812">
      <w:pPr>
        <w:pStyle w:val="HEADERTITLE"/>
      </w:pPr>
    </w:p>
    <w:p w:rsidR="005D6812" w:rsidRDefault="005D6812">
      <w:pPr>
        <w:pStyle w:val="HEADERTITLE"/>
      </w:pPr>
    </w:p>
    <w:p w:rsidR="005D6812" w:rsidRDefault="00AB2A2B">
      <w:pPr>
        <w:pStyle w:val="HEADERTITLE"/>
        <w:rPr>
          <w:sz w:val="40"/>
          <w:szCs w:val="40"/>
        </w:rPr>
      </w:pPr>
      <w:bookmarkStart w:id="175" w:name="_Toc484164214"/>
      <w:bookmarkStart w:id="176" w:name="_Toc484164236"/>
      <w:r>
        <w:rPr>
          <w:sz w:val="40"/>
          <w:szCs w:val="40"/>
        </w:rPr>
        <w:t>NOTES TO</w:t>
      </w:r>
      <w:r>
        <w:rPr>
          <w:sz w:val="40"/>
          <w:szCs w:val="40"/>
        </w:rPr>
        <w:t xml:space="preserve"> THE FINANCIAL STATEMENTS OF THE EDF</w:t>
      </w:r>
      <w:bookmarkEnd w:id="175"/>
      <w:bookmarkEnd w:id="176"/>
    </w:p>
    <w:p w:rsidR="005D6812" w:rsidRDefault="00AB2A2B">
      <w:pPr>
        <w:pStyle w:val="TOPHEADERNOTE"/>
        <w:rPr>
          <w:noProof/>
        </w:rPr>
      </w:pPr>
      <w:r>
        <w:rPr>
          <w:noProof/>
        </w:rPr>
        <w:t xml:space="preserve"> </w:t>
      </w:r>
    </w:p>
    <w:p w:rsidR="005D6812" w:rsidRDefault="005D6812">
      <w:pPr>
        <w:pStyle w:val="TOPHEADERNOTE"/>
        <w:rPr>
          <w:noProof/>
        </w:rPr>
      </w:pPr>
    </w:p>
    <w:p w:rsidR="005D6812" w:rsidRDefault="005D6812">
      <w:pPr>
        <w:pStyle w:val="TOPHEADERNOTE"/>
        <w:rPr>
          <w:noProof/>
        </w:rPr>
      </w:pPr>
    </w:p>
    <w:p w:rsidR="005D6812" w:rsidRDefault="005D6812">
      <w:pPr>
        <w:pStyle w:val="TOPHEADERNOTE"/>
        <w:rPr>
          <w:noProof/>
        </w:rPr>
      </w:pPr>
    </w:p>
    <w:p w:rsidR="005D6812" w:rsidRDefault="005D6812">
      <w:pPr>
        <w:pStyle w:val="TOPHEADERNOTE"/>
        <w:rPr>
          <w:noProof/>
        </w:rPr>
      </w:pPr>
    </w:p>
    <w:p w:rsidR="005D6812" w:rsidRDefault="005D6812">
      <w:pPr>
        <w:pStyle w:val="TOPHEADERNOTE"/>
        <w:rPr>
          <w:noProof/>
        </w:rPr>
      </w:pPr>
    </w:p>
    <w:p w:rsidR="005D6812" w:rsidRDefault="005D6812">
      <w:pPr>
        <w:pStyle w:val="TOPHEADERNOTE"/>
        <w:rPr>
          <w:noProof/>
        </w:rPr>
      </w:pPr>
    </w:p>
    <w:p w:rsidR="005D6812" w:rsidRDefault="005D6812">
      <w:pPr>
        <w:pStyle w:val="TOPHEADERNOTE"/>
        <w:rPr>
          <w:noProof/>
        </w:rPr>
      </w:pPr>
    </w:p>
    <w:p w:rsidR="005D6812" w:rsidRDefault="005D6812">
      <w:pPr>
        <w:pStyle w:val="TOPHEADERNOTE"/>
        <w:rPr>
          <w:noProof/>
        </w:rPr>
      </w:pPr>
    </w:p>
    <w:p w:rsidR="005D6812" w:rsidRDefault="005D6812">
      <w:pPr>
        <w:pStyle w:val="TOPHEADERNOTE"/>
        <w:rPr>
          <w:noProof/>
        </w:rPr>
      </w:pPr>
    </w:p>
    <w:p w:rsidR="005D6812" w:rsidRDefault="005D6812">
      <w:pPr>
        <w:pStyle w:val="TOPHEADERNOTE"/>
        <w:rPr>
          <w:noProof/>
        </w:rPr>
      </w:pPr>
    </w:p>
    <w:p w:rsidR="005D6812" w:rsidRDefault="005D6812">
      <w:pPr>
        <w:pStyle w:val="TOPHEADERNOTE"/>
        <w:rPr>
          <w:noProof/>
        </w:rPr>
      </w:pPr>
    </w:p>
    <w:p w:rsidR="005D6812" w:rsidRDefault="005D6812">
      <w:pPr>
        <w:pStyle w:val="TOPHEADERNOTE"/>
        <w:rPr>
          <w:noProof/>
        </w:rPr>
      </w:pPr>
    </w:p>
    <w:p w:rsidR="005D6812" w:rsidRDefault="005D6812">
      <w:pPr>
        <w:pStyle w:val="TOPHEADERNOTE"/>
        <w:rPr>
          <w:noProof/>
        </w:rPr>
      </w:pPr>
    </w:p>
    <w:p w:rsidR="005D6812" w:rsidRDefault="005D6812">
      <w:pPr>
        <w:pStyle w:val="TOPHEADERNOTE"/>
        <w:rPr>
          <w:noProof/>
        </w:rPr>
      </w:pPr>
    </w:p>
    <w:p w:rsidR="005D6812" w:rsidRDefault="00AB2A2B">
      <w:pPr>
        <w:pStyle w:val="TOPHEADERNOTE"/>
        <w:rPr>
          <w:noProof/>
        </w:rPr>
      </w:pPr>
      <w:r>
        <w:rPr>
          <w:noProof/>
        </w:rPr>
        <w:t>It should be noted that due to the rounding of figures into millions of euros, some financial data in the tables may appear not to add-up.</w:t>
      </w:r>
    </w:p>
    <w:bookmarkEnd w:id="174"/>
    <w:p w:rsidR="005D6812" w:rsidRDefault="005D6812">
      <w:pPr>
        <w:pStyle w:val="Textstand-alone"/>
        <w:sectPr w:rsidR="005D6812">
          <w:headerReference w:type="even" r:id="rId107"/>
          <w:headerReference w:type="default" r:id="rId108"/>
          <w:footerReference w:type="even" r:id="rId109"/>
          <w:footerReference w:type="default" r:id="rId110"/>
          <w:headerReference w:type="first" r:id="rId111"/>
          <w:footerReference w:type="first" r:id="rId112"/>
          <w:pgSz w:w="11906" w:h="16838"/>
          <w:pgMar w:top="1134" w:right="1134" w:bottom="1134" w:left="1134" w:header="709" w:footer="709" w:gutter="0"/>
          <w:cols w:space="708"/>
          <w:docGrid w:linePitch="360"/>
        </w:sectPr>
      </w:pPr>
    </w:p>
    <w:p w:rsidR="005D6812" w:rsidRDefault="00AB2A2B">
      <w:pPr>
        <w:pStyle w:val="HEADER1Part2"/>
        <w:rPr>
          <w:noProof/>
        </w:rPr>
      </w:pPr>
      <w:bookmarkStart w:id="177" w:name="Significant_acc_pol"/>
      <w:bookmarkStart w:id="178" w:name="_Toc393205650"/>
      <w:bookmarkStart w:id="179" w:name="_Toc457387394"/>
      <w:bookmarkStart w:id="180" w:name="_CSF_TOC_1_0"/>
      <w:bookmarkStart w:id="181" w:name="_DMBM_9578"/>
      <w:r>
        <w:rPr>
          <w:noProof/>
        </w:rPr>
        <w:t>SIGNIFICANT ACCOUNTING POLICIES</w:t>
      </w:r>
      <w:bookmarkEnd w:id="177"/>
      <w:bookmarkEnd w:id="178"/>
      <w:bookmarkEnd w:id="179"/>
    </w:p>
    <w:p w:rsidR="005D6812" w:rsidRDefault="00AB2A2B">
      <w:pPr>
        <w:pStyle w:val="HEADER2Part2"/>
        <w:rPr>
          <w:noProof/>
        </w:rPr>
      </w:pPr>
      <w:r>
        <w:rPr>
          <w:noProof/>
        </w:rPr>
        <w:t>ACCOUNTING PRINCIPLES</w:t>
      </w:r>
    </w:p>
    <w:p w:rsidR="005D6812" w:rsidRDefault="00AB2A2B">
      <w:pPr>
        <w:pStyle w:val="Textstand-alone"/>
      </w:pPr>
      <w:r>
        <w:t>The objective of financial statements is to provide information about financial position, performance and cash flows of an entity that is useful to a</w:t>
      </w:r>
      <w:r>
        <w:t xml:space="preserve"> wide range of users. </w:t>
      </w:r>
    </w:p>
    <w:p w:rsidR="005D6812" w:rsidRDefault="00AB2A2B">
      <w:pPr>
        <w:pStyle w:val="Textstand-alone"/>
      </w:pPr>
      <w:r>
        <w:t>The overall considerations (or accounting principles) to be followed when preparing the financial statements are laid down in EU Accounting Rule 1 'Financial Statements' and are the same as those described in IPSAS 1: fair presentati</w:t>
      </w:r>
      <w:r>
        <w:t>on, accrual basis, going concern, consistency of presentation, materiality, aggregation, offsetting and comparative information. The qualitative characteristics of financial reporting are relevance, reliability, understandability and comparability.</w:t>
      </w:r>
    </w:p>
    <w:p w:rsidR="005D6812" w:rsidRDefault="00AB2A2B">
      <w:pPr>
        <w:pStyle w:val="HEADER2Part2"/>
        <w:rPr>
          <w:noProof/>
        </w:rPr>
      </w:pPr>
      <w:r>
        <w:rPr>
          <w:noProof/>
        </w:rPr>
        <w:t>BASIS O</w:t>
      </w:r>
      <w:r>
        <w:rPr>
          <w:noProof/>
        </w:rPr>
        <w:t>F PREPARATION</w:t>
      </w:r>
    </w:p>
    <w:p w:rsidR="005D6812" w:rsidRDefault="00AB2A2B">
      <w:pPr>
        <w:pStyle w:val="HEADER3Part2"/>
        <w:rPr>
          <w:noProof/>
        </w:rPr>
      </w:pPr>
      <w:r>
        <w:rPr>
          <w:noProof/>
        </w:rPr>
        <w:t>Reporting period</w:t>
      </w:r>
    </w:p>
    <w:p w:rsidR="005D6812" w:rsidRDefault="00AB2A2B">
      <w:pPr>
        <w:pStyle w:val="HEADER2Part2"/>
        <w:numPr>
          <w:ilvl w:val="0"/>
          <w:numId w:val="0"/>
        </w:numPr>
        <w:rPr>
          <w:b w:val="0"/>
          <w:noProof/>
          <w:color w:val="auto"/>
          <w:sz w:val="18"/>
          <w:szCs w:val="18"/>
        </w:rPr>
      </w:pPr>
      <w:r>
        <w:rPr>
          <w:b w:val="0"/>
          <w:noProof/>
          <w:color w:val="auto"/>
          <w:sz w:val="18"/>
          <w:szCs w:val="18"/>
        </w:rPr>
        <w:t xml:space="preserve">Financial statements are presented annually. The accounting year begins on 1 January and ends on 31 December. </w:t>
      </w:r>
    </w:p>
    <w:p w:rsidR="005D6812" w:rsidRDefault="00AB2A2B">
      <w:pPr>
        <w:pStyle w:val="HEADER3Part2"/>
        <w:rPr>
          <w:noProof/>
        </w:rPr>
      </w:pPr>
      <w:r>
        <w:rPr>
          <w:noProof/>
        </w:rPr>
        <w:t>Currency and basis for conversion</w:t>
      </w:r>
    </w:p>
    <w:p w:rsidR="005D6812" w:rsidRDefault="00AB2A2B">
      <w:pPr>
        <w:pStyle w:val="Textstand-alone"/>
      </w:pPr>
      <w:r>
        <w:t>The annual accounts are presented in millions of euros, the euro being the EDF's</w:t>
      </w:r>
      <w:r>
        <w:t xml:space="preserve"> functional and reporting currency. Foreign currency transactions are translated into euros using the exchange rates prevailing at the dates of the transactions. Foreign exchange gains and losses resulting from the settlement of foreign currency transactio</w:t>
      </w:r>
      <w:r>
        <w:t>ns and from the re-translation at year-end exchange rates of monetary assets and liabilities denominated in foreign currencies are recognised in the statement of financial performance. Different conversion methods apply to property, plant and equipment and</w:t>
      </w:r>
      <w:r>
        <w:t xml:space="preserve"> intangible assets, which retain their value in euros at the date when they were purchased.</w:t>
      </w:r>
    </w:p>
    <w:p w:rsidR="005D6812" w:rsidRDefault="00AB2A2B">
      <w:pPr>
        <w:pStyle w:val="Textstand-alone"/>
      </w:pPr>
      <w:r>
        <w:t>Year-end balances of monetary assets and liabilities denominated in foreign currencies are translated into euros on the basis of the European Central Bank (ECB) exc</w:t>
      </w:r>
      <w:r>
        <w:t>hange rates applying on 31 December.</w:t>
      </w:r>
    </w:p>
    <w:p w:rsidR="005D6812" w:rsidRDefault="00AB2A2B">
      <w:pPr>
        <w:pStyle w:val="HEADER5"/>
        <w:rPr>
          <w:noProof/>
        </w:rPr>
      </w:pPr>
      <w:r>
        <w:rPr>
          <w:noProof/>
        </w:rPr>
        <w:t>Euro exchange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770"/>
        <w:gridCol w:w="1770"/>
        <w:gridCol w:w="1470"/>
        <w:gridCol w:w="1770"/>
        <w:gridCol w:w="1770"/>
      </w:tblGrid>
      <w:tr w:rsidR="005D6812">
        <w:trPr>
          <w:cantSplit/>
        </w:trPr>
        <w:tc>
          <w:tcPr>
            <w:tcW w:w="662" w:type="pct"/>
            <w:tcBorders>
              <w:top w:val="nil"/>
              <w:left w:val="nil"/>
              <w:bottom w:val="single" w:sz="4" w:space="0" w:color="016794"/>
              <w:right w:val="nil"/>
            </w:tcBorders>
            <w:shd w:val="clear" w:color="auto" w:fill="016794"/>
            <w:tcMar>
              <w:top w:w="0" w:type="dxa"/>
              <w:left w:w="108" w:type="dxa"/>
              <w:bottom w:w="0" w:type="dxa"/>
              <w:right w:w="108" w:type="dxa"/>
            </w:tcMar>
          </w:tcPr>
          <w:p w:rsidR="005D6812" w:rsidRDefault="00AB2A2B">
            <w:pPr>
              <w:pStyle w:val="Heading10pNormalLeft"/>
              <w:rPr>
                <w:rFonts w:eastAsia="Times New Roman" w:cs="Verdana"/>
              </w:rPr>
            </w:pPr>
            <w:bookmarkStart w:id="182" w:name="DOC_TBL00011_1_1"/>
            <w:r>
              <w:rPr>
                <w:rFonts w:eastAsia="Times New Roman" w:cs="Verdana"/>
              </w:rPr>
              <w:t>Currency</w:t>
            </w:r>
            <w:bookmarkEnd w:id="182"/>
          </w:p>
        </w:tc>
        <w:tc>
          <w:tcPr>
            <w:tcW w:w="898" w:type="pct"/>
            <w:tcBorders>
              <w:top w:val="nil"/>
              <w:left w:val="nil"/>
              <w:bottom w:val="single" w:sz="4" w:space="0" w:color="016794"/>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bookmarkStart w:id="183" w:name="DOC_TBL00011_1_2"/>
            <w:r>
              <w:rPr>
                <w:rFonts w:eastAsia="Times New Roman" w:cs="Verdana"/>
              </w:rPr>
              <w:t>31.12.2016</w:t>
            </w:r>
            <w:bookmarkEnd w:id="183"/>
          </w:p>
        </w:tc>
        <w:tc>
          <w:tcPr>
            <w:tcW w:w="898" w:type="pct"/>
            <w:tcBorders>
              <w:top w:val="nil"/>
              <w:left w:val="nil"/>
              <w:bottom w:val="single" w:sz="4" w:space="0" w:color="016794"/>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bookmarkStart w:id="184" w:name="DOC_TBL00011_1_3"/>
            <w:r>
              <w:rPr>
                <w:rFonts w:eastAsia="Times New Roman" w:cs="Verdana"/>
              </w:rPr>
              <w:t>31.12.2015</w:t>
            </w:r>
            <w:bookmarkEnd w:id="184"/>
          </w:p>
        </w:tc>
        <w:tc>
          <w:tcPr>
            <w:tcW w:w="746" w:type="pct"/>
            <w:tcBorders>
              <w:top w:val="nil"/>
              <w:left w:val="nil"/>
              <w:bottom w:val="single" w:sz="4" w:space="0" w:color="016794"/>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bookmarkStart w:id="185" w:name="DOC_TBL00011_1_4"/>
            <w:r>
              <w:rPr>
                <w:rFonts w:eastAsia="Times New Roman" w:cs="Verdana"/>
              </w:rPr>
              <w:t>Currency</w:t>
            </w:r>
            <w:bookmarkEnd w:id="185"/>
          </w:p>
        </w:tc>
        <w:tc>
          <w:tcPr>
            <w:tcW w:w="898" w:type="pct"/>
            <w:tcBorders>
              <w:top w:val="nil"/>
              <w:left w:val="nil"/>
              <w:bottom w:val="single" w:sz="4" w:space="0" w:color="016794"/>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bookmarkStart w:id="186" w:name="DOC_TBL00011_1_5"/>
            <w:r>
              <w:rPr>
                <w:rFonts w:eastAsia="Times New Roman" w:cs="Verdana"/>
              </w:rPr>
              <w:t>31.12.2016</w:t>
            </w:r>
            <w:bookmarkEnd w:id="186"/>
          </w:p>
        </w:tc>
        <w:tc>
          <w:tcPr>
            <w:tcW w:w="898" w:type="pct"/>
            <w:tcBorders>
              <w:top w:val="nil"/>
              <w:left w:val="nil"/>
              <w:bottom w:val="single" w:sz="4" w:space="0" w:color="016794"/>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bookmarkStart w:id="187" w:name="DOC_TBL00011_1_6"/>
            <w:r>
              <w:rPr>
                <w:rFonts w:eastAsia="Times New Roman" w:cs="Verdana"/>
              </w:rPr>
              <w:t>31.12.2015</w:t>
            </w:r>
            <w:bookmarkEnd w:id="187"/>
          </w:p>
        </w:tc>
      </w:tr>
      <w:tr w:rsidR="005D6812">
        <w:trPr>
          <w:cantSplit/>
        </w:trPr>
        <w:tc>
          <w:tcPr>
            <w:tcW w:w="662"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Text9pBoldLeft025"/>
              <w:ind w:left="0"/>
              <w:rPr>
                <w:rFonts w:eastAsia="Times New Roman" w:cs="Verdana"/>
              </w:rPr>
            </w:pPr>
            <w:bookmarkStart w:id="188" w:name="DOC_TBL00011_2_1"/>
            <w:r>
              <w:rPr>
                <w:rFonts w:eastAsia="Times New Roman" w:cs="Verdana"/>
              </w:rPr>
              <w:t>BGN</w:t>
            </w:r>
            <w:bookmarkEnd w:id="188"/>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BoldRight025"/>
              <w:rPr>
                <w:rFonts w:eastAsia="Times New Roman" w:cs="Verdana"/>
              </w:rPr>
            </w:pPr>
            <w:bookmarkStart w:id="189" w:name="DOC_TBL00011_2_2"/>
            <w:r>
              <w:rPr>
                <w:rFonts w:eastAsia="Times New Roman" w:cs="Verdana"/>
              </w:rPr>
              <w:t>1.9558</w:t>
            </w:r>
            <w:bookmarkEnd w:id="189"/>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bookmarkStart w:id="190" w:name="DOC_TBL00011_2_3"/>
            <w:r>
              <w:rPr>
                <w:rFonts w:eastAsia="Times New Roman" w:cs="Verdana"/>
              </w:rPr>
              <w:t>1.9558</w:t>
            </w:r>
            <w:bookmarkEnd w:id="190"/>
          </w:p>
        </w:tc>
        <w:tc>
          <w:tcPr>
            <w:tcW w:w="746"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BoldRight025"/>
              <w:rPr>
                <w:rFonts w:eastAsia="Times New Roman" w:cs="Verdana"/>
              </w:rPr>
            </w:pPr>
            <w:bookmarkStart w:id="191" w:name="DOC_TBL00011_2_4"/>
            <w:r>
              <w:rPr>
                <w:rFonts w:eastAsia="Times New Roman" w:cs="Verdana"/>
              </w:rPr>
              <w:t>PLN</w:t>
            </w:r>
            <w:bookmarkEnd w:id="191"/>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BoldRight025"/>
              <w:rPr>
                <w:rFonts w:eastAsia="Times New Roman" w:cs="Verdana"/>
              </w:rPr>
            </w:pPr>
            <w:bookmarkStart w:id="192" w:name="DOC_TBL00011_2_5"/>
            <w:r>
              <w:rPr>
                <w:rFonts w:eastAsia="Times New Roman" w:cs="Verdana"/>
              </w:rPr>
              <w:t>4.4103</w:t>
            </w:r>
            <w:bookmarkEnd w:id="192"/>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bookmarkStart w:id="193" w:name="DOC_TBL00011_2_6"/>
            <w:r>
              <w:rPr>
                <w:rFonts w:eastAsia="Times New Roman" w:cs="Verdana"/>
              </w:rPr>
              <w:t>4.2639</w:t>
            </w:r>
            <w:bookmarkEnd w:id="193"/>
          </w:p>
        </w:tc>
      </w:tr>
      <w:tr w:rsidR="005D6812">
        <w:trPr>
          <w:cantSplit/>
        </w:trPr>
        <w:tc>
          <w:tcPr>
            <w:tcW w:w="662"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Text9pBoldLeft025"/>
              <w:ind w:left="0"/>
              <w:rPr>
                <w:rFonts w:eastAsia="Times New Roman" w:cs="Verdana"/>
              </w:rPr>
            </w:pPr>
            <w:bookmarkStart w:id="194" w:name="DOC_TBL00011_3_1"/>
            <w:r>
              <w:rPr>
                <w:rFonts w:eastAsia="Times New Roman" w:cs="Verdana"/>
              </w:rPr>
              <w:t>CZK</w:t>
            </w:r>
            <w:bookmarkEnd w:id="194"/>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BoldRight025"/>
              <w:rPr>
                <w:rFonts w:eastAsia="Times New Roman" w:cs="Verdana"/>
              </w:rPr>
            </w:pPr>
            <w:bookmarkStart w:id="195" w:name="DOC_TBL00011_3_2"/>
            <w:r>
              <w:rPr>
                <w:rFonts w:eastAsia="Times New Roman" w:cs="Verdana"/>
              </w:rPr>
              <w:t>27.0210</w:t>
            </w:r>
            <w:bookmarkEnd w:id="195"/>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bookmarkStart w:id="196" w:name="DOC_TBL00011_3_3"/>
            <w:r>
              <w:rPr>
                <w:rFonts w:eastAsia="Times New Roman" w:cs="Verdana"/>
              </w:rPr>
              <w:t>27.0230</w:t>
            </w:r>
            <w:bookmarkEnd w:id="196"/>
          </w:p>
        </w:tc>
        <w:tc>
          <w:tcPr>
            <w:tcW w:w="746"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BoldRight025"/>
              <w:rPr>
                <w:rFonts w:eastAsia="Times New Roman" w:cs="Verdana"/>
              </w:rPr>
            </w:pPr>
            <w:bookmarkStart w:id="197" w:name="DOC_TBL00011_3_4"/>
            <w:r>
              <w:rPr>
                <w:rFonts w:eastAsia="Times New Roman" w:cs="Verdana"/>
              </w:rPr>
              <w:t>RON</w:t>
            </w:r>
            <w:bookmarkEnd w:id="197"/>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BoldRight025"/>
              <w:rPr>
                <w:rFonts w:eastAsia="Times New Roman" w:cs="Verdana"/>
              </w:rPr>
            </w:pPr>
            <w:bookmarkStart w:id="198" w:name="DOC_TBL00011_3_5"/>
            <w:r>
              <w:rPr>
                <w:rFonts w:eastAsia="Times New Roman" w:cs="Verdana"/>
              </w:rPr>
              <w:t>4.5390</w:t>
            </w:r>
            <w:bookmarkEnd w:id="198"/>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bookmarkStart w:id="199" w:name="DOC_TBL00011_3_6"/>
            <w:r>
              <w:rPr>
                <w:rFonts w:eastAsia="Times New Roman" w:cs="Verdana"/>
              </w:rPr>
              <w:t>4.5240</w:t>
            </w:r>
            <w:bookmarkEnd w:id="199"/>
          </w:p>
        </w:tc>
      </w:tr>
      <w:tr w:rsidR="005D6812">
        <w:trPr>
          <w:cantSplit/>
        </w:trPr>
        <w:tc>
          <w:tcPr>
            <w:tcW w:w="662"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Text9pBoldLeft025"/>
              <w:ind w:left="0"/>
              <w:rPr>
                <w:rFonts w:eastAsia="Times New Roman" w:cs="Verdana"/>
              </w:rPr>
            </w:pPr>
            <w:bookmarkStart w:id="200" w:name="DOC_TBL00011_4_1"/>
            <w:r>
              <w:rPr>
                <w:rFonts w:eastAsia="Times New Roman" w:cs="Verdana"/>
              </w:rPr>
              <w:t>DKK</w:t>
            </w:r>
            <w:bookmarkEnd w:id="200"/>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BoldRight025"/>
              <w:rPr>
                <w:rFonts w:eastAsia="Times New Roman" w:cs="Verdana"/>
              </w:rPr>
            </w:pPr>
            <w:bookmarkStart w:id="201" w:name="DOC_TBL00011_4_2"/>
            <w:r>
              <w:rPr>
                <w:rFonts w:eastAsia="Times New Roman" w:cs="Verdana"/>
              </w:rPr>
              <w:t>7.4344</w:t>
            </w:r>
            <w:bookmarkEnd w:id="201"/>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bookmarkStart w:id="202" w:name="DOC_TBL00011_4_3"/>
            <w:r>
              <w:rPr>
                <w:rFonts w:eastAsia="Times New Roman" w:cs="Verdana"/>
              </w:rPr>
              <w:t>7.4626</w:t>
            </w:r>
            <w:bookmarkEnd w:id="202"/>
          </w:p>
        </w:tc>
        <w:tc>
          <w:tcPr>
            <w:tcW w:w="746"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BoldRight025"/>
              <w:rPr>
                <w:rFonts w:eastAsia="Times New Roman" w:cs="Verdana"/>
              </w:rPr>
            </w:pPr>
            <w:bookmarkStart w:id="203" w:name="DOC_TBL00011_4_4"/>
            <w:r>
              <w:rPr>
                <w:rFonts w:eastAsia="Times New Roman" w:cs="Verdana"/>
              </w:rPr>
              <w:t>SEK</w:t>
            </w:r>
            <w:bookmarkEnd w:id="203"/>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BoldRight025"/>
              <w:rPr>
                <w:rFonts w:eastAsia="Times New Roman" w:cs="Verdana"/>
              </w:rPr>
            </w:pPr>
            <w:bookmarkStart w:id="204" w:name="DOC_TBL00011_4_5"/>
            <w:r>
              <w:rPr>
                <w:rFonts w:eastAsia="Times New Roman" w:cs="Verdana"/>
              </w:rPr>
              <w:t>9.5525</w:t>
            </w:r>
            <w:bookmarkEnd w:id="204"/>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bookmarkStart w:id="205" w:name="DOC_TBL00011_4_6"/>
            <w:r>
              <w:rPr>
                <w:rFonts w:eastAsia="Times New Roman" w:cs="Verdana"/>
              </w:rPr>
              <w:t>9.1895</w:t>
            </w:r>
            <w:bookmarkEnd w:id="205"/>
          </w:p>
        </w:tc>
      </w:tr>
      <w:tr w:rsidR="005D6812">
        <w:trPr>
          <w:cantSplit/>
        </w:trPr>
        <w:tc>
          <w:tcPr>
            <w:tcW w:w="662"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Text9pBoldLeft025"/>
              <w:ind w:left="0"/>
              <w:rPr>
                <w:rFonts w:eastAsia="Times New Roman" w:cs="Verdana"/>
              </w:rPr>
            </w:pPr>
            <w:bookmarkStart w:id="206" w:name="DOC_TBL00011_5_1"/>
            <w:r>
              <w:rPr>
                <w:rFonts w:eastAsia="Times New Roman" w:cs="Verdana"/>
              </w:rPr>
              <w:t>GBP</w:t>
            </w:r>
            <w:bookmarkEnd w:id="206"/>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BoldRight025"/>
              <w:rPr>
                <w:rFonts w:eastAsia="Times New Roman" w:cs="Verdana"/>
              </w:rPr>
            </w:pPr>
            <w:bookmarkStart w:id="207" w:name="DOC_TBL00011_5_2"/>
            <w:r>
              <w:rPr>
                <w:rFonts w:eastAsia="Times New Roman" w:cs="Verdana"/>
              </w:rPr>
              <w:t>0.8562</w:t>
            </w:r>
            <w:bookmarkEnd w:id="207"/>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bookmarkStart w:id="208" w:name="DOC_TBL00011_5_3"/>
            <w:r>
              <w:rPr>
                <w:rFonts w:eastAsia="Times New Roman" w:cs="Verdana"/>
              </w:rPr>
              <w:t>0.7340</w:t>
            </w:r>
            <w:bookmarkEnd w:id="208"/>
          </w:p>
        </w:tc>
        <w:tc>
          <w:tcPr>
            <w:tcW w:w="746"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BoldRight025"/>
              <w:rPr>
                <w:rFonts w:eastAsia="Times New Roman" w:cs="Verdana"/>
              </w:rPr>
            </w:pPr>
            <w:bookmarkStart w:id="209" w:name="DOC_TBL00011_5_4"/>
            <w:r>
              <w:rPr>
                <w:rFonts w:eastAsia="Times New Roman" w:cs="Verdana"/>
              </w:rPr>
              <w:t>CHF</w:t>
            </w:r>
            <w:bookmarkEnd w:id="209"/>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BoldRight025"/>
              <w:rPr>
                <w:rFonts w:eastAsia="Times New Roman" w:cs="Verdana"/>
              </w:rPr>
            </w:pPr>
            <w:bookmarkStart w:id="210" w:name="DOC_TBL00011_5_5"/>
            <w:r>
              <w:rPr>
                <w:rFonts w:eastAsia="Times New Roman" w:cs="Verdana"/>
              </w:rPr>
              <w:t>1.0739</w:t>
            </w:r>
            <w:bookmarkEnd w:id="210"/>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bookmarkStart w:id="211" w:name="DOC_TBL00011_5_6"/>
            <w:r>
              <w:rPr>
                <w:rFonts w:eastAsia="Times New Roman" w:cs="Verdana"/>
              </w:rPr>
              <w:t>1.0835</w:t>
            </w:r>
            <w:bookmarkEnd w:id="211"/>
          </w:p>
        </w:tc>
      </w:tr>
      <w:tr w:rsidR="005D6812">
        <w:trPr>
          <w:cantSplit/>
        </w:trPr>
        <w:tc>
          <w:tcPr>
            <w:tcW w:w="662"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Text9pBoldLeft025"/>
              <w:ind w:left="0"/>
              <w:rPr>
                <w:rFonts w:eastAsia="Times New Roman" w:cs="Verdana"/>
              </w:rPr>
            </w:pPr>
            <w:bookmarkStart w:id="212" w:name="DOC_TBL00011_6_1"/>
            <w:r>
              <w:rPr>
                <w:rFonts w:eastAsia="Times New Roman" w:cs="Verdana"/>
              </w:rPr>
              <w:t>HRK</w:t>
            </w:r>
            <w:bookmarkEnd w:id="212"/>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BoldRight025"/>
              <w:rPr>
                <w:rFonts w:eastAsia="Times New Roman" w:cs="Verdana"/>
              </w:rPr>
            </w:pPr>
            <w:bookmarkStart w:id="213" w:name="DOC_TBL00011_6_2"/>
            <w:r>
              <w:rPr>
                <w:rFonts w:eastAsia="Times New Roman" w:cs="Verdana"/>
              </w:rPr>
              <w:t>7.5597</w:t>
            </w:r>
            <w:bookmarkEnd w:id="213"/>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bookmarkStart w:id="214" w:name="DOC_TBL00011_6_3"/>
            <w:r>
              <w:rPr>
                <w:rFonts w:eastAsia="Times New Roman" w:cs="Verdana"/>
              </w:rPr>
              <w:t>7.6380</w:t>
            </w:r>
            <w:bookmarkEnd w:id="214"/>
          </w:p>
        </w:tc>
        <w:tc>
          <w:tcPr>
            <w:tcW w:w="746"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BoldRight025"/>
              <w:rPr>
                <w:rFonts w:eastAsia="Times New Roman" w:cs="Verdana"/>
              </w:rPr>
            </w:pPr>
            <w:bookmarkStart w:id="215" w:name="DOC_TBL00011_6_4"/>
            <w:r>
              <w:rPr>
                <w:rFonts w:eastAsia="Times New Roman" w:cs="Verdana"/>
              </w:rPr>
              <w:t>JPY</w:t>
            </w:r>
            <w:bookmarkEnd w:id="215"/>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BoldRight025"/>
              <w:rPr>
                <w:rFonts w:eastAsia="Times New Roman" w:cs="Verdana"/>
              </w:rPr>
            </w:pPr>
            <w:bookmarkStart w:id="216" w:name="DOC_TBL00011_6_5"/>
            <w:r>
              <w:rPr>
                <w:rFonts w:eastAsia="Times New Roman" w:cs="Verdana"/>
              </w:rPr>
              <w:t>123.4000</w:t>
            </w:r>
            <w:bookmarkEnd w:id="216"/>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rsidR="005D6812" w:rsidRDefault="00AB2A2B">
            <w:pPr>
              <w:pStyle w:val="Figures9pItalicRight025"/>
              <w:rPr>
                <w:rFonts w:eastAsia="Times New Roman" w:cs="Verdana"/>
              </w:rPr>
            </w:pPr>
            <w:bookmarkStart w:id="217" w:name="DOC_TBL00011_6_6"/>
            <w:r>
              <w:rPr>
                <w:rFonts w:eastAsia="Times New Roman" w:cs="Verdana"/>
              </w:rPr>
              <w:t>131.0700</w:t>
            </w:r>
            <w:bookmarkEnd w:id="217"/>
          </w:p>
        </w:tc>
      </w:tr>
      <w:tr w:rsidR="005D6812">
        <w:trPr>
          <w:cantSplit/>
        </w:trPr>
        <w:tc>
          <w:tcPr>
            <w:tcW w:w="662" w:type="pct"/>
            <w:tcBorders>
              <w:top w:val="single" w:sz="4" w:space="0" w:color="016794"/>
              <w:left w:val="nil"/>
              <w:bottom w:val="nil"/>
              <w:right w:val="nil"/>
            </w:tcBorders>
            <w:tcMar>
              <w:top w:w="0" w:type="dxa"/>
              <w:left w:w="108" w:type="dxa"/>
              <w:bottom w:w="0" w:type="dxa"/>
              <w:right w:w="108" w:type="dxa"/>
            </w:tcMar>
          </w:tcPr>
          <w:p w:rsidR="005D6812" w:rsidRDefault="00AB2A2B">
            <w:pPr>
              <w:pStyle w:val="Text9pBoldLeft025"/>
              <w:ind w:left="0"/>
              <w:rPr>
                <w:rFonts w:eastAsia="Times New Roman" w:cs="Verdana"/>
              </w:rPr>
            </w:pPr>
            <w:bookmarkStart w:id="218" w:name="DOC_TBL00011_7_1"/>
            <w:r>
              <w:rPr>
                <w:rFonts w:eastAsia="Times New Roman" w:cs="Verdana"/>
              </w:rPr>
              <w:t>HUF</w:t>
            </w:r>
            <w:bookmarkEnd w:id="218"/>
          </w:p>
        </w:tc>
        <w:tc>
          <w:tcPr>
            <w:tcW w:w="898" w:type="pct"/>
            <w:tcBorders>
              <w:top w:val="single" w:sz="4" w:space="0" w:color="016794"/>
              <w:left w:val="nil"/>
              <w:bottom w:val="nil"/>
              <w:right w:val="nil"/>
            </w:tcBorders>
            <w:tcMar>
              <w:top w:w="0" w:type="dxa"/>
              <w:left w:w="108" w:type="dxa"/>
              <w:bottom w:w="0" w:type="dxa"/>
              <w:right w:w="108" w:type="dxa"/>
            </w:tcMar>
          </w:tcPr>
          <w:p w:rsidR="005D6812" w:rsidRDefault="00AB2A2B">
            <w:pPr>
              <w:pStyle w:val="Figures9pBoldRight025"/>
              <w:rPr>
                <w:rFonts w:eastAsia="Times New Roman" w:cs="Verdana"/>
              </w:rPr>
            </w:pPr>
            <w:bookmarkStart w:id="219" w:name="DOC_TBL00011_7_2"/>
            <w:r>
              <w:rPr>
                <w:rFonts w:eastAsia="Times New Roman" w:cs="Verdana"/>
              </w:rPr>
              <w:t>309.8300</w:t>
            </w:r>
            <w:bookmarkEnd w:id="219"/>
          </w:p>
        </w:tc>
        <w:tc>
          <w:tcPr>
            <w:tcW w:w="898" w:type="pct"/>
            <w:tcBorders>
              <w:top w:val="single" w:sz="4" w:space="0" w:color="016794"/>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bookmarkStart w:id="220" w:name="DOC_TBL00011_7_3"/>
            <w:r>
              <w:rPr>
                <w:rFonts w:eastAsia="Times New Roman" w:cs="Verdana"/>
              </w:rPr>
              <w:t>315.9800</w:t>
            </w:r>
            <w:bookmarkEnd w:id="220"/>
          </w:p>
        </w:tc>
        <w:tc>
          <w:tcPr>
            <w:tcW w:w="746" w:type="pct"/>
            <w:tcBorders>
              <w:top w:val="single" w:sz="4" w:space="0" w:color="016794"/>
              <w:left w:val="nil"/>
              <w:bottom w:val="nil"/>
              <w:right w:val="nil"/>
            </w:tcBorders>
            <w:tcMar>
              <w:top w:w="0" w:type="dxa"/>
              <w:left w:w="108" w:type="dxa"/>
              <w:bottom w:w="0" w:type="dxa"/>
              <w:right w:w="108" w:type="dxa"/>
            </w:tcMar>
          </w:tcPr>
          <w:p w:rsidR="005D6812" w:rsidRDefault="00AB2A2B">
            <w:pPr>
              <w:pStyle w:val="Figures9pBoldRight025"/>
              <w:rPr>
                <w:rFonts w:eastAsia="Times New Roman" w:cs="Verdana"/>
              </w:rPr>
            </w:pPr>
            <w:bookmarkStart w:id="221" w:name="DOC_TBL00011_7_4"/>
            <w:r>
              <w:rPr>
                <w:rFonts w:eastAsia="Times New Roman" w:cs="Verdana"/>
              </w:rPr>
              <w:t>USD</w:t>
            </w:r>
            <w:bookmarkEnd w:id="221"/>
          </w:p>
        </w:tc>
        <w:tc>
          <w:tcPr>
            <w:tcW w:w="898" w:type="pct"/>
            <w:tcBorders>
              <w:top w:val="single" w:sz="4" w:space="0" w:color="016794"/>
              <w:left w:val="nil"/>
              <w:bottom w:val="nil"/>
              <w:right w:val="nil"/>
            </w:tcBorders>
            <w:tcMar>
              <w:top w:w="0" w:type="dxa"/>
              <w:left w:w="108" w:type="dxa"/>
              <w:bottom w:w="0" w:type="dxa"/>
              <w:right w:w="108" w:type="dxa"/>
            </w:tcMar>
          </w:tcPr>
          <w:p w:rsidR="005D6812" w:rsidRDefault="00AB2A2B">
            <w:pPr>
              <w:pStyle w:val="Figures9pBoldRight025"/>
              <w:rPr>
                <w:rFonts w:eastAsia="Times New Roman" w:cs="Verdana"/>
              </w:rPr>
            </w:pPr>
            <w:bookmarkStart w:id="222" w:name="DOC_TBL00011_7_5"/>
            <w:r>
              <w:rPr>
                <w:rFonts w:eastAsia="Times New Roman" w:cs="Verdana"/>
              </w:rPr>
              <w:t>1.0541</w:t>
            </w:r>
            <w:bookmarkEnd w:id="222"/>
          </w:p>
        </w:tc>
        <w:tc>
          <w:tcPr>
            <w:tcW w:w="898" w:type="pct"/>
            <w:tcBorders>
              <w:top w:val="single" w:sz="4" w:space="0" w:color="016794"/>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bookmarkStart w:id="223" w:name="DOC_TBL00011_7_6"/>
            <w:r>
              <w:rPr>
                <w:rFonts w:eastAsia="Times New Roman" w:cs="Verdana"/>
              </w:rPr>
              <w:t>1.0887</w:t>
            </w:r>
            <w:bookmarkEnd w:id="223"/>
          </w:p>
        </w:tc>
      </w:tr>
    </w:tbl>
    <w:p w:rsidR="005D6812" w:rsidRDefault="00AB2A2B">
      <w:pPr>
        <w:pStyle w:val="HEADER3Part2"/>
        <w:rPr>
          <w:noProof/>
        </w:rPr>
      </w:pPr>
      <w:r>
        <w:rPr>
          <w:noProof/>
        </w:rPr>
        <w:t>Use of estimates</w:t>
      </w:r>
    </w:p>
    <w:p w:rsidR="005D6812" w:rsidRDefault="00AB2A2B">
      <w:pPr>
        <w:pStyle w:val="HEADER3Part2"/>
        <w:numPr>
          <w:ilvl w:val="0"/>
          <w:numId w:val="0"/>
        </w:numPr>
        <w:rPr>
          <w:noProof/>
          <w:color w:val="auto"/>
          <w:sz w:val="18"/>
          <w:szCs w:val="18"/>
        </w:rPr>
      </w:pPr>
      <w:r>
        <w:rPr>
          <w:noProof/>
          <w:color w:val="auto"/>
          <w:sz w:val="18"/>
          <w:szCs w:val="18"/>
        </w:rPr>
        <w:t>In accordance with IPSAS and generally accepted accounting principles, the financial statements necessarily include amounts based on estimates and assumptions by management based on the most reliable information available. Significant estimates include, bu</w:t>
      </w:r>
      <w:r>
        <w:rPr>
          <w:noProof/>
          <w:color w:val="auto"/>
          <w:sz w:val="18"/>
          <w:szCs w:val="18"/>
        </w:rPr>
        <w:t xml:space="preserve">t are not limited to; accrued and deferred income and charges, provisions, financial risk on accounts receivables, contingent assets and liabilities, and degree of impairment of assets. Actual results could differ from those estimates. </w:t>
      </w:r>
    </w:p>
    <w:p w:rsidR="005D6812" w:rsidRDefault="00AB2A2B">
      <w:pPr>
        <w:pStyle w:val="HEADER3Part2"/>
        <w:numPr>
          <w:ilvl w:val="0"/>
          <w:numId w:val="0"/>
        </w:numPr>
        <w:rPr>
          <w:noProof/>
        </w:rPr>
      </w:pPr>
      <w:r>
        <w:rPr>
          <w:noProof/>
          <w:color w:val="auto"/>
          <w:sz w:val="18"/>
          <w:szCs w:val="18"/>
        </w:rPr>
        <w:t>Reasonable estimate</w:t>
      </w:r>
      <w:r>
        <w:rPr>
          <w:noProof/>
          <w:color w:val="auto"/>
          <w:sz w:val="18"/>
          <w:szCs w:val="18"/>
        </w:rPr>
        <w:t>s are essential part of the preparation of financial statements and do not undermine their reliability. An estimate may need revision if changes occur in the circumstances on which the estimate was based or as a result of new information or more experience</w:t>
      </w:r>
      <w:r>
        <w:rPr>
          <w:noProof/>
          <w:color w:val="auto"/>
          <w:sz w:val="18"/>
          <w:szCs w:val="18"/>
        </w:rPr>
        <w:t xml:space="preserve">. By its nature, the revision of an estimate does not relate to prior periods and is not the correction of an error. The effect of a change in accounting estimate shall be recognised in the surplus or deficit in the periods in which it becomes known. </w:t>
      </w:r>
    </w:p>
    <w:p w:rsidR="005D6812" w:rsidRDefault="00AB2A2B">
      <w:pPr>
        <w:pStyle w:val="HEADER2Part2"/>
        <w:rPr>
          <w:noProof/>
        </w:rPr>
      </w:pPr>
      <w:r>
        <w:rPr>
          <w:noProof/>
        </w:rPr>
        <w:t>BALA</w:t>
      </w:r>
      <w:r>
        <w:rPr>
          <w:noProof/>
        </w:rPr>
        <w:t>NCE SHEET</w:t>
      </w:r>
    </w:p>
    <w:p w:rsidR="005D6812" w:rsidRDefault="00AB2A2B">
      <w:pPr>
        <w:pStyle w:val="HEADER3Part2"/>
        <w:rPr>
          <w:noProof/>
        </w:rPr>
      </w:pPr>
      <w:r>
        <w:rPr>
          <w:noProof/>
        </w:rPr>
        <w:t>Intangible assets</w:t>
      </w:r>
    </w:p>
    <w:p w:rsidR="005D6812" w:rsidRDefault="00AB2A2B">
      <w:pPr>
        <w:pStyle w:val="Textstand-alone"/>
      </w:pPr>
      <w:r>
        <w:t>Acquired computer software licences are stated at historical cost less accumulated amortisation and impairment losses. The assets are amortised on a straight-line basis over their estimated useful lives. The estimated useful liv</w:t>
      </w:r>
      <w:r>
        <w:t>es of intangible assets depend on their specific economic lifetime or legal lifetime determined by an agreement. Internally developed intangible assets are capitalised when the relevant criteria of the EU accounting rules are met. The costs capitalisable i</w:t>
      </w:r>
      <w:r>
        <w:t>nclude all directly attributable costs necessary to create, produce, and prepare the asset to be capable of operating in the manner intended by management. Costs associated with research activities, non-capitalisable development costs and maintenance costs</w:t>
      </w:r>
      <w:r>
        <w:t xml:space="preserve"> are recognised as expenses as incurred.</w:t>
      </w:r>
      <w:r>
        <w:tab/>
      </w:r>
    </w:p>
    <w:p w:rsidR="005D6812" w:rsidRDefault="00AB2A2B">
      <w:pPr>
        <w:pStyle w:val="HEADER3Part2"/>
        <w:rPr>
          <w:noProof/>
        </w:rPr>
      </w:pPr>
      <w:r>
        <w:rPr>
          <w:noProof/>
        </w:rPr>
        <w:t>Property, plant and equipment</w:t>
      </w:r>
    </w:p>
    <w:p w:rsidR="005D6812" w:rsidRDefault="00AB2A2B">
      <w:pPr>
        <w:pStyle w:val="Textstand-alone"/>
      </w:pPr>
      <w:r>
        <w:t xml:space="preserve">All property, plant and equipment are stated at historical cost less accumulated depreciation and impairment losses. Historical cost includes expenditure that is directly attributable </w:t>
      </w:r>
      <w:r>
        <w:t>to the acquisition or construction of the asset. Subsequent costs are included in the asset's carrying amount or recognised as a separate asset, as appropriate, only when it is probable that future economic benefits or service potential associated with the</w:t>
      </w:r>
      <w:r>
        <w:t xml:space="preserve"> item will flow to the entity and its cost can be measured reliably. Repairs and maintenance costs are charged to the statement of financial performance during the financial period in which they are incurred. Land and works of art are not depreciated as th</w:t>
      </w:r>
      <w:r>
        <w:t>ey are deemed to have an indefinite useful life. Assets under construction are not depreciated as these assets are not yet available for use. Depreciation on other assets is calculated using the straight-line method to allocate their cost less their residu</w:t>
      </w:r>
      <w:r>
        <w:t>al values over their estimated useful lives, as follows: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969"/>
      </w:tblGrid>
      <w:tr w:rsidR="005D6812">
        <w:tc>
          <w:tcPr>
            <w:tcW w:w="5778" w:type="dxa"/>
            <w:tcBorders>
              <w:top w:val="nil"/>
              <w:left w:val="nil"/>
              <w:bottom w:val="single" w:sz="4" w:space="0" w:color="016794"/>
              <w:right w:val="nil"/>
            </w:tcBorders>
            <w:shd w:val="clear" w:color="auto" w:fill="016794"/>
            <w:tcMar>
              <w:top w:w="0" w:type="dxa"/>
              <w:left w:w="108" w:type="dxa"/>
              <w:bottom w:w="0" w:type="dxa"/>
              <w:right w:w="108" w:type="dxa"/>
            </w:tcMar>
          </w:tcPr>
          <w:p w:rsidR="005D6812" w:rsidRDefault="00AB2A2B">
            <w:pPr>
              <w:pStyle w:val="Heading10pNormalLeft"/>
              <w:rPr>
                <w:rFonts w:eastAsia="Verdana" w:cs="Verdana"/>
                <w:lang w:bidi="en-GB"/>
              </w:rPr>
            </w:pPr>
            <w:bookmarkStart w:id="224" w:name="DOC_TBL00012_1_1"/>
            <w:bookmarkEnd w:id="224"/>
            <w:r>
              <w:rPr>
                <w:rFonts w:eastAsia="Verdana" w:cs="Verdana"/>
                <w:lang w:bidi="en-GB"/>
              </w:rPr>
              <w:t>Type of asset</w:t>
            </w:r>
          </w:p>
        </w:tc>
        <w:tc>
          <w:tcPr>
            <w:tcW w:w="3969" w:type="dxa"/>
            <w:tcBorders>
              <w:top w:val="nil"/>
              <w:left w:val="nil"/>
              <w:bottom w:val="single" w:sz="4" w:space="0" w:color="016794"/>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Straight line depreciation rate</w:t>
            </w:r>
          </w:p>
        </w:tc>
      </w:tr>
      <w:tr w:rsidR="005D6812">
        <w:tc>
          <w:tcPr>
            <w:tcW w:w="577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Buildings</w:t>
            </w:r>
          </w:p>
        </w:tc>
        <w:tc>
          <w:tcPr>
            <w:tcW w:w="396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Centered"/>
              <w:rPr>
                <w:rFonts w:eastAsia="Verdana" w:cs="Verdana"/>
                <w:lang w:bidi="en-GB"/>
              </w:rPr>
            </w:pPr>
            <w:r>
              <w:rPr>
                <w:rFonts w:eastAsia="Verdana" w:cs="Verdana"/>
                <w:lang w:bidi="en-GB"/>
              </w:rPr>
              <w:t>4 % to 10 %</w:t>
            </w:r>
          </w:p>
        </w:tc>
      </w:tr>
      <w:tr w:rsidR="005D6812">
        <w:tc>
          <w:tcPr>
            <w:tcW w:w="577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Plant and equipment</w:t>
            </w:r>
          </w:p>
        </w:tc>
        <w:tc>
          <w:tcPr>
            <w:tcW w:w="396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Centered"/>
              <w:rPr>
                <w:rFonts w:eastAsia="Verdana" w:cs="Verdana"/>
                <w:lang w:bidi="en-GB"/>
              </w:rPr>
            </w:pPr>
            <w:r>
              <w:rPr>
                <w:rFonts w:eastAsia="Verdana" w:cs="Verdana"/>
                <w:lang w:bidi="en-GB"/>
              </w:rPr>
              <w:t>10 %  to 25 %</w:t>
            </w:r>
          </w:p>
        </w:tc>
      </w:tr>
      <w:tr w:rsidR="005D6812">
        <w:tc>
          <w:tcPr>
            <w:tcW w:w="577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Furniture and vehicles</w:t>
            </w:r>
          </w:p>
        </w:tc>
        <w:tc>
          <w:tcPr>
            <w:tcW w:w="396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Centered"/>
              <w:rPr>
                <w:rFonts w:eastAsia="Verdana" w:cs="Verdana"/>
                <w:lang w:bidi="en-GB"/>
              </w:rPr>
            </w:pPr>
            <w:r>
              <w:rPr>
                <w:rFonts w:eastAsia="Verdana" w:cs="Verdana"/>
                <w:lang w:bidi="en-GB"/>
              </w:rPr>
              <w:t>10 % to 25 %</w:t>
            </w:r>
          </w:p>
        </w:tc>
      </w:tr>
      <w:tr w:rsidR="005D6812">
        <w:tc>
          <w:tcPr>
            <w:tcW w:w="577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Computer hardware</w:t>
            </w:r>
          </w:p>
        </w:tc>
        <w:tc>
          <w:tcPr>
            <w:tcW w:w="396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Centered"/>
              <w:rPr>
                <w:rFonts w:eastAsia="Verdana" w:cs="Verdana"/>
                <w:lang w:bidi="en-GB"/>
              </w:rPr>
            </w:pPr>
            <w:r>
              <w:rPr>
                <w:rFonts w:eastAsia="Verdana" w:cs="Verdana"/>
                <w:lang w:bidi="en-GB"/>
              </w:rPr>
              <w:t>25 % to 33 %</w:t>
            </w:r>
          </w:p>
        </w:tc>
      </w:tr>
      <w:tr w:rsidR="005D6812">
        <w:tc>
          <w:tcPr>
            <w:tcW w:w="5778"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Other</w:t>
            </w:r>
          </w:p>
        </w:tc>
        <w:tc>
          <w:tcPr>
            <w:tcW w:w="3969"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9pItalicCentered"/>
              <w:rPr>
                <w:rFonts w:eastAsia="Verdana" w:cs="Verdana"/>
                <w:lang w:bidi="en-GB"/>
              </w:rPr>
            </w:pPr>
            <w:r>
              <w:rPr>
                <w:rFonts w:eastAsia="Verdana" w:cs="Verdana"/>
                <w:lang w:bidi="en-GB"/>
              </w:rPr>
              <w:t>10 % to 33 %</w:t>
            </w:r>
          </w:p>
        </w:tc>
      </w:tr>
    </w:tbl>
    <w:p w:rsidR="005D6812" w:rsidRDefault="00AB2A2B">
      <w:pPr>
        <w:pStyle w:val="Textstand-alone"/>
      </w:pPr>
      <w:r>
        <w:t>Gains</w:t>
      </w:r>
      <w:r>
        <w:t xml:space="preserve"> or losses on disposals are determined by comparing proceeds less selling expenses with the carrying amount of the disposed asset and are included in the statement of financial performance.</w:t>
      </w:r>
    </w:p>
    <w:p w:rsidR="005D6812" w:rsidRDefault="00AB2A2B">
      <w:pPr>
        <w:pStyle w:val="HEADER5"/>
        <w:rPr>
          <w:noProof/>
        </w:rPr>
      </w:pPr>
      <w:r>
        <w:rPr>
          <w:noProof/>
        </w:rPr>
        <w:t>Leases</w:t>
      </w:r>
    </w:p>
    <w:p w:rsidR="005D6812" w:rsidRDefault="00AB2A2B">
      <w:pPr>
        <w:pStyle w:val="Textstand-alone"/>
      </w:pPr>
      <w:r>
        <w:t xml:space="preserve">Leases of tangible assets, where the entity has </w:t>
      </w:r>
      <w:r>
        <w:t>substantially all the risks and rewards of ownership, are classified as finance leases. Finance leases are capitalised at the inception of the lease at the lower of the fair value of the leased asset and the present value of the minimum lease payments. The</w:t>
      </w:r>
      <w:r>
        <w:t xml:space="preserve"> interest element of the finance lease payment is charged to statement of financial performance over the period of the lease at a constant periodic rate in relation to the balance outstanding. The rental obligations, net of finance charges, are included in</w:t>
      </w:r>
      <w:r>
        <w:t xml:space="preserve"> financial liabilities (non-current and current). The interest element of the finance cost is charged to the statement of financial performance over the lease period so as to produce a constant periodic interest rate on the remaining balance of the liabili</w:t>
      </w:r>
      <w:r>
        <w:t>ty for each period. The assets held under finance leases are depreciated over the shorter of the assets' useful life and the lease term.</w:t>
      </w:r>
    </w:p>
    <w:p w:rsidR="005D6812" w:rsidRDefault="00AB2A2B">
      <w:pPr>
        <w:pStyle w:val="Textstand-alone"/>
      </w:pPr>
      <w:r>
        <w:t xml:space="preserve">Leases where the lessor retains a significant portion of the risks and rewards inherent to ownership are classified as </w:t>
      </w:r>
      <w:r>
        <w:t>operating leases. Payments made under operating leases are charged to the statement of financial performance on a straight-line basis over the period of the lease.</w:t>
      </w:r>
    </w:p>
    <w:p w:rsidR="005D6812" w:rsidRDefault="00AB2A2B">
      <w:pPr>
        <w:pStyle w:val="HEADER3Part2"/>
        <w:rPr>
          <w:noProof/>
        </w:rPr>
      </w:pPr>
      <w:r>
        <w:rPr>
          <w:noProof/>
        </w:rPr>
        <w:t>Impairment of non-financial assets</w:t>
      </w:r>
    </w:p>
    <w:p w:rsidR="005D6812" w:rsidRDefault="00AB2A2B">
      <w:pPr>
        <w:pStyle w:val="Textstand-alone"/>
      </w:pPr>
      <w:r>
        <w:t>Assets that have an indefinite useful life are not subjec</w:t>
      </w:r>
      <w:r>
        <w:t>t to amortisation/depreciation and are tested annually for impairment. Assets that are subject to amortisation/depreciation are reviewed for impairment whenever events or changes in circumstances indicate that the carrying amount may not be recoverable. An</w:t>
      </w:r>
      <w:r>
        <w:t xml:space="preserve"> impairment loss is recognised for the amount by which the asset's carrying amount exceeds its recoverable amount. The recoverable amount is the higher of an asset's fair value less costs to sell and its value in use.</w:t>
      </w:r>
    </w:p>
    <w:p w:rsidR="005D6812" w:rsidRDefault="00AB2A2B">
      <w:pPr>
        <w:pStyle w:val="Textstand-alone"/>
      </w:pPr>
      <w:r>
        <w:t xml:space="preserve">Intangible assets and property, plant </w:t>
      </w:r>
      <w:r>
        <w:t xml:space="preserve">and equipment residual values and useful lives are reviewed, and adjusted if appropriate, at least once per year. An asset's carrying amount is written down immediately to its recoverable amount if the asset's carrying amount is greater than its estimated </w:t>
      </w:r>
      <w:r>
        <w:t>recoverable amount. If the reasons for impairments recognised in previous years no longer apply, the impairment losses are reversed accordingly.</w:t>
      </w:r>
      <w:r>
        <w:tab/>
      </w:r>
    </w:p>
    <w:p w:rsidR="005D6812" w:rsidRDefault="00AB2A2B">
      <w:pPr>
        <w:pStyle w:val="HEADER3Part2"/>
        <w:rPr>
          <w:noProof/>
        </w:rPr>
      </w:pPr>
      <w:bookmarkStart w:id="225" w:name="_Ref471899148"/>
      <w:r>
        <w:rPr>
          <w:noProof/>
        </w:rPr>
        <w:t>Financial assets</w:t>
      </w:r>
      <w:bookmarkEnd w:id="225"/>
    </w:p>
    <w:p w:rsidR="005D6812" w:rsidRDefault="00AB2A2B">
      <w:pPr>
        <w:pStyle w:val="Textstand-alone"/>
      </w:pPr>
      <w:r>
        <w:t>The financial assets are classified in the following categories: financial assets at fair val</w:t>
      </w:r>
      <w:r>
        <w:t>ue through profit or loss; loans and receivables; held-to-maturity investments; and available for sale financial assets. The classification of the financial instruments is determined at initial recognition and re-evaluated at each balance sheet date.</w:t>
      </w:r>
    </w:p>
    <w:p w:rsidR="005D6812" w:rsidRDefault="00AB2A2B">
      <w:pPr>
        <w:pStyle w:val="TextSubtitlenumberingRCItalic"/>
        <w:numPr>
          <w:ilvl w:val="0"/>
          <w:numId w:val="17"/>
        </w:numPr>
        <w:ind w:left="426" w:hanging="426"/>
        <w:rPr>
          <w:noProof/>
        </w:rPr>
      </w:pPr>
      <w:r>
        <w:rPr>
          <w:noProof/>
        </w:rPr>
        <w:t>Finan</w:t>
      </w:r>
      <w:r>
        <w:rPr>
          <w:noProof/>
        </w:rPr>
        <w:t>cial assets at fair value through profit or loss</w:t>
      </w:r>
    </w:p>
    <w:p w:rsidR="005D6812" w:rsidRDefault="00AB2A2B">
      <w:pPr>
        <w:pStyle w:val="Textstand-alone"/>
      </w:pPr>
      <w:r>
        <w:t>A financial asset is classified in this category if acquired principally for the purpose of selling in the short term or if so designated by the entity. Derivatives are also categorised in this category. Ass</w:t>
      </w:r>
      <w:r>
        <w:t>ets in this category are classified as current assets if they are expected to be realised within 12 months of the balance sheet date. During this financial year, the entity did not hold any investments in this category.</w:t>
      </w:r>
    </w:p>
    <w:p w:rsidR="005D6812" w:rsidRDefault="00AB2A2B">
      <w:pPr>
        <w:pStyle w:val="TextSubtitlenumberingRCItalic"/>
        <w:numPr>
          <w:ilvl w:val="0"/>
          <w:numId w:val="17"/>
        </w:numPr>
        <w:ind w:left="426" w:hanging="426"/>
        <w:rPr>
          <w:noProof/>
        </w:rPr>
      </w:pPr>
      <w:r>
        <w:rPr>
          <w:noProof/>
        </w:rPr>
        <w:t>Loans and receivables</w:t>
      </w:r>
    </w:p>
    <w:p w:rsidR="005D6812" w:rsidRDefault="00AB2A2B">
      <w:pPr>
        <w:pStyle w:val="Textstand-alone"/>
      </w:pPr>
      <w:r>
        <w:t>Loans and rece</w:t>
      </w:r>
      <w:r>
        <w:t>ivables are non-derivative financial assets with fixed or determinable payments that are not quoted in an active market. They arise when the entity provides money, goods or services directly to a debtor with no intention of trading the receivable. They are</w:t>
      </w:r>
      <w:r>
        <w:t xml:space="preserve"> included in non-current assets, except for maturities within 12 months of the balance sheet date. Loans and receivables include term deposits with the original maturity above three months.</w:t>
      </w:r>
    </w:p>
    <w:p w:rsidR="005D6812" w:rsidRDefault="00AB2A2B">
      <w:pPr>
        <w:pStyle w:val="TextSubtitlenumberingRCItalic"/>
        <w:numPr>
          <w:ilvl w:val="0"/>
          <w:numId w:val="17"/>
        </w:numPr>
        <w:ind w:left="426" w:hanging="426"/>
        <w:rPr>
          <w:noProof/>
        </w:rPr>
      </w:pPr>
      <w:r>
        <w:rPr>
          <w:noProof/>
        </w:rPr>
        <w:t>Held-to-maturity investments</w:t>
      </w:r>
    </w:p>
    <w:p w:rsidR="005D6812" w:rsidRDefault="00AB2A2B">
      <w:pPr>
        <w:pStyle w:val="Textstand-alone"/>
      </w:pPr>
      <w:r>
        <w:t>Held-to-maturity investments are non-</w:t>
      </w:r>
      <w:r>
        <w:t xml:space="preserve">derivative financial assets with fixed or determinable payments and fixed maturities that the entity has the positive intention and ability to hold to maturity. During this financial year, the entity did not hold any investments in this category. </w:t>
      </w:r>
    </w:p>
    <w:p w:rsidR="005D6812" w:rsidRDefault="00AB2A2B">
      <w:pPr>
        <w:pStyle w:val="TextSubtitlenumberingRCItalic"/>
        <w:numPr>
          <w:ilvl w:val="0"/>
          <w:numId w:val="17"/>
        </w:numPr>
        <w:ind w:left="426" w:hanging="426"/>
        <w:rPr>
          <w:noProof/>
        </w:rPr>
      </w:pPr>
      <w:r>
        <w:rPr>
          <w:noProof/>
        </w:rPr>
        <w:t>Available for sale financial assets</w:t>
      </w:r>
    </w:p>
    <w:p w:rsidR="005D6812" w:rsidRDefault="00AB2A2B">
      <w:pPr>
        <w:pStyle w:val="Textstand-alone"/>
      </w:pPr>
      <w:r>
        <w:t>Available for sale financial assets are non-derivatives that are either designated in this category or not classified in any of the other categories. They are classified as either current or non-current assets, depending</w:t>
      </w:r>
      <w:r>
        <w:t xml:space="preserve"> on the period of time the entity expects to hold them, which is usually the maturity date. </w:t>
      </w:r>
    </w:p>
    <w:p w:rsidR="005D6812" w:rsidRDefault="00AB2A2B">
      <w:pPr>
        <w:pStyle w:val="HEADER5"/>
        <w:keepNext/>
        <w:keepLines/>
        <w:rPr>
          <w:noProof/>
        </w:rPr>
      </w:pPr>
      <w:r>
        <w:rPr>
          <w:noProof/>
        </w:rPr>
        <w:t>Initial recognition and measurement</w:t>
      </w:r>
    </w:p>
    <w:p w:rsidR="005D6812" w:rsidRDefault="00AB2A2B">
      <w:pPr>
        <w:pStyle w:val="Textstand-alone"/>
        <w:keepNext/>
        <w:keepLines/>
      </w:pPr>
      <w:r>
        <w:t>Purchases and sales of financial assets at fair value through profit and loss, held-to-maturity and available for sale are reco</w:t>
      </w:r>
      <w:r>
        <w:t>gnised on trade date - the date on which the entity commits to purchase or sell the asset. Cash equivalents, loans and term deposits are recognised at settlement date. Financial instruments are initially recognised at fair value. For all financial assets n</w:t>
      </w:r>
      <w:r>
        <w:t>ot carried at fair value through profit and loss transaction costs are added to the fair value at initial recognition.</w:t>
      </w:r>
    </w:p>
    <w:p w:rsidR="005D6812" w:rsidRDefault="00AB2A2B">
      <w:pPr>
        <w:pStyle w:val="Textstand-alone"/>
      </w:pPr>
      <w:r>
        <w:t>Financial instruments are derecognised when the rights to receive cash flows from the investments have expired or the entity has transfer</w:t>
      </w:r>
      <w:r>
        <w:t>red substantially all risks and rewards of ownership to another party.</w:t>
      </w:r>
    </w:p>
    <w:p w:rsidR="005D6812" w:rsidRDefault="00AB2A2B">
      <w:pPr>
        <w:pStyle w:val="HEADER5"/>
        <w:keepNext/>
        <w:keepLines/>
        <w:rPr>
          <w:noProof/>
        </w:rPr>
      </w:pPr>
      <w:r>
        <w:rPr>
          <w:noProof/>
        </w:rPr>
        <w:t>Subsequent measurement</w:t>
      </w:r>
    </w:p>
    <w:p w:rsidR="005D6812" w:rsidRDefault="00AB2A2B">
      <w:pPr>
        <w:pStyle w:val="Textstand-alone"/>
        <w:keepNext/>
        <w:keepLines/>
      </w:pPr>
      <w:r>
        <w:t>Financial assets at fair value through profit and loss are subsequently carried at fair value with gains and losses arising changes in the fair value being includ</w:t>
      </w:r>
      <w:r>
        <w:t>ed in the statement of financial performance in the period in which they arise.</w:t>
      </w:r>
    </w:p>
    <w:p w:rsidR="005D6812" w:rsidRDefault="00AB2A2B">
      <w:pPr>
        <w:pStyle w:val="Textstand-alone"/>
      </w:pPr>
      <w:r>
        <w:t>Loans and receivables and held-to maturity investments are carried at amortised cost using the effective interest method.</w:t>
      </w:r>
    </w:p>
    <w:p w:rsidR="005D6812" w:rsidRDefault="00AB2A2B">
      <w:pPr>
        <w:pStyle w:val="Textstand-alone"/>
      </w:pPr>
      <w:r>
        <w:t>Available for sale financial assets are subsequently c</w:t>
      </w:r>
      <w:r>
        <w:t>arried at fair value. Gains and losses arising from changes in the fair value being recognised in the fairs value reserve. Interest on available for sale financial assets calculated using the effective interest method is recognised in the statement of fina</w:t>
      </w:r>
      <w:r>
        <w:t xml:space="preserve">ncial performance. </w:t>
      </w:r>
    </w:p>
    <w:p w:rsidR="005D6812" w:rsidRDefault="00AB2A2B">
      <w:pPr>
        <w:pStyle w:val="Textstand-alone"/>
      </w:pPr>
      <w:r>
        <w:t xml:space="preserve">The entity assesses at each balance sheet date whether there is objective evidence that a financial asset is impaired and whether an impairment loss should be recorded in the statement of financial performance.     </w:t>
      </w:r>
    </w:p>
    <w:p w:rsidR="005D6812" w:rsidRDefault="00AB2A2B">
      <w:pPr>
        <w:pStyle w:val="HEADER3Part2"/>
        <w:rPr>
          <w:noProof/>
        </w:rPr>
      </w:pPr>
      <w:r>
        <w:rPr>
          <w:noProof/>
        </w:rPr>
        <w:t>Pre-financing amount</w:t>
      </w:r>
      <w:r>
        <w:rPr>
          <w:noProof/>
        </w:rPr>
        <w:t>s</w:t>
      </w:r>
    </w:p>
    <w:p w:rsidR="005D6812" w:rsidRDefault="00AB2A2B">
      <w:pPr>
        <w:pStyle w:val="Textstand-alone"/>
      </w:pPr>
      <w:r>
        <w:t xml:space="preserve">Pre-financing is a payment intended to provide the beneficiary with a cash advance, i.e. a float. It may be split into a number of payments over a period defined in the particular contract, decision, agreement or basic legal act. The float or advance is </w:t>
      </w:r>
      <w:r>
        <w:t>either used for the purpose for which it was provided during the period defined in the agreement or it is repaid. If the beneficiary does not incur eligible expenditure, he has the obligation to return the pre-financing advance to the entity. The amount of</w:t>
      </w:r>
      <w:r>
        <w:t xml:space="preserve"> the pre-financing may be reduced (wholly or partially) by the acceptance of eligible costs (which are recognised as expenses).</w:t>
      </w:r>
    </w:p>
    <w:p w:rsidR="005D6812" w:rsidRDefault="00AB2A2B">
      <w:pPr>
        <w:pStyle w:val="Textstand-alone"/>
      </w:pPr>
      <w:r>
        <w:t>Pre-financing is, on subsequent balance sheet dates, measured at the amount initially recognised on the balance sheet less eligi</w:t>
      </w:r>
      <w:r>
        <w:t>ble expenses (including estimated amounts where necessary) incurred during the period.</w:t>
      </w:r>
    </w:p>
    <w:p w:rsidR="005D6812" w:rsidRDefault="00AB2A2B">
      <w:pPr>
        <w:pStyle w:val="HEADER3Part2"/>
        <w:rPr>
          <w:noProof/>
        </w:rPr>
      </w:pPr>
      <w:r>
        <w:rPr>
          <w:noProof/>
        </w:rPr>
        <w:t>Receivables and recoverables</w:t>
      </w:r>
    </w:p>
    <w:p w:rsidR="005D6812" w:rsidRDefault="00AB2A2B">
      <w:pPr>
        <w:pStyle w:val="Textstand-alone"/>
      </w:pPr>
      <w:r>
        <w:t>As the EU accounting rules require a separate presentation of exchange and non-exchange transactions, for the purpose of drawing up the acco</w:t>
      </w:r>
      <w:r>
        <w:t>unts, receivables are defined as stemming from non-exchange transactions and recoverables are defined as stemming from exchange transactions (when the entity receives value from another entity without directly giving approximately equal value in exchange).</w:t>
      </w:r>
    </w:p>
    <w:p w:rsidR="005D6812" w:rsidRDefault="00AB2A2B">
      <w:pPr>
        <w:pStyle w:val="Textstand-alone"/>
      </w:pPr>
      <w:r>
        <w:t>Receivables from exchange transactions meet the definition of financial instruments and are thus classified as loans and receivables and measured accordingly (see 1.3.4 above).</w:t>
      </w:r>
    </w:p>
    <w:p w:rsidR="005D6812" w:rsidRDefault="00AB2A2B">
      <w:pPr>
        <w:pStyle w:val="Textstand-alone"/>
      </w:pPr>
      <w:r>
        <w:t>Recoverables from non-exchange transactions are carried at original amount (ad</w:t>
      </w:r>
      <w:r>
        <w:t>justed for interests and penalties) less write-down for impairment. A write-down for impairment is established when there is objective evidence that the entity will not be able to collect all amounts due according to the original terms of the recoverables.</w:t>
      </w:r>
      <w:r>
        <w:t xml:space="preserve"> The amount of the write-down is the difference between the asset's carrying amount and the recoverable amount. The amount of the write-down is recognised in the statement of financial performance.</w:t>
      </w:r>
    </w:p>
    <w:p w:rsidR="005D6812" w:rsidRDefault="00AB2A2B">
      <w:pPr>
        <w:pStyle w:val="HEADER3Part2"/>
        <w:rPr>
          <w:noProof/>
        </w:rPr>
      </w:pPr>
      <w:r>
        <w:rPr>
          <w:noProof/>
        </w:rPr>
        <w:t>Cash and cash equivalents</w:t>
      </w:r>
    </w:p>
    <w:p w:rsidR="005D6812" w:rsidRDefault="00AB2A2B">
      <w:pPr>
        <w:pStyle w:val="Textstand-alone"/>
      </w:pPr>
      <w:r>
        <w:t>Cash and cash equivalents are fi</w:t>
      </w:r>
      <w:r>
        <w:t>nancial instruments and include cash at hand, deposits held at call or at short notice with banks, and other short-term highly liquid investments with original maturities of three months or less.</w:t>
      </w:r>
    </w:p>
    <w:p w:rsidR="005D6812" w:rsidRDefault="00AB2A2B">
      <w:pPr>
        <w:pStyle w:val="HEADER3Part2"/>
        <w:keepNext/>
        <w:rPr>
          <w:noProof/>
        </w:rPr>
      </w:pPr>
      <w:r>
        <w:rPr>
          <w:noProof/>
        </w:rPr>
        <w:t>Provisions</w:t>
      </w:r>
    </w:p>
    <w:p w:rsidR="005D6812" w:rsidRDefault="00AB2A2B">
      <w:pPr>
        <w:pStyle w:val="Textstand-alone"/>
        <w:keepNext/>
      </w:pPr>
      <w:r>
        <w:t>Provisions are recognised when the entity has a p</w:t>
      </w:r>
      <w:r>
        <w:t>resent legal or constructive obligation towards third parties as a result of past events, it is more likely than not that an outflow of resources will be required to settle the obligation, and the amount can be reliably estimated. Provisions are not recogn</w:t>
      </w:r>
      <w:r>
        <w:t>ised for future operating losses. The amount of the provision is the best estimate of the expenditure expected to be required to settle the present obligation at the reporting date. Where the provision involves a large number of items, the obligation is es</w:t>
      </w:r>
      <w:r>
        <w:t>timated by weighting all possible outcomes by their associated probabilities ('expected value' method).</w:t>
      </w:r>
    </w:p>
    <w:p w:rsidR="005D6812" w:rsidRDefault="00AB2A2B">
      <w:pPr>
        <w:pStyle w:val="HEADER3Part2"/>
        <w:keepNext/>
        <w:rPr>
          <w:noProof/>
        </w:rPr>
      </w:pPr>
      <w:r>
        <w:rPr>
          <w:noProof/>
        </w:rPr>
        <w:t>Payables</w:t>
      </w:r>
    </w:p>
    <w:p w:rsidR="005D6812" w:rsidRDefault="00AB2A2B">
      <w:pPr>
        <w:pStyle w:val="Textstand-alone"/>
        <w:keepNext/>
      </w:pPr>
      <w:r>
        <w:t>Included under accounts payable are both amounts related to exchange transactions such as the purchase of goods and services and non-exchange t</w:t>
      </w:r>
      <w:r>
        <w:t xml:space="preserve">ransactions related e.g. to cost claims from beneficiaries, grants or other EU funding. </w:t>
      </w:r>
    </w:p>
    <w:p w:rsidR="005D6812" w:rsidRDefault="00AB2A2B">
      <w:pPr>
        <w:pStyle w:val="Textstand-alone"/>
        <w:keepNext/>
      </w:pPr>
      <w:r>
        <w:t>Where grants or other funding is provided to the beneficiaries, the cost claims are recorded as payables for the requested amount when the cost claim is received. Upon</w:t>
      </w:r>
      <w:r>
        <w:t xml:space="preserve"> verification and acceptance of the eligible costs, the payables are valued at the accepted and eligible amount.</w:t>
      </w:r>
    </w:p>
    <w:p w:rsidR="005D6812" w:rsidRDefault="00AB2A2B">
      <w:pPr>
        <w:pStyle w:val="Textstand-alone"/>
      </w:pPr>
      <w:r>
        <w:t>Payables arising from the purchase of goods and services are recognised at invoice reception for the original amount and corresponding expenses</w:t>
      </w:r>
      <w:r>
        <w:t xml:space="preserve"> are entered in the accounts when the supplies or services are delivered and accepted by the entity.</w:t>
      </w:r>
    </w:p>
    <w:p w:rsidR="005D6812" w:rsidRDefault="00AB2A2B">
      <w:pPr>
        <w:pStyle w:val="HEADER3Part2"/>
        <w:rPr>
          <w:noProof/>
        </w:rPr>
      </w:pPr>
      <w:r>
        <w:rPr>
          <w:noProof/>
        </w:rPr>
        <w:t>Accrued and deferred income and charges</w:t>
      </w:r>
    </w:p>
    <w:p w:rsidR="005D6812" w:rsidRDefault="00AB2A2B">
      <w:pPr>
        <w:pStyle w:val="DGTextstand-alone"/>
      </w:pPr>
      <w:r>
        <w:t>Transactions and events are recognised in the financial statements in the period to which they relate. At year-end,</w:t>
      </w:r>
      <w:r>
        <w:t xml:space="preserve"> if an invoice is not yet issued but the service has been rendered, the supplies have been delivered by the entity or a contractual agreement exists (e.g. by reference to a contract), an accrued income will be recognised in the financial statements. In add</w:t>
      </w:r>
      <w:r>
        <w:t>ition, at year-end, if an invoice is issued but the services have not yet been rendered or the goods supplied have not yet been delivered, the revenue will be deferred and recognised in the subsequent accounting period.</w:t>
      </w:r>
    </w:p>
    <w:p w:rsidR="005D6812" w:rsidRDefault="00AB2A2B">
      <w:pPr>
        <w:pStyle w:val="DGTextstand-alone"/>
      </w:pPr>
      <w:r>
        <w:t>Expenses are also accounted for in t</w:t>
      </w:r>
      <w:r>
        <w:t xml:space="preserve">he period to which they relate. At the end of the accounting period, accrued expenses are recognised based on an estimated amount of the transfer obligation of the period. The calculation of accrued expenses is done in accordance with detailed operational </w:t>
      </w:r>
      <w:r>
        <w:t>and practical guidelines issued by the Accounting Officer which aim at ensuring that the financial statements provide a faithful representation of the economic and other phenomena they purport to represent. By analogy, if a payment has been made in advance</w:t>
      </w:r>
      <w:r>
        <w:t xml:space="preserve"> for services or goods that have not yet been received, the expense will be deferred and recognised in the subsequent accounting period. </w:t>
      </w:r>
    </w:p>
    <w:p w:rsidR="005D6812" w:rsidRDefault="00AB2A2B">
      <w:pPr>
        <w:rPr>
          <w:rFonts w:ascii="Verdana" w:hAnsi="Verdana"/>
          <w:b/>
          <w:noProof/>
          <w:color w:val="016794"/>
          <w:sz w:val="28"/>
          <w:szCs w:val="28"/>
        </w:rPr>
      </w:pPr>
      <w:r>
        <w:rPr>
          <w:noProof/>
        </w:rPr>
        <w:br w:type="page"/>
      </w:r>
    </w:p>
    <w:p w:rsidR="005D6812" w:rsidRDefault="00AB2A2B">
      <w:pPr>
        <w:pStyle w:val="HEADER2Part2"/>
        <w:rPr>
          <w:noProof/>
        </w:rPr>
      </w:pPr>
      <w:r>
        <w:rPr>
          <w:noProof/>
        </w:rPr>
        <w:t>STATEMENT OF FINANCIAL PERFORMANCE</w:t>
      </w:r>
    </w:p>
    <w:p w:rsidR="005D6812" w:rsidRDefault="00AB2A2B">
      <w:pPr>
        <w:pStyle w:val="HEADER3Part2"/>
        <w:rPr>
          <w:noProof/>
        </w:rPr>
      </w:pPr>
      <w:r>
        <w:rPr>
          <w:noProof/>
        </w:rPr>
        <w:t>Revenue</w:t>
      </w:r>
    </w:p>
    <w:p w:rsidR="005D6812" w:rsidRDefault="00AB2A2B">
      <w:pPr>
        <w:pStyle w:val="Textstand-alone"/>
      </w:pPr>
      <w:r>
        <w:t xml:space="preserve">Revenue comprises gross inflows of economic benefits or service potential received and receivable by the entity, which represents an increase in net assets, other than increases relating to contributions from owners. </w:t>
      </w:r>
    </w:p>
    <w:p w:rsidR="005D6812" w:rsidRDefault="00AB2A2B">
      <w:pPr>
        <w:pStyle w:val="Textstand-alone"/>
      </w:pPr>
      <w:r>
        <w:t>Depending on the nature of the underly</w:t>
      </w:r>
      <w:r>
        <w:t xml:space="preserve">ing transactions in the statement of financial performance it is distinguished between:  </w:t>
      </w:r>
    </w:p>
    <w:p w:rsidR="005D6812" w:rsidRDefault="00AB2A2B">
      <w:pPr>
        <w:pStyle w:val="TextSubtitlenumberingRCItalic"/>
        <w:numPr>
          <w:ilvl w:val="0"/>
          <w:numId w:val="18"/>
        </w:numPr>
        <w:rPr>
          <w:noProof/>
        </w:rPr>
      </w:pPr>
      <w:r>
        <w:rPr>
          <w:noProof/>
        </w:rPr>
        <w:t>Revenue from non-exchange transactions</w:t>
      </w:r>
    </w:p>
    <w:p w:rsidR="005D6812" w:rsidRDefault="00AB2A2B">
      <w:pPr>
        <w:rPr>
          <w:rFonts w:ascii="Verdana" w:hAnsi="Verdana"/>
          <w:noProof/>
          <w:sz w:val="18"/>
          <w:szCs w:val="18"/>
        </w:rPr>
      </w:pPr>
      <w:r>
        <w:rPr>
          <w:rFonts w:ascii="Verdana" w:hAnsi="Verdana"/>
          <w:noProof/>
          <w:sz w:val="18"/>
          <w:szCs w:val="18"/>
        </w:rPr>
        <w:t>Revenue from non-exchange transactions are taxes and transfers because the transferor provides resources to the recipient entit</w:t>
      </w:r>
      <w:r>
        <w:rPr>
          <w:rFonts w:ascii="Verdana" w:hAnsi="Verdana"/>
          <w:noProof/>
          <w:sz w:val="18"/>
          <w:szCs w:val="18"/>
        </w:rPr>
        <w:t xml:space="preserve">y without the recipient entity providing approximately equal value directly in exchange. </w:t>
      </w:r>
    </w:p>
    <w:p w:rsidR="005D6812" w:rsidRDefault="00AB2A2B">
      <w:pPr>
        <w:rPr>
          <w:rFonts w:ascii="Verdana" w:hAnsi="Verdana"/>
          <w:noProof/>
          <w:sz w:val="18"/>
          <w:szCs w:val="18"/>
        </w:rPr>
      </w:pPr>
      <w:r>
        <w:rPr>
          <w:rFonts w:ascii="Verdana" w:hAnsi="Verdana"/>
          <w:noProof/>
          <w:sz w:val="18"/>
          <w:szCs w:val="18"/>
        </w:rPr>
        <w:t>Transfers are inflows of future economic benefits or service potential from non-exchange transactions, other than taxes. The entity shall recognise an asset in respec</w:t>
      </w:r>
      <w:r>
        <w:rPr>
          <w:rFonts w:ascii="Verdana" w:hAnsi="Verdana"/>
          <w:noProof/>
          <w:sz w:val="18"/>
          <w:szCs w:val="18"/>
        </w:rPr>
        <w:t>t of transfers when the entity controls the resources as a result of a past event (the transfer) and expects to receive future economic benefits or service potential from those resources, and when the fair value can be reliably measured. An inflow of resou</w:t>
      </w:r>
      <w:r>
        <w:rPr>
          <w:rFonts w:ascii="Verdana" w:hAnsi="Verdana"/>
          <w:noProof/>
          <w:sz w:val="18"/>
          <w:szCs w:val="18"/>
        </w:rPr>
        <w:t>rces from a non-exchange transaction recognised as an asset (i.e. cash) is also recognised as revenue, except to the extent that the entity has a present obligation in respect of that transfer (condition), which needs to be satisfied before the revenue can</w:t>
      </w:r>
      <w:r>
        <w:rPr>
          <w:rFonts w:ascii="Verdana" w:hAnsi="Verdana"/>
          <w:noProof/>
          <w:sz w:val="18"/>
          <w:szCs w:val="18"/>
        </w:rPr>
        <w:t xml:space="preserve"> be recognised. Until the condition is met the revenue is deferred and recognised as a liability (pre-financing received).</w:t>
      </w:r>
    </w:p>
    <w:p w:rsidR="005D6812" w:rsidRDefault="005D6812">
      <w:pPr>
        <w:rPr>
          <w:rFonts w:ascii="Verdana" w:hAnsi="Verdana"/>
          <w:noProof/>
          <w:sz w:val="18"/>
          <w:szCs w:val="18"/>
        </w:rPr>
      </w:pPr>
    </w:p>
    <w:p w:rsidR="005D6812" w:rsidRDefault="00AB2A2B">
      <w:pPr>
        <w:pStyle w:val="TextSubtitlenumberingRCItalic"/>
        <w:numPr>
          <w:ilvl w:val="0"/>
          <w:numId w:val="18"/>
        </w:numPr>
        <w:rPr>
          <w:noProof/>
        </w:rPr>
      </w:pPr>
      <w:r>
        <w:rPr>
          <w:noProof/>
        </w:rPr>
        <w:t>Revenue from exchange transactions</w:t>
      </w:r>
    </w:p>
    <w:p w:rsidR="005D6812" w:rsidRDefault="00AB2A2B">
      <w:pPr>
        <w:pStyle w:val="Textstand-alone"/>
      </w:pPr>
      <w:r>
        <w:t>Revenue from the sale of goods and services is recognised when the significant risk and rewards o</w:t>
      </w:r>
      <w:r>
        <w:t>f ownership of the goods are transferred to the purchaser. Revenue associated with a transaction involving the provision of services is recognised by reference to the stage of completion of the transaction at the reporting date.</w:t>
      </w:r>
    </w:p>
    <w:p w:rsidR="005D6812" w:rsidRDefault="00AB2A2B">
      <w:pPr>
        <w:pStyle w:val="HEADER3Part2"/>
        <w:rPr>
          <w:noProof/>
        </w:rPr>
      </w:pPr>
      <w:r>
        <w:rPr>
          <w:noProof/>
        </w:rPr>
        <w:t>Expenses</w:t>
      </w:r>
    </w:p>
    <w:p w:rsidR="005D6812" w:rsidRDefault="00AB2A2B">
      <w:pPr>
        <w:pStyle w:val="Textstand-alone"/>
      </w:pPr>
      <w:r>
        <w:t>Expenses are decre</w:t>
      </w:r>
      <w:r>
        <w:t>ases in economic benefits or service potential during the reporting period in the form of outflows or consumption of assets or incurrence of liabilities that result in decreases in net assets/equity. They include both the expenses from exchange transaction</w:t>
      </w:r>
      <w:r>
        <w:t>s and expenses from non</w:t>
      </w:r>
      <w:r>
        <w:noBreakHyphen/>
        <w:t xml:space="preserve">exchange transactions. </w:t>
      </w:r>
    </w:p>
    <w:p w:rsidR="005D6812" w:rsidRDefault="00AB2A2B">
      <w:pPr>
        <w:pStyle w:val="Textstand-alone"/>
      </w:pPr>
      <w:r>
        <w:t>Expenses from exchange transactions arising from the purchase of goods and services are recognised when the supplies are delivered and accepted by the entity. They are valued at original invoice amount. Furth</w:t>
      </w:r>
      <w:r>
        <w:t xml:space="preserve">ermore, at the balance sheet date expenses related to the service delivered during the period for which an invoice has not yet been received or accepted are recognised in the statement of financial performance. </w:t>
      </w:r>
    </w:p>
    <w:p w:rsidR="005D6812" w:rsidRDefault="00AB2A2B">
      <w:pPr>
        <w:pStyle w:val="Textstand-alone"/>
      </w:pPr>
      <w:r>
        <w:t>Expenses from non-exchange transactions acco</w:t>
      </w:r>
      <w:r>
        <w:t>unt for the majority of the entity's operating expenses. They relate to transfers to beneficiaries and can be of three types: entitlements, transfers under agreement and discretionary grants, contributions and donations. Transfers are recognised as expense</w:t>
      </w:r>
      <w:r>
        <w:t>s in the period during which the events giving rise to the transfer occurred, as long as the nature of the transfer is allowed by regulation or an agreement has been signed authorising the transfer; any eligibility criteria have been met by the beneficiary</w:t>
      </w:r>
      <w:r>
        <w:t>; and a reasonable estimate of the amount can be made.</w:t>
      </w:r>
    </w:p>
    <w:p w:rsidR="005D6812" w:rsidRDefault="00AB2A2B">
      <w:pPr>
        <w:pStyle w:val="Textstand-alone"/>
      </w:pPr>
      <w:r>
        <w:t>When a request for payment or cost claim is received and meets the recognition criteria, it is recognised as an expense for the eligible amount. At year-end, incurred eligible expenses due to the benef</w:t>
      </w:r>
      <w:r>
        <w:t>iciaries but not yet reported are estimated and recorded as accrued expense.</w:t>
      </w:r>
    </w:p>
    <w:p w:rsidR="005D6812" w:rsidRDefault="00AB2A2B">
      <w:pPr>
        <w:pStyle w:val="HEADER2Part2"/>
        <w:keepNext/>
        <w:keepLines/>
        <w:rPr>
          <w:noProof/>
        </w:rPr>
      </w:pPr>
      <w:r>
        <w:rPr>
          <w:noProof/>
        </w:rPr>
        <w:t>CONTINGENT ASSETS AND LIABILITIES</w:t>
      </w:r>
    </w:p>
    <w:p w:rsidR="005D6812" w:rsidRDefault="00AB2A2B">
      <w:pPr>
        <w:pStyle w:val="HEADER3Part2"/>
        <w:keepNext/>
        <w:keepLines/>
        <w:rPr>
          <w:noProof/>
        </w:rPr>
      </w:pPr>
      <w:r>
        <w:rPr>
          <w:noProof/>
        </w:rPr>
        <w:t xml:space="preserve">Contingent assets </w:t>
      </w:r>
    </w:p>
    <w:p w:rsidR="005D6812" w:rsidRDefault="00AB2A2B">
      <w:pPr>
        <w:pStyle w:val="Textstand-alone"/>
        <w:keepNext/>
        <w:keepLines/>
      </w:pPr>
      <w:r>
        <w:t>A contingent asset is a possible asset that arises from past events and of which the existence will be confirmed only by the o</w:t>
      </w:r>
      <w:r>
        <w:t>ccurrence or non-occurrence of one or more uncertain future events not wholly within the control of the entity. A contingent asset is disclosed when an inflow of economic benefits or service potential is probable.</w:t>
      </w:r>
    </w:p>
    <w:p w:rsidR="005D6812" w:rsidRDefault="00AB2A2B">
      <w:pPr>
        <w:pStyle w:val="HEADER3Part2"/>
        <w:rPr>
          <w:noProof/>
        </w:rPr>
      </w:pPr>
      <w:r>
        <w:rPr>
          <w:noProof/>
        </w:rPr>
        <w:t xml:space="preserve">Contingent liabilities </w:t>
      </w:r>
    </w:p>
    <w:p w:rsidR="005D6812" w:rsidRDefault="00AB2A2B">
      <w:pPr>
        <w:pStyle w:val="Textstand-alone"/>
      </w:pPr>
      <w:r>
        <w:t>A contingent liabi</w:t>
      </w:r>
      <w:r>
        <w:t>lity is a possible obligation that arises from past events and of which the existence will be confirmed only by the occurrence or non-occurrence of one or more uncertain future events not wholly within the control of the entity; or a present obligation tha</w:t>
      </w:r>
      <w:r>
        <w:t>t arises from past events but is not recognised because: it is not probable that an outflow of resources embodying economic benefits or service potential will be required to settle the obligation or, in the rare circumstances where the amount of the obliga</w:t>
      </w:r>
      <w:r>
        <w:t>tion cannot be measured with sufficient reliability.</w:t>
      </w:r>
    </w:p>
    <w:bookmarkEnd w:id="180"/>
    <w:bookmarkEnd w:id="181"/>
    <w:p w:rsidR="005D6812" w:rsidRDefault="005D6812">
      <w:pPr>
        <w:pStyle w:val="Textstand-alone"/>
        <w:sectPr w:rsidR="005D6812">
          <w:headerReference w:type="even" r:id="rId113"/>
          <w:headerReference w:type="default" r:id="rId114"/>
          <w:footerReference w:type="even" r:id="rId115"/>
          <w:footerReference w:type="default" r:id="rId116"/>
          <w:headerReference w:type="first" r:id="rId117"/>
          <w:footerReference w:type="first" r:id="rId118"/>
          <w:pgSz w:w="11906" w:h="16838"/>
          <w:pgMar w:top="1134" w:right="1134" w:bottom="1134" w:left="1134" w:header="709" w:footer="709" w:gutter="0"/>
          <w:cols w:space="708"/>
          <w:docGrid w:linePitch="360"/>
        </w:sectPr>
      </w:pPr>
    </w:p>
    <w:p w:rsidR="005D6812" w:rsidRDefault="00AB2A2B">
      <w:pPr>
        <w:pStyle w:val="HEADER2Part2"/>
        <w:rPr>
          <w:noProof/>
        </w:rPr>
      </w:pPr>
      <w:bookmarkStart w:id="226" w:name="_DMBM_9579"/>
      <w:r>
        <w:rPr>
          <w:noProof/>
        </w:rPr>
        <w:t>CO-FINANCING</w:t>
      </w:r>
    </w:p>
    <w:p w:rsidR="005D6812" w:rsidRDefault="00AB2A2B">
      <w:pPr>
        <w:pStyle w:val="Textstand-alone"/>
      </w:pPr>
      <w:r>
        <w:t xml:space="preserve">Co-financing contributions received fulfil the criteria of revenues from </w:t>
      </w:r>
      <w:r>
        <w:t>non-exchange transactions under condition and they are presented as payables to Member States, non-Member States and others. The EDF is required to use the contributions to deliver services to third parties or is otherwise required to return the assets (th</w:t>
      </w:r>
      <w:r>
        <w:t>e contributions received). The outstanding payables relating to co-financing agreements represent the co-financing contributions received less the expenses incurred related to the project. The effect on net assets is nil.</w:t>
      </w:r>
    </w:p>
    <w:p w:rsidR="005D6812" w:rsidRDefault="00AB2A2B">
      <w:pPr>
        <w:pStyle w:val="Textstand-alone"/>
      </w:pPr>
      <w:r>
        <w:t xml:space="preserve">Expenses relating to co-financing </w:t>
      </w:r>
      <w:r>
        <w:t>projects are recognised as they are incurred. The corresponding amount of contributions is recognised as operating revenue and the effect on economic result of the year is nil.</w:t>
      </w:r>
    </w:p>
    <w:p w:rsidR="005D6812" w:rsidRDefault="005D6812">
      <w:pPr>
        <w:pStyle w:val="Textstand-alone"/>
      </w:pPr>
    </w:p>
    <w:bookmarkEnd w:id="226"/>
    <w:p w:rsidR="005D6812" w:rsidRDefault="005D6812">
      <w:pPr>
        <w:pStyle w:val="Textstand-alone"/>
        <w:spacing w:before="0" w:after="0"/>
        <w:sectPr w:rsidR="005D6812">
          <w:headerReference w:type="even" r:id="rId119"/>
          <w:headerReference w:type="default" r:id="rId120"/>
          <w:footerReference w:type="even" r:id="rId121"/>
          <w:footerReference w:type="default" r:id="rId122"/>
          <w:headerReference w:type="first" r:id="rId123"/>
          <w:footerReference w:type="first" r:id="rId124"/>
          <w:type w:val="continuous"/>
          <w:pgSz w:w="11906" w:h="16838"/>
          <w:pgMar w:top="1134" w:right="1134" w:bottom="1134" w:left="1134" w:header="708" w:footer="708" w:gutter="0"/>
          <w:cols w:space="708"/>
          <w:docGrid w:linePitch="360"/>
        </w:sectPr>
      </w:pPr>
    </w:p>
    <w:p w:rsidR="005D6812" w:rsidRDefault="00AB2A2B">
      <w:pPr>
        <w:pStyle w:val="HEADER1Part2"/>
        <w:rPr>
          <w:noProof/>
        </w:rPr>
      </w:pPr>
      <w:bookmarkStart w:id="227" w:name="_DMBM_9514"/>
      <w:r>
        <w:rPr>
          <w:noProof/>
        </w:rPr>
        <w:t>NOTES TO THE BALANCE SHEET</w:t>
      </w:r>
    </w:p>
    <w:p w:rsidR="005D6812" w:rsidRDefault="00AB2A2B">
      <w:pPr>
        <w:pStyle w:val="HEADERTABLE"/>
        <w:rPr>
          <w:noProof/>
          <w:lang w:val="fr-BE"/>
        </w:rPr>
      </w:pPr>
      <w:r>
        <w:rPr>
          <w:noProof/>
        </w:rPr>
        <w:t xml:space="preserve"> </w:t>
      </w:r>
      <w:bookmarkStart w:id="228" w:name="_DMBM_9448"/>
      <w:bookmarkEnd w:id="227"/>
      <w:r>
        <w:rPr>
          <w:noProof/>
          <w:lang w:val="fr-BE"/>
        </w:rPr>
        <w:t>ASSETS</w:t>
      </w:r>
      <w:bookmarkEnd w:id="228"/>
    </w:p>
    <w:p w:rsidR="005D6812" w:rsidRDefault="00AB2A2B">
      <w:pPr>
        <w:pStyle w:val="HEADER2Part2"/>
        <w:rPr>
          <w:noProof/>
        </w:rPr>
      </w:pPr>
      <w:bookmarkStart w:id="229" w:name="_DMBM_10674"/>
      <w:r>
        <w:rPr>
          <w:noProof/>
        </w:rPr>
        <w:t>PRE-FINANCING</w:t>
      </w:r>
    </w:p>
    <w:p w:rsidR="005D6812" w:rsidRDefault="00AB2A2B">
      <w:pPr>
        <w:pStyle w:val="Textstand-alone"/>
        <w:spacing w:before="0"/>
      </w:pPr>
      <w:r>
        <w:t xml:space="preserve"> Many contracts provide for payments of advances before the commencement of works, delivery of supplies or the provision of services. Sometimes the payment schedules of co</w:t>
      </w:r>
      <w:r>
        <w:t>ntracts foresee payments on the basis of progress reports. Pre-financing is normally paid in the currency of the country or territory where the project is executed.</w:t>
      </w:r>
    </w:p>
    <w:p w:rsidR="005D6812" w:rsidRDefault="00AB2A2B">
      <w:pPr>
        <w:pStyle w:val="Textstand-alone"/>
        <w:spacing w:after="0"/>
      </w:pPr>
      <w:r>
        <w:t xml:space="preserve">The timing of the recoverability or utilisation of pre-financing governs whether it is </w:t>
      </w:r>
      <w:r>
        <w:t>disclosed as a current or a non-current pre-financing asset. The utilisation is defined by the project's underlying agreement. Any repayments or utilisation due within twelve months of the reporting date are disclosed as current pre</w:t>
      </w:r>
      <w:r>
        <w:noBreakHyphen/>
        <w:t>financing. As many of t</w:t>
      </w:r>
      <w:r>
        <w:t>he EDF projects are long-term in nature, it is necessary that the related advances are available for more than one year. Thus some pre-financing amounts are shown as non</w:t>
      </w:r>
      <w:r>
        <w:noBreakHyphen/>
        <w:t>current assets.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851"/>
        <w:gridCol w:w="992"/>
        <w:gridCol w:w="992"/>
        <w:gridCol w:w="993"/>
        <w:gridCol w:w="850"/>
        <w:gridCol w:w="1418"/>
        <w:gridCol w:w="1417"/>
      </w:tblGrid>
      <w:tr w:rsidR="005D6812">
        <w:trPr>
          <w:trHeight w:val="274"/>
        </w:trPr>
        <w:tc>
          <w:tcPr>
            <w:tcW w:w="23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230" w:name="DOC_TBL00013_1_1"/>
            <w:bookmarkEnd w:id="230"/>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850"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bidi="en-GB"/>
              </w:rPr>
            </w:pPr>
            <w:r>
              <w:rPr>
                <w:rFonts w:eastAsia="Verdana" w:cs="Verdana"/>
                <w:lang w:bidi="en-GB"/>
              </w:rPr>
              <w:t>EUR millions</w:t>
            </w:r>
          </w:p>
        </w:tc>
      </w:tr>
      <w:tr w:rsidR="005D6812">
        <w:tc>
          <w:tcPr>
            <w:tcW w:w="2376"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9pNormalLeft"/>
              <w:rPr>
                <w:rFonts w:eastAsia="Verdana" w:cs="Verdana"/>
                <w:noProof/>
                <w:lang w:bidi="en-GB"/>
              </w:rPr>
            </w:pPr>
          </w:p>
        </w:tc>
        <w:tc>
          <w:tcPr>
            <w:tcW w:w="851"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Note</w:t>
            </w: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Eighth EDF</w:t>
            </w: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Ninth EDF</w:t>
            </w:r>
          </w:p>
        </w:tc>
        <w:tc>
          <w:tcPr>
            <w:tcW w:w="993"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10th EDF</w:t>
            </w:r>
          </w:p>
        </w:tc>
        <w:tc>
          <w:tcPr>
            <w:tcW w:w="850"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11th EDF</w:t>
            </w:r>
          </w:p>
        </w:tc>
        <w:tc>
          <w:tcPr>
            <w:tcW w:w="1418"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31.12.2016</w:t>
            </w: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31.12.2015</w:t>
            </w:r>
          </w:p>
        </w:tc>
      </w:tr>
      <w:tr w:rsidR="005D6812">
        <w:tc>
          <w:tcPr>
            <w:tcW w:w="237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Left"/>
              <w:rPr>
                <w:rFonts w:eastAsia="Verdana" w:cs="Verdana"/>
                <w:lang w:bidi="en-GB"/>
              </w:rPr>
            </w:pPr>
            <w:r>
              <w:rPr>
                <w:rFonts w:eastAsia="Verdana" w:cs="Verdana"/>
                <w:lang w:bidi="en-GB"/>
              </w:rPr>
              <w:t>Non-current pre-financing</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2.1.1</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32</w:t>
            </w: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242</w:t>
            </w:r>
          </w:p>
        </w:tc>
        <w:tc>
          <w:tcPr>
            <w:tcW w:w="85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135</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409</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516</w:t>
            </w:r>
          </w:p>
        </w:tc>
      </w:tr>
      <w:tr w:rsidR="005D6812">
        <w:tc>
          <w:tcPr>
            <w:tcW w:w="2376"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Text8pItalicLeft"/>
              <w:rPr>
                <w:rFonts w:eastAsia="Verdana" w:cs="Verdana"/>
                <w:lang w:bidi="en-GB"/>
              </w:rPr>
            </w:pPr>
            <w:r>
              <w:rPr>
                <w:rFonts w:eastAsia="Verdana" w:cs="Verdana"/>
                <w:lang w:bidi="en-GB"/>
              </w:rPr>
              <w:t>Current pre-financing</w:t>
            </w:r>
          </w:p>
        </w:tc>
        <w:tc>
          <w:tcPr>
            <w:tcW w:w="851"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2.1.2</w:t>
            </w:r>
          </w:p>
        </w:tc>
        <w:tc>
          <w:tcPr>
            <w:tcW w:w="992"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1</w:t>
            </w:r>
          </w:p>
        </w:tc>
        <w:tc>
          <w:tcPr>
            <w:tcW w:w="992"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50</w:t>
            </w:r>
          </w:p>
        </w:tc>
        <w:tc>
          <w:tcPr>
            <w:tcW w:w="993"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909</w:t>
            </w:r>
          </w:p>
        </w:tc>
        <w:tc>
          <w:tcPr>
            <w:tcW w:w="850"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412</w:t>
            </w:r>
          </w:p>
        </w:tc>
        <w:tc>
          <w:tcPr>
            <w:tcW w:w="1418"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1 372</w:t>
            </w:r>
          </w:p>
        </w:tc>
        <w:tc>
          <w:tcPr>
            <w:tcW w:w="1417"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1 145</w:t>
            </w:r>
          </w:p>
        </w:tc>
      </w:tr>
      <w:tr w:rsidR="005D6812">
        <w:tc>
          <w:tcPr>
            <w:tcW w:w="2376"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Text8pBoldLeft"/>
              <w:rPr>
                <w:rFonts w:eastAsia="Verdana" w:cs="Verdana"/>
                <w:lang w:bidi="en-GB"/>
              </w:rPr>
            </w:pPr>
            <w:r>
              <w:rPr>
                <w:rFonts w:eastAsia="Verdana" w:cs="Verdana"/>
                <w:lang w:bidi="en-GB"/>
              </w:rPr>
              <w:t>Total</w:t>
            </w:r>
          </w:p>
        </w:tc>
        <w:tc>
          <w:tcPr>
            <w:tcW w:w="851"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5D6812">
            <w:pPr>
              <w:pStyle w:val="Figures7pItalicRight025"/>
              <w:rPr>
                <w:rFonts w:eastAsia="Verdana" w:cs="Verdana"/>
                <w:lang w:bidi="en-GB"/>
              </w:rPr>
            </w:pPr>
          </w:p>
        </w:tc>
        <w:tc>
          <w:tcPr>
            <w:tcW w:w="992"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1</w:t>
            </w:r>
          </w:p>
        </w:tc>
        <w:tc>
          <w:tcPr>
            <w:tcW w:w="992"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82</w:t>
            </w:r>
          </w:p>
        </w:tc>
        <w:tc>
          <w:tcPr>
            <w:tcW w:w="993"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1 151</w:t>
            </w:r>
          </w:p>
        </w:tc>
        <w:tc>
          <w:tcPr>
            <w:tcW w:w="850"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546</w:t>
            </w:r>
          </w:p>
        </w:tc>
        <w:tc>
          <w:tcPr>
            <w:tcW w:w="1418"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1 781</w:t>
            </w:r>
          </w:p>
        </w:tc>
        <w:tc>
          <w:tcPr>
            <w:tcW w:w="1417"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1 661</w:t>
            </w:r>
          </w:p>
        </w:tc>
      </w:tr>
    </w:tbl>
    <w:p w:rsidR="005D6812" w:rsidRDefault="00AB2A2B">
      <w:pPr>
        <w:pStyle w:val="HEADER3Part2"/>
        <w:rPr>
          <w:noProof/>
        </w:rPr>
      </w:pPr>
      <w:bookmarkStart w:id="231" w:name="_DMBM_9430"/>
      <w:bookmarkEnd w:id="229"/>
      <w:r>
        <w:rPr>
          <w:noProof/>
        </w:rPr>
        <w:t>Non-current pre-financing</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5D6812">
        <w:tc>
          <w:tcPr>
            <w:tcW w:w="5637" w:type="dxa"/>
            <w:tcBorders>
              <w:top w:val="nil"/>
              <w:left w:val="nil"/>
              <w:bottom w:val="nil"/>
              <w:right w:val="nil"/>
            </w:tcBorders>
            <w:tcMar>
              <w:top w:w="0" w:type="dxa"/>
              <w:left w:w="108" w:type="dxa"/>
              <w:bottom w:w="0" w:type="dxa"/>
              <w:right w:w="108" w:type="dxa"/>
            </w:tcMar>
          </w:tcPr>
          <w:p w:rsidR="005D6812" w:rsidRDefault="005D6812">
            <w:pPr>
              <w:pStyle w:val="Text8pItalicLeft"/>
              <w:rPr>
                <w:rFonts w:eastAsia="Times New Roman" w:cs="Verdana"/>
                <w:color w:val="FFFFFF"/>
              </w:rPr>
            </w:pPr>
            <w:bookmarkStart w:id="232" w:name="DOC_TBL00014_1_1"/>
            <w:bookmarkEnd w:id="232"/>
          </w:p>
        </w:tc>
        <w:tc>
          <w:tcPr>
            <w:tcW w:w="2126" w:type="dxa"/>
            <w:tcBorders>
              <w:top w:val="nil"/>
              <w:left w:val="nil"/>
              <w:bottom w:val="nil"/>
              <w:right w:val="nil"/>
            </w:tcBorders>
            <w:tcMar>
              <w:top w:w="0" w:type="dxa"/>
              <w:left w:w="108" w:type="dxa"/>
              <w:bottom w:w="0" w:type="dxa"/>
              <w:right w:w="108" w:type="dxa"/>
            </w:tcMar>
          </w:tcPr>
          <w:p w:rsidR="005D6812" w:rsidRDefault="005D6812">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rsidR="005D6812" w:rsidRDefault="00AB2A2B">
            <w:pPr>
              <w:pStyle w:val="Text8pItalicRight025EUR"/>
              <w:rPr>
                <w:rFonts w:eastAsia="Times New Roman" w:cs="Verdana"/>
              </w:rPr>
            </w:pPr>
            <w:r>
              <w:rPr>
                <w:rFonts w:eastAsia="Times New Roman" w:cs="Verdana"/>
              </w:rPr>
              <w:t>EUR millions</w:t>
            </w:r>
          </w:p>
        </w:tc>
      </w:tr>
      <w:tr w:rsidR="005D6812">
        <w:tc>
          <w:tcPr>
            <w:tcW w:w="5637"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31.12.2016</w:t>
            </w:r>
          </w:p>
        </w:tc>
        <w:tc>
          <w:tcPr>
            <w:tcW w:w="1985"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31.12.2015</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 xml:space="preserve">Direct </w:t>
            </w:r>
            <w:r>
              <w:rPr>
                <w:rFonts w:eastAsia="Times New Roman" w:cs="Verdana"/>
              </w:rPr>
              <w:t>Management</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71</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65</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Indented"/>
              <w:ind w:left="200"/>
              <w:rPr>
                <w:rFonts w:eastAsia="Times New Roman" w:cs="Verdana"/>
              </w:rPr>
            </w:pPr>
            <w:r>
              <w:rPr>
                <w:rFonts w:eastAsia="Times New Roman" w:cs="Verdana"/>
              </w:rPr>
              <w:t>Implemented by:</w:t>
            </w:r>
          </w:p>
        </w:tc>
        <w:tc>
          <w:tcPr>
            <w:tcW w:w="2126"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Commission</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39</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43</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EU executive agencies</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4</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EU delegations</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29</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21</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Indirect Management</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338</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451</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Indented"/>
              <w:ind w:left="200"/>
              <w:rPr>
                <w:rFonts w:eastAsia="Times New Roman" w:cs="Verdana"/>
              </w:rPr>
            </w:pPr>
            <w:r>
              <w:rPr>
                <w:rFonts w:eastAsia="Times New Roman" w:cs="Verdana"/>
              </w:rPr>
              <w:t>Implemented by :</w:t>
            </w:r>
          </w:p>
        </w:tc>
        <w:tc>
          <w:tcPr>
            <w:tcW w:w="2126"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EIB and EIF</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180</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323</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International organisations</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87</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90</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 xml:space="preserve">Private law bodies with a public </w:t>
            </w:r>
            <w:r>
              <w:rPr>
                <w:rFonts w:eastAsia="Times New Roman" w:cs="Verdana"/>
              </w:rPr>
              <w:t>service mission</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25</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Public law bodies</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13</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10</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Third countries</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34</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25</w:t>
            </w:r>
          </w:p>
        </w:tc>
      </w:tr>
      <w:tr w:rsidR="005D6812">
        <w:tc>
          <w:tcPr>
            <w:tcW w:w="563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Total</w:t>
            </w:r>
          </w:p>
        </w:tc>
        <w:tc>
          <w:tcPr>
            <w:tcW w:w="212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409</w:t>
            </w:r>
          </w:p>
        </w:tc>
        <w:tc>
          <w:tcPr>
            <w:tcW w:w="198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516</w:t>
            </w:r>
          </w:p>
        </w:tc>
      </w:tr>
    </w:tbl>
    <w:p w:rsidR="005D6812" w:rsidRDefault="00AB2A2B">
      <w:pPr>
        <w:pStyle w:val="HEADER3Part2"/>
        <w:rPr>
          <w:noProof/>
        </w:rPr>
      </w:pPr>
      <w:bookmarkStart w:id="233" w:name="_DMBM_9533"/>
      <w:bookmarkEnd w:id="231"/>
      <w:r>
        <w:rPr>
          <w:noProof/>
        </w:rPr>
        <w:t>Current pre-financing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134"/>
        <w:gridCol w:w="1276"/>
        <w:gridCol w:w="1134"/>
        <w:gridCol w:w="1276"/>
        <w:gridCol w:w="1275"/>
      </w:tblGrid>
      <w:tr w:rsidR="005D6812">
        <w:tc>
          <w:tcPr>
            <w:tcW w:w="2376" w:type="dxa"/>
            <w:tcBorders>
              <w:top w:val="nil"/>
              <w:left w:val="nil"/>
              <w:bottom w:val="nil"/>
              <w:right w:val="nil"/>
            </w:tcBorders>
            <w:tcMar>
              <w:top w:w="0" w:type="dxa"/>
              <w:left w:w="108" w:type="dxa"/>
              <w:bottom w:w="0" w:type="dxa"/>
              <w:right w:w="108" w:type="dxa"/>
            </w:tcMar>
          </w:tcPr>
          <w:p w:rsidR="005D6812" w:rsidRDefault="005D6812">
            <w:pPr>
              <w:pStyle w:val="Text8pItalicLeft"/>
              <w:rPr>
                <w:rFonts w:eastAsia="Times New Roman" w:cs="Verdana"/>
                <w:color w:val="FFFFFF"/>
              </w:rPr>
            </w:pPr>
            <w:bookmarkStart w:id="234" w:name="DOC_TBL00015_1_1"/>
            <w:bookmarkEnd w:id="234"/>
          </w:p>
        </w:tc>
        <w:tc>
          <w:tcPr>
            <w:tcW w:w="1276"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rsidR="005D6812" w:rsidRDefault="00AB2A2B">
            <w:pPr>
              <w:pStyle w:val="Text7pItalicRight025"/>
              <w:rPr>
                <w:rFonts w:eastAsia="Times New Roman" w:cs="Verdana"/>
              </w:rPr>
            </w:pPr>
            <w:r>
              <w:rPr>
                <w:rFonts w:eastAsia="Times New Roman" w:cs="Verdana"/>
              </w:rPr>
              <w:t>EUR millions</w:t>
            </w:r>
          </w:p>
        </w:tc>
      </w:tr>
      <w:tr w:rsidR="005D6812">
        <w:trPr>
          <w:trHeight w:val="247"/>
        </w:trPr>
        <w:tc>
          <w:tcPr>
            <w:tcW w:w="23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5D6812">
            <w:pPr>
              <w:pStyle w:val="Heading9pNormalCentered"/>
              <w:rPr>
                <w:rFonts w:cs="Verdana"/>
                <w:noProof/>
              </w:rPr>
            </w:pP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cs="Verdana"/>
                <w:noProof/>
              </w:rPr>
            </w:pPr>
            <w:r>
              <w:rPr>
                <w:rFonts w:cs="Verdana"/>
                <w:noProof/>
              </w:rPr>
              <w:t>Eighth EDF</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cs="Verdana"/>
                <w:noProof/>
              </w:rPr>
            </w:pPr>
            <w:r>
              <w:rPr>
                <w:rFonts w:cs="Verdana"/>
                <w:noProof/>
              </w:rPr>
              <w:t>Ninth EDF</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cs="Verdana"/>
                <w:noProof/>
              </w:rPr>
            </w:pPr>
            <w:r>
              <w:rPr>
                <w:rFonts w:cs="Verdana"/>
                <w:noProof/>
              </w:rPr>
              <w:t>10th EDF</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cs="Verdana"/>
                <w:noProof/>
              </w:rPr>
            </w:pPr>
            <w:r>
              <w:rPr>
                <w:rFonts w:cs="Verdana"/>
                <w:noProof/>
              </w:rPr>
              <w:t>11th EDF</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cs="Verdana"/>
                <w:noProof/>
              </w:rPr>
            </w:pPr>
            <w:r>
              <w:rPr>
                <w:rFonts w:cs="Verdana"/>
                <w:noProof/>
              </w:rPr>
              <w:t>31.12.2016</w:t>
            </w: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cs="Verdana"/>
                <w:noProof/>
              </w:rPr>
            </w:pPr>
            <w:r>
              <w:rPr>
                <w:rFonts w:cs="Verdana"/>
                <w:noProof/>
              </w:rPr>
              <w:t>31.12.2015</w:t>
            </w:r>
          </w:p>
        </w:tc>
      </w:tr>
      <w:tr w:rsidR="005D6812">
        <w:trPr>
          <w:trHeight w:val="247"/>
        </w:trPr>
        <w:tc>
          <w:tcPr>
            <w:tcW w:w="2376" w:type="dxa"/>
            <w:tcBorders>
              <w:top w:val="nil"/>
              <w:left w:val="nil"/>
              <w:bottom w:val="nil"/>
              <w:right w:val="nil"/>
            </w:tcBorders>
            <w:tcMar>
              <w:top w:w="0" w:type="dxa"/>
              <w:left w:w="108" w:type="dxa"/>
              <w:bottom w:w="0" w:type="dxa"/>
              <w:right w:w="108" w:type="dxa"/>
            </w:tcMar>
            <w:vAlign w:val="center"/>
          </w:tcPr>
          <w:p w:rsidR="005D6812" w:rsidRDefault="00AB2A2B">
            <w:pPr>
              <w:pStyle w:val="Text9pItalicLeft"/>
              <w:rPr>
                <w:rFonts w:eastAsia="Times New Roman" w:cs="Verdana"/>
              </w:rPr>
            </w:pPr>
            <w:r>
              <w:rPr>
                <w:rFonts w:eastAsia="Times New Roman" w:cs="Verdana"/>
              </w:rPr>
              <w:t>Pre-financing (gross)</w:t>
            </w:r>
          </w:p>
        </w:tc>
        <w:tc>
          <w:tcPr>
            <w:tcW w:w="1276" w:type="dxa"/>
            <w:tcBorders>
              <w:top w:val="nil"/>
              <w:left w:val="nil"/>
              <w:bottom w:val="nil"/>
              <w:right w:val="nil"/>
            </w:tcBorders>
            <w:tcMar>
              <w:top w:w="0" w:type="dxa"/>
              <w:left w:w="108" w:type="dxa"/>
              <w:bottom w:w="0" w:type="dxa"/>
              <w:right w:w="108" w:type="dxa"/>
            </w:tcMar>
            <w:vAlign w:val="center"/>
          </w:tcPr>
          <w:p w:rsidR="005D6812" w:rsidRDefault="00AB2A2B">
            <w:pPr>
              <w:pStyle w:val="Figures9pItalicRight025"/>
              <w:rPr>
                <w:rFonts w:eastAsia="Times New Roman" w:cs="Verdana"/>
              </w:rPr>
            </w:pPr>
            <w:r>
              <w:rPr>
                <w:rFonts w:eastAsia="Times New Roman" w:cs="Verdana"/>
              </w:rPr>
              <w:t xml:space="preserve"> 9</w:t>
            </w:r>
          </w:p>
        </w:tc>
        <w:tc>
          <w:tcPr>
            <w:tcW w:w="1134" w:type="dxa"/>
            <w:tcBorders>
              <w:top w:val="nil"/>
              <w:left w:val="nil"/>
              <w:bottom w:val="nil"/>
              <w:right w:val="nil"/>
            </w:tcBorders>
            <w:tcMar>
              <w:top w:w="0" w:type="dxa"/>
              <w:left w:w="108" w:type="dxa"/>
              <w:bottom w:w="0" w:type="dxa"/>
              <w:right w:w="108" w:type="dxa"/>
            </w:tcMar>
            <w:vAlign w:val="center"/>
          </w:tcPr>
          <w:p w:rsidR="005D6812" w:rsidRDefault="00AB2A2B">
            <w:pPr>
              <w:pStyle w:val="Figures9pItalicRight025"/>
              <w:rPr>
                <w:rFonts w:eastAsia="Times New Roman" w:cs="Verdana"/>
              </w:rPr>
            </w:pPr>
            <w:r>
              <w:rPr>
                <w:rFonts w:eastAsia="Times New Roman" w:cs="Verdana"/>
              </w:rPr>
              <w:t xml:space="preserve"> 231</w:t>
            </w:r>
          </w:p>
        </w:tc>
        <w:tc>
          <w:tcPr>
            <w:tcW w:w="1276" w:type="dxa"/>
            <w:tcBorders>
              <w:top w:val="nil"/>
              <w:left w:val="nil"/>
              <w:bottom w:val="nil"/>
              <w:right w:val="nil"/>
            </w:tcBorders>
            <w:tcMar>
              <w:top w:w="0" w:type="dxa"/>
              <w:left w:w="108" w:type="dxa"/>
              <w:bottom w:w="0" w:type="dxa"/>
              <w:right w:w="108" w:type="dxa"/>
            </w:tcMar>
            <w:vAlign w:val="center"/>
          </w:tcPr>
          <w:p w:rsidR="005D6812" w:rsidRDefault="00AB2A2B">
            <w:pPr>
              <w:pStyle w:val="Figures9pItalicRight025"/>
              <w:rPr>
                <w:rFonts w:eastAsia="Times New Roman" w:cs="Verdana"/>
              </w:rPr>
            </w:pPr>
            <w:r>
              <w:rPr>
                <w:rFonts w:eastAsia="Times New Roman" w:cs="Verdana"/>
              </w:rPr>
              <w:t>2 945</w:t>
            </w:r>
          </w:p>
        </w:tc>
        <w:tc>
          <w:tcPr>
            <w:tcW w:w="1134" w:type="dxa"/>
            <w:tcBorders>
              <w:top w:val="nil"/>
              <w:left w:val="nil"/>
              <w:bottom w:val="nil"/>
              <w:right w:val="nil"/>
            </w:tcBorders>
            <w:tcMar>
              <w:top w:w="0" w:type="dxa"/>
              <w:left w:w="108" w:type="dxa"/>
              <w:bottom w:w="0" w:type="dxa"/>
              <w:right w:w="108" w:type="dxa"/>
            </w:tcMar>
            <w:vAlign w:val="center"/>
          </w:tcPr>
          <w:p w:rsidR="005D6812" w:rsidRDefault="00AB2A2B">
            <w:pPr>
              <w:pStyle w:val="Figures9pItalicRight025"/>
              <w:rPr>
                <w:rFonts w:eastAsia="Times New Roman" w:cs="Verdana"/>
              </w:rPr>
            </w:pPr>
            <w:r>
              <w:rPr>
                <w:rFonts w:eastAsia="Times New Roman" w:cs="Verdana"/>
              </w:rPr>
              <w:t>1 560</w:t>
            </w:r>
          </w:p>
        </w:tc>
        <w:tc>
          <w:tcPr>
            <w:tcW w:w="1276" w:type="dxa"/>
            <w:tcBorders>
              <w:top w:val="nil"/>
              <w:left w:val="nil"/>
              <w:bottom w:val="nil"/>
              <w:right w:val="nil"/>
            </w:tcBorders>
            <w:tcMar>
              <w:top w:w="0" w:type="dxa"/>
              <w:left w:w="108" w:type="dxa"/>
              <w:bottom w:w="0" w:type="dxa"/>
              <w:right w:w="108" w:type="dxa"/>
            </w:tcMar>
            <w:vAlign w:val="center"/>
          </w:tcPr>
          <w:p w:rsidR="005D6812" w:rsidRDefault="00AB2A2B">
            <w:pPr>
              <w:pStyle w:val="Figures9pItalicRight025"/>
              <w:rPr>
                <w:rFonts w:eastAsia="Times New Roman" w:cs="Verdana"/>
              </w:rPr>
            </w:pPr>
            <w:r>
              <w:rPr>
                <w:rFonts w:eastAsia="Times New Roman" w:cs="Verdana"/>
              </w:rPr>
              <w:t>4 745</w:t>
            </w:r>
          </w:p>
        </w:tc>
        <w:tc>
          <w:tcPr>
            <w:tcW w:w="1275" w:type="dxa"/>
            <w:tcBorders>
              <w:top w:val="nil"/>
              <w:left w:val="nil"/>
              <w:bottom w:val="nil"/>
              <w:right w:val="nil"/>
            </w:tcBorders>
            <w:tcMar>
              <w:top w:w="0" w:type="dxa"/>
              <w:left w:w="108" w:type="dxa"/>
              <w:bottom w:w="0" w:type="dxa"/>
              <w:right w:w="108" w:type="dxa"/>
            </w:tcMar>
            <w:vAlign w:val="center"/>
          </w:tcPr>
          <w:p w:rsidR="005D6812" w:rsidRDefault="00AB2A2B">
            <w:pPr>
              <w:pStyle w:val="Figures9pItalicRight025"/>
              <w:rPr>
                <w:rFonts w:eastAsia="Times New Roman" w:cs="Verdana"/>
              </w:rPr>
            </w:pPr>
            <w:r>
              <w:rPr>
                <w:rFonts w:eastAsia="Times New Roman" w:cs="Verdana"/>
              </w:rPr>
              <w:t>4 250</w:t>
            </w:r>
          </w:p>
        </w:tc>
      </w:tr>
      <w:tr w:rsidR="005D6812">
        <w:trPr>
          <w:trHeight w:val="247"/>
        </w:trPr>
        <w:tc>
          <w:tcPr>
            <w:tcW w:w="2376" w:type="dxa"/>
            <w:tcBorders>
              <w:top w:val="nil"/>
              <w:left w:val="nil"/>
              <w:bottom w:val="nil"/>
              <w:right w:val="nil"/>
            </w:tcBorders>
            <w:tcMar>
              <w:top w:w="0" w:type="dxa"/>
              <w:left w:w="108" w:type="dxa"/>
              <w:bottom w:w="0" w:type="dxa"/>
              <w:right w:w="108" w:type="dxa"/>
            </w:tcMar>
            <w:vAlign w:val="center"/>
          </w:tcPr>
          <w:p w:rsidR="005D6812" w:rsidRDefault="00AB2A2B">
            <w:pPr>
              <w:pStyle w:val="Text9pItalicLeft"/>
              <w:rPr>
                <w:rFonts w:eastAsia="Times New Roman" w:cs="Verdana"/>
              </w:rPr>
            </w:pPr>
            <w:r>
              <w:rPr>
                <w:rFonts w:eastAsia="Times New Roman" w:cs="Verdana"/>
              </w:rPr>
              <w:t>Cleared via cut-off</w:t>
            </w:r>
          </w:p>
        </w:tc>
        <w:tc>
          <w:tcPr>
            <w:tcW w:w="1276" w:type="dxa"/>
            <w:tcBorders>
              <w:top w:val="nil"/>
              <w:left w:val="nil"/>
              <w:bottom w:val="nil"/>
              <w:right w:val="nil"/>
            </w:tcBorders>
            <w:tcMar>
              <w:top w:w="0" w:type="dxa"/>
              <w:left w:w="108" w:type="dxa"/>
              <w:bottom w:w="0" w:type="dxa"/>
              <w:right w:w="108" w:type="dxa"/>
            </w:tcMar>
            <w:vAlign w:val="center"/>
          </w:tcPr>
          <w:p w:rsidR="005D6812" w:rsidRDefault="00AB2A2B">
            <w:pPr>
              <w:pStyle w:val="Figures9pItalicRight025"/>
              <w:rPr>
                <w:rFonts w:eastAsia="Times New Roman" w:cs="Verdana"/>
              </w:rPr>
            </w:pPr>
            <w:r>
              <w:rPr>
                <w:rFonts w:eastAsia="Times New Roman" w:cs="Verdana"/>
              </w:rPr>
              <w:t xml:space="preserve"> (8)</w:t>
            </w:r>
          </w:p>
        </w:tc>
        <w:tc>
          <w:tcPr>
            <w:tcW w:w="1134" w:type="dxa"/>
            <w:tcBorders>
              <w:top w:val="nil"/>
              <w:left w:val="nil"/>
              <w:bottom w:val="nil"/>
              <w:right w:val="nil"/>
            </w:tcBorders>
            <w:tcMar>
              <w:top w:w="0" w:type="dxa"/>
              <w:left w:w="108" w:type="dxa"/>
              <w:bottom w:w="0" w:type="dxa"/>
              <w:right w:w="108" w:type="dxa"/>
            </w:tcMar>
            <w:vAlign w:val="center"/>
          </w:tcPr>
          <w:p w:rsidR="005D6812" w:rsidRDefault="00AB2A2B">
            <w:pPr>
              <w:pStyle w:val="Figures9pItalicRight025"/>
              <w:rPr>
                <w:rFonts w:eastAsia="Times New Roman" w:cs="Verdana"/>
              </w:rPr>
            </w:pPr>
            <w:r>
              <w:rPr>
                <w:rFonts w:eastAsia="Times New Roman" w:cs="Verdana"/>
              </w:rPr>
              <w:t xml:space="preserve"> (181)</w:t>
            </w:r>
          </w:p>
        </w:tc>
        <w:tc>
          <w:tcPr>
            <w:tcW w:w="1276" w:type="dxa"/>
            <w:tcBorders>
              <w:top w:val="nil"/>
              <w:left w:val="nil"/>
              <w:bottom w:val="nil"/>
              <w:right w:val="nil"/>
            </w:tcBorders>
            <w:tcMar>
              <w:top w:w="0" w:type="dxa"/>
              <w:left w:w="108" w:type="dxa"/>
              <w:bottom w:w="0" w:type="dxa"/>
              <w:right w:w="108" w:type="dxa"/>
            </w:tcMar>
            <w:vAlign w:val="center"/>
          </w:tcPr>
          <w:p w:rsidR="005D6812" w:rsidRDefault="00AB2A2B">
            <w:pPr>
              <w:pStyle w:val="Figures9pItalicRight025"/>
              <w:rPr>
                <w:rFonts w:eastAsia="Times New Roman" w:cs="Verdana"/>
              </w:rPr>
            </w:pPr>
            <w:r>
              <w:rPr>
                <w:rFonts w:eastAsia="Times New Roman" w:cs="Verdana"/>
              </w:rPr>
              <w:t>(2 037)</w:t>
            </w:r>
          </w:p>
        </w:tc>
        <w:tc>
          <w:tcPr>
            <w:tcW w:w="1134" w:type="dxa"/>
            <w:tcBorders>
              <w:top w:val="nil"/>
              <w:left w:val="nil"/>
              <w:bottom w:val="nil"/>
              <w:right w:val="nil"/>
            </w:tcBorders>
            <w:tcMar>
              <w:top w:w="0" w:type="dxa"/>
              <w:left w:w="108" w:type="dxa"/>
              <w:bottom w:w="0" w:type="dxa"/>
              <w:right w:w="108" w:type="dxa"/>
            </w:tcMar>
            <w:vAlign w:val="center"/>
          </w:tcPr>
          <w:p w:rsidR="005D6812" w:rsidRDefault="00AB2A2B">
            <w:pPr>
              <w:pStyle w:val="Figures9pItalicRight025"/>
              <w:rPr>
                <w:rFonts w:eastAsia="Times New Roman" w:cs="Verdana"/>
              </w:rPr>
            </w:pPr>
            <w:r>
              <w:rPr>
                <w:rFonts w:eastAsia="Times New Roman" w:cs="Verdana"/>
              </w:rPr>
              <w:t>(1 148)</w:t>
            </w:r>
          </w:p>
        </w:tc>
        <w:tc>
          <w:tcPr>
            <w:tcW w:w="1276" w:type="dxa"/>
            <w:tcBorders>
              <w:top w:val="nil"/>
              <w:left w:val="nil"/>
              <w:bottom w:val="nil"/>
              <w:right w:val="nil"/>
            </w:tcBorders>
            <w:tcMar>
              <w:top w:w="0" w:type="dxa"/>
              <w:left w:w="108" w:type="dxa"/>
              <w:bottom w:w="0" w:type="dxa"/>
              <w:right w:w="108" w:type="dxa"/>
            </w:tcMar>
            <w:vAlign w:val="center"/>
          </w:tcPr>
          <w:p w:rsidR="005D6812" w:rsidRDefault="00AB2A2B">
            <w:pPr>
              <w:pStyle w:val="Figures9pItalicRight025"/>
              <w:rPr>
                <w:rFonts w:eastAsia="Times New Roman" w:cs="Verdana"/>
              </w:rPr>
            </w:pPr>
            <w:r>
              <w:rPr>
                <w:rFonts w:eastAsia="Times New Roman" w:cs="Verdana"/>
              </w:rPr>
              <w:t>(3 373)</w:t>
            </w:r>
          </w:p>
        </w:tc>
        <w:tc>
          <w:tcPr>
            <w:tcW w:w="1275" w:type="dxa"/>
            <w:tcBorders>
              <w:top w:val="nil"/>
              <w:left w:val="nil"/>
              <w:bottom w:val="nil"/>
              <w:right w:val="nil"/>
            </w:tcBorders>
            <w:tcMar>
              <w:top w:w="0" w:type="dxa"/>
              <w:left w:w="108" w:type="dxa"/>
              <w:bottom w:w="0" w:type="dxa"/>
              <w:right w:w="108" w:type="dxa"/>
            </w:tcMar>
            <w:vAlign w:val="center"/>
          </w:tcPr>
          <w:p w:rsidR="005D6812" w:rsidRDefault="00AB2A2B">
            <w:pPr>
              <w:pStyle w:val="Figures9pItalicRight025"/>
              <w:rPr>
                <w:rFonts w:eastAsia="Times New Roman" w:cs="Verdana"/>
              </w:rPr>
            </w:pPr>
            <w:r>
              <w:rPr>
                <w:rFonts w:eastAsia="Times New Roman" w:cs="Verdana"/>
              </w:rPr>
              <w:t>(3 105)</w:t>
            </w:r>
          </w:p>
        </w:tc>
      </w:tr>
      <w:tr w:rsidR="005D6812">
        <w:trPr>
          <w:trHeight w:val="247"/>
        </w:trPr>
        <w:tc>
          <w:tcPr>
            <w:tcW w:w="23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Text9pBoldLeft"/>
              <w:rPr>
                <w:rFonts w:eastAsia="Times New Roman" w:cs="Verdana"/>
              </w:rPr>
            </w:pPr>
            <w:r>
              <w:rPr>
                <w:rFonts w:eastAsia="Times New Roman" w:cs="Verdana"/>
              </w:rPr>
              <w:t>Total</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Times New Roman" w:cs="Verdana"/>
              </w:rPr>
            </w:pPr>
            <w:r>
              <w:rPr>
                <w:rFonts w:eastAsia="Times New Roman" w:cs="Verdana"/>
              </w:rPr>
              <w:t xml:space="preserve"> 1</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Times New Roman" w:cs="Verdana"/>
              </w:rPr>
            </w:pPr>
            <w:r>
              <w:rPr>
                <w:rFonts w:eastAsia="Times New Roman" w:cs="Verdana"/>
              </w:rPr>
              <w:t xml:space="preserve"> 50</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Times New Roman" w:cs="Verdana"/>
              </w:rPr>
            </w:pPr>
            <w:r>
              <w:rPr>
                <w:rFonts w:eastAsia="Times New Roman" w:cs="Verdana"/>
              </w:rPr>
              <w:t xml:space="preserve"> 909</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Times New Roman" w:cs="Verdana"/>
              </w:rPr>
            </w:pPr>
            <w:r>
              <w:rPr>
                <w:rFonts w:eastAsia="Times New Roman" w:cs="Verdana"/>
              </w:rPr>
              <w:t xml:space="preserve"> 412</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Times New Roman" w:cs="Verdana"/>
              </w:rPr>
            </w:pPr>
            <w:r>
              <w:rPr>
                <w:rFonts w:eastAsia="Times New Roman" w:cs="Verdana"/>
              </w:rPr>
              <w:t>1 372</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Times New Roman" w:cs="Verdana"/>
              </w:rPr>
            </w:pPr>
            <w:r>
              <w:rPr>
                <w:rFonts w:eastAsia="Times New Roman" w:cs="Verdana"/>
              </w:rPr>
              <w:t>1 145</w:t>
            </w:r>
          </w:p>
        </w:tc>
      </w:tr>
    </w:tbl>
    <w:p w:rsidR="005D6812" w:rsidRDefault="00AB2A2B">
      <w:pPr>
        <w:pStyle w:val="Textstand-alone"/>
        <w:spacing w:after="0"/>
      </w:pPr>
      <w: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5D6812">
        <w:tc>
          <w:tcPr>
            <w:tcW w:w="5637" w:type="dxa"/>
            <w:tcBorders>
              <w:top w:val="nil"/>
              <w:left w:val="nil"/>
              <w:bottom w:val="nil"/>
              <w:right w:val="nil"/>
            </w:tcBorders>
            <w:tcMar>
              <w:top w:w="0" w:type="dxa"/>
              <w:left w:w="108" w:type="dxa"/>
              <w:bottom w:w="0" w:type="dxa"/>
              <w:right w:w="108" w:type="dxa"/>
            </w:tcMar>
          </w:tcPr>
          <w:p w:rsidR="005D6812" w:rsidRDefault="005D6812">
            <w:pPr>
              <w:pStyle w:val="Text8pItalicLeft"/>
              <w:rPr>
                <w:rFonts w:eastAsia="Times New Roman" w:cs="Verdana"/>
                <w:color w:val="FFFFFF"/>
              </w:rPr>
            </w:pPr>
            <w:bookmarkStart w:id="235" w:name="DOC_TBL00016_1_1"/>
            <w:bookmarkEnd w:id="235"/>
          </w:p>
        </w:tc>
        <w:tc>
          <w:tcPr>
            <w:tcW w:w="2126" w:type="dxa"/>
            <w:tcBorders>
              <w:top w:val="nil"/>
              <w:left w:val="nil"/>
              <w:bottom w:val="nil"/>
              <w:right w:val="nil"/>
            </w:tcBorders>
            <w:tcMar>
              <w:top w:w="0" w:type="dxa"/>
              <w:left w:w="108" w:type="dxa"/>
              <w:bottom w:w="0" w:type="dxa"/>
              <w:right w:w="108" w:type="dxa"/>
            </w:tcMar>
          </w:tcPr>
          <w:p w:rsidR="005D6812" w:rsidRDefault="005D6812">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rsidR="005D6812" w:rsidRDefault="00AB2A2B">
            <w:pPr>
              <w:pStyle w:val="Text8pItalicRight025EUR"/>
              <w:rPr>
                <w:rFonts w:eastAsia="Times New Roman" w:cs="Verdana"/>
              </w:rPr>
            </w:pPr>
            <w:r>
              <w:rPr>
                <w:rFonts w:eastAsia="Times New Roman" w:cs="Verdana"/>
              </w:rPr>
              <w:t>EUR millions</w:t>
            </w:r>
          </w:p>
        </w:tc>
      </w:tr>
      <w:tr w:rsidR="005D6812">
        <w:tc>
          <w:tcPr>
            <w:tcW w:w="5637"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31.12.2016</w:t>
            </w:r>
          </w:p>
        </w:tc>
        <w:tc>
          <w:tcPr>
            <w:tcW w:w="1985"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31.12.2015</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Direct Management</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246</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283</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Indented"/>
              <w:ind w:left="200"/>
              <w:rPr>
                <w:rFonts w:eastAsia="Times New Roman" w:cs="Verdana"/>
              </w:rPr>
            </w:pPr>
            <w:r>
              <w:rPr>
                <w:rFonts w:eastAsia="Times New Roman" w:cs="Verdana"/>
              </w:rPr>
              <w:t>Implemented by:</w:t>
            </w:r>
          </w:p>
        </w:tc>
        <w:tc>
          <w:tcPr>
            <w:tcW w:w="2126"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Commission</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115</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123</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EU executive agencies</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10</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 xml:space="preserve">EU </w:t>
            </w:r>
            <w:r>
              <w:rPr>
                <w:rFonts w:eastAsia="Times New Roman" w:cs="Verdana"/>
              </w:rPr>
              <w:t>delegations</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122</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159</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Indirect Management</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1 125</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861</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Indented"/>
              <w:ind w:left="200"/>
              <w:rPr>
                <w:rFonts w:eastAsia="Times New Roman" w:cs="Verdana"/>
              </w:rPr>
            </w:pPr>
            <w:r>
              <w:rPr>
                <w:rFonts w:eastAsia="Times New Roman" w:cs="Verdana"/>
              </w:rPr>
              <w:t>Implemented by :</w:t>
            </w:r>
          </w:p>
        </w:tc>
        <w:tc>
          <w:tcPr>
            <w:tcW w:w="2126"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EIB and EIF</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372</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235</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International organisations</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432</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336</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Private law bodies with a public service mission</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121</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5</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Public law bodies</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53</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56</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Third countries</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148</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229</w:t>
            </w:r>
          </w:p>
        </w:tc>
      </w:tr>
      <w:tr w:rsidR="005D6812">
        <w:tc>
          <w:tcPr>
            <w:tcW w:w="563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Total</w:t>
            </w:r>
          </w:p>
        </w:tc>
        <w:tc>
          <w:tcPr>
            <w:tcW w:w="212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1</w:t>
            </w:r>
            <w:r>
              <w:rPr>
                <w:rFonts w:eastAsia="Times New Roman" w:cs="Verdana"/>
              </w:rPr>
              <w:t xml:space="preserve"> 372</w:t>
            </w:r>
          </w:p>
        </w:tc>
        <w:tc>
          <w:tcPr>
            <w:tcW w:w="198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1 145</w:t>
            </w:r>
          </w:p>
        </w:tc>
      </w:tr>
    </w:tbl>
    <w:p w:rsidR="005D6812" w:rsidRDefault="005D6812">
      <w:pPr>
        <w:pStyle w:val="Textstand-alone"/>
        <w:spacing w:before="0"/>
        <w:rPr>
          <w:lang w:bidi="en-GB"/>
        </w:rPr>
      </w:pPr>
    </w:p>
    <w:p w:rsidR="005D6812" w:rsidRDefault="00AB2A2B">
      <w:pPr>
        <w:pStyle w:val="Textstand-alone"/>
      </w:pPr>
      <w:r>
        <w:t>The overall pre-financing at 31 December 2016 (EUR 1 781 million) is comparable to the total pre-financing at 31 December 2015 (EUR 1 661 million).</w:t>
      </w:r>
    </w:p>
    <w:p w:rsidR="005D6812" w:rsidRDefault="00AB2A2B">
      <w:pPr>
        <w:pStyle w:val="Textstand-alone"/>
      </w:pPr>
      <w:r>
        <w:t xml:space="preserve">The slight increase in current pre-financing by EUR 227 million compared to 31 December 2015 is explained by a large number of new contracts for which no costs were yet incurred in 2016. This increase is offset by a decrease of the long term pre-financing </w:t>
      </w:r>
      <w:r>
        <w:t xml:space="preserve">(see note </w:t>
      </w:r>
      <w:r>
        <w:rPr>
          <w:b/>
        </w:rPr>
        <w:t>2.1.1</w:t>
      </w:r>
      <w:r>
        <w:t>).</w:t>
      </w:r>
    </w:p>
    <w:p w:rsidR="005D6812" w:rsidRDefault="00AB2A2B">
      <w:pPr>
        <w:pStyle w:val="HEADER3Part2"/>
        <w:rPr>
          <w:noProof/>
        </w:rPr>
      </w:pPr>
      <w:bookmarkStart w:id="236" w:name="_DMBM_9534"/>
      <w:bookmarkEnd w:id="233"/>
      <w:r>
        <w:rPr>
          <w:noProof/>
        </w:rPr>
        <w:t>Guarantees received in respect of pre-financing</w:t>
      </w:r>
    </w:p>
    <w:p w:rsidR="005D6812" w:rsidRDefault="00AB2A2B">
      <w:pPr>
        <w:pStyle w:val="Textstand-alone"/>
        <w:rPr>
          <w:iCs/>
        </w:rPr>
      </w:pPr>
      <w:r>
        <w:t>Guarantees are held to secure pre-financing and are released when the final claim under a project is paid.</w:t>
      </w:r>
      <w:r>
        <w:rPr>
          <w:b/>
        </w:rPr>
        <w:t xml:space="preserve"> </w:t>
      </w:r>
      <w:r>
        <w:rPr>
          <w:iCs/>
        </w:rPr>
        <w:t xml:space="preserve">At 31 December 2016 the guarantees received by the EDF in respect of pre-financing </w:t>
      </w:r>
      <w:r>
        <w:rPr>
          <w:iCs/>
        </w:rPr>
        <w:t>amounted to EUR 53 million (2015 EUR 83 million).</w:t>
      </w:r>
    </w:p>
    <w:p w:rsidR="005D6812" w:rsidRDefault="00AB2A2B">
      <w:pPr>
        <w:pStyle w:val="Textstand-alone"/>
      </w:pPr>
      <w:r>
        <w:t xml:space="preserve">The majority of pre-financing is paid under the indirect management mode. In this case the beneficiary of the guarantee is not the EDF but the contracting authority. </w:t>
      </w:r>
      <w:bookmarkEnd w:id="236"/>
    </w:p>
    <w:p w:rsidR="005D6812" w:rsidRDefault="00AB2A2B">
      <w:pPr>
        <w:pStyle w:val="HEADER2Part2"/>
        <w:rPr>
          <w:noProof/>
        </w:rPr>
      </w:pPr>
      <w:bookmarkStart w:id="237" w:name="_DMBM_10673"/>
      <w:r>
        <w:rPr>
          <w:noProof/>
        </w:rPr>
        <w:t>TRUST FUND CONTRIBUTIONS</w:t>
      </w:r>
    </w:p>
    <w:p w:rsidR="005D6812" w:rsidRDefault="00AB2A2B">
      <w:pPr>
        <w:pStyle w:val="Textstand-alone"/>
      </w:pPr>
      <w:r>
        <w:t>This heading r</w:t>
      </w:r>
      <w:r>
        <w:t>epresents the amount paid as contributions to the Bêkou EU Trust Fund and the EUTF for Africa. The contributions are net of the costs incurred by the trust funds and attributable to the EDF.</w:t>
      </w:r>
    </w:p>
    <w:p w:rsidR="005D6812" w:rsidRDefault="00AB2A2B">
      <w:pPr>
        <w:pStyle w:val="Textstand-alone"/>
      </w:pPr>
      <w:r>
        <w:t>The trust fund contributions are implemented by the EDF under the</w:t>
      </w:r>
      <w:r>
        <w:t xml:space="preserve"> direct management mode.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5"/>
        <w:gridCol w:w="1559"/>
        <w:gridCol w:w="2126"/>
        <w:gridCol w:w="1701"/>
      </w:tblGrid>
      <w:tr w:rsidR="005D6812">
        <w:tc>
          <w:tcPr>
            <w:tcW w:w="23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238" w:name="DOC_TBL00017_1_1"/>
            <w:bookmarkEnd w:id="238"/>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bidi="en-GB"/>
              </w:rPr>
            </w:pPr>
            <w:r>
              <w:rPr>
                <w:rFonts w:eastAsia="Verdana" w:cs="Verdana"/>
                <w:lang w:bidi="en-GB"/>
              </w:rPr>
              <w:t>EUR millions</w:t>
            </w:r>
          </w:p>
        </w:tc>
      </w:tr>
      <w:tr w:rsidR="005D6812">
        <w:tc>
          <w:tcPr>
            <w:tcW w:w="2376"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Left"/>
              <w:rPr>
                <w:rFonts w:eastAsia="Verdana" w:cs="Verdana"/>
                <w:noProof/>
                <w:lang w:bidi="en-GB"/>
              </w:rPr>
            </w:pPr>
            <w:r>
              <w:rPr>
                <w:rFonts w:eastAsia="Verdana" w:cs="Verdana"/>
                <w:noProof/>
                <w:lang w:bidi="en-GB"/>
              </w:rPr>
              <w:t>Trust Funds</w:t>
            </w:r>
          </w:p>
        </w:tc>
        <w:tc>
          <w:tcPr>
            <w:tcW w:w="1985"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Centered"/>
              <w:rPr>
                <w:rFonts w:eastAsia="Verdana" w:cs="Verdana"/>
                <w:lang w:bidi="en-GB"/>
              </w:rPr>
            </w:pPr>
            <w:r>
              <w:rPr>
                <w:rFonts w:eastAsia="Verdana" w:cs="Verdana"/>
                <w:lang w:bidi="en-GB"/>
              </w:rPr>
              <w:t>Net contribution at 31.12.2015</w:t>
            </w:r>
          </w:p>
        </w:tc>
        <w:tc>
          <w:tcPr>
            <w:tcW w:w="1559"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Centered"/>
              <w:rPr>
                <w:rFonts w:eastAsia="Verdana" w:cs="Verdana"/>
                <w:lang w:bidi="en-GB"/>
              </w:rPr>
            </w:pPr>
            <w:r>
              <w:rPr>
                <w:rFonts w:eastAsia="Verdana" w:cs="Verdana"/>
                <w:lang w:bidi="en-GB"/>
              </w:rPr>
              <w:t>Contributions paid in 2016</w:t>
            </w:r>
          </w:p>
        </w:tc>
        <w:tc>
          <w:tcPr>
            <w:tcW w:w="2126"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Centered"/>
              <w:rPr>
                <w:rFonts w:eastAsia="Verdana" w:cs="Verdana"/>
                <w:lang w:bidi="en-GB"/>
              </w:rPr>
            </w:pPr>
            <w:r>
              <w:rPr>
                <w:rFonts w:eastAsia="Verdana" w:cs="Verdana"/>
                <w:lang w:bidi="en-GB"/>
              </w:rPr>
              <w:t>Allocation of TF's net expenses  2016</w:t>
            </w:r>
          </w:p>
        </w:tc>
        <w:tc>
          <w:tcPr>
            <w:tcW w:w="1701"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Centered"/>
              <w:rPr>
                <w:rFonts w:eastAsia="Verdana" w:cs="Verdana"/>
                <w:lang w:bidi="en-GB"/>
              </w:rPr>
            </w:pPr>
            <w:r>
              <w:rPr>
                <w:rFonts w:eastAsia="Verdana" w:cs="Verdana"/>
                <w:lang w:bidi="en-GB"/>
              </w:rPr>
              <w:t>Net contribution at 31.12.2016</w:t>
            </w:r>
          </w:p>
        </w:tc>
      </w:tr>
      <w:tr w:rsidR="005D6812">
        <w:tc>
          <w:tcPr>
            <w:tcW w:w="237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Africa</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99</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(27)</w:t>
            </w: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72</w:t>
            </w:r>
          </w:p>
        </w:tc>
      </w:tr>
      <w:tr w:rsidR="005D6812">
        <w:tc>
          <w:tcPr>
            <w:tcW w:w="237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Bêkou</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34</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(8)</w:t>
            </w: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26</w:t>
            </w:r>
          </w:p>
        </w:tc>
      </w:tr>
      <w:tr w:rsidR="005D6812">
        <w:tc>
          <w:tcPr>
            <w:tcW w:w="237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Total</w:t>
            </w:r>
          </w:p>
        </w:tc>
        <w:tc>
          <w:tcPr>
            <w:tcW w:w="198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34</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99</w:t>
            </w:r>
          </w:p>
        </w:tc>
        <w:tc>
          <w:tcPr>
            <w:tcW w:w="212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(35)</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98</w:t>
            </w:r>
          </w:p>
        </w:tc>
      </w:tr>
      <w:bookmarkEnd w:id="237"/>
    </w:tbl>
    <w:p w:rsidR="005D6812" w:rsidRDefault="005D6812">
      <w:pPr>
        <w:rPr>
          <w:noProof/>
          <w:lang w:bidi="en-GB"/>
        </w:rPr>
        <w:sectPr w:rsidR="005D6812">
          <w:headerReference w:type="even" r:id="rId125"/>
          <w:headerReference w:type="default" r:id="rId126"/>
          <w:footerReference w:type="even" r:id="rId127"/>
          <w:footerReference w:type="default" r:id="rId128"/>
          <w:headerReference w:type="first" r:id="rId129"/>
          <w:footerReference w:type="first" r:id="rId130"/>
          <w:pgSz w:w="12240" w:h="15840"/>
          <w:pgMar w:top="1417" w:right="1417" w:bottom="1417" w:left="1417" w:header="708" w:footer="708" w:gutter="0"/>
          <w:cols w:space="708"/>
          <w:docGrid w:linePitch="360"/>
        </w:sectPr>
      </w:pPr>
    </w:p>
    <w:p w:rsidR="005D6812" w:rsidRDefault="00AB2A2B">
      <w:pPr>
        <w:pStyle w:val="HEADER2Part2"/>
        <w:rPr>
          <w:noProof/>
        </w:rPr>
      </w:pPr>
      <w:bookmarkStart w:id="239" w:name="_DMBM_9458"/>
      <w:r>
        <w:rPr>
          <w:noProof/>
        </w:rPr>
        <w:t>NON-EXCHANGE RECOVERABLES AND EXCHANGE RECEIVABLES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rsidR="005D681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240" w:name="DOC_TBL00018_1_1"/>
            <w:bookmarkEnd w:id="240"/>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bidi="en-GB"/>
              </w:rPr>
            </w:pPr>
            <w:r>
              <w:rPr>
                <w:rFonts w:eastAsia="Verdana" w:cs="Verdana"/>
                <w:lang w:bidi="en-GB"/>
              </w:rPr>
              <w:t>EUR millions</w:t>
            </w:r>
          </w:p>
        </w:tc>
      </w:tr>
      <w:tr w:rsidR="005D6812">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Verdana" w:cs="Verdana"/>
                <w:lang w:bidi="en-GB"/>
              </w:rPr>
            </w:pPr>
          </w:p>
        </w:tc>
        <w:tc>
          <w:tcPr>
            <w:tcW w:w="851"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Note</w:t>
            </w:r>
          </w:p>
        </w:tc>
        <w:tc>
          <w:tcPr>
            <w:tcW w:w="184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31.12.2016</w:t>
            </w:r>
          </w:p>
        </w:tc>
        <w:tc>
          <w:tcPr>
            <w:tcW w:w="1843"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31.12.2015</w:t>
            </w:r>
          </w:p>
        </w:tc>
      </w:tr>
      <w:tr w:rsidR="005D681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Recoverables from non-exchange transactions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Centered"/>
              <w:rPr>
                <w:rFonts w:eastAsia="Verdana" w:cs="Verdana"/>
                <w:lang w:bidi="en-GB"/>
              </w:rPr>
            </w:pPr>
            <w:r>
              <w:rPr>
                <w:rFonts w:eastAsia="Verdana" w:cs="Verdana"/>
                <w:lang w:bidi="en-GB"/>
              </w:rPr>
              <w:t>2.3.1</w:t>
            </w: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62</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104</w:t>
            </w:r>
          </w:p>
        </w:tc>
      </w:tr>
      <w:tr w:rsidR="005D6812">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Receivables from exchange transactions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Centered"/>
              <w:rPr>
                <w:rFonts w:eastAsia="Verdana" w:cs="Verdana"/>
                <w:lang w:bidi="en-GB"/>
              </w:rPr>
            </w:pPr>
            <w:r>
              <w:rPr>
                <w:rFonts w:eastAsia="Verdana" w:cs="Verdana"/>
                <w:lang w:bidi="en-GB"/>
              </w:rPr>
              <w:t>2.3.2</w:t>
            </w: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70</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67</w:t>
            </w:r>
          </w:p>
        </w:tc>
      </w:tr>
      <w:tr w:rsidR="005D6812">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Total</w:t>
            </w:r>
          </w:p>
        </w:tc>
        <w:tc>
          <w:tcPr>
            <w:tcW w:w="85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i w:val="0"/>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132</w:t>
            </w:r>
          </w:p>
        </w:tc>
        <w:tc>
          <w:tcPr>
            <w:tcW w:w="184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171</w:t>
            </w:r>
          </w:p>
        </w:tc>
      </w:tr>
    </w:tbl>
    <w:p w:rsidR="005D6812" w:rsidRDefault="00AB2A2B">
      <w:pPr>
        <w:pStyle w:val="HEADER3Part2"/>
        <w:rPr>
          <w:noProof/>
        </w:rPr>
      </w:pPr>
      <w:r>
        <w:rPr>
          <w:noProof/>
        </w:rPr>
        <w:t>Recoverables from non-exchange transactions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276"/>
        <w:gridCol w:w="1417"/>
        <w:gridCol w:w="1134"/>
        <w:gridCol w:w="1418"/>
        <w:gridCol w:w="1417"/>
      </w:tblGrid>
      <w:tr w:rsidR="005D6812">
        <w:tc>
          <w:tcPr>
            <w:tcW w:w="1809"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241" w:name="DOC_TBL00019_1_1"/>
            <w:bookmarkEnd w:id="241"/>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bidi="en-GB"/>
              </w:rPr>
            </w:pPr>
            <w:r>
              <w:rPr>
                <w:rFonts w:eastAsia="Verdana" w:cs="Verdana"/>
                <w:lang w:bidi="en-GB"/>
              </w:rPr>
              <w:t>EUR millions</w:t>
            </w:r>
          </w:p>
        </w:tc>
      </w:tr>
      <w:tr w:rsidR="005D6812">
        <w:trPr>
          <w:trHeight w:val="247"/>
        </w:trPr>
        <w:tc>
          <w:tcPr>
            <w:tcW w:w="1809" w:type="dxa"/>
            <w:tcBorders>
              <w:top w:val="nil"/>
              <w:left w:val="nil"/>
              <w:bottom w:val="nil"/>
              <w:right w:val="nil"/>
            </w:tcBorders>
            <w:shd w:val="clear" w:color="auto" w:fill="016794"/>
            <w:tcMar>
              <w:top w:w="0" w:type="dxa"/>
              <w:left w:w="108" w:type="dxa"/>
              <w:bottom w:w="0" w:type="dxa"/>
              <w:right w:w="108" w:type="dxa"/>
            </w:tcMar>
            <w:vAlign w:val="bottom"/>
          </w:tcPr>
          <w:p w:rsidR="005D6812" w:rsidRDefault="005D6812">
            <w:pPr>
              <w:pStyle w:val="Heading9pNormalCentered"/>
              <w:rPr>
                <w:rFonts w:eastAsia="Verdana" w:cs="Verdana"/>
                <w:noProof/>
                <w:lang w:bidi="en-GB"/>
              </w:rPr>
            </w:pP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Eighth EDF</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Right01"/>
              <w:rPr>
                <w:rFonts w:eastAsia="Verdana" w:cs="Verdana"/>
                <w:noProof/>
                <w:lang w:bidi="en-GB"/>
              </w:rPr>
            </w:pPr>
            <w:r>
              <w:rPr>
                <w:rFonts w:eastAsia="Verdana" w:cs="Verdana"/>
                <w:noProof/>
                <w:lang w:bidi="en-GB"/>
              </w:rPr>
              <w:t>Ninth EDF</w:t>
            </w: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BoldRight01"/>
              <w:rPr>
                <w:rFonts w:eastAsia="Verdana" w:cs="Verdana"/>
                <w:b w:val="0"/>
                <w:lang w:bidi="en-GB"/>
              </w:rPr>
            </w:pPr>
            <w:r>
              <w:rPr>
                <w:rFonts w:eastAsia="Verdana" w:cs="Verdana"/>
                <w:b w:val="0"/>
                <w:lang w:bidi="en-GB"/>
              </w:rPr>
              <w:t>10th EDF</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Right01"/>
              <w:rPr>
                <w:rFonts w:eastAsia="Verdana" w:cs="Verdana"/>
                <w:noProof/>
                <w:lang w:bidi="en-GB"/>
              </w:rPr>
            </w:pPr>
            <w:r>
              <w:rPr>
                <w:rFonts w:eastAsia="Verdana" w:cs="Verdana"/>
                <w:noProof/>
                <w:lang w:bidi="en-GB"/>
              </w:rPr>
              <w:t>11th EDF</w:t>
            </w:r>
          </w:p>
        </w:tc>
        <w:tc>
          <w:tcPr>
            <w:tcW w:w="1418"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Right01"/>
              <w:rPr>
                <w:rFonts w:eastAsia="Verdana" w:cs="Verdana"/>
                <w:noProof/>
                <w:lang w:bidi="en-GB"/>
              </w:rPr>
            </w:pPr>
            <w:r>
              <w:rPr>
                <w:rFonts w:eastAsia="Verdana" w:cs="Verdana"/>
                <w:noProof/>
                <w:lang w:bidi="en-GB"/>
              </w:rPr>
              <w:t>31.12.2016</w:t>
            </w: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BoldRight01"/>
              <w:rPr>
                <w:rFonts w:eastAsia="Verdana" w:cs="Verdana"/>
                <w:b w:val="0"/>
                <w:lang w:bidi="en-GB"/>
              </w:rPr>
            </w:pPr>
            <w:r>
              <w:rPr>
                <w:rFonts w:eastAsia="Verdana" w:cs="Verdana"/>
                <w:b w:val="0"/>
                <w:lang w:bidi="en-GB"/>
              </w:rPr>
              <w:t>31.12.2015</w:t>
            </w:r>
          </w:p>
        </w:tc>
      </w:tr>
      <w:tr w:rsidR="005D6812">
        <w:trPr>
          <w:trHeight w:val="247"/>
        </w:trPr>
        <w:tc>
          <w:tcPr>
            <w:tcW w:w="1809"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Member States</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0</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40</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418"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40</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90</w:t>
            </w:r>
          </w:p>
        </w:tc>
      </w:tr>
      <w:tr w:rsidR="005D6812">
        <w:trPr>
          <w:trHeight w:val="247"/>
        </w:trPr>
        <w:tc>
          <w:tcPr>
            <w:tcW w:w="1809"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Customers</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4</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9</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6</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0</w:t>
            </w:r>
          </w:p>
        </w:tc>
        <w:tc>
          <w:tcPr>
            <w:tcW w:w="1418"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18</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23</w:t>
            </w:r>
          </w:p>
        </w:tc>
      </w:tr>
      <w:tr w:rsidR="005D6812">
        <w:trPr>
          <w:trHeight w:val="247"/>
        </w:trPr>
        <w:tc>
          <w:tcPr>
            <w:tcW w:w="1809"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Public bodies</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13</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10</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0</w:t>
            </w:r>
          </w:p>
        </w:tc>
        <w:tc>
          <w:tcPr>
            <w:tcW w:w="1418"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23</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16</w:t>
            </w:r>
          </w:p>
        </w:tc>
      </w:tr>
      <w:tr w:rsidR="005D6812">
        <w:trPr>
          <w:trHeight w:val="247"/>
        </w:trPr>
        <w:tc>
          <w:tcPr>
            <w:tcW w:w="1809"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Third states</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0</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3</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418"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4</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2</w:t>
            </w:r>
          </w:p>
        </w:tc>
      </w:tr>
      <w:tr w:rsidR="005D6812">
        <w:trPr>
          <w:trHeight w:val="247"/>
        </w:trPr>
        <w:tc>
          <w:tcPr>
            <w:tcW w:w="1809"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Write down</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(3)</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(17)</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(5)</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418"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(25)</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(29)</w:t>
            </w:r>
          </w:p>
        </w:tc>
      </w:tr>
      <w:tr w:rsidR="005D6812">
        <w:trPr>
          <w:trHeight w:val="247"/>
        </w:trPr>
        <w:tc>
          <w:tcPr>
            <w:tcW w:w="1809"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val="fr-BE" w:bidi="en-GB"/>
              </w:rPr>
            </w:pPr>
            <w:r>
              <w:rPr>
                <w:rFonts w:eastAsia="Verdana" w:cs="Verdana"/>
                <w:lang w:val="fr-BE" w:bidi="en-GB"/>
              </w:rPr>
              <w:t>Liaison accounts with EU institutions</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2</w:t>
            </w:r>
          </w:p>
        </w:tc>
        <w:tc>
          <w:tcPr>
            <w:tcW w:w="1418"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2</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w:t>
            </w:r>
          </w:p>
        </w:tc>
      </w:tr>
      <w:tr w:rsidR="005D6812">
        <w:trPr>
          <w:trHeight w:val="247"/>
        </w:trPr>
        <w:tc>
          <w:tcPr>
            <w:tcW w:w="1809"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Text9pBoldLeft"/>
              <w:rPr>
                <w:rFonts w:eastAsia="Verdana" w:cs="Verdana"/>
                <w:lang w:bidi="en-GB"/>
              </w:rPr>
            </w:pPr>
            <w:r>
              <w:rPr>
                <w:rFonts w:eastAsia="Verdana" w:cs="Verdana"/>
                <w:lang w:bidi="en-GB"/>
              </w:rPr>
              <w:t>Total</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1</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8</w:t>
            </w:r>
          </w:p>
        </w:tc>
        <w:tc>
          <w:tcPr>
            <w:tcW w:w="1417"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51</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2</w:t>
            </w:r>
          </w:p>
        </w:tc>
        <w:tc>
          <w:tcPr>
            <w:tcW w:w="1418"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62</w:t>
            </w:r>
          </w:p>
        </w:tc>
        <w:tc>
          <w:tcPr>
            <w:tcW w:w="1417"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104</w:t>
            </w:r>
          </w:p>
        </w:tc>
      </w:tr>
    </w:tbl>
    <w:p w:rsidR="005D6812" w:rsidRDefault="00AB2A2B">
      <w:pPr>
        <w:pStyle w:val="Textstand-alone"/>
      </w:pPr>
      <w:r>
        <w:t>Recoverables from Member States include ordinary contributions as well as amounts still to be received as a consequence of Bridging Facility adjustments.  The activities of the Bridging Facility were financed through decommitted amounts from previous EDF's</w:t>
      </w:r>
      <w:r>
        <w:t xml:space="preserve"> and the related capital movements were recorded in 2015. </w:t>
      </w:r>
    </w:p>
    <w:p w:rsidR="005D6812" w:rsidRDefault="00AB2A2B">
      <w:pPr>
        <w:pStyle w:val="Textstand-alone"/>
      </w:pPr>
      <w:r>
        <w:t>The amounts are summarised in the table below: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895"/>
        <w:gridCol w:w="2835"/>
        <w:gridCol w:w="1842"/>
      </w:tblGrid>
      <w:tr w:rsidR="005D6812">
        <w:tc>
          <w:tcPr>
            <w:tcW w:w="317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keepNext/>
              <w:keepLines/>
              <w:rPr>
                <w:rFonts w:eastAsia="Verdana" w:cs="Verdana"/>
                <w:color w:val="FFFFFF"/>
                <w:lang w:bidi="en-GB"/>
              </w:rPr>
            </w:pPr>
            <w:bookmarkStart w:id="242" w:name="DOC_TBL00020_1_1"/>
            <w:bookmarkEnd w:id="242"/>
          </w:p>
        </w:tc>
        <w:tc>
          <w:tcPr>
            <w:tcW w:w="1895" w:type="dxa"/>
            <w:tcBorders>
              <w:top w:val="nil"/>
              <w:left w:val="nil"/>
              <w:bottom w:val="nil"/>
              <w:right w:val="nil"/>
            </w:tcBorders>
            <w:shd w:val="clear" w:color="auto" w:fill="auto"/>
            <w:tcMar>
              <w:top w:w="0" w:type="dxa"/>
              <w:left w:w="108" w:type="dxa"/>
              <w:bottom w:w="0" w:type="dxa"/>
              <w:right w:w="108" w:type="dxa"/>
            </w:tcMar>
          </w:tcPr>
          <w:p w:rsidR="005D6812" w:rsidRDefault="005D6812">
            <w:pPr>
              <w:keepNext/>
              <w:keepLines/>
              <w:jc w:val="both"/>
              <w:rPr>
                <w:noProof/>
                <w:lang w:bidi="en-GB"/>
              </w:rPr>
            </w:pPr>
          </w:p>
        </w:tc>
        <w:tc>
          <w:tcPr>
            <w:tcW w:w="2835" w:type="dxa"/>
            <w:tcBorders>
              <w:top w:val="nil"/>
              <w:left w:val="nil"/>
              <w:bottom w:val="nil"/>
              <w:right w:val="nil"/>
            </w:tcBorders>
            <w:shd w:val="clear" w:color="auto" w:fill="auto"/>
            <w:tcMar>
              <w:top w:w="0" w:type="dxa"/>
              <w:left w:w="108" w:type="dxa"/>
              <w:bottom w:w="0" w:type="dxa"/>
              <w:right w:w="108" w:type="dxa"/>
            </w:tcMar>
          </w:tcPr>
          <w:p w:rsidR="005D6812" w:rsidRDefault="005D6812">
            <w:pPr>
              <w:keepNext/>
              <w:keepLines/>
              <w:jc w:val="both"/>
              <w:rPr>
                <w:noProof/>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keepNext/>
              <w:keepLines/>
              <w:rPr>
                <w:rFonts w:eastAsia="Verdana" w:cs="Verdana"/>
                <w:lang w:bidi="en-GB"/>
              </w:rPr>
            </w:pPr>
            <w:r>
              <w:rPr>
                <w:rFonts w:eastAsia="Verdana" w:cs="Verdana"/>
                <w:lang w:bidi="en-GB"/>
              </w:rPr>
              <w:t>EUR millions</w:t>
            </w:r>
          </w:p>
        </w:tc>
      </w:tr>
      <w:tr w:rsidR="005D6812">
        <w:tc>
          <w:tcPr>
            <w:tcW w:w="3175"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Left"/>
              <w:keepNext/>
              <w:keepLines/>
              <w:rPr>
                <w:rFonts w:eastAsia="Verdana" w:cs="Verdana"/>
                <w:lang w:bidi="en-GB"/>
              </w:rPr>
            </w:pPr>
            <w:r>
              <w:rPr>
                <w:rFonts w:eastAsia="Verdana" w:cs="Verdana"/>
                <w:lang w:bidi="en-GB"/>
              </w:rPr>
              <w:t>Member States</w:t>
            </w:r>
          </w:p>
        </w:tc>
        <w:tc>
          <w:tcPr>
            <w:tcW w:w="1895"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keepNext/>
              <w:keepLines/>
              <w:rPr>
                <w:rFonts w:eastAsia="Verdana" w:cs="Verdana"/>
                <w:lang w:bidi="en-GB"/>
              </w:rPr>
            </w:pPr>
            <w:r>
              <w:rPr>
                <w:rFonts w:eastAsia="Verdana" w:cs="Verdana"/>
                <w:lang w:bidi="en-GB"/>
              </w:rPr>
              <w:t>Amounts to be received from MS</w:t>
            </w:r>
          </w:p>
        </w:tc>
        <w:tc>
          <w:tcPr>
            <w:tcW w:w="2835"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keepNext/>
              <w:keepLines/>
              <w:rPr>
                <w:rFonts w:eastAsia="Verdana" w:cs="Verdana"/>
                <w:lang w:bidi="en-GB"/>
              </w:rPr>
            </w:pPr>
            <w:r>
              <w:rPr>
                <w:rFonts w:eastAsia="Verdana" w:cs="Verdana"/>
                <w:lang w:bidi="en-GB"/>
              </w:rPr>
              <w:t>Amounts to be deducted from MS's contributions</w:t>
            </w:r>
          </w:p>
        </w:tc>
        <w:tc>
          <w:tcPr>
            <w:tcW w:w="184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keepNext/>
              <w:keepLines/>
              <w:rPr>
                <w:rFonts w:eastAsia="Verdana" w:cs="Verdana"/>
                <w:lang w:bidi="en-GB"/>
              </w:rPr>
            </w:pPr>
            <w:r>
              <w:rPr>
                <w:rFonts w:eastAsia="Verdana" w:cs="Verdana"/>
                <w:lang w:bidi="en-GB"/>
              </w:rPr>
              <w:t>Net amount at 31.12.2016</w:t>
            </w:r>
          </w:p>
        </w:tc>
      </w:tr>
      <w:tr w:rsidR="005D6812">
        <w:tc>
          <w:tcPr>
            <w:tcW w:w="31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keepNext/>
              <w:keepLines/>
              <w:rPr>
                <w:rFonts w:eastAsia="Verdana" w:cs="Verdana"/>
                <w:lang w:bidi="en-GB"/>
              </w:rPr>
            </w:pPr>
            <w:r>
              <w:rPr>
                <w:rFonts w:eastAsia="Verdana" w:cs="Verdana"/>
                <w:lang w:bidi="en-GB"/>
              </w:rPr>
              <w:t>Belgium</w:t>
            </w:r>
          </w:p>
        </w:tc>
        <w:tc>
          <w:tcPr>
            <w:tcW w:w="189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 xml:space="preserve"> 25</w:t>
            </w:r>
          </w:p>
        </w:tc>
        <w:tc>
          <w:tcPr>
            <w:tcW w:w="283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w:t>
            </w: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 xml:space="preserve"> 25</w:t>
            </w:r>
          </w:p>
        </w:tc>
      </w:tr>
      <w:tr w:rsidR="005D6812">
        <w:tc>
          <w:tcPr>
            <w:tcW w:w="31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keepNext/>
              <w:keepLines/>
              <w:rPr>
                <w:rFonts w:eastAsia="Verdana" w:cs="Verdana"/>
                <w:lang w:bidi="en-GB"/>
              </w:rPr>
            </w:pPr>
            <w:r>
              <w:rPr>
                <w:rFonts w:eastAsia="Verdana" w:cs="Verdana"/>
                <w:lang w:bidi="en-GB"/>
              </w:rPr>
              <w:t>Cyprus</w:t>
            </w:r>
          </w:p>
        </w:tc>
        <w:tc>
          <w:tcPr>
            <w:tcW w:w="189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 xml:space="preserve"> 0</w:t>
            </w:r>
          </w:p>
        </w:tc>
        <w:tc>
          <w:tcPr>
            <w:tcW w:w="283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w:t>
            </w: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 xml:space="preserve"> 0</w:t>
            </w:r>
          </w:p>
        </w:tc>
      </w:tr>
      <w:tr w:rsidR="005D6812">
        <w:tc>
          <w:tcPr>
            <w:tcW w:w="31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keepNext/>
              <w:keepLines/>
              <w:rPr>
                <w:rFonts w:eastAsia="Verdana" w:cs="Verdana"/>
                <w:lang w:bidi="en-GB"/>
              </w:rPr>
            </w:pPr>
            <w:r>
              <w:rPr>
                <w:rFonts w:eastAsia="Verdana" w:cs="Verdana"/>
                <w:lang w:bidi="en-GB"/>
              </w:rPr>
              <w:t>Czech Republic</w:t>
            </w:r>
          </w:p>
        </w:tc>
        <w:tc>
          <w:tcPr>
            <w:tcW w:w="189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 xml:space="preserve"> 2</w:t>
            </w:r>
          </w:p>
        </w:tc>
        <w:tc>
          <w:tcPr>
            <w:tcW w:w="283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w:t>
            </w: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 xml:space="preserve"> 2</w:t>
            </w:r>
          </w:p>
        </w:tc>
      </w:tr>
      <w:tr w:rsidR="005D6812">
        <w:tc>
          <w:tcPr>
            <w:tcW w:w="31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keepNext/>
              <w:keepLines/>
              <w:rPr>
                <w:rFonts w:eastAsia="Verdana" w:cs="Verdana"/>
                <w:lang w:bidi="en-GB"/>
              </w:rPr>
            </w:pPr>
            <w:r>
              <w:rPr>
                <w:rFonts w:eastAsia="Verdana" w:cs="Verdana"/>
                <w:lang w:bidi="en-GB"/>
              </w:rPr>
              <w:t>Greece</w:t>
            </w:r>
          </w:p>
        </w:tc>
        <w:tc>
          <w:tcPr>
            <w:tcW w:w="189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 xml:space="preserve"> 0</w:t>
            </w:r>
          </w:p>
        </w:tc>
        <w:tc>
          <w:tcPr>
            <w:tcW w:w="283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w:t>
            </w: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 xml:space="preserve"> 0</w:t>
            </w:r>
          </w:p>
        </w:tc>
      </w:tr>
      <w:tr w:rsidR="005D6812">
        <w:tc>
          <w:tcPr>
            <w:tcW w:w="31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keepNext/>
              <w:keepLines/>
              <w:rPr>
                <w:rFonts w:eastAsia="Verdana" w:cs="Verdana"/>
                <w:lang w:bidi="en-GB"/>
              </w:rPr>
            </w:pPr>
            <w:r>
              <w:rPr>
                <w:rFonts w:eastAsia="Verdana" w:cs="Verdana"/>
                <w:lang w:bidi="en-GB"/>
              </w:rPr>
              <w:t>Latvia</w:t>
            </w:r>
          </w:p>
        </w:tc>
        <w:tc>
          <w:tcPr>
            <w:tcW w:w="189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 xml:space="preserve"> 0</w:t>
            </w:r>
          </w:p>
        </w:tc>
        <w:tc>
          <w:tcPr>
            <w:tcW w:w="283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w:t>
            </w: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 xml:space="preserve"> 0</w:t>
            </w:r>
          </w:p>
        </w:tc>
      </w:tr>
      <w:tr w:rsidR="005D6812">
        <w:tc>
          <w:tcPr>
            <w:tcW w:w="31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keepNext/>
              <w:keepLines/>
              <w:rPr>
                <w:rFonts w:eastAsia="Verdana" w:cs="Verdana"/>
                <w:lang w:bidi="en-GB"/>
              </w:rPr>
            </w:pPr>
            <w:r>
              <w:rPr>
                <w:rFonts w:eastAsia="Verdana" w:cs="Verdana"/>
                <w:lang w:bidi="en-GB"/>
              </w:rPr>
              <w:t>Portugal</w:t>
            </w:r>
          </w:p>
        </w:tc>
        <w:tc>
          <w:tcPr>
            <w:tcW w:w="189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 xml:space="preserve"> 0</w:t>
            </w:r>
          </w:p>
        </w:tc>
        <w:tc>
          <w:tcPr>
            <w:tcW w:w="283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w:t>
            </w: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 xml:space="preserve"> 0</w:t>
            </w:r>
          </w:p>
        </w:tc>
      </w:tr>
      <w:tr w:rsidR="005D6812">
        <w:tc>
          <w:tcPr>
            <w:tcW w:w="31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keepNext/>
              <w:keepLines/>
              <w:rPr>
                <w:rFonts w:eastAsia="Verdana" w:cs="Verdana"/>
                <w:lang w:bidi="en-GB"/>
              </w:rPr>
            </w:pPr>
            <w:r>
              <w:rPr>
                <w:rFonts w:eastAsia="Verdana" w:cs="Verdana"/>
                <w:lang w:bidi="en-GB"/>
              </w:rPr>
              <w:t>Romania</w:t>
            </w:r>
          </w:p>
        </w:tc>
        <w:tc>
          <w:tcPr>
            <w:tcW w:w="189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 xml:space="preserve"> 2</w:t>
            </w:r>
          </w:p>
        </w:tc>
        <w:tc>
          <w:tcPr>
            <w:tcW w:w="283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w:t>
            </w: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 xml:space="preserve"> 2</w:t>
            </w:r>
          </w:p>
        </w:tc>
      </w:tr>
      <w:tr w:rsidR="005D6812">
        <w:tc>
          <w:tcPr>
            <w:tcW w:w="31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keepNext/>
              <w:keepLines/>
              <w:rPr>
                <w:rFonts w:eastAsia="Verdana" w:cs="Verdana"/>
                <w:lang w:bidi="en-GB"/>
              </w:rPr>
            </w:pPr>
            <w:r>
              <w:rPr>
                <w:rFonts w:eastAsia="Verdana" w:cs="Verdana"/>
                <w:lang w:bidi="en-GB"/>
              </w:rPr>
              <w:t>Slovenia</w:t>
            </w:r>
          </w:p>
        </w:tc>
        <w:tc>
          <w:tcPr>
            <w:tcW w:w="189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 xml:space="preserve"> 1</w:t>
            </w:r>
          </w:p>
        </w:tc>
        <w:tc>
          <w:tcPr>
            <w:tcW w:w="283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w:t>
            </w: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 xml:space="preserve"> 1</w:t>
            </w:r>
          </w:p>
        </w:tc>
      </w:tr>
      <w:tr w:rsidR="005D6812">
        <w:tc>
          <w:tcPr>
            <w:tcW w:w="31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keepNext/>
              <w:keepLines/>
              <w:rPr>
                <w:rFonts w:eastAsia="Verdana" w:cs="Verdana"/>
                <w:lang w:bidi="en-GB"/>
              </w:rPr>
            </w:pPr>
            <w:r>
              <w:rPr>
                <w:rFonts w:eastAsia="Verdana" w:cs="Verdana"/>
                <w:lang w:bidi="en-GB"/>
              </w:rPr>
              <w:t>United Kingdom</w:t>
            </w:r>
          </w:p>
        </w:tc>
        <w:tc>
          <w:tcPr>
            <w:tcW w:w="189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 xml:space="preserve"> 10</w:t>
            </w:r>
          </w:p>
        </w:tc>
        <w:tc>
          <w:tcPr>
            <w:tcW w:w="283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w:t>
            </w: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keepNext/>
              <w:keepLines/>
              <w:rPr>
                <w:rFonts w:eastAsia="Verdana" w:cs="Verdana"/>
                <w:lang w:bidi="en-GB"/>
              </w:rPr>
            </w:pPr>
            <w:r>
              <w:rPr>
                <w:rFonts w:eastAsia="Verdana" w:cs="Verdana"/>
                <w:lang w:bidi="en-GB"/>
              </w:rPr>
              <w:t xml:space="preserve"> 10</w:t>
            </w:r>
          </w:p>
        </w:tc>
      </w:tr>
      <w:tr w:rsidR="005D6812">
        <w:tc>
          <w:tcPr>
            <w:tcW w:w="317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keepNext/>
              <w:keepLines/>
              <w:rPr>
                <w:rFonts w:eastAsia="Verdana" w:cs="Verdana"/>
                <w:lang w:bidi="en-GB"/>
              </w:rPr>
            </w:pPr>
            <w:r>
              <w:rPr>
                <w:rFonts w:eastAsia="Verdana" w:cs="Verdana"/>
                <w:lang w:bidi="en-GB"/>
              </w:rPr>
              <w:t>Total</w:t>
            </w:r>
          </w:p>
        </w:tc>
        <w:tc>
          <w:tcPr>
            <w:tcW w:w="189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keepNext/>
              <w:keepLines/>
              <w:rPr>
                <w:rFonts w:eastAsia="Verdana" w:cs="Verdana"/>
                <w:lang w:bidi="en-GB"/>
              </w:rPr>
            </w:pPr>
            <w:r>
              <w:rPr>
                <w:rFonts w:eastAsia="Verdana" w:cs="Verdana"/>
                <w:lang w:bidi="en-GB"/>
              </w:rPr>
              <w:t>40</w:t>
            </w:r>
          </w:p>
        </w:tc>
        <w:tc>
          <w:tcPr>
            <w:tcW w:w="283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keepNext/>
              <w:keepLines/>
              <w:rPr>
                <w:rFonts w:eastAsia="Verdana" w:cs="Verdana"/>
                <w:lang w:bidi="en-GB"/>
              </w:rPr>
            </w:pPr>
            <w:r>
              <w:rPr>
                <w:rFonts w:eastAsia="Verdana" w:cs="Verdana"/>
                <w:lang w:bidi="en-GB"/>
              </w:rPr>
              <w:t>–</w:t>
            </w:r>
          </w:p>
        </w:tc>
        <w:tc>
          <w:tcPr>
            <w:tcW w:w="184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keepNext/>
              <w:keepLines/>
              <w:rPr>
                <w:rFonts w:eastAsia="Verdana" w:cs="Verdana"/>
                <w:lang w:bidi="en-GB"/>
              </w:rPr>
            </w:pPr>
            <w:r>
              <w:rPr>
                <w:rFonts w:eastAsia="Verdana" w:cs="Verdana"/>
                <w:lang w:bidi="en-GB"/>
              </w:rPr>
              <w:t>40</w:t>
            </w:r>
          </w:p>
        </w:tc>
      </w:tr>
    </w:tbl>
    <w:p w:rsidR="005D6812" w:rsidRDefault="00AB2A2B">
      <w:pPr>
        <w:pStyle w:val="HEADER3Part2"/>
        <w:keepNext/>
        <w:keepLines/>
        <w:rPr>
          <w:noProof/>
        </w:rPr>
      </w:pPr>
      <w:r>
        <w:rPr>
          <w:noProof/>
        </w:rPr>
        <w:t>Receivables from exchange transactions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276"/>
        <w:gridCol w:w="1417"/>
        <w:gridCol w:w="1134"/>
        <w:gridCol w:w="1418"/>
        <w:gridCol w:w="1417"/>
      </w:tblGrid>
      <w:tr w:rsidR="005D6812">
        <w:tc>
          <w:tcPr>
            <w:tcW w:w="1809"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243" w:name="DOC_TBL00021_1_1"/>
            <w:bookmarkEnd w:id="243"/>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bidi="en-GB"/>
              </w:rPr>
            </w:pPr>
            <w:r>
              <w:rPr>
                <w:rFonts w:eastAsia="Verdana" w:cs="Verdana"/>
                <w:lang w:bidi="en-GB"/>
              </w:rPr>
              <w:t>EUR millions</w:t>
            </w:r>
          </w:p>
        </w:tc>
      </w:tr>
      <w:tr w:rsidR="005D6812">
        <w:trPr>
          <w:trHeight w:val="247"/>
        </w:trPr>
        <w:tc>
          <w:tcPr>
            <w:tcW w:w="1809" w:type="dxa"/>
            <w:tcBorders>
              <w:top w:val="nil"/>
              <w:left w:val="nil"/>
              <w:bottom w:val="nil"/>
              <w:right w:val="nil"/>
            </w:tcBorders>
            <w:shd w:val="clear" w:color="auto" w:fill="016794"/>
            <w:tcMar>
              <w:top w:w="0" w:type="dxa"/>
              <w:left w:w="108" w:type="dxa"/>
              <w:bottom w:w="0" w:type="dxa"/>
              <w:right w:w="108" w:type="dxa"/>
            </w:tcMar>
            <w:vAlign w:val="bottom"/>
          </w:tcPr>
          <w:p w:rsidR="005D6812" w:rsidRDefault="005D6812">
            <w:pPr>
              <w:pStyle w:val="Heading9pNormalCentered"/>
              <w:rPr>
                <w:rFonts w:eastAsia="Verdana" w:cs="Verdana"/>
                <w:noProof/>
                <w:lang w:bidi="en-GB"/>
              </w:rPr>
            </w:pP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Eighth EDF</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Right01"/>
              <w:rPr>
                <w:rFonts w:eastAsia="Verdana" w:cs="Verdana"/>
                <w:noProof/>
                <w:lang w:bidi="en-GB"/>
              </w:rPr>
            </w:pPr>
            <w:r>
              <w:rPr>
                <w:rFonts w:eastAsia="Verdana" w:cs="Verdana"/>
                <w:noProof/>
                <w:lang w:bidi="en-GB"/>
              </w:rPr>
              <w:t>Ninth EDF</w:t>
            </w: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BoldRight01"/>
              <w:rPr>
                <w:rFonts w:eastAsia="Verdana" w:cs="Verdana"/>
                <w:b w:val="0"/>
                <w:lang w:bidi="en-GB"/>
              </w:rPr>
            </w:pPr>
            <w:r>
              <w:rPr>
                <w:rFonts w:eastAsia="Verdana" w:cs="Verdana"/>
                <w:b w:val="0"/>
                <w:lang w:bidi="en-GB"/>
              </w:rPr>
              <w:t>10th</w:t>
            </w:r>
            <w:r>
              <w:rPr>
                <w:rFonts w:eastAsia="Verdana" w:cs="Verdana"/>
                <w:b w:val="0"/>
                <w:lang w:bidi="en-GB"/>
              </w:rPr>
              <w:t xml:space="preserve"> EDF</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Right01"/>
              <w:rPr>
                <w:rFonts w:eastAsia="Verdana" w:cs="Verdana"/>
                <w:noProof/>
                <w:lang w:bidi="en-GB"/>
              </w:rPr>
            </w:pPr>
            <w:r>
              <w:rPr>
                <w:rFonts w:eastAsia="Verdana" w:cs="Verdana"/>
                <w:noProof/>
                <w:lang w:bidi="en-GB"/>
              </w:rPr>
              <w:t>11th EDF</w:t>
            </w:r>
          </w:p>
        </w:tc>
        <w:tc>
          <w:tcPr>
            <w:tcW w:w="1418"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Right01"/>
              <w:rPr>
                <w:rFonts w:eastAsia="Verdana" w:cs="Verdana"/>
                <w:noProof/>
                <w:lang w:bidi="en-GB"/>
              </w:rPr>
            </w:pPr>
            <w:r>
              <w:rPr>
                <w:rFonts w:eastAsia="Verdana" w:cs="Verdana"/>
                <w:noProof/>
                <w:lang w:bidi="en-GB"/>
              </w:rPr>
              <w:t>31.12.2016</w:t>
            </w: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BoldRight01"/>
              <w:rPr>
                <w:rFonts w:eastAsia="Verdana" w:cs="Verdana"/>
                <w:b w:val="0"/>
                <w:lang w:bidi="en-GB"/>
              </w:rPr>
            </w:pPr>
            <w:r>
              <w:rPr>
                <w:rFonts w:eastAsia="Verdana" w:cs="Verdana"/>
                <w:b w:val="0"/>
                <w:lang w:bidi="en-GB"/>
              </w:rPr>
              <w:t>31.12.2015</w:t>
            </w:r>
          </w:p>
        </w:tc>
      </w:tr>
      <w:tr w:rsidR="005D6812">
        <w:trPr>
          <w:trHeight w:val="247"/>
        </w:trPr>
        <w:tc>
          <w:tcPr>
            <w:tcW w:w="1809"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Accrued income</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0</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63</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7</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0</w:t>
            </w:r>
          </w:p>
        </w:tc>
        <w:tc>
          <w:tcPr>
            <w:tcW w:w="1418"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70</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67</w:t>
            </w:r>
          </w:p>
        </w:tc>
      </w:tr>
      <w:tr w:rsidR="005D6812">
        <w:trPr>
          <w:trHeight w:val="247"/>
        </w:trPr>
        <w:tc>
          <w:tcPr>
            <w:tcW w:w="1809"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Liaison accounts between EDFs</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196</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424</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3 424</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(4 043)</w:t>
            </w:r>
          </w:p>
        </w:tc>
        <w:tc>
          <w:tcPr>
            <w:tcW w:w="1418"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(0)</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0</w:t>
            </w:r>
          </w:p>
        </w:tc>
      </w:tr>
      <w:tr w:rsidR="005D6812">
        <w:trPr>
          <w:trHeight w:val="247"/>
        </w:trPr>
        <w:tc>
          <w:tcPr>
            <w:tcW w:w="1809"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Text9pBoldLeft"/>
              <w:rPr>
                <w:rFonts w:eastAsia="Verdana" w:cs="Verdana"/>
                <w:lang w:bidi="en-GB"/>
              </w:rPr>
            </w:pPr>
            <w:r>
              <w:rPr>
                <w:rFonts w:eastAsia="Verdana" w:cs="Verdana"/>
                <w:lang w:bidi="en-GB"/>
              </w:rPr>
              <w:t>Total</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196</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487</w:t>
            </w:r>
          </w:p>
        </w:tc>
        <w:tc>
          <w:tcPr>
            <w:tcW w:w="1417"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3 431</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(4 043)</w:t>
            </w:r>
          </w:p>
        </w:tc>
        <w:tc>
          <w:tcPr>
            <w:tcW w:w="1418"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70</w:t>
            </w:r>
          </w:p>
        </w:tc>
        <w:tc>
          <w:tcPr>
            <w:tcW w:w="1417"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67</w:t>
            </w:r>
          </w:p>
        </w:tc>
      </w:tr>
    </w:tbl>
    <w:p w:rsidR="005D6812" w:rsidRDefault="00AB2A2B">
      <w:pPr>
        <w:pStyle w:val="Textstand-alone"/>
      </w:pPr>
      <w:r>
        <w:t xml:space="preserve">Included under accrued income are primarily amounts of accrued interest on </w:t>
      </w:r>
      <w:r>
        <w:t>pre-financing related to projects (EUR 63 million) and related to the EU-Africa Trust Fund (EUR 7 million).</w:t>
      </w:r>
    </w:p>
    <w:p w:rsidR="005D6812" w:rsidRDefault="00AB2A2B">
      <w:pPr>
        <w:pStyle w:val="Textstand-alone"/>
      </w:pPr>
      <w:r>
        <w:t>For efficiency reasons, the single treasury covering all the EDFs is allocated to the 11th EDF</w:t>
      </w:r>
      <w:r>
        <w:rPr>
          <w:rStyle w:val="FootnoteReference"/>
        </w:rPr>
        <w:footnoteReference w:id="9"/>
      </w:r>
      <w:r>
        <w:t xml:space="preserve">; this leads to operations between the various EDFs, </w:t>
      </w:r>
      <w:r>
        <w:t>which are balanced out in the liaison accounts between the various EDF balance sheets. Liaison accounts are presented only in the individual EDFs.</w:t>
      </w:r>
      <w:bookmarkEnd w:id="239"/>
    </w:p>
    <w:p w:rsidR="005D6812" w:rsidRDefault="00AB2A2B">
      <w:pPr>
        <w:pStyle w:val="HEADER2Part2"/>
        <w:rPr>
          <w:noProof/>
        </w:rPr>
      </w:pPr>
      <w:bookmarkStart w:id="244" w:name="_DMBM_9537"/>
      <w:r>
        <w:rPr>
          <w:noProof/>
        </w:rPr>
        <w:t>CASH AND CASH EQUIVALENTS</w:t>
      </w:r>
      <w:r>
        <w:rPr>
          <w:rStyle w:val="FootnoteReference"/>
          <w:noProof/>
        </w:rPr>
        <w:footnoteReference w:id="10"/>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077"/>
        <w:gridCol w:w="1050"/>
        <w:gridCol w:w="1134"/>
        <w:gridCol w:w="992"/>
        <w:gridCol w:w="1417"/>
        <w:gridCol w:w="1418"/>
      </w:tblGrid>
      <w:tr w:rsidR="005D6812">
        <w:trPr>
          <w:cantSplit/>
        </w:trPr>
        <w:tc>
          <w:tcPr>
            <w:tcW w:w="294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245" w:name="DOC_TBL00022_1_1"/>
            <w:bookmarkEnd w:id="245"/>
          </w:p>
        </w:tc>
        <w:tc>
          <w:tcPr>
            <w:tcW w:w="107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050"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7pItalicLeft"/>
              <w:rPr>
                <w:rFonts w:eastAsia="Verdana" w:cs="Verdana"/>
                <w:lang w:bidi="en-GB"/>
              </w:rPr>
            </w:pPr>
            <w:r>
              <w:rPr>
                <w:rFonts w:eastAsia="Verdana" w:cs="Verdana"/>
                <w:lang w:bidi="en-GB"/>
              </w:rPr>
              <w:t>EUR millions</w:t>
            </w:r>
          </w:p>
        </w:tc>
      </w:tr>
      <w:tr w:rsidR="005D6812">
        <w:trPr>
          <w:cantSplit/>
          <w:trHeight w:val="247"/>
        </w:trPr>
        <w:tc>
          <w:tcPr>
            <w:tcW w:w="2943"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9pNormalLeft"/>
              <w:rPr>
                <w:rFonts w:eastAsia="Verdana" w:cs="Verdana"/>
                <w:noProof/>
                <w:lang w:bidi="en-GB"/>
              </w:rPr>
            </w:pPr>
          </w:p>
        </w:tc>
        <w:tc>
          <w:tcPr>
            <w:tcW w:w="1077"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eastAsia="Verdana" w:cs="Verdana"/>
                <w:noProof/>
                <w:lang w:bidi="en-GB"/>
              </w:rPr>
            </w:pPr>
            <w:r>
              <w:rPr>
                <w:rFonts w:eastAsia="Verdana" w:cs="Verdana"/>
                <w:noProof/>
                <w:lang w:bidi="en-GB"/>
              </w:rPr>
              <w:t>Eighth EDF</w:t>
            </w:r>
          </w:p>
        </w:tc>
        <w:tc>
          <w:tcPr>
            <w:tcW w:w="1050"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eastAsia="Verdana" w:cs="Verdana"/>
                <w:noProof/>
                <w:lang w:bidi="en-GB"/>
              </w:rPr>
            </w:pPr>
            <w:r>
              <w:rPr>
                <w:rFonts w:eastAsia="Verdana" w:cs="Verdana"/>
                <w:noProof/>
                <w:lang w:bidi="en-GB"/>
              </w:rPr>
              <w:t>Ninth EDF</w:t>
            </w:r>
          </w:p>
        </w:tc>
        <w:tc>
          <w:tcPr>
            <w:tcW w:w="1134"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eastAsia="Verdana" w:cs="Verdana"/>
                <w:noProof/>
                <w:lang w:bidi="en-GB"/>
              </w:rPr>
            </w:pPr>
            <w:r>
              <w:rPr>
                <w:rFonts w:eastAsia="Verdana" w:cs="Verdana"/>
                <w:noProof/>
                <w:lang w:bidi="en-GB"/>
              </w:rPr>
              <w:t>10th EDF</w:t>
            </w:r>
          </w:p>
        </w:tc>
        <w:tc>
          <w:tcPr>
            <w:tcW w:w="99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eastAsia="Verdana" w:cs="Verdana"/>
                <w:noProof/>
                <w:lang w:bidi="en-GB"/>
              </w:rPr>
            </w:pPr>
            <w:r>
              <w:rPr>
                <w:rFonts w:eastAsia="Verdana" w:cs="Verdana"/>
                <w:noProof/>
                <w:lang w:bidi="en-GB"/>
              </w:rPr>
              <w:t>11th EDF</w:t>
            </w:r>
          </w:p>
        </w:tc>
        <w:tc>
          <w:tcPr>
            <w:tcW w:w="1417"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eastAsia="Verdana" w:cs="Verdana"/>
                <w:noProof/>
                <w:lang w:bidi="en-GB"/>
              </w:rPr>
            </w:pPr>
            <w:r>
              <w:rPr>
                <w:rFonts w:eastAsia="Verdana" w:cs="Verdana"/>
                <w:noProof/>
                <w:lang w:bidi="en-GB"/>
              </w:rPr>
              <w:t>31.12.2016</w:t>
            </w:r>
          </w:p>
        </w:tc>
        <w:tc>
          <w:tcPr>
            <w:tcW w:w="1418"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eastAsia="Verdana" w:cs="Verdana"/>
                <w:noProof/>
                <w:lang w:bidi="en-GB"/>
              </w:rPr>
            </w:pPr>
            <w:r>
              <w:rPr>
                <w:rFonts w:eastAsia="Verdana" w:cs="Verdana"/>
                <w:noProof/>
                <w:lang w:bidi="en-GB"/>
              </w:rPr>
              <w:t>31.12.2015</w:t>
            </w:r>
          </w:p>
        </w:tc>
      </w:tr>
      <w:tr w:rsidR="005D6812">
        <w:trPr>
          <w:cantSplit/>
          <w:trHeight w:val="247"/>
        </w:trPr>
        <w:tc>
          <w:tcPr>
            <w:tcW w:w="29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 xml:space="preserve">Special accounts: </w:t>
            </w:r>
          </w:p>
        </w:tc>
        <w:tc>
          <w:tcPr>
            <w:tcW w:w="107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p>
        </w:tc>
        <w:tc>
          <w:tcPr>
            <w:tcW w:w="1050"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p>
        </w:tc>
      </w:tr>
      <w:tr w:rsidR="005D6812">
        <w:trPr>
          <w:cantSplit/>
          <w:trHeight w:val="247"/>
        </w:trPr>
        <w:tc>
          <w:tcPr>
            <w:tcW w:w="29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Financial institutions of Member States</w:t>
            </w:r>
          </w:p>
        </w:tc>
        <w:tc>
          <w:tcPr>
            <w:tcW w:w="107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05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291</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291</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126</w:t>
            </w:r>
          </w:p>
        </w:tc>
      </w:tr>
      <w:tr w:rsidR="005D6812">
        <w:trPr>
          <w:cantSplit/>
          <w:trHeight w:val="247"/>
        </w:trPr>
        <w:tc>
          <w:tcPr>
            <w:tcW w:w="29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 xml:space="preserve">Current accounts: </w:t>
            </w:r>
          </w:p>
        </w:tc>
        <w:tc>
          <w:tcPr>
            <w:tcW w:w="107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p>
        </w:tc>
        <w:tc>
          <w:tcPr>
            <w:tcW w:w="1050"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p>
        </w:tc>
      </w:tr>
      <w:tr w:rsidR="005D6812">
        <w:trPr>
          <w:cantSplit/>
          <w:trHeight w:val="247"/>
        </w:trPr>
        <w:tc>
          <w:tcPr>
            <w:tcW w:w="29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Commercial banks</w:t>
            </w:r>
          </w:p>
        </w:tc>
        <w:tc>
          <w:tcPr>
            <w:tcW w:w="107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05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389</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389</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377</w:t>
            </w:r>
          </w:p>
        </w:tc>
      </w:tr>
      <w:tr w:rsidR="005D6812">
        <w:trPr>
          <w:cantSplit/>
          <w:trHeight w:val="247"/>
        </w:trPr>
        <w:tc>
          <w:tcPr>
            <w:tcW w:w="29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Democratic Republic Congo Special fund*</w:t>
            </w:r>
          </w:p>
        </w:tc>
        <w:tc>
          <w:tcPr>
            <w:tcW w:w="107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05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w:t>
            </w:r>
          </w:p>
        </w:tc>
      </w:tr>
      <w:tr w:rsidR="005D6812">
        <w:trPr>
          <w:cantSplit/>
          <w:trHeight w:val="247"/>
        </w:trPr>
        <w:tc>
          <w:tcPr>
            <w:tcW w:w="294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Total</w:t>
            </w:r>
          </w:p>
        </w:tc>
        <w:tc>
          <w:tcPr>
            <w:tcW w:w="107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c>
          <w:tcPr>
            <w:tcW w:w="105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c>
          <w:tcPr>
            <w:tcW w:w="99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680</w:t>
            </w:r>
          </w:p>
        </w:tc>
        <w:tc>
          <w:tcPr>
            <w:tcW w:w="141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680</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504</w:t>
            </w:r>
          </w:p>
        </w:tc>
      </w:tr>
    </w:tbl>
    <w:p w:rsidR="005D6812" w:rsidRDefault="00AB2A2B">
      <w:pPr>
        <w:pStyle w:val="Textstand-alone"/>
        <w:spacing w:before="0" w:after="0"/>
      </w:pPr>
      <w:r>
        <w:t>*</w:t>
      </w:r>
      <w:r>
        <w:rPr>
          <w:i/>
        </w:rPr>
        <w:t xml:space="preserve">This balance </w:t>
      </w:r>
      <w:r>
        <w:rPr>
          <w:i/>
        </w:rPr>
        <w:t>represents the amounts available for the Democratic Republic of the Congo in accordance with the provisions of Council Decision 2003/583/EC7.</w:t>
      </w:r>
    </w:p>
    <w:p w:rsidR="005D6812" w:rsidRDefault="005D6812">
      <w:pPr>
        <w:pStyle w:val="Textstand-alone"/>
        <w:spacing w:before="0" w:after="0"/>
      </w:pPr>
    </w:p>
    <w:p w:rsidR="005D6812" w:rsidRDefault="00AB2A2B">
      <w:pPr>
        <w:pStyle w:val="Textstand-alone"/>
        <w:spacing w:before="0" w:after="0"/>
      </w:pPr>
      <w:r>
        <w:t xml:space="preserve">The overall increase in cash and cash equivalents is mainly explained by the advance payment of the first 2017 </w:t>
      </w:r>
      <w:r>
        <w:t>contributions by some Member States in December 2016.</w:t>
      </w:r>
    </w:p>
    <w:p w:rsidR="005D6812" w:rsidRDefault="005D6812">
      <w:pPr>
        <w:pStyle w:val="Textstand-alone"/>
        <w:spacing w:before="0" w:after="0"/>
      </w:pPr>
    </w:p>
    <w:p w:rsidR="005D6812" w:rsidRDefault="00AB2A2B">
      <w:pPr>
        <w:pStyle w:val="Textstand-alone"/>
        <w:spacing w:before="0" w:after="0"/>
      </w:pPr>
      <w:r>
        <w:t>It should be noted that there are STABEX funds held by beneficiary ACP States and thus not included on the EDF balance sheet. STABEX is the acronym for an EU compensatory finance scheme to stabilise ex</w:t>
      </w:r>
      <w:r>
        <w:t>port earnings of the ACP countries. Once the Commission and the beneficiary (ACP) State reach agreement on how the STABEX funds are to be utilised, a transfer convention is signed by both parties. In accordance with the provisions of Article 211 of the Lom</w:t>
      </w:r>
      <w:r>
        <w:t>é IV Agreement</w:t>
      </w:r>
      <w:r>
        <w:rPr>
          <w:rStyle w:val="FootnoteReference"/>
        </w:rPr>
        <w:footnoteReference w:id="11"/>
      </w:r>
      <w:r>
        <w:t xml:space="preserve"> (as revised), the funds are transferred into an interest bearing double signature account (Commission and Beneficiary State) opened in the name of the ACP State. The funds remain in these double signature accounts until a Framework of Mutua</w:t>
      </w:r>
      <w:r>
        <w:t>l Obligations (FMO) justifies a transfer for a project. The Commission's Authorising Officer retains the power of signature over the account in order to ensure that the funds are disbursed as intended. The funds in the double signature accounts are the pro</w:t>
      </w:r>
      <w:r>
        <w:t xml:space="preserve">perty of the ACP State and are consequently not recorded as assets in the EDF accounts. The transfers to these accounts are recorded as STABEX payments. See also note </w:t>
      </w:r>
      <w:r>
        <w:rPr>
          <w:b/>
        </w:rPr>
        <w:t>3.1.1</w:t>
      </w:r>
      <w:r>
        <w:t xml:space="preserve"> for more information.</w:t>
      </w:r>
    </w:p>
    <w:p w:rsidR="005D6812" w:rsidRDefault="005D6812">
      <w:pPr>
        <w:pStyle w:val="Textstand-alone"/>
        <w:spacing w:before="0" w:after="0"/>
      </w:pPr>
    </w:p>
    <w:p w:rsidR="005D6812" w:rsidRDefault="00AB2A2B">
      <w:pPr>
        <w:pStyle w:val="Textstand-alone"/>
        <w:spacing w:before="0" w:after="0"/>
      </w:pPr>
      <w:r>
        <w:t>With the aim of improving the presentation in the 2016 annua</w:t>
      </w:r>
      <w:r>
        <w:t>l accounts, the classification of financial insitutions and banks has been reviewed. The comparative figures for 2015 are disclosed accordingly.</w:t>
      </w:r>
    </w:p>
    <w:p w:rsidR="005D6812" w:rsidRDefault="005D6812">
      <w:pPr>
        <w:pStyle w:val="Textstand-alone"/>
        <w:spacing w:before="0" w:after="0"/>
      </w:pPr>
    </w:p>
    <w:p w:rsidR="005D6812" w:rsidRDefault="00AB2A2B">
      <w:pPr>
        <w:pStyle w:val="HEADERTABLE"/>
        <w:rPr>
          <w:noProof/>
          <w:lang w:val="fr-BE"/>
        </w:rPr>
      </w:pPr>
      <w:bookmarkStart w:id="246" w:name="_DMBM_9464"/>
      <w:bookmarkEnd w:id="244"/>
      <w:r>
        <w:rPr>
          <w:noProof/>
          <w:lang w:val="fr-BE"/>
        </w:rPr>
        <w:t>LIABILITIES</w:t>
      </w:r>
    </w:p>
    <w:p w:rsidR="005D6812" w:rsidRDefault="00AB2A2B">
      <w:pPr>
        <w:pStyle w:val="HEADER2Part2"/>
        <w:rPr>
          <w:noProof/>
        </w:rPr>
      </w:pPr>
      <w:bookmarkStart w:id="247" w:name="_DMBM_9499"/>
      <w:bookmarkEnd w:id="246"/>
      <w:r>
        <w:rPr>
          <w:noProof/>
        </w:rPr>
        <w:t>PROVISIONS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077"/>
        <w:gridCol w:w="1191"/>
        <w:gridCol w:w="993"/>
        <w:gridCol w:w="992"/>
        <w:gridCol w:w="1417"/>
        <w:gridCol w:w="1418"/>
      </w:tblGrid>
      <w:tr w:rsidR="005D6812">
        <w:tc>
          <w:tcPr>
            <w:tcW w:w="2943" w:type="dxa"/>
            <w:tcBorders>
              <w:top w:val="nil"/>
              <w:left w:val="nil"/>
              <w:bottom w:val="nil"/>
              <w:right w:val="nil"/>
            </w:tcBorders>
            <w:tcMar>
              <w:top w:w="0" w:type="dxa"/>
              <w:left w:w="108" w:type="dxa"/>
              <w:bottom w:w="0" w:type="dxa"/>
              <w:right w:w="108" w:type="dxa"/>
            </w:tcMar>
          </w:tcPr>
          <w:p w:rsidR="005D6812" w:rsidRDefault="005D6812">
            <w:pPr>
              <w:pStyle w:val="Text8pItalicLeft"/>
              <w:rPr>
                <w:rFonts w:eastAsia="Times New Roman" w:cs="Verdana"/>
                <w:color w:val="FFFFFF"/>
              </w:rPr>
            </w:pPr>
            <w:bookmarkStart w:id="248" w:name="DOC_TBL00023_1_1"/>
            <w:bookmarkEnd w:id="248"/>
          </w:p>
        </w:tc>
        <w:tc>
          <w:tcPr>
            <w:tcW w:w="1077"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993"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992"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rsidR="005D6812" w:rsidRDefault="00AB2A2B">
            <w:pPr>
              <w:pStyle w:val="Text7pItalicLeft"/>
              <w:rPr>
                <w:rFonts w:eastAsia="Times New Roman" w:cs="Verdana"/>
              </w:rPr>
            </w:pPr>
            <w:r>
              <w:rPr>
                <w:rFonts w:eastAsia="Times New Roman" w:cs="Verdana"/>
              </w:rPr>
              <w:t>EUR millions</w:t>
            </w:r>
          </w:p>
        </w:tc>
      </w:tr>
      <w:tr w:rsidR="005D6812">
        <w:trPr>
          <w:trHeight w:val="247"/>
        </w:trPr>
        <w:tc>
          <w:tcPr>
            <w:tcW w:w="2943"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9pNormalLeft"/>
              <w:rPr>
                <w:rFonts w:cs="Verdana"/>
                <w:noProof/>
              </w:rPr>
            </w:pPr>
          </w:p>
        </w:tc>
        <w:tc>
          <w:tcPr>
            <w:tcW w:w="1077"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Eighth EDF</w:t>
            </w:r>
          </w:p>
        </w:tc>
        <w:tc>
          <w:tcPr>
            <w:tcW w:w="1191"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Ninth EDF</w:t>
            </w:r>
          </w:p>
        </w:tc>
        <w:tc>
          <w:tcPr>
            <w:tcW w:w="993"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10th EDF</w:t>
            </w:r>
          </w:p>
        </w:tc>
        <w:tc>
          <w:tcPr>
            <w:tcW w:w="99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11th EDF</w:t>
            </w: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Right025"/>
              <w:rPr>
                <w:rFonts w:cs="Verdana"/>
                <w:noProof/>
              </w:rPr>
            </w:pPr>
            <w:r>
              <w:rPr>
                <w:rFonts w:cs="Verdana"/>
                <w:noProof/>
              </w:rPr>
              <w:t>31.12.2016</w:t>
            </w:r>
          </w:p>
        </w:tc>
        <w:tc>
          <w:tcPr>
            <w:tcW w:w="1418"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Right025"/>
              <w:rPr>
                <w:rFonts w:cs="Verdana"/>
                <w:noProof/>
              </w:rPr>
            </w:pPr>
            <w:r>
              <w:rPr>
                <w:rFonts w:cs="Verdana"/>
                <w:noProof/>
              </w:rPr>
              <w:t>31.12.2015</w:t>
            </w:r>
          </w:p>
        </w:tc>
      </w:tr>
      <w:tr w:rsidR="005D6812">
        <w:trPr>
          <w:trHeight w:val="247"/>
        </w:trPr>
        <w:tc>
          <w:tcPr>
            <w:tcW w:w="2943"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Provisions</w:t>
            </w:r>
          </w:p>
        </w:tc>
        <w:tc>
          <w:tcPr>
            <w:tcW w:w="107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993"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992"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4</w:t>
            </w:r>
          </w:p>
        </w:tc>
        <w:tc>
          <w:tcPr>
            <w:tcW w:w="141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4</w:t>
            </w: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4</w:t>
            </w:r>
          </w:p>
        </w:tc>
      </w:tr>
      <w:tr w:rsidR="005D6812">
        <w:trPr>
          <w:trHeight w:val="247"/>
        </w:trPr>
        <w:tc>
          <w:tcPr>
            <w:tcW w:w="294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Total</w:t>
            </w:r>
          </w:p>
        </w:tc>
        <w:tc>
          <w:tcPr>
            <w:tcW w:w="107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w:t>
            </w:r>
          </w:p>
        </w:tc>
        <w:tc>
          <w:tcPr>
            <w:tcW w:w="119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w:t>
            </w:r>
          </w:p>
        </w:tc>
        <w:tc>
          <w:tcPr>
            <w:tcW w:w="99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w:t>
            </w:r>
          </w:p>
        </w:tc>
        <w:tc>
          <w:tcPr>
            <w:tcW w:w="99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4</w:t>
            </w:r>
          </w:p>
        </w:tc>
        <w:tc>
          <w:tcPr>
            <w:tcW w:w="141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4</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4</w:t>
            </w:r>
          </w:p>
        </w:tc>
      </w:tr>
    </w:tbl>
    <w:p w:rsidR="005D6812" w:rsidRDefault="00AB2A2B">
      <w:pPr>
        <w:pStyle w:val="Textstand-alone"/>
        <w:spacing w:after="0"/>
      </w:pPr>
      <w:r>
        <w:t xml:space="preserve">The provision is the best possible estimation of the probable amount to be paid by the EDF to finance the orderly closure of the Centre de Development (CDE), decided by the ACP-EU Committee of Ambassadors (Decision No 4/2014 of 23 October 2014). </w:t>
      </w:r>
    </w:p>
    <w:p w:rsidR="005D6812" w:rsidRDefault="00AB2A2B">
      <w:pPr>
        <w:pStyle w:val="Textstand-alone"/>
        <w:spacing w:after="0"/>
        <w:rPr>
          <w:lang w:val="en-US"/>
        </w:rPr>
      </w:pPr>
      <w:r>
        <w:rPr>
          <w:lang w:val="en-US"/>
        </w:rPr>
        <w:t>The amoun</w:t>
      </w:r>
      <w:r>
        <w:rPr>
          <w:lang w:val="en-US"/>
        </w:rPr>
        <w:t xml:space="preserve">t includes court cases (EUR 1.2 million) raised against the CDE and the remaining expected cost of the passive phase (e.g. residual administrative tasks, other residual litigations, archive, etc) that started on 31 December 2016 (see note </w:t>
      </w:r>
      <w:r>
        <w:rPr>
          <w:b/>
          <w:lang w:val="en-US"/>
        </w:rPr>
        <w:t>4.3.2</w:t>
      </w:r>
      <w:r>
        <w:rPr>
          <w:lang w:val="en-US"/>
        </w:rPr>
        <w:t>).</w:t>
      </w:r>
    </w:p>
    <w:bookmarkEnd w:id="247"/>
    <w:p w:rsidR="005D6812" w:rsidRDefault="005D6812">
      <w:pPr>
        <w:pStyle w:val="Textstand-alone"/>
        <w:spacing w:after="0"/>
        <w:sectPr w:rsidR="005D6812">
          <w:headerReference w:type="even" r:id="rId131"/>
          <w:headerReference w:type="default" r:id="rId132"/>
          <w:footerReference w:type="even" r:id="rId133"/>
          <w:footerReference w:type="default" r:id="rId134"/>
          <w:headerReference w:type="first" r:id="rId135"/>
          <w:footerReference w:type="first" r:id="rId136"/>
          <w:pgSz w:w="11906" w:h="16838"/>
          <w:pgMar w:top="1134" w:right="1134" w:bottom="1134" w:left="1134" w:header="708" w:footer="708" w:gutter="0"/>
          <w:cols w:space="708"/>
          <w:docGrid w:linePitch="360"/>
        </w:sectPr>
      </w:pPr>
    </w:p>
    <w:p w:rsidR="005D6812" w:rsidRDefault="00AB2A2B">
      <w:pPr>
        <w:pStyle w:val="HEADER2Part2"/>
        <w:rPr>
          <w:noProof/>
        </w:rPr>
      </w:pPr>
      <w:bookmarkStart w:id="249" w:name="_DMBM_9538"/>
      <w:r>
        <w:rPr>
          <w:noProof/>
        </w:rPr>
        <w:t>FINANCIAL LIABILITIES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134"/>
        <w:gridCol w:w="1276"/>
        <w:gridCol w:w="1134"/>
        <w:gridCol w:w="1276"/>
        <w:gridCol w:w="1275"/>
      </w:tblGrid>
      <w:tr w:rsidR="005D6812">
        <w:tc>
          <w:tcPr>
            <w:tcW w:w="23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250" w:name="DOC_TBL00024_1_1"/>
            <w:bookmarkEnd w:id="250"/>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7pItalicRight025"/>
              <w:rPr>
                <w:rFonts w:eastAsia="Verdana" w:cs="Verdana"/>
                <w:lang w:bidi="en-GB"/>
              </w:rPr>
            </w:pPr>
            <w:r>
              <w:rPr>
                <w:rFonts w:eastAsia="Verdana" w:cs="Verdana"/>
                <w:lang w:bidi="en-GB"/>
              </w:rPr>
              <w:t>EUR millions</w:t>
            </w:r>
          </w:p>
        </w:tc>
      </w:tr>
      <w:tr w:rsidR="005D6812">
        <w:trPr>
          <w:trHeight w:val="247"/>
        </w:trPr>
        <w:tc>
          <w:tcPr>
            <w:tcW w:w="23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5D6812">
            <w:pPr>
              <w:pStyle w:val="Heading9pNormalCentered"/>
              <w:rPr>
                <w:rFonts w:eastAsia="Verdana" w:cs="Verdana"/>
                <w:noProof/>
                <w:lang w:bidi="en-GB"/>
              </w:rPr>
            </w:pP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Eighth EDF</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Ninth EDF</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10th EDF</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11th EDF</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31.12.2016</w:t>
            </w: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31.12.2015</w:t>
            </w:r>
          </w:p>
        </w:tc>
      </w:tr>
      <w:tr w:rsidR="005D6812">
        <w:trPr>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Co-financing - payables</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6</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6</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10</w:t>
            </w:r>
          </w:p>
        </w:tc>
      </w:tr>
      <w:tr w:rsidR="005D6812">
        <w:trPr>
          <w:trHeight w:val="247"/>
        </w:trPr>
        <w:tc>
          <w:tcPr>
            <w:tcW w:w="23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Text9pBoldLeft"/>
              <w:rPr>
                <w:rFonts w:eastAsia="Verdana" w:cs="Verdana"/>
                <w:lang w:bidi="en-GB"/>
              </w:rPr>
            </w:pPr>
            <w:r>
              <w:rPr>
                <w:rFonts w:eastAsia="Verdana" w:cs="Verdana"/>
                <w:lang w:bidi="en-GB"/>
              </w:rPr>
              <w:t>Total</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6</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6</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10</w:t>
            </w:r>
          </w:p>
        </w:tc>
      </w:tr>
    </w:tbl>
    <w:p w:rsidR="005D6812" w:rsidRDefault="00AB2A2B">
      <w:pPr>
        <w:pStyle w:val="Textstand-alone"/>
        <w:spacing w:after="0"/>
      </w:pPr>
      <w:r>
        <w:t xml:space="preserve">The change in the total co-financing liabilities is explained in the note </w:t>
      </w:r>
      <w:r>
        <w:rPr>
          <w:b/>
        </w:rPr>
        <w:t>2.7.2.1.</w:t>
      </w:r>
      <w:bookmarkEnd w:id="249"/>
    </w:p>
    <w:p w:rsidR="005D6812" w:rsidRDefault="005D6812">
      <w:pPr>
        <w:pStyle w:val="Textstand-alone"/>
        <w:spacing w:after="0"/>
      </w:pPr>
    </w:p>
    <w:p w:rsidR="005D6812" w:rsidRDefault="005D6812">
      <w:pPr>
        <w:pStyle w:val="Textstand-alone"/>
        <w:sectPr w:rsidR="005D6812">
          <w:headerReference w:type="even" r:id="rId137"/>
          <w:headerReference w:type="default" r:id="rId138"/>
          <w:footerReference w:type="even" r:id="rId139"/>
          <w:footerReference w:type="default" r:id="rId140"/>
          <w:headerReference w:type="first" r:id="rId141"/>
          <w:footerReference w:type="first" r:id="rId142"/>
          <w:type w:val="continuous"/>
          <w:pgSz w:w="11906" w:h="16838"/>
          <w:pgMar w:top="1134" w:right="1134" w:bottom="1134" w:left="1134" w:header="709" w:footer="709" w:gutter="0"/>
          <w:cols w:space="708"/>
          <w:docGrid w:linePitch="360"/>
        </w:sectPr>
      </w:pPr>
      <w:bookmarkStart w:id="251" w:name="_DMBM_9444"/>
      <w:bookmarkEnd w:id="251"/>
    </w:p>
    <w:p w:rsidR="005D6812" w:rsidRDefault="00AB2A2B">
      <w:pPr>
        <w:pStyle w:val="HEADER2Part2"/>
        <w:rPr>
          <w:noProof/>
        </w:rPr>
      </w:pPr>
      <w:bookmarkStart w:id="252" w:name="_DMBM_9550"/>
      <w:r>
        <w:rPr>
          <w:noProof/>
        </w:rPr>
        <w:t>PAYABLES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992"/>
        <w:gridCol w:w="1134"/>
        <w:gridCol w:w="992"/>
        <w:gridCol w:w="993"/>
        <w:gridCol w:w="850"/>
        <w:gridCol w:w="1418"/>
        <w:gridCol w:w="1417"/>
      </w:tblGrid>
      <w:tr w:rsidR="005D6812">
        <w:trPr>
          <w:trHeight w:val="274"/>
        </w:trPr>
        <w:tc>
          <w:tcPr>
            <w:tcW w:w="209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253" w:name="DOC_TBL00025_1_1"/>
            <w:bookmarkEnd w:id="253"/>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850"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bidi="en-GB"/>
              </w:rPr>
            </w:pPr>
            <w:r>
              <w:rPr>
                <w:rFonts w:eastAsia="Verdana" w:cs="Verdana"/>
                <w:lang w:bidi="en-GB"/>
              </w:rPr>
              <w:t>EUR millions</w:t>
            </w:r>
          </w:p>
        </w:tc>
      </w:tr>
      <w:tr w:rsidR="005D6812">
        <w:tc>
          <w:tcPr>
            <w:tcW w:w="2093"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9pNormalLeft"/>
              <w:rPr>
                <w:rFonts w:eastAsia="Verdana" w:cs="Verdana"/>
                <w:noProof/>
                <w:lang w:bidi="en-GB"/>
              </w:rPr>
            </w:pP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Note</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 xml:space="preserve">Eighth </w:t>
            </w:r>
            <w:r>
              <w:rPr>
                <w:rFonts w:eastAsia="Verdana" w:cs="Verdana"/>
                <w:noProof/>
                <w:lang w:bidi="en-GB"/>
              </w:rPr>
              <w:t>EDF</w:t>
            </w: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Ninth EDF</w:t>
            </w:r>
          </w:p>
        </w:tc>
        <w:tc>
          <w:tcPr>
            <w:tcW w:w="993"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10th EDF</w:t>
            </w:r>
          </w:p>
        </w:tc>
        <w:tc>
          <w:tcPr>
            <w:tcW w:w="850"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11th EDF</w:t>
            </w:r>
          </w:p>
        </w:tc>
        <w:tc>
          <w:tcPr>
            <w:tcW w:w="1418"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31.12.2016</w:t>
            </w: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31.12.2015</w:t>
            </w:r>
          </w:p>
        </w:tc>
      </w:tr>
      <w:tr w:rsidR="005D6812">
        <w:tc>
          <w:tcPr>
            <w:tcW w:w="209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Left"/>
              <w:rPr>
                <w:rFonts w:eastAsia="Verdana" w:cs="Verdana"/>
                <w:lang w:bidi="en-GB"/>
              </w:rPr>
            </w:pPr>
            <w:r>
              <w:rPr>
                <w:rFonts w:eastAsia="Verdana" w:cs="Verdana"/>
                <w:lang w:bidi="en-GB"/>
              </w:rPr>
              <w:t>Current payables</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2.7.1</w:t>
            </w: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0</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12</w:t>
            </w: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112</w:t>
            </w:r>
          </w:p>
        </w:tc>
        <w:tc>
          <w:tcPr>
            <w:tcW w:w="85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97</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222</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180</w:t>
            </w:r>
          </w:p>
        </w:tc>
      </w:tr>
      <w:tr w:rsidR="005D6812">
        <w:tc>
          <w:tcPr>
            <w:tcW w:w="2093"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Text8pItalicLeft"/>
              <w:rPr>
                <w:rFonts w:eastAsia="Verdana" w:cs="Verdana"/>
                <w:lang w:bidi="en-GB"/>
              </w:rPr>
            </w:pPr>
            <w:r>
              <w:rPr>
                <w:rFonts w:eastAsia="Verdana" w:cs="Verdana"/>
                <w:lang w:bidi="en-GB"/>
              </w:rPr>
              <w:t>Sundry payables</w:t>
            </w:r>
          </w:p>
        </w:tc>
        <w:tc>
          <w:tcPr>
            <w:tcW w:w="992"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2.7.2</w:t>
            </w:r>
          </w:p>
        </w:tc>
        <w:tc>
          <w:tcPr>
            <w:tcW w:w="1134"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992"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(0)</w:t>
            </w:r>
          </w:p>
        </w:tc>
        <w:tc>
          <w:tcPr>
            <w:tcW w:w="993"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325</w:t>
            </w:r>
          </w:p>
        </w:tc>
        <w:tc>
          <w:tcPr>
            <w:tcW w:w="850"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2</w:t>
            </w:r>
          </w:p>
        </w:tc>
        <w:tc>
          <w:tcPr>
            <w:tcW w:w="1418"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327</w:t>
            </w:r>
          </w:p>
        </w:tc>
        <w:tc>
          <w:tcPr>
            <w:tcW w:w="1417"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340</w:t>
            </w:r>
          </w:p>
        </w:tc>
      </w:tr>
      <w:tr w:rsidR="005D6812">
        <w:tc>
          <w:tcPr>
            <w:tcW w:w="2093"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Text8pBoldLeft"/>
              <w:rPr>
                <w:rFonts w:eastAsia="Verdana" w:cs="Verdana"/>
                <w:lang w:bidi="en-GB"/>
              </w:rPr>
            </w:pPr>
            <w:r>
              <w:rPr>
                <w:rFonts w:eastAsia="Verdana" w:cs="Verdana"/>
                <w:lang w:bidi="en-GB"/>
              </w:rPr>
              <w:t>Total</w:t>
            </w:r>
          </w:p>
        </w:tc>
        <w:tc>
          <w:tcPr>
            <w:tcW w:w="992"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5D6812">
            <w:pPr>
              <w:pStyle w:val="Figures7pItalicRight025"/>
              <w:rPr>
                <w:rFonts w:eastAsia="Verdana" w:cs="Verdana"/>
                <w:lang w:bidi="en-GB"/>
              </w:rPr>
            </w:pPr>
          </w:p>
        </w:tc>
        <w:tc>
          <w:tcPr>
            <w:tcW w:w="1134"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0</w:t>
            </w:r>
          </w:p>
        </w:tc>
        <w:tc>
          <w:tcPr>
            <w:tcW w:w="992"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12</w:t>
            </w:r>
          </w:p>
        </w:tc>
        <w:tc>
          <w:tcPr>
            <w:tcW w:w="993"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438</w:t>
            </w:r>
          </w:p>
        </w:tc>
        <w:tc>
          <w:tcPr>
            <w:tcW w:w="850"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99</w:t>
            </w:r>
          </w:p>
        </w:tc>
        <w:tc>
          <w:tcPr>
            <w:tcW w:w="1418"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549</w:t>
            </w:r>
          </w:p>
        </w:tc>
        <w:tc>
          <w:tcPr>
            <w:tcW w:w="1417"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520</w:t>
            </w:r>
          </w:p>
        </w:tc>
      </w:tr>
    </w:tbl>
    <w:p w:rsidR="005D6812" w:rsidRDefault="00AB2A2B">
      <w:pPr>
        <w:pStyle w:val="HEADER3Part2"/>
        <w:rPr>
          <w:noProof/>
        </w:rPr>
      </w:pPr>
      <w:r>
        <w:rPr>
          <w:noProof/>
        </w:rPr>
        <w:t xml:space="preserve"> Current payables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993"/>
        <w:gridCol w:w="1134"/>
        <w:gridCol w:w="992"/>
        <w:gridCol w:w="992"/>
        <w:gridCol w:w="1418"/>
        <w:gridCol w:w="1417"/>
      </w:tblGrid>
      <w:tr w:rsidR="005D6812">
        <w:trPr>
          <w:cantSplit/>
        </w:trPr>
        <w:tc>
          <w:tcPr>
            <w:tcW w:w="294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254" w:name="DOC_TBL00026_1_1"/>
            <w:bookmarkEnd w:id="254"/>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7pItalicLeft"/>
              <w:rPr>
                <w:rFonts w:eastAsia="Verdana" w:cs="Verdana"/>
                <w:lang w:bidi="en-GB"/>
              </w:rPr>
            </w:pPr>
            <w:r>
              <w:rPr>
                <w:rFonts w:eastAsia="Verdana" w:cs="Verdana"/>
                <w:lang w:bidi="en-GB"/>
              </w:rPr>
              <w:t>EUR millions</w:t>
            </w:r>
          </w:p>
        </w:tc>
      </w:tr>
      <w:tr w:rsidR="005D6812">
        <w:trPr>
          <w:cantSplit/>
          <w:trHeight w:val="247"/>
        </w:trPr>
        <w:tc>
          <w:tcPr>
            <w:tcW w:w="2943"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9pNormalLeft"/>
              <w:rPr>
                <w:rFonts w:eastAsia="Verdana" w:cs="Verdana"/>
                <w:noProof/>
                <w:lang w:bidi="en-GB"/>
              </w:rPr>
            </w:pPr>
          </w:p>
        </w:tc>
        <w:tc>
          <w:tcPr>
            <w:tcW w:w="993"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eastAsia="Verdana" w:cs="Verdana"/>
                <w:noProof/>
                <w:lang w:bidi="en-GB"/>
              </w:rPr>
            </w:pPr>
            <w:r>
              <w:rPr>
                <w:rFonts w:eastAsia="Verdana" w:cs="Verdana"/>
                <w:noProof/>
                <w:lang w:bidi="en-GB"/>
              </w:rPr>
              <w:t>Eighth EDF</w:t>
            </w:r>
          </w:p>
        </w:tc>
        <w:tc>
          <w:tcPr>
            <w:tcW w:w="1134"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eastAsia="Verdana" w:cs="Verdana"/>
                <w:noProof/>
                <w:lang w:bidi="en-GB"/>
              </w:rPr>
            </w:pPr>
            <w:r>
              <w:rPr>
                <w:rFonts w:eastAsia="Verdana" w:cs="Verdana"/>
                <w:noProof/>
                <w:lang w:bidi="en-GB"/>
              </w:rPr>
              <w:t>Ninth EDF</w:t>
            </w:r>
          </w:p>
        </w:tc>
        <w:tc>
          <w:tcPr>
            <w:tcW w:w="99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eastAsia="Verdana" w:cs="Verdana"/>
                <w:noProof/>
                <w:lang w:bidi="en-GB"/>
              </w:rPr>
            </w:pPr>
            <w:r>
              <w:rPr>
                <w:rFonts w:eastAsia="Verdana" w:cs="Verdana"/>
                <w:noProof/>
                <w:lang w:bidi="en-GB"/>
              </w:rPr>
              <w:t>10th EDF</w:t>
            </w:r>
          </w:p>
        </w:tc>
        <w:tc>
          <w:tcPr>
            <w:tcW w:w="99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eastAsia="Verdana" w:cs="Verdana"/>
                <w:noProof/>
                <w:lang w:bidi="en-GB"/>
              </w:rPr>
            </w:pPr>
            <w:r>
              <w:rPr>
                <w:rFonts w:eastAsia="Verdana" w:cs="Verdana"/>
                <w:noProof/>
                <w:lang w:bidi="en-GB"/>
              </w:rPr>
              <w:t>11th EDF</w:t>
            </w:r>
          </w:p>
        </w:tc>
        <w:tc>
          <w:tcPr>
            <w:tcW w:w="1418"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Right025"/>
              <w:rPr>
                <w:rFonts w:eastAsia="Verdana" w:cs="Verdana"/>
                <w:noProof/>
                <w:lang w:bidi="en-GB"/>
              </w:rPr>
            </w:pPr>
            <w:r>
              <w:rPr>
                <w:rFonts w:eastAsia="Verdana" w:cs="Verdana"/>
                <w:noProof/>
                <w:lang w:bidi="en-GB"/>
              </w:rPr>
              <w:t>31.12.2016</w:t>
            </w: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Right025"/>
              <w:rPr>
                <w:rFonts w:eastAsia="Verdana" w:cs="Verdana"/>
                <w:noProof/>
                <w:lang w:bidi="en-GB"/>
              </w:rPr>
            </w:pPr>
            <w:r>
              <w:rPr>
                <w:rFonts w:eastAsia="Verdana" w:cs="Verdana"/>
                <w:noProof/>
                <w:lang w:bidi="en-GB"/>
              </w:rPr>
              <w:t>31.12.2015</w:t>
            </w:r>
          </w:p>
        </w:tc>
      </w:tr>
      <w:tr w:rsidR="005D6812">
        <w:trPr>
          <w:cantSplit/>
          <w:trHeight w:val="247"/>
        </w:trPr>
        <w:tc>
          <w:tcPr>
            <w:tcW w:w="29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Suppliers</w:t>
            </w: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11</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69</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19</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98</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79</w:t>
            </w:r>
          </w:p>
        </w:tc>
      </w:tr>
      <w:tr w:rsidR="005D6812">
        <w:trPr>
          <w:cantSplit/>
          <w:trHeight w:val="247"/>
        </w:trPr>
        <w:tc>
          <w:tcPr>
            <w:tcW w:w="29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Member States</w:t>
            </w: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0</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0</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0</w:t>
            </w:r>
          </w:p>
        </w:tc>
      </w:tr>
      <w:tr w:rsidR="005D6812">
        <w:trPr>
          <w:cantSplit/>
          <w:trHeight w:val="247"/>
        </w:trPr>
        <w:tc>
          <w:tcPr>
            <w:tcW w:w="29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Third states</w:t>
            </w: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0</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29</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61</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91</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83</w:t>
            </w:r>
          </w:p>
        </w:tc>
      </w:tr>
      <w:tr w:rsidR="005D6812">
        <w:trPr>
          <w:cantSplit/>
          <w:trHeight w:val="247"/>
        </w:trPr>
        <w:tc>
          <w:tcPr>
            <w:tcW w:w="29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Public bodies</w:t>
            </w: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18</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14</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32</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21</w:t>
            </w:r>
          </w:p>
        </w:tc>
      </w:tr>
      <w:tr w:rsidR="005D6812">
        <w:trPr>
          <w:cantSplit/>
          <w:trHeight w:val="247"/>
        </w:trPr>
        <w:tc>
          <w:tcPr>
            <w:tcW w:w="29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Other current payables</w:t>
            </w: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(4)</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4</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w:t>
            </w:r>
          </w:p>
        </w:tc>
      </w:tr>
      <w:tr w:rsidR="005D6812">
        <w:trPr>
          <w:cantSplit/>
          <w:trHeight w:val="247"/>
        </w:trPr>
        <w:tc>
          <w:tcPr>
            <w:tcW w:w="294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Total</w:t>
            </w:r>
          </w:p>
        </w:tc>
        <w:tc>
          <w:tcPr>
            <w:tcW w:w="99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0</w:t>
            </w:r>
          </w:p>
        </w:tc>
        <w:tc>
          <w:tcPr>
            <w:tcW w:w="1134"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12</w:t>
            </w:r>
          </w:p>
        </w:tc>
        <w:tc>
          <w:tcPr>
            <w:tcW w:w="99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112</w:t>
            </w:r>
          </w:p>
        </w:tc>
        <w:tc>
          <w:tcPr>
            <w:tcW w:w="99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97</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222</w:t>
            </w:r>
          </w:p>
        </w:tc>
        <w:tc>
          <w:tcPr>
            <w:tcW w:w="141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180</w:t>
            </w:r>
          </w:p>
        </w:tc>
      </w:tr>
    </w:tbl>
    <w:p w:rsidR="005D6812" w:rsidRDefault="00AB2A2B">
      <w:pPr>
        <w:pStyle w:val="Textstand-alone"/>
      </w:pPr>
      <w:r>
        <w:t>Payables</w:t>
      </w:r>
      <w:r>
        <w:t xml:space="preserve"> include cost statements received by the EDF relating to its grant activity. They are recorded for the amount being claimed from the moment the demand is received. The same procedure applies to invoices and credit notes received under procurement activitie</w:t>
      </w:r>
      <w:r>
        <w:t>s. The cost claims concerned have been taken into account for the year-end cut-off procedures. Following the cut-off entries, estimated eligible amounts have been recognised in the statement of financial performance.</w:t>
      </w:r>
    </w:p>
    <w:p w:rsidR="005D6812" w:rsidRDefault="00AB2A2B">
      <w:pPr>
        <w:pStyle w:val="HEADER3Part2"/>
        <w:rPr>
          <w:noProof/>
        </w:rPr>
      </w:pPr>
      <w:r>
        <w:rPr>
          <w:noProof/>
        </w:rPr>
        <w:t>Sundry payables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851"/>
        <w:gridCol w:w="992"/>
        <w:gridCol w:w="992"/>
        <w:gridCol w:w="709"/>
        <w:gridCol w:w="1418"/>
        <w:gridCol w:w="1417"/>
      </w:tblGrid>
      <w:tr w:rsidR="005D6812">
        <w:trPr>
          <w:trHeight w:val="274"/>
        </w:trPr>
        <w:tc>
          <w:tcPr>
            <w:tcW w:w="23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255" w:name="DOC_TBL00027_1_1"/>
            <w:bookmarkEnd w:id="255"/>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709"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bidi="en-GB"/>
              </w:rPr>
            </w:pPr>
            <w:r>
              <w:rPr>
                <w:rFonts w:eastAsia="Verdana" w:cs="Verdana"/>
                <w:lang w:bidi="en-GB"/>
              </w:rPr>
              <w:t>EUR millions</w:t>
            </w:r>
          </w:p>
        </w:tc>
      </w:tr>
      <w:tr w:rsidR="005D6812">
        <w:tc>
          <w:tcPr>
            <w:tcW w:w="2376"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9pNormalLeft"/>
              <w:rPr>
                <w:rFonts w:eastAsia="Verdana" w:cs="Verdana"/>
                <w:noProof/>
                <w:lang w:bidi="en-GB"/>
              </w:rPr>
            </w:pP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Note</w:t>
            </w:r>
          </w:p>
        </w:tc>
        <w:tc>
          <w:tcPr>
            <w:tcW w:w="851"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Eighth EDF</w:t>
            </w: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Ninth EDF</w:t>
            </w: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10th EDF</w:t>
            </w:r>
          </w:p>
        </w:tc>
        <w:tc>
          <w:tcPr>
            <w:tcW w:w="709"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11th EDF</w:t>
            </w:r>
          </w:p>
        </w:tc>
        <w:tc>
          <w:tcPr>
            <w:tcW w:w="1418"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31.12.2016</w:t>
            </w: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31.12.2015</w:t>
            </w:r>
          </w:p>
        </w:tc>
      </w:tr>
      <w:tr w:rsidR="005D6812">
        <w:tc>
          <w:tcPr>
            <w:tcW w:w="237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Left"/>
              <w:rPr>
                <w:rFonts w:eastAsia="Verdana" w:cs="Verdana"/>
                <w:lang w:bidi="en-GB"/>
              </w:rPr>
            </w:pPr>
            <w:r>
              <w:rPr>
                <w:rFonts w:eastAsia="Verdana" w:cs="Verdana"/>
                <w:lang w:bidi="en-GB"/>
              </w:rPr>
              <w:t>Co-financing payables</w:t>
            </w: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2.7.2.1</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63</w:t>
            </w:r>
          </w:p>
        </w:tc>
        <w:tc>
          <w:tcPr>
            <w:tcW w:w="70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1</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64</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31</w:t>
            </w:r>
          </w:p>
        </w:tc>
      </w:tr>
      <w:tr w:rsidR="005D6812">
        <w:tc>
          <w:tcPr>
            <w:tcW w:w="237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Left"/>
              <w:rPr>
                <w:rFonts w:eastAsia="Verdana" w:cs="Verdana"/>
                <w:lang w:bidi="en-GB"/>
              </w:rPr>
            </w:pPr>
            <w:r>
              <w:rPr>
                <w:rFonts w:eastAsia="Verdana" w:cs="Verdana"/>
                <w:lang w:bidi="en-GB"/>
              </w:rPr>
              <w:t>Deferred fund capital contributions</w:t>
            </w: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2.7.2.2</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261</w:t>
            </w:r>
          </w:p>
        </w:tc>
        <w:tc>
          <w:tcPr>
            <w:tcW w:w="70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261</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307</w:t>
            </w:r>
          </w:p>
        </w:tc>
      </w:tr>
      <w:tr w:rsidR="005D6812">
        <w:tc>
          <w:tcPr>
            <w:tcW w:w="2376"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Text8pItalicLeft"/>
              <w:rPr>
                <w:rFonts w:eastAsia="Verdana" w:cs="Verdana"/>
                <w:lang w:bidi="en-GB"/>
              </w:rPr>
            </w:pPr>
            <w:r>
              <w:rPr>
                <w:rFonts w:eastAsia="Verdana" w:cs="Verdana"/>
                <w:lang w:bidi="en-GB"/>
              </w:rPr>
              <w:t>Other sundry payables</w:t>
            </w:r>
          </w:p>
        </w:tc>
        <w:tc>
          <w:tcPr>
            <w:tcW w:w="1134"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2.7.2.3</w:t>
            </w:r>
          </w:p>
        </w:tc>
        <w:tc>
          <w:tcPr>
            <w:tcW w:w="851"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992"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992"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w:t>
            </w:r>
          </w:p>
        </w:tc>
        <w:tc>
          <w:tcPr>
            <w:tcW w:w="709"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2</w:t>
            </w:r>
          </w:p>
        </w:tc>
        <w:tc>
          <w:tcPr>
            <w:tcW w:w="1418"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2</w:t>
            </w:r>
          </w:p>
        </w:tc>
        <w:tc>
          <w:tcPr>
            <w:tcW w:w="1417"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7pItalicRight025"/>
              <w:rPr>
                <w:rFonts w:eastAsia="Verdana" w:cs="Verdana"/>
                <w:lang w:bidi="en-GB"/>
              </w:rPr>
            </w:pPr>
            <w:r>
              <w:rPr>
                <w:rFonts w:eastAsia="Verdana" w:cs="Verdana"/>
                <w:lang w:bidi="en-GB"/>
              </w:rPr>
              <w:t xml:space="preserve"> 2</w:t>
            </w:r>
          </w:p>
        </w:tc>
      </w:tr>
      <w:tr w:rsidR="005D6812">
        <w:tc>
          <w:tcPr>
            <w:tcW w:w="2376"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Text8pBoldLeft"/>
              <w:rPr>
                <w:rFonts w:eastAsia="Verdana" w:cs="Verdana"/>
                <w:lang w:bidi="en-GB"/>
              </w:rPr>
            </w:pPr>
            <w:r>
              <w:rPr>
                <w:rFonts w:eastAsia="Verdana" w:cs="Verdana"/>
                <w:lang w:bidi="en-GB"/>
              </w:rPr>
              <w:t>Total</w:t>
            </w:r>
          </w:p>
        </w:tc>
        <w:tc>
          <w:tcPr>
            <w:tcW w:w="1134"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5D6812">
            <w:pPr>
              <w:pStyle w:val="Figures7pItalicRight025"/>
              <w:rPr>
                <w:rFonts w:eastAsia="Verdana" w:cs="Verdana"/>
                <w:lang w:bidi="en-GB"/>
              </w:rPr>
            </w:pPr>
          </w:p>
        </w:tc>
        <w:tc>
          <w:tcPr>
            <w:tcW w:w="851"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w:t>
            </w:r>
          </w:p>
        </w:tc>
        <w:tc>
          <w:tcPr>
            <w:tcW w:w="992"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w:t>
            </w:r>
          </w:p>
        </w:tc>
        <w:tc>
          <w:tcPr>
            <w:tcW w:w="992"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324</w:t>
            </w:r>
          </w:p>
        </w:tc>
        <w:tc>
          <w:tcPr>
            <w:tcW w:w="709"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3</w:t>
            </w:r>
          </w:p>
        </w:tc>
        <w:tc>
          <w:tcPr>
            <w:tcW w:w="1418"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327</w:t>
            </w:r>
          </w:p>
        </w:tc>
        <w:tc>
          <w:tcPr>
            <w:tcW w:w="1417"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Figures7pBoldRight025"/>
              <w:rPr>
                <w:rFonts w:eastAsia="Verdana" w:cs="Verdana"/>
                <w:lang w:bidi="en-GB"/>
              </w:rPr>
            </w:pPr>
            <w:r>
              <w:rPr>
                <w:rFonts w:eastAsia="Verdana" w:cs="Verdana"/>
                <w:lang w:bidi="en-GB"/>
              </w:rPr>
              <w:t xml:space="preserve"> 340</w:t>
            </w:r>
          </w:p>
        </w:tc>
      </w:tr>
    </w:tbl>
    <w:p w:rsidR="005D6812" w:rsidRDefault="005D6812">
      <w:pPr>
        <w:pStyle w:val="HEADER4Part2"/>
        <w:numPr>
          <w:ilvl w:val="0"/>
          <w:numId w:val="0"/>
        </w:numPr>
        <w:ind w:left="907" w:hanging="907"/>
        <w:rPr>
          <w:noProof/>
        </w:rPr>
      </w:pPr>
    </w:p>
    <w:p w:rsidR="005D6812" w:rsidRDefault="00AB2A2B">
      <w:pPr>
        <w:pStyle w:val="HEADER4Part2"/>
        <w:rPr>
          <w:noProof/>
        </w:rPr>
      </w:pPr>
      <w:r>
        <w:rPr>
          <w:noProof/>
        </w:rPr>
        <w:t>Co-financing payables</w:t>
      </w:r>
    </w:p>
    <w:p w:rsidR="005D6812" w:rsidRDefault="00AB2A2B">
      <w:pPr>
        <w:pStyle w:val="Textstand-alone"/>
      </w:pPr>
      <w:r>
        <w:t>The breakdown of the non-current and current co-financing payables by Member State is summarized in the table below: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134"/>
        <w:gridCol w:w="1276"/>
        <w:gridCol w:w="1134"/>
        <w:gridCol w:w="1276"/>
        <w:gridCol w:w="1275"/>
      </w:tblGrid>
      <w:tr w:rsidR="005D6812">
        <w:trPr>
          <w:cantSplit/>
        </w:trPr>
        <w:tc>
          <w:tcPr>
            <w:tcW w:w="23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256" w:name="DOC_TBL00028_1_1"/>
            <w:bookmarkEnd w:id="256"/>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7pItalicRight025"/>
              <w:rPr>
                <w:rFonts w:eastAsia="Verdana" w:cs="Verdana"/>
                <w:lang w:bidi="en-GB"/>
              </w:rPr>
            </w:pPr>
            <w:r>
              <w:rPr>
                <w:rFonts w:eastAsia="Verdana" w:cs="Verdana"/>
                <w:lang w:bidi="en-GB"/>
              </w:rPr>
              <w:t>EUR millions</w:t>
            </w:r>
          </w:p>
        </w:tc>
      </w:tr>
      <w:tr w:rsidR="005D6812">
        <w:trPr>
          <w:cantSplit/>
          <w:trHeight w:val="247"/>
        </w:trPr>
        <w:tc>
          <w:tcPr>
            <w:tcW w:w="23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5D6812">
            <w:pPr>
              <w:pStyle w:val="Heading9pNormalCentered"/>
              <w:rPr>
                <w:rFonts w:eastAsia="Verdana" w:cs="Verdana"/>
                <w:noProof/>
                <w:lang w:bidi="en-GB"/>
              </w:rPr>
            </w:pP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Eighth EDF</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Ninth EDF</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10th EDF</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11th EDF</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31.12.2016</w:t>
            </w: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31.12.2015</w:t>
            </w:r>
          </w:p>
        </w:tc>
      </w:tr>
      <w:tr w:rsidR="005D6812">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BoldLeft"/>
              <w:rPr>
                <w:rFonts w:eastAsia="Verdana" w:cs="Verdana"/>
                <w:lang w:bidi="en-GB"/>
              </w:rPr>
            </w:pPr>
            <w:r>
              <w:rPr>
                <w:rFonts w:eastAsia="Verdana" w:cs="Verdana"/>
                <w:lang w:bidi="en-GB"/>
              </w:rPr>
              <w:t>Non-current co-financing</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5D6812">
            <w:pPr>
              <w:pStyle w:val="Figures9pItalicBoldRight025"/>
              <w:rPr>
                <w:rFonts w:eastAsia="Verdana" w:cs="Verdana"/>
                <w:lang w:bidi="en-GB"/>
              </w:rPr>
            </w:pP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5D6812">
            <w:pPr>
              <w:pStyle w:val="Figures9pItalicBoldRight025"/>
              <w:rPr>
                <w:rFonts w:eastAsia="Verdana" w:cs="Verdana"/>
                <w:lang w:bidi="en-GB"/>
              </w:rPr>
            </w:pP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5D6812">
            <w:pPr>
              <w:pStyle w:val="Figures9pItalicBoldRight025"/>
              <w:rPr>
                <w:rFonts w:eastAsia="Verdana" w:cs="Verdana"/>
                <w:lang w:bidi="en-GB"/>
              </w:rPr>
            </w:pP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5D6812">
            <w:pPr>
              <w:pStyle w:val="Figures9pItalicBoldRight025"/>
              <w:rPr>
                <w:rFonts w:eastAsia="Verdana" w:cs="Verdana"/>
                <w:lang w:bidi="en-GB"/>
              </w:rPr>
            </w:pP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5D6812">
            <w:pPr>
              <w:pStyle w:val="Figures9pItalicBoldRight025"/>
              <w:rPr>
                <w:rFonts w:eastAsia="Verdana" w:cs="Verdana"/>
                <w:lang w:bidi="en-GB"/>
              </w:rPr>
            </w:pP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5D6812">
            <w:pPr>
              <w:pStyle w:val="Figures9pItalicBoldRight025"/>
              <w:rPr>
                <w:rFonts w:eastAsia="Verdana" w:cs="Verdana"/>
                <w:lang w:bidi="en-GB"/>
              </w:rPr>
            </w:pPr>
          </w:p>
        </w:tc>
      </w:tr>
      <w:tr w:rsidR="005D6812">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Belgium</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2</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2</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w:t>
            </w:r>
          </w:p>
        </w:tc>
      </w:tr>
      <w:tr w:rsidR="005D6812">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Germany</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0</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w:t>
            </w:r>
          </w:p>
        </w:tc>
      </w:tr>
      <w:tr w:rsidR="005D6812">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United Kingdom</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3</w:t>
            </w:r>
          </w:p>
        </w:tc>
      </w:tr>
      <w:tr w:rsidR="005D6812">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Sweden</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2</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2</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4</w:t>
            </w:r>
          </w:p>
        </w:tc>
      </w:tr>
      <w:tr w:rsidR="005D6812">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Canada</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0</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w:t>
            </w:r>
          </w:p>
        </w:tc>
      </w:tr>
      <w:tr w:rsidR="005D6812">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5D6812">
            <w:pPr>
              <w:pStyle w:val="Text9pItalicBoldLeft"/>
              <w:rPr>
                <w:rFonts w:eastAsia="Verdana" w:cs="Verdana"/>
                <w:lang w:bidi="en-GB"/>
              </w:rPr>
            </w:pP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Bold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Bold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BoldRight025"/>
              <w:rPr>
                <w:rFonts w:eastAsia="Verdana" w:cs="Verdana"/>
                <w:lang w:bidi="en-GB"/>
              </w:rPr>
            </w:pPr>
            <w:r>
              <w:rPr>
                <w:rFonts w:eastAsia="Verdana" w:cs="Verdana"/>
                <w:lang w:bidi="en-GB"/>
              </w:rPr>
              <w:t xml:space="preserve"> 6</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Bold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BoldRight025"/>
              <w:rPr>
                <w:rFonts w:eastAsia="Verdana" w:cs="Verdana"/>
                <w:lang w:bidi="en-GB"/>
              </w:rPr>
            </w:pPr>
            <w:r>
              <w:rPr>
                <w:rFonts w:eastAsia="Verdana" w:cs="Verdana"/>
                <w:lang w:bidi="en-GB"/>
              </w:rPr>
              <w:t xml:space="preserve"> 6</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BoldRight025"/>
              <w:rPr>
                <w:rFonts w:eastAsia="Verdana" w:cs="Verdana"/>
                <w:lang w:bidi="en-GB"/>
              </w:rPr>
            </w:pPr>
            <w:r>
              <w:rPr>
                <w:rFonts w:eastAsia="Verdana" w:cs="Verdana"/>
                <w:lang w:bidi="en-GB"/>
              </w:rPr>
              <w:t xml:space="preserve"> 10</w:t>
            </w:r>
          </w:p>
        </w:tc>
      </w:tr>
      <w:tr w:rsidR="005D6812">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BoldLeft"/>
              <w:rPr>
                <w:rFonts w:eastAsia="Verdana" w:cs="Verdana"/>
                <w:lang w:bidi="en-GB"/>
              </w:rPr>
            </w:pPr>
            <w:r>
              <w:rPr>
                <w:rFonts w:eastAsia="Verdana" w:cs="Verdana"/>
                <w:lang w:bidi="en-GB"/>
              </w:rPr>
              <w:t>Current co-financing</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5D6812">
            <w:pPr>
              <w:pStyle w:val="Figures9pItalicBoldRight025"/>
              <w:rPr>
                <w:rFonts w:eastAsia="Verdana" w:cs="Verdana"/>
                <w:lang w:bidi="en-GB"/>
              </w:rPr>
            </w:pP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5D6812">
            <w:pPr>
              <w:pStyle w:val="Figures9pItalicBoldRight025"/>
              <w:rPr>
                <w:rFonts w:eastAsia="Verdana" w:cs="Verdana"/>
                <w:lang w:bidi="en-GB"/>
              </w:rPr>
            </w:pP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5D6812">
            <w:pPr>
              <w:pStyle w:val="Figures9pItalicBoldRight025"/>
              <w:rPr>
                <w:rFonts w:eastAsia="Verdana" w:cs="Verdana"/>
                <w:lang w:bidi="en-GB"/>
              </w:rPr>
            </w:pP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5D6812">
            <w:pPr>
              <w:pStyle w:val="Figures9pItalicBoldRight025"/>
              <w:rPr>
                <w:rFonts w:eastAsia="Verdana" w:cs="Verdana"/>
                <w:lang w:bidi="en-GB"/>
              </w:rPr>
            </w:pP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5D6812">
            <w:pPr>
              <w:pStyle w:val="Figures9pItalicBoldRight025"/>
              <w:rPr>
                <w:rFonts w:eastAsia="Verdana" w:cs="Verdana"/>
                <w:lang w:bidi="en-GB"/>
              </w:rPr>
            </w:pP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5D6812">
            <w:pPr>
              <w:pStyle w:val="Figures9pItalicBoldRight025"/>
              <w:rPr>
                <w:rFonts w:eastAsia="Verdana" w:cs="Verdana"/>
                <w:lang w:bidi="en-GB"/>
              </w:rPr>
            </w:pPr>
          </w:p>
        </w:tc>
      </w:tr>
      <w:tr w:rsidR="005D6812">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Belgium</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3</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4</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3</w:t>
            </w:r>
          </w:p>
        </w:tc>
      </w:tr>
      <w:tr w:rsidR="005D6812">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Denmark</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0</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w:t>
            </w:r>
          </w:p>
        </w:tc>
      </w:tr>
      <w:tr w:rsidR="005D6812">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France</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37</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37</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10</w:t>
            </w:r>
          </w:p>
        </w:tc>
      </w:tr>
      <w:tr w:rsidR="005D6812">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Germany</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w:t>
            </w:r>
          </w:p>
        </w:tc>
      </w:tr>
      <w:tr w:rsidR="005D6812">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Netherlands</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w:t>
            </w:r>
          </w:p>
        </w:tc>
      </w:tr>
      <w:tr w:rsidR="005D6812">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Spain</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3</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3</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3</w:t>
            </w:r>
          </w:p>
        </w:tc>
      </w:tr>
      <w:tr w:rsidR="005D6812">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United Kingdom</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11</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11</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w:t>
            </w:r>
          </w:p>
        </w:tc>
      </w:tr>
      <w:tr w:rsidR="005D6812">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Sweden</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7</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7</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12</w:t>
            </w:r>
          </w:p>
        </w:tc>
      </w:tr>
      <w:tr w:rsidR="005D6812">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Canada</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0</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w:t>
            </w:r>
          </w:p>
        </w:tc>
      </w:tr>
      <w:tr w:rsidR="005D6812">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5D6812">
            <w:pPr>
              <w:pStyle w:val="Text9pItalicBoldLeft"/>
              <w:rPr>
                <w:rFonts w:eastAsia="Verdana" w:cs="Verdana"/>
                <w:lang w:bidi="en-GB"/>
              </w:rPr>
            </w:pP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Bold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Bold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BoldRight025"/>
              <w:rPr>
                <w:rFonts w:eastAsia="Verdana" w:cs="Verdana"/>
                <w:lang w:bidi="en-GB"/>
              </w:rPr>
            </w:pPr>
            <w:r>
              <w:rPr>
                <w:rFonts w:eastAsia="Verdana" w:cs="Verdana"/>
                <w:lang w:bidi="en-GB"/>
              </w:rPr>
              <w:t xml:space="preserve"> 63</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BoldRight025"/>
              <w:rPr>
                <w:rFonts w:eastAsia="Verdana" w:cs="Verdana"/>
                <w:lang w:bidi="en-GB"/>
              </w:rPr>
            </w:pPr>
            <w:r>
              <w:rPr>
                <w:rFonts w:eastAsia="Verdana" w:cs="Verdana"/>
                <w:lang w:bidi="en-GB"/>
              </w:rPr>
              <w:t xml:space="preserve"> 1</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BoldRight025"/>
              <w:rPr>
                <w:rFonts w:eastAsia="Verdana" w:cs="Verdana"/>
                <w:lang w:bidi="en-GB"/>
              </w:rPr>
            </w:pPr>
            <w:r>
              <w:rPr>
                <w:rFonts w:eastAsia="Verdana" w:cs="Verdana"/>
                <w:lang w:bidi="en-GB"/>
              </w:rPr>
              <w:t xml:space="preserve"> 64</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BoldRight025"/>
              <w:rPr>
                <w:rFonts w:eastAsia="Verdana" w:cs="Verdana"/>
                <w:lang w:bidi="en-GB"/>
              </w:rPr>
            </w:pPr>
            <w:r>
              <w:rPr>
                <w:rFonts w:eastAsia="Verdana" w:cs="Verdana"/>
                <w:lang w:bidi="en-GB"/>
              </w:rPr>
              <w:t xml:space="preserve"> 31</w:t>
            </w:r>
          </w:p>
        </w:tc>
      </w:tr>
      <w:tr w:rsidR="005D6812">
        <w:trPr>
          <w:cantSplit/>
          <w:trHeight w:val="247"/>
        </w:trPr>
        <w:tc>
          <w:tcPr>
            <w:tcW w:w="23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Text9pBoldLeft"/>
              <w:rPr>
                <w:rFonts w:eastAsia="Verdana" w:cs="Verdana"/>
                <w:lang w:bidi="en-GB"/>
              </w:rPr>
            </w:pPr>
            <w:r>
              <w:rPr>
                <w:rFonts w:eastAsia="Verdana" w:cs="Verdana"/>
                <w:lang w:bidi="en-GB"/>
              </w:rPr>
              <w:t>Total</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69</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1</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70</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41</w:t>
            </w:r>
          </w:p>
        </w:tc>
      </w:tr>
    </w:tbl>
    <w:p w:rsidR="005D6812" w:rsidRDefault="00AB2A2B">
      <w:pPr>
        <w:pStyle w:val="Textstand-alone"/>
      </w:pPr>
      <w:r>
        <w:t xml:space="preserve">The total non-current and current co-financing payables increased by EUR 29 million compared to the previous reporting period. </w:t>
      </w:r>
    </w:p>
    <w:p w:rsidR="005D6812" w:rsidRDefault="00AB2A2B">
      <w:pPr>
        <w:pStyle w:val="Textstand-alone"/>
      </w:pPr>
      <w:r>
        <w:t>During 2016, new co-financing contributions were received from United Kingdom (EUR 9.4 million), Belgium (EUR 3.3 million) and S</w:t>
      </w:r>
      <w:r>
        <w:t xml:space="preserve">weden (EUR 0.9 million).  </w:t>
      </w:r>
    </w:p>
    <w:p w:rsidR="005D6812" w:rsidRDefault="00AB2A2B">
      <w:pPr>
        <w:pStyle w:val="Textstand-alone"/>
      </w:pPr>
      <w:r>
        <w:t>The total non-current and current co-financing payables increased by EUR 15 million in order to recognise revenue and expenses related to co</w:t>
      </w:r>
      <w:r>
        <w:noBreakHyphen/>
        <w:t xml:space="preserve">financed projects (see notes </w:t>
      </w:r>
      <w:r>
        <w:rPr>
          <w:b/>
        </w:rPr>
        <w:t>3.1.2</w:t>
      </w:r>
      <w:r>
        <w:t xml:space="preserve"> and </w:t>
      </w:r>
      <w:r>
        <w:rPr>
          <w:b/>
        </w:rPr>
        <w:t>3.4</w:t>
      </w:r>
      <w:r>
        <w:t xml:space="preserve">). </w:t>
      </w:r>
    </w:p>
    <w:p w:rsidR="005D6812" w:rsidRDefault="00AB2A2B">
      <w:pPr>
        <w:pStyle w:val="HEADER4Part2"/>
        <w:rPr>
          <w:noProof/>
        </w:rPr>
      </w:pPr>
      <w:r>
        <w:rPr>
          <w:noProof/>
        </w:rPr>
        <w:t>Deferred fund capital contributions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276"/>
        <w:gridCol w:w="1276"/>
        <w:gridCol w:w="1134"/>
        <w:gridCol w:w="1276"/>
        <w:gridCol w:w="1275"/>
      </w:tblGrid>
      <w:tr w:rsidR="005D6812">
        <w:tc>
          <w:tcPr>
            <w:tcW w:w="223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257" w:name="DOC_TBL00029_1_1"/>
            <w:bookmarkEnd w:id="257"/>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7pItalicRight025"/>
              <w:rPr>
                <w:rFonts w:eastAsia="Verdana" w:cs="Verdana"/>
                <w:lang w:bidi="en-GB"/>
              </w:rPr>
            </w:pPr>
            <w:r>
              <w:rPr>
                <w:rFonts w:eastAsia="Verdana" w:cs="Verdana"/>
                <w:lang w:bidi="en-GB"/>
              </w:rPr>
              <w:t>EUR millions</w:t>
            </w:r>
          </w:p>
        </w:tc>
      </w:tr>
      <w:tr w:rsidR="005D6812">
        <w:trPr>
          <w:trHeight w:val="247"/>
        </w:trPr>
        <w:tc>
          <w:tcPr>
            <w:tcW w:w="2235"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5D6812">
            <w:pPr>
              <w:pStyle w:val="Heading9pNormalCentered"/>
              <w:rPr>
                <w:rFonts w:eastAsia="Verdana" w:cs="Verdana"/>
                <w:noProof/>
                <w:lang w:bidi="en-GB"/>
              </w:rPr>
            </w:pP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Eighth EDF</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Ninth EDF</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10th EDF</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11th EDF</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31.12.2016</w:t>
            </w: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31.12.2015</w:t>
            </w:r>
          </w:p>
        </w:tc>
      </w:tr>
      <w:tr w:rsidR="005D6812">
        <w:trPr>
          <w:trHeight w:val="247"/>
        </w:trPr>
        <w:tc>
          <w:tcPr>
            <w:tcW w:w="223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United Kingdom</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252</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252</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259</w:t>
            </w:r>
          </w:p>
        </w:tc>
      </w:tr>
      <w:tr w:rsidR="005D6812">
        <w:trPr>
          <w:trHeight w:val="247"/>
        </w:trPr>
        <w:tc>
          <w:tcPr>
            <w:tcW w:w="223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Sweden</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48</w:t>
            </w:r>
          </w:p>
        </w:tc>
      </w:tr>
      <w:tr w:rsidR="005D6812">
        <w:trPr>
          <w:trHeight w:val="247"/>
        </w:trPr>
        <w:tc>
          <w:tcPr>
            <w:tcW w:w="223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Hungary</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9</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9</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r>
      <w:tr w:rsidR="005D6812">
        <w:trPr>
          <w:trHeight w:val="247"/>
        </w:trPr>
        <w:tc>
          <w:tcPr>
            <w:tcW w:w="2235"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Text9pBoldLeft"/>
              <w:rPr>
                <w:rFonts w:eastAsia="Verdana" w:cs="Verdana"/>
                <w:lang w:bidi="en-GB"/>
              </w:rPr>
            </w:pPr>
            <w:r>
              <w:rPr>
                <w:rFonts w:eastAsia="Verdana" w:cs="Verdana"/>
                <w:lang w:bidi="en-GB"/>
              </w:rPr>
              <w:t>Total</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261</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261</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307</w:t>
            </w:r>
          </w:p>
        </w:tc>
      </w:tr>
    </w:tbl>
    <w:p w:rsidR="005D6812" w:rsidRDefault="00AB2A2B">
      <w:pPr>
        <w:pStyle w:val="Textstand-alone"/>
      </w:pPr>
      <w:r>
        <w:t xml:space="preserve">The heading deferred fund capital contributions relates to Member </w:t>
      </w:r>
      <w:r>
        <w:t>States' contributions paid in advance.</w:t>
      </w:r>
    </w:p>
    <w:p w:rsidR="005D6812" w:rsidRDefault="00AB2A2B">
      <w:pPr>
        <w:pStyle w:val="HEADER4Part2"/>
        <w:rPr>
          <w:noProof/>
        </w:rPr>
      </w:pPr>
      <w:r>
        <w:rPr>
          <w:noProof/>
        </w:rPr>
        <w:t>Other sundry payables</w:t>
      </w:r>
    </w:p>
    <w:p w:rsidR="005D6812" w:rsidRDefault="00AB2A2B">
      <w:pPr>
        <w:pStyle w:val="Textstand-alone"/>
      </w:pPr>
      <w:r>
        <w:t>Included under this heading are mainly unallocated cash receipts and returned payments.</w:t>
      </w:r>
      <w:bookmarkEnd w:id="252"/>
    </w:p>
    <w:p w:rsidR="005D6812" w:rsidRDefault="005D6812">
      <w:pPr>
        <w:pStyle w:val="Textstand-alone"/>
      </w:pPr>
    </w:p>
    <w:p w:rsidR="005D6812" w:rsidRDefault="00AB2A2B">
      <w:pPr>
        <w:rPr>
          <w:rFonts w:ascii="Verdana" w:hAnsi="Verdana"/>
          <w:noProof/>
          <w:sz w:val="18"/>
          <w:szCs w:val="18"/>
          <w:lang w:eastAsia="en-US"/>
        </w:rPr>
      </w:pPr>
      <w:r>
        <w:rPr>
          <w:noProof/>
        </w:rPr>
        <w:br w:type="page"/>
      </w:r>
    </w:p>
    <w:p w:rsidR="005D6812" w:rsidRDefault="005D6812">
      <w:pPr>
        <w:pStyle w:val="Textstand-alone"/>
        <w:sectPr w:rsidR="005D6812">
          <w:headerReference w:type="even" r:id="rId143"/>
          <w:headerReference w:type="default" r:id="rId144"/>
          <w:footerReference w:type="even" r:id="rId145"/>
          <w:footerReference w:type="default" r:id="rId146"/>
          <w:headerReference w:type="first" r:id="rId147"/>
          <w:footerReference w:type="first" r:id="rId148"/>
          <w:type w:val="continuous"/>
          <w:pgSz w:w="11906" w:h="16838"/>
          <w:pgMar w:top="1134" w:right="1134" w:bottom="1134" w:left="1134" w:header="709" w:footer="709" w:gutter="0"/>
          <w:cols w:space="708"/>
          <w:docGrid w:linePitch="360"/>
        </w:sectPr>
      </w:pPr>
    </w:p>
    <w:p w:rsidR="005D6812" w:rsidRDefault="00AB2A2B">
      <w:pPr>
        <w:pStyle w:val="HEADER2Part2"/>
        <w:rPr>
          <w:noProof/>
        </w:rPr>
      </w:pPr>
      <w:bookmarkStart w:id="258" w:name="_DMBM_9564"/>
      <w:r>
        <w:rPr>
          <w:noProof/>
        </w:rPr>
        <w:t>ACCRUED CHARGES AND DEFERRED INCOME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276"/>
        <w:gridCol w:w="1276"/>
        <w:gridCol w:w="1134"/>
        <w:gridCol w:w="1276"/>
        <w:gridCol w:w="1275"/>
      </w:tblGrid>
      <w:tr w:rsidR="005D6812">
        <w:tc>
          <w:tcPr>
            <w:tcW w:w="23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259" w:name="DOC_TBL00030_1_1"/>
            <w:bookmarkEnd w:id="259"/>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7pItalicRight025"/>
              <w:rPr>
                <w:rFonts w:eastAsia="Verdana" w:cs="Verdana"/>
                <w:lang w:bidi="en-GB"/>
              </w:rPr>
            </w:pPr>
            <w:r>
              <w:rPr>
                <w:rFonts w:eastAsia="Verdana" w:cs="Verdana"/>
                <w:lang w:bidi="en-GB"/>
              </w:rPr>
              <w:t>EUR millions</w:t>
            </w:r>
          </w:p>
        </w:tc>
      </w:tr>
      <w:tr w:rsidR="005D6812">
        <w:trPr>
          <w:trHeight w:val="247"/>
        </w:trPr>
        <w:tc>
          <w:tcPr>
            <w:tcW w:w="23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5D6812">
            <w:pPr>
              <w:pStyle w:val="Heading9pNormalCentered"/>
              <w:rPr>
                <w:rFonts w:eastAsia="Verdana" w:cs="Verdana"/>
                <w:noProof/>
                <w:lang w:bidi="en-GB"/>
              </w:rPr>
            </w:pP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Eighth EDF</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Ninth EDF</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10th EDF</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11th EDF</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31.12.2016</w:t>
            </w: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31.12.2015</w:t>
            </w:r>
          </w:p>
        </w:tc>
      </w:tr>
      <w:tr w:rsidR="005D6812">
        <w:trPr>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Accrued charges</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93</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567</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110</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770</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853</w:t>
            </w:r>
          </w:p>
        </w:tc>
      </w:tr>
      <w:tr w:rsidR="005D6812">
        <w:trPr>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Other accruals and deferrals</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(0)</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6</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6</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2</w:t>
            </w:r>
          </w:p>
        </w:tc>
      </w:tr>
      <w:tr w:rsidR="005D6812">
        <w:trPr>
          <w:trHeight w:val="247"/>
        </w:trPr>
        <w:tc>
          <w:tcPr>
            <w:tcW w:w="23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Text9pBoldLeft"/>
              <w:rPr>
                <w:rFonts w:eastAsia="Verdana" w:cs="Verdana"/>
                <w:lang w:bidi="en-GB"/>
              </w:rPr>
            </w:pPr>
            <w:r>
              <w:rPr>
                <w:rFonts w:eastAsia="Verdana" w:cs="Verdana"/>
                <w:lang w:bidi="en-GB"/>
              </w:rPr>
              <w:t>Total</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1</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93</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567</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115</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776</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855</w:t>
            </w:r>
          </w:p>
        </w:tc>
      </w:tr>
    </w:tbl>
    <w:p w:rsidR="005D6812" w:rsidRDefault="00AB2A2B">
      <w:pPr>
        <w:pStyle w:val="Textstand-alone"/>
      </w:pPr>
      <w:r>
        <w:t>Accrued charges comprise estimated operating expenses for on-going or ended contracts without validated cost claims where the 2016 eligible expenses incurred by beneficiaries of EDF were estimated using the best available information about</w:t>
      </w:r>
      <w:r>
        <w:t xml:space="preserve"> the existing contracts. The portion of the estimated accrued charges which relates to pre-financing paid has been recorded as a reduction of the pre-financing amounts (see note </w:t>
      </w:r>
      <w:r>
        <w:rPr>
          <w:b/>
        </w:rPr>
        <w:t>2.1</w:t>
      </w:r>
      <w:r>
        <w:t>).</w:t>
      </w:r>
      <w:bookmarkEnd w:id="258"/>
    </w:p>
    <w:p w:rsidR="005D6812" w:rsidRDefault="00AB2A2B">
      <w:pPr>
        <w:pStyle w:val="HEADERTABLE"/>
        <w:spacing w:after="0"/>
        <w:rPr>
          <w:noProof/>
          <w:lang w:val="fr-BE"/>
        </w:rPr>
      </w:pPr>
      <w:bookmarkStart w:id="260" w:name="_DMBM_9523"/>
      <w:r>
        <w:rPr>
          <w:noProof/>
          <w:lang w:val="fr-BE"/>
        </w:rPr>
        <w:t>NET ASSETS</w:t>
      </w:r>
    </w:p>
    <w:p w:rsidR="005D6812" w:rsidRDefault="00AB2A2B">
      <w:pPr>
        <w:pStyle w:val="Textstand-alone"/>
        <w:spacing w:before="0"/>
        <w:rPr>
          <w:lang w:val="fr-BE"/>
        </w:rPr>
        <w:sectPr w:rsidR="005D6812">
          <w:headerReference w:type="even" r:id="rId149"/>
          <w:headerReference w:type="default" r:id="rId150"/>
          <w:footerReference w:type="even" r:id="rId151"/>
          <w:footerReference w:type="default" r:id="rId152"/>
          <w:headerReference w:type="first" r:id="rId153"/>
          <w:footerReference w:type="first" r:id="rId154"/>
          <w:pgSz w:w="11906" w:h="16838"/>
          <w:pgMar w:top="1134" w:right="1134" w:bottom="1134" w:left="1134" w:header="709" w:footer="709" w:gutter="0"/>
          <w:cols w:space="708"/>
          <w:docGrid w:linePitch="360"/>
        </w:sectPr>
      </w:pPr>
      <w:r>
        <w:rPr>
          <w:lang w:val="fr-BE"/>
        </w:rPr>
        <w:t xml:space="preserve"> </w:t>
      </w:r>
      <w:bookmarkEnd w:id="260"/>
    </w:p>
    <w:p w:rsidR="005D6812" w:rsidRDefault="00AB2A2B">
      <w:pPr>
        <w:pStyle w:val="HEADER2Part2"/>
        <w:spacing w:after="0"/>
        <w:rPr>
          <w:noProof/>
        </w:rPr>
      </w:pPr>
      <w:bookmarkStart w:id="261" w:name="_DMBM_9501"/>
      <w:r>
        <w:rPr>
          <w:noProof/>
        </w:rPr>
        <w:t>FUND CAPITAL</w:t>
      </w:r>
    </w:p>
    <w:p w:rsidR="005D6812" w:rsidRDefault="00AB2A2B">
      <w:pPr>
        <w:pStyle w:val="HEADER3Part2"/>
        <w:keepNext/>
        <w:keepLines/>
        <w:rPr>
          <w:noProof/>
        </w:rPr>
      </w:pPr>
      <w:r>
        <w:rPr>
          <w:noProof/>
        </w:rPr>
        <w:t>Called fund capital – active EDFs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1270"/>
        <w:gridCol w:w="1306"/>
        <w:gridCol w:w="1273"/>
        <w:gridCol w:w="1271"/>
        <w:gridCol w:w="1417"/>
      </w:tblGrid>
      <w:tr w:rsidR="005D6812">
        <w:trPr>
          <w:cantSplit/>
        </w:trPr>
        <w:tc>
          <w:tcPr>
            <w:tcW w:w="3210"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262" w:name="DOC_TBL00031_1_1"/>
            <w:bookmarkEnd w:id="262"/>
          </w:p>
        </w:tc>
        <w:tc>
          <w:tcPr>
            <w:tcW w:w="1270"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30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bidi="en-GB"/>
              </w:rPr>
            </w:pPr>
            <w:r>
              <w:rPr>
                <w:rFonts w:eastAsia="Verdana" w:cs="Verdana"/>
                <w:lang w:bidi="en-GB"/>
              </w:rPr>
              <w:t>EUR millions</w:t>
            </w:r>
          </w:p>
        </w:tc>
      </w:tr>
      <w:tr w:rsidR="005D6812">
        <w:trPr>
          <w:cantSplit/>
        </w:trPr>
        <w:tc>
          <w:tcPr>
            <w:tcW w:w="3210"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Verdana" w:cs="Verdana"/>
                <w:lang w:bidi="en-GB"/>
              </w:rPr>
            </w:pPr>
          </w:p>
        </w:tc>
        <w:tc>
          <w:tcPr>
            <w:tcW w:w="1270"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Eighth EDF</w:t>
            </w:r>
          </w:p>
        </w:tc>
        <w:tc>
          <w:tcPr>
            <w:tcW w:w="1306"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Ninth EDF</w:t>
            </w:r>
          </w:p>
        </w:tc>
        <w:tc>
          <w:tcPr>
            <w:tcW w:w="1273"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10th EDF</w:t>
            </w:r>
          </w:p>
        </w:tc>
        <w:tc>
          <w:tcPr>
            <w:tcW w:w="1271"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11th EDF</w:t>
            </w:r>
          </w:p>
        </w:tc>
        <w:tc>
          <w:tcPr>
            <w:tcW w:w="1417"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Total</w:t>
            </w:r>
          </w:p>
        </w:tc>
      </w:tr>
      <w:tr w:rsidR="005D6812">
        <w:trPr>
          <w:cantSplit/>
        </w:trPr>
        <w:tc>
          <w:tcPr>
            <w:tcW w:w="321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Fund capital</w:t>
            </w:r>
          </w:p>
        </w:tc>
        <w:tc>
          <w:tcPr>
            <w:tcW w:w="127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12 164</w:t>
            </w:r>
          </w:p>
        </w:tc>
        <w:tc>
          <w:tcPr>
            <w:tcW w:w="130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10 973</w:t>
            </w:r>
          </w:p>
        </w:tc>
        <w:tc>
          <w:tcPr>
            <w:tcW w:w="127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20 960</w:t>
            </w:r>
          </w:p>
        </w:tc>
        <w:tc>
          <w:tcPr>
            <w:tcW w:w="127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29 367</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73 464</w:t>
            </w:r>
          </w:p>
        </w:tc>
      </w:tr>
      <w:tr w:rsidR="005D6812">
        <w:trPr>
          <w:cantSplit/>
        </w:trPr>
        <w:tc>
          <w:tcPr>
            <w:tcW w:w="321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Uncalled fund capital</w:t>
            </w:r>
          </w:p>
        </w:tc>
        <w:tc>
          <w:tcPr>
            <w:tcW w:w="127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(0)</w:t>
            </w:r>
          </w:p>
        </w:tc>
        <w:tc>
          <w:tcPr>
            <w:tcW w:w="130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(0)</w:t>
            </w:r>
          </w:p>
        </w:tc>
        <w:tc>
          <w:tcPr>
            <w:tcW w:w="127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(5 223)</w:t>
            </w:r>
          </w:p>
        </w:tc>
        <w:tc>
          <w:tcPr>
            <w:tcW w:w="127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(29 367)</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(34 590)</w:t>
            </w:r>
          </w:p>
        </w:tc>
      </w:tr>
      <w:tr w:rsidR="005D6812">
        <w:trPr>
          <w:cantSplit/>
        </w:trPr>
        <w:tc>
          <w:tcPr>
            <w:tcW w:w="321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Called fund capital 31.12.2015</w:t>
            </w:r>
          </w:p>
        </w:tc>
        <w:tc>
          <w:tcPr>
            <w:tcW w:w="127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12 164</w:t>
            </w:r>
          </w:p>
        </w:tc>
        <w:tc>
          <w:tcPr>
            <w:tcW w:w="130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10 973</w:t>
            </w:r>
          </w:p>
        </w:tc>
        <w:tc>
          <w:tcPr>
            <w:tcW w:w="127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15 737</w:t>
            </w:r>
          </w:p>
        </w:tc>
        <w:tc>
          <w:tcPr>
            <w:tcW w:w="127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c>
          <w:tcPr>
            <w:tcW w:w="141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38 873</w:t>
            </w:r>
          </w:p>
        </w:tc>
      </w:tr>
      <w:tr w:rsidR="005D6812">
        <w:trPr>
          <w:cantSplit/>
        </w:trPr>
        <w:tc>
          <w:tcPr>
            <w:tcW w:w="3210"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bidi="en-GB"/>
              </w:rPr>
            </w:pPr>
          </w:p>
        </w:tc>
        <w:tc>
          <w:tcPr>
            <w:tcW w:w="1270"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130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127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127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r>
      <w:tr w:rsidR="005D6812">
        <w:trPr>
          <w:cantSplit/>
        </w:trPr>
        <w:tc>
          <w:tcPr>
            <w:tcW w:w="321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Fund capital</w:t>
            </w:r>
          </w:p>
        </w:tc>
        <w:tc>
          <w:tcPr>
            <w:tcW w:w="127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12 164</w:t>
            </w:r>
          </w:p>
        </w:tc>
        <w:tc>
          <w:tcPr>
            <w:tcW w:w="130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10 973</w:t>
            </w:r>
          </w:p>
        </w:tc>
        <w:tc>
          <w:tcPr>
            <w:tcW w:w="127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20 960</w:t>
            </w:r>
          </w:p>
        </w:tc>
        <w:tc>
          <w:tcPr>
            <w:tcW w:w="127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29 367</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73 464</w:t>
            </w:r>
          </w:p>
        </w:tc>
      </w:tr>
      <w:tr w:rsidR="005D6812">
        <w:trPr>
          <w:cantSplit/>
        </w:trPr>
        <w:tc>
          <w:tcPr>
            <w:tcW w:w="321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Uncalled fund capital</w:t>
            </w:r>
          </w:p>
        </w:tc>
        <w:tc>
          <w:tcPr>
            <w:tcW w:w="127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30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(0)</w:t>
            </w:r>
          </w:p>
        </w:tc>
        <w:tc>
          <w:tcPr>
            <w:tcW w:w="127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(1 773)</w:t>
            </w:r>
          </w:p>
        </w:tc>
        <w:tc>
          <w:tcPr>
            <w:tcW w:w="127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(29 367)</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(31 140)</w:t>
            </w:r>
          </w:p>
        </w:tc>
      </w:tr>
      <w:tr w:rsidR="005D6812">
        <w:trPr>
          <w:cantSplit/>
        </w:trPr>
        <w:tc>
          <w:tcPr>
            <w:tcW w:w="321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Called fund capital 31.12.2016</w:t>
            </w:r>
          </w:p>
        </w:tc>
        <w:tc>
          <w:tcPr>
            <w:tcW w:w="127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12 164</w:t>
            </w:r>
          </w:p>
        </w:tc>
        <w:tc>
          <w:tcPr>
            <w:tcW w:w="130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10 973</w:t>
            </w:r>
          </w:p>
        </w:tc>
        <w:tc>
          <w:tcPr>
            <w:tcW w:w="127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19 187</w:t>
            </w:r>
          </w:p>
        </w:tc>
        <w:tc>
          <w:tcPr>
            <w:tcW w:w="127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c>
          <w:tcPr>
            <w:tcW w:w="141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42 323</w:t>
            </w:r>
          </w:p>
        </w:tc>
      </w:tr>
    </w:tbl>
    <w:p w:rsidR="005D6812" w:rsidRDefault="00AB2A2B">
      <w:pPr>
        <w:pStyle w:val="Textstand-alone"/>
      </w:pPr>
      <w:r>
        <w:t>The fund capital represents the total amount of contributions from Member States for the relevant EDF fund as laid down in each of the Internal Agreements. The uncalled funds represent the initial allocation not yet called up from Member States.</w:t>
      </w:r>
    </w:p>
    <w:p w:rsidR="005D6812" w:rsidRDefault="00AB2A2B">
      <w:pPr>
        <w:pStyle w:val="Textstand-alone"/>
      </w:pPr>
      <w:r>
        <w:t>The called</w:t>
      </w:r>
      <w:r>
        <w:t xml:space="preserve"> fund capital represents the amount of the initial allocations which have been called up for transfer to the treasury accounts by the Member States (see note </w:t>
      </w:r>
      <w:r>
        <w:rPr>
          <w:b/>
        </w:rPr>
        <w:t>2.9.2</w:t>
      </w:r>
      <w:r>
        <w:t xml:space="preserve"> below). </w:t>
      </w:r>
    </w:p>
    <w:p w:rsidR="005D6812" w:rsidRDefault="005D6812">
      <w:pPr>
        <w:pStyle w:val="Textstand-alone"/>
      </w:pPr>
    </w:p>
    <w:p w:rsidR="005D6812" w:rsidRDefault="00AB2A2B">
      <w:pPr>
        <w:rPr>
          <w:rFonts w:ascii="Verdana" w:hAnsi="Verdana"/>
          <w:noProof/>
          <w:sz w:val="18"/>
          <w:szCs w:val="18"/>
        </w:rPr>
      </w:pPr>
      <w:r>
        <w:rPr>
          <w:noProof/>
        </w:rPr>
        <w:br w:type="page"/>
      </w:r>
    </w:p>
    <w:p w:rsidR="005D6812" w:rsidRDefault="00AB2A2B">
      <w:pPr>
        <w:pStyle w:val="HEADER3Part2"/>
        <w:keepNext/>
        <w:keepLines/>
        <w:rPr>
          <w:noProof/>
        </w:rPr>
      </w:pPr>
      <w:r>
        <w:rPr>
          <w:noProof/>
        </w:rPr>
        <w:t>Called and uncalled fund capital by Member State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417"/>
        <w:gridCol w:w="1559"/>
        <w:gridCol w:w="1418"/>
        <w:gridCol w:w="1559"/>
      </w:tblGrid>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263" w:name="DOC_TBL00032_1_1"/>
            <w:bookmarkEnd w:id="263"/>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bidi="en-GB"/>
              </w:rPr>
            </w:pPr>
            <w:r>
              <w:rPr>
                <w:rFonts w:eastAsia="Verdana" w:cs="Verdana"/>
                <w:lang w:bidi="en-GB"/>
              </w:rPr>
              <w:t>EUR millions</w:t>
            </w:r>
          </w:p>
        </w:tc>
      </w:tr>
      <w:tr w:rsidR="005D6812">
        <w:tc>
          <w:tcPr>
            <w:tcW w:w="3794"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Left"/>
              <w:rPr>
                <w:rFonts w:eastAsia="Verdana" w:cs="Verdana"/>
                <w:lang w:bidi="en-GB"/>
              </w:rPr>
            </w:pPr>
            <w:r>
              <w:rPr>
                <w:rFonts w:eastAsia="Verdana" w:cs="Verdana"/>
                <w:lang w:bidi="en-GB"/>
              </w:rPr>
              <w:t>Contributions</w:t>
            </w:r>
          </w:p>
        </w:tc>
        <w:tc>
          <w:tcPr>
            <w:tcW w:w="1417" w:type="dxa"/>
            <w:tcBorders>
              <w:top w:val="nil"/>
              <w:left w:val="nil"/>
              <w:bottom w:val="nil"/>
              <w:right w:val="nil"/>
            </w:tcBorders>
            <w:shd w:val="clear" w:color="auto" w:fill="3486A9"/>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w:t>
            </w:r>
          </w:p>
        </w:tc>
        <w:tc>
          <w:tcPr>
            <w:tcW w:w="1559" w:type="dxa"/>
            <w:tcBorders>
              <w:top w:val="nil"/>
              <w:left w:val="nil"/>
              <w:bottom w:val="nil"/>
              <w:right w:val="nil"/>
            </w:tcBorders>
            <w:shd w:val="clear" w:color="auto" w:fill="3486A9"/>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Uncalled capital 31.12.2015</w:t>
            </w:r>
          </w:p>
        </w:tc>
        <w:tc>
          <w:tcPr>
            <w:tcW w:w="1418" w:type="dxa"/>
            <w:tcBorders>
              <w:top w:val="nil"/>
              <w:left w:val="nil"/>
              <w:bottom w:val="nil"/>
              <w:right w:val="nil"/>
            </w:tcBorders>
            <w:shd w:val="clear" w:color="auto" w:fill="3486A9"/>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Capital called in 2016</w:t>
            </w:r>
          </w:p>
        </w:tc>
        <w:tc>
          <w:tcPr>
            <w:tcW w:w="1559" w:type="dxa"/>
            <w:tcBorders>
              <w:top w:val="nil"/>
              <w:left w:val="nil"/>
              <w:bottom w:val="nil"/>
              <w:right w:val="nil"/>
            </w:tcBorders>
            <w:shd w:val="clear" w:color="auto" w:fill="3486A9"/>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Uncalled capital 31.12.2016</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Austria</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2.41</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126</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(83)</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43</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Belgium</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3.53</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184</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(122)</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63</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Bulgaria</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0.14</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7</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(5)</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2</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Cyprus</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0.09</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5</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(3)</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2</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Czech Republic</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0.51</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27</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(18)</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9</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Denmark</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2.00</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104</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(69)</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35</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Estonia</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0.05</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3</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(2)</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1</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Finland</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1.47</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77</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(51)</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26</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France</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19.55</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1 021</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(674)</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347</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Germany</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20.50</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1 071</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(707)</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364</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Greece</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1.47</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77</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(51)</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26</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Hungary</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0.55</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29</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(19)</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10</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Ireland</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0.91</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48</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(31)</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16</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Italy</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12.86</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672</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(444)</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228</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Latvia</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0.07</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4</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(2)</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1</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Lithuania</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0.12</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6</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(4)</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2</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Luxemburg</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0.27</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14</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(9)</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5</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Malta</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0.03</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2</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(1)</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1</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Netherlands</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4.85</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253</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(167)</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86</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Poland</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1.30</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68</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(45)</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23</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Portugal</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1.15</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60</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(40)</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20</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Romania</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0.37</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19</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(13)</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7</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Slovakia</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0.21</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11</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(7)</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4</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Slovenia</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0.18</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9</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(6)</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3</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Spain</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7.85</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410</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(271)</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139</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Sweden</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2.74</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143</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(95)</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49</w:t>
            </w:r>
          </w:p>
        </w:tc>
      </w:tr>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NormalLeft"/>
              <w:rPr>
                <w:rFonts w:eastAsia="Verdana" w:cs="Verdana"/>
                <w:lang w:bidi="en-GB"/>
              </w:rPr>
            </w:pPr>
            <w:r>
              <w:rPr>
                <w:rFonts w:eastAsia="Verdana" w:cs="Verdana"/>
                <w:lang w:bidi="en-GB"/>
              </w:rPr>
              <w:t>United Kingdom</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14.82</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774</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(511)</w:t>
            </w: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NormalRight025"/>
              <w:rPr>
                <w:rFonts w:eastAsia="Verdana" w:cs="Verdana"/>
                <w:lang w:bidi="en-GB"/>
              </w:rPr>
            </w:pPr>
            <w:r>
              <w:rPr>
                <w:rFonts w:eastAsia="Verdana" w:cs="Verdana"/>
                <w:lang w:bidi="en-GB"/>
              </w:rPr>
              <w:t xml:space="preserve"> 263</w:t>
            </w:r>
          </w:p>
        </w:tc>
      </w:tr>
      <w:tr w:rsidR="005D6812">
        <w:tc>
          <w:tcPr>
            <w:tcW w:w="3794"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Total</w:t>
            </w:r>
          </w:p>
        </w:tc>
        <w:tc>
          <w:tcPr>
            <w:tcW w:w="141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100.00</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5 223</w:t>
            </w:r>
          </w:p>
        </w:tc>
        <w:tc>
          <w:tcPr>
            <w:tcW w:w="14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(3 450)</w:t>
            </w:r>
          </w:p>
        </w:tc>
        <w:tc>
          <w:tcPr>
            <w:tcW w:w="1559"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1 773</w:t>
            </w:r>
          </w:p>
        </w:tc>
      </w:tr>
    </w:tbl>
    <w:p w:rsidR="005D6812" w:rsidRDefault="00AB2A2B">
      <w:pPr>
        <w:pStyle w:val="Textstand-alone"/>
      </w:pPr>
      <w:r>
        <w:t xml:space="preserve">Capital called in 2016 comprises entirely calls from 10th EDF. The total amount composes of ordinary call (EUR 3 450 million). The capital of the Eighth and the Ninth EDF has been called up and received in its entirety. No capital has yet been called from </w:t>
      </w:r>
      <w:r>
        <w:t xml:space="preserve">11th EDF. </w:t>
      </w:r>
    </w:p>
    <w:p w:rsidR="005D6812" w:rsidRDefault="00AB2A2B">
      <w:pPr>
        <w:pStyle w:val="HEADER3Part2"/>
        <w:rPr>
          <w:noProof/>
        </w:rPr>
      </w:pPr>
      <w:bookmarkStart w:id="264" w:name="_DMBM_9441"/>
      <w:r>
        <w:rPr>
          <w:noProof/>
        </w:rPr>
        <w:t>Called fund capital from closed EDFs carried forward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993"/>
        <w:gridCol w:w="1134"/>
        <w:gridCol w:w="992"/>
        <w:gridCol w:w="992"/>
        <w:gridCol w:w="1418"/>
        <w:gridCol w:w="1417"/>
      </w:tblGrid>
      <w:tr w:rsidR="005D6812">
        <w:tc>
          <w:tcPr>
            <w:tcW w:w="294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265" w:name="DOC_TBL00034_1_1"/>
            <w:bookmarkEnd w:id="265"/>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7pItalicLeft"/>
              <w:rPr>
                <w:rFonts w:eastAsia="Verdana" w:cs="Verdana"/>
                <w:lang w:bidi="en-GB"/>
              </w:rPr>
            </w:pPr>
            <w:r>
              <w:rPr>
                <w:rFonts w:eastAsia="Verdana" w:cs="Verdana"/>
                <w:lang w:bidi="en-GB"/>
              </w:rPr>
              <w:t>EUR millions</w:t>
            </w:r>
          </w:p>
        </w:tc>
      </w:tr>
      <w:tr w:rsidR="005D6812">
        <w:trPr>
          <w:trHeight w:val="247"/>
        </w:trPr>
        <w:tc>
          <w:tcPr>
            <w:tcW w:w="2943"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9pNormalLeft"/>
              <w:rPr>
                <w:rFonts w:eastAsia="Verdana" w:cs="Verdana"/>
                <w:noProof/>
                <w:lang w:bidi="en-GB"/>
              </w:rPr>
            </w:pPr>
          </w:p>
        </w:tc>
        <w:tc>
          <w:tcPr>
            <w:tcW w:w="993"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eastAsia="Verdana" w:cs="Verdana"/>
                <w:noProof/>
                <w:lang w:bidi="en-GB"/>
              </w:rPr>
            </w:pPr>
            <w:r>
              <w:rPr>
                <w:rFonts w:eastAsia="Verdana" w:cs="Verdana"/>
                <w:noProof/>
                <w:lang w:bidi="en-GB"/>
              </w:rPr>
              <w:t>Eighth EDF</w:t>
            </w:r>
          </w:p>
        </w:tc>
        <w:tc>
          <w:tcPr>
            <w:tcW w:w="1134"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eastAsia="Verdana" w:cs="Verdana"/>
                <w:noProof/>
                <w:lang w:bidi="en-GB"/>
              </w:rPr>
            </w:pPr>
            <w:r>
              <w:rPr>
                <w:rFonts w:eastAsia="Verdana" w:cs="Verdana"/>
                <w:noProof/>
                <w:lang w:bidi="en-GB"/>
              </w:rPr>
              <w:t>Ninth EDF</w:t>
            </w:r>
          </w:p>
        </w:tc>
        <w:tc>
          <w:tcPr>
            <w:tcW w:w="99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eastAsia="Verdana" w:cs="Verdana"/>
                <w:noProof/>
                <w:lang w:bidi="en-GB"/>
              </w:rPr>
            </w:pPr>
            <w:r>
              <w:rPr>
                <w:rFonts w:eastAsia="Verdana" w:cs="Verdana"/>
                <w:noProof/>
                <w:lang w:bidi="en-GB"/>
              </w:rPr>
              <w:t>10th EDF</w:t>
            </w:r>
          </w:p>
        </w:tc>
        <w:tc>
          <w:tcPr>
            <w:tcW w:w="99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eastAsia="Verdana" w:cs="Verdana"/>
                <w:noProof/>
                <w:lang w:bidi="en-GB"/>
              </w:rPr>
            </w:pPr>
            <w:r>
              <w:rPr>
                <w:rFonts w:eastAsia="Verdana" w:cs="Verdana"/>
                <w:noProof/>
                <w:lang w:bidi="en-GB"/>
              </w:rPr>
              <w:t>11th EDF</w:t>
            </w:r>
          </w:p>
        </w:tc>
        <w:tc>
          <w:tcPr>
            <w:tcW w:w="1418"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eastAsia="Verdana" w:cs="Verdana"/>
                <w:noProof/>
                <w:lang w:bidi="en-GB"/>
              </w:rPr>
            </w:pPr>
            <w:r>
              <w:rPr>
                <w:rFonts w:eastAsia="Verdana" w:cs="Verdana"/>
                <w:noProof/>
                <w:lang w:bidi="en-GB"/>
              </w:rPr>
              <w:t>31.12.2016</w:t>
            </w:r>
          </w:p>
        </w:tc>
        <w:tc>
          <w:tcPr>
            <w:tcW w:w="1417"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eastAsia="Verdana" w:cs="Verdana"/>
                <w:noProof/>
                <w:lang w:bidi="en-GB"/>
              </w:rPr>
            </w:pPr>
            <w:r>
              <w:rPr>
                <w:rFonts w:eastAsia="Verdana" w:cs="Verdana"/>
                <w:noProof/>
                <w:lang w:bidi="en-GB"/>
              </w:rPr>
              <w:t>31.12.2015</w:t>
            </w:r>
          </w:p>
        </w:tc>
      </w:tr>
      <w:tr w:rsidR="005D6812">
        <w:trPr>
          <w:trHeight w:val="247"/>
        </w:trPr>
        <w:tc>
          <w:tcPr>
            <w:tcW w:w="29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Funds transferred from closed EDFs</w:t>
            </w:r>
          </w:p>
        </w:tc>
        <w:tc>
          <w:tcPr>
            <w:tcW w:w="99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627</w:t>
            </w: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1 625</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99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2 252</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2 252</w:t>
            </w:r>
          </w:p>
        </w:tc>
      </w:tr>
    </w:tbl>
    <w:p w:rsidR="005D6812" w:rsidRDefault="00AB2A2B">
      <w:pPr>
        <w:pStyle w:val="Textstand-alone"/>
        <w:rPr>
          <w:lang w:bidi="en-GB"/>
        </w:rPr>
      </w:pPr>
      <w:r>
        <w:rPr>
          <w:lang w:bidi="en-GB"/>
        </w:rPr>
        <w:t xml:space="preserve">This heading includes the resources </w:t>
      </w:r>
      <w:r>
        <w:rPr>
          <w:lang w:bidi="en-GB"/>
        </w:rPr>
        <w:t>transferred from closed EDFs to the Eighth and Ninth EDFs.</w:t>
      </w:r>
    </w:p>
    <w:bookmarkEnd w:id="264"/>
    <w:p w:rsidR="005D6812" w:rsidRDefault="005D6812">
      <w:pPr>
        <w:pStyle w:val="Textstand-alone"/>
      </w:pPr>
    </w:p>
    <w:p w:rsidR="005D6812" w:rsidRDefault="005D6812">
      <w:pPr>
        <w:pStyle w:val="Textstand-alone"/>
      </w:pPr>
    </w:p>
    <w:bookmarkEnd w:id="261"/>
    <w:p w:rsidR="005D6812" w:rsidRDefault="005D6812">
      <w:pPr>
        <w:pStyle w:val="Textstand-alone"/>
        <w:sectPr w:rsidR="005D6812">
          <w:headerReference w:type="even" r:id="rId155"/>
          <w:headerReference w:type="default" r:id="rId156"/>
          <w:footerReference w:type="even" r:id="rId157"/>
          <w:footerReference w:type="default" r:id="rId158"/>
          <w:headerReference w:type="first" r:id="rId159"/>
          <w:footerReference w:type="first" r:id="rId160"/>
          <w:type w:val="continuous"/>
          <w:pgSz w:w="11906" w:h="16838"/>
          <w:pgMar w:top="1134" w:right="1134" w:bottom="1134" w:left="1134" w:header="709" w:footer="709" w:gutter="0"/>
          <w:cols w:space="708"/>
          <w:docGrid w:linePitch="360"/>
        </w:sectPr>
      </w:pPr>
    </w:p>
    <w:p w:rsidR="005D6812" w:rsidRDefault="00AB2A2B">
      <w:pPr>
        <w:pStyle w:val="HEADER3Part2"/>
        <w:rPr>
          <w:noProof/>
        </w:rPr>
      </w:pPr>
      <w:bookmarkStart w:id="266" w:name="_DMBM_9577"/>
      <w:r>
        <w:rPr>
          <w:noProof/>
        </w:rPr>
        <w:t>Called fund capital transfers between active EDFs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1270"/>
        <w:gridCol w:w="1306"/>
        <w:gridCol w:w="1273"/>
        <w:gridCol w:w="1271"/>
        <w:gridCol w:w="1417"/>
      </w:tblGrid>
      <w:tr w:rsidR="005D6812">
        <w:tc>
          <w:tcPr>
            <w:tcW w:w="3210"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267" w:name="DOC_TBL00033_1_1"/>
            <w:bookmarkEnd w:id="267"/>
          </w:p>
        </w:tc>
        <w:tc>
          <w:tcPr>
            <w:tcW w:w="1270"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30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bidi="en-GB"/>
              </w:rPr>
            </w:pPr>
            <w:r>
              <w:rPr>
                <w:rFonts w:eastAsia="Verdana" w:cs="Verdana"/>
                <w:lang w:bidi="en-GB"/>
              </w:rPr>
              <w:t>EUR millions</w:t>
            </w:r>
          </w:p>
        </w:tc>
      </w:tr>
      <w:tr w:rsidR="005D6812">
        <w:tc>
          <w:tcPr>
            <w:tcW w:w="3210"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Verdana" w:cs="Verdana"/>
                <w:lang w:bidi="en-GB"/>
              </w:rPr>
            </w:pPr>
          </w:p>
        </w:tc>
        <w:tc>
          <w:tcPr>
            <w:tcW w:w="1270"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Eighth EDF</w:t>
            </w:r>
          </w:p>
        </w:tc>
        <w:tc>
          <w:tcPr>
            <w:tcW w:w="1306"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Ninth EDF</w:t>
            </w:r>
          </w:p>
        </w:tc>
        <w:tc>
          <w:tcPr>
            <w:tcW w:w="1273"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10th EDF</w:t>
            </w:r>
          </w:p>
        </w:tc>
        <w:tc>
          <w:tcPr>
            <w:tcW w:w="1271"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11th EDF</w:t>
            </w:r>
          </w:p>
        </w:tc>
        <w:tc>
          <w:tcPr>
            <w:tcW w:w="1417"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Total</w:t>
            </w:r>
          </w:p>
        </w:tc>
      </w:tr>
      <w:tr w:rsidR="005D6812">
        <w:tc>
          <w:tcPr>
            <w:tcW w:w="321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Balance at 31.12.2014</w:t>
            </w:r>
          </w:p>
        </w:tc>
        <w:tc>
          <w:tcPr>
            <w:tcW w:w="127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(3 147)</w:t>
            </w:r>
          </w:p>
        </w:tc>
        <w:tc>
          <w:tcPr>
            <w:tcW w:w="130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1 758</w:t>
            </w:r>
          </w:p>
        </w:tc>
        <w:tc>
          <w:tcPr>
            <w:tcW w:w="127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(209)</w:t>
            </w:r>
          </w:p>
        </w:tc>
        <w:tc>
          <w:tcPr>
            <w:tcW w:w="127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1 597</w:t>
            </w:r>
          </w:p>
        </w:tc>
        <w:tc>
          <w:tcPr>
            <w:tcW w:w="141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r>
      <w:tr w:rsidR="005D6812">
        <w:tc>
          <w:tcPr>
            <w:tcW w:w="321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Transfer of decommitted amounts to the 10th EDF performance reserve from previous EDFs</w:t>
            </w:r>
          </w:p>
        </w:tc>
        <w:tc>
          <w:tcPr>
            <w:tcW w:w="127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(6)</w:t>
            </w:r>
          </w:p>
        </w:tc>
        <w:tc>
          <w:tcPr>
            <w:tcW w:w="130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(109)</w:t>
            </w:r>
          </w:p>
        </w:tc>
        <w:tc>
          <w:tcPr>
            <w:tcW w:w="127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114</w:t>
            </w:r>
          </w:p>
        </w:tc>
        <w:tc>
          <w:tcPr>
            <w:tcW w:w="127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c>
          <w:tcPr>
            <w:tcW w:w="321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 xml:space="preserve">Transfer of decommitted amounts to the 11th EDF performance </w:t>
            </w:r>
            <w:r>
              <w:rPr>
                <w:rFonts w:eastAsia="Verdana" w:cs="Verdana"/>
                <w:lang w:bidi="en-GB"/>
              </w:rPr>
              <w:t>reserve from previous EDFs</w:t>
            </w:r>
          </w:p>
        </w:tc>
        <w:tc>
          <w:tcPr>
            <w:tcW w:w="127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30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27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(32)</w:t>
            </w:r>
          </w:p>
        </w:tc>
        <w:tc>
          <w:tcPr>
            <w:tcW w:w="127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32</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c>
          <w:tcPr>
            <w:tcW w:w="321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Transfer from the 10th and 11th performance reserves to the Bridging Facility</w:t>
            </w:r>
          </w:p>
        </w:tc>
        <w:tc>
          <w:tcPr>
            <w:tcW w:w="127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30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27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(41)</w:t>
            </w:r>
          </w:p>
        </w:tc>
        <w:tc>
          <w:tcPr>
            <w:tcW w:w="127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41</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c>
          <w:tcPr>
            <w:tcW w:w="321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Recoveries from the Bridging Facility to the 10th and 11th performance reserves</w:t>
            </w:r>
          </w:p>
        </w:tc>
        <w:tc>
          <w:tcPr>
            <w:tcW w:w="127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30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27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11</w:t>
            </w:r>
          </w:p>
        </w:tc>
        <w:tc>
          <w:tcPr>
            <w:tcW w:w="127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(11)</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c>
          <w:tcPr>
            <w:tcW w:w="321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 xml:space="preserve">Return of funds </w:t>
            </w:r>
            <w:r>
              <w:rPr>
                <w:rFonts w:eastAsia="Verdana" w:cs="Verdana"/>
                <w:lang w:bidi="en-GB"/>
              </w:rPr>
              <w:t>committed under the Bridging Facility</w:t>
            </w:r>
          </w:p>
        </w:tc>
        <w:tc>
          <w:tcPr>
            <w:tcW w:w="127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676</w:t>
            </w:r>
          </w:p>
        </w:tc>
        <w:tc>
          <w:tcPr>
            <w:tcW w:w="130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727</w:t>
            </w:r>
          </w:p>
        </w:tc>
        <w:tc>
          <w:tcPr>
            <w:tcW w:w="127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192</w:t>
            </w:r>
          </w:p>
        </w:tc>
        <w:tc>
          <w:tcPr>
            <w:tcW w:w="127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(1 595)</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c>
          <w:tcPr>
            <w:tcW w:w="321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Balance at 31.12.2015</w:t>
            </w:r>
          </w:p>
        </w:tc>
        <w:tc>
          <w:tcPr>
            <w:tcW w:w="127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(2 476)</w:t>
            </w:r>
          </w:p>
        </w:tc>
        <w:tc>
          <w:tcPr>
            <w:tcW w:w="130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2 376</w:t>
            </w:r>
          </w:p>
        </w:tc>
        <w:tc>
          <w:tcPr>
            <w:tcW w:w="127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35</w:t>
            </w:r>
          </w:p>
        </w:tc>
        <w:tc>
          <w:tcPr>
            <w:tcW w:w="127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65</w:t>
            </w:r>
          </w:p>
        </w:tc>
        <w:tc>
          <w:tcPr>
            <w:tcW w:w="141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r>
      <w:tr w:rsidR="005D6812">
        <w:tc>
          <w:tcPr>
            <w:tcW w:w="321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Transfer of decommitted amounts to the 10th EDF performance reserve from previous EDFs</w:t>
            </w:r>
          </w:p>
        </w:tc>
        <w:tc>
          <w:tcPr>
            <w:tcW w:w="127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(20)</w:t>
            </w:r>
          </w:p>
        </w:tc>
        <w:tc>
          <w:tcPr>
            <w:tcW w:w="130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(163)</w:t>
            </w:r>
          </w:p>
        </w:tc>
        <w:tc>
          <w:tcPr>
            <w:tcW w:w="127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182</w:t>
            </w:r>
          </w:p>
        </w:tc>
        <w:tc>
          <w:tcPr>
            <w:tcW w:w="127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c>
          <w:tcPr>
            <w:tcW w:w="321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 xml:space="preserve">Transfer of decommitted amounts to </w:t>
            </w:r>
            <w:r>
              <w:rPr>
                <w:rFonts w:eastAsia="Verdana" w:cs="Verdana"/>
                <w:lang w:bidi="en-GB"/>
              </w:rPr>
              <w:t>the 11th EDF performance reserve from previous EDFs</w:t>
            </w:r>
          </w:p>
        </w:tc>
        <w:tc>
          <w:tcPr>
            <w:tcW w:w="127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30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27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(356)</w:t>
            </w:r>
          </w:p>
        </w:tc>
        <w:tc>
          <w:tcPr>
            <w:tcW w:w="127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356</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c>
          <w:tcPr>
            <w:tcW w:w="321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Transfer from the 11th performance reserve to the African Peace Facility (10th EDF)</w:t>
            </w:r>
          </w:p>
        </w:tc>
        <w:tc>
          <w:tcPr>
            <w:tcW w:w="1270"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30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27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386</w:t>
            </w:r>
          </w:p>
        </w:tc>
        <w:tc>
          <w:tcPr>
            <w:tcW w:w="127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(386)</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c>
          <w:tcPr>
            <w:tcW w:w="321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Balance at 31.12.2016</w:t>
            </w:r>
          </w:p>
        </w:tc>
        <w:tc>
          <w:tcPr>
            <w:tcW w:w="1270"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(2 496)</w:t>
            </w:r>
          </w:p>
        </w:tc>
        <w:tc>
          <w:tcPr>
            <w:tcW w:w="130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2 214</w:t>
            </w:r>
          </w:p>
        </w:tc>
        <w:tc>
          <w:tcPr>
            <w:tcW w:w="127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247</w:t>
            </w:r>
          </w:p>
        </w:tc>
        <w:tc>
          <w:tcPr>
            <w:tcW w:w="127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35</w:t>
            </w:r>
          </w:p>
        </w:tc>
        <w:tc>
          <w:tcPr>
            <w:tcW w:w="141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r>
    </w:tbl>
    <w:p w:rsidR="005D6812" w:rsidRDefault="00AB2A2B">
      <w:pPr>
        <w:pStyle w:val="Textstand-alone"/>
        <w:rPr>
          <w:lang w:bidi="en-GB"/>
        </w:rPr>
      </w:pPr>
      <w:r>
        <w:rPr>
          <w:lang w:bidi="en-GB"/>
        </w:rPr>
        <w:t xml:space="preserve">This heading includes the </w:t>
      </w:r>
      <w:r>
        <w:rPr>
          <w:lang w:bidi="en-GB"/>
        </w:rPr>
        <w:t>resources transferred between the active EDFs.</w:t>
      </w:r>
    </w:p>
    <w:p w:rsidR="005D6812" w:rsidRDefault="00AB2A2B">
      <w:pPr>
        <w:pStyle w:val="Textstand-alone"/>
        <w:rPr>
          <w:lang w:bidi="en-GB"/>
        </w:rPr>
      </w:pPr>
      <w:r>
        <w:rPr>
          <w:lang w:bidi="en-GB"/>
        </w:rPr>
        <w:t xml:space="preserve">Since the entry into force of the Cotonou Agreement, all the unspent funds in previous active EDFs are transferred to the most recently opened EDF after decommitment. The resources transferred from other EDFs </w:t>
      </w:r>
      <w:r>
        <w:rPr>
          <w:lang w:bidi="en-GB"/>
        </w:rPr>
        <w:t>increase the appropriations of the receiving fund and reduce the appropriations of the fund of origin. Funds transferred to the performance reserve of the 10th and 11th EDFs can be committed only under specific conditions set out in the Internal Agreements</w:t>
      </w:r>
      <w:r>
        <w:rPr>
          <w:lang w:bidi="en-GB"/>
        </w:rPr>
        <w:t xml:space="preserve">.  </w:t>
      </w:r>
    </w:p>
    <w:p w:rsidR="005D6812" w:rsidRDefault="00AB2A2B">
      <w:pPr>
        <w:pStyle w:val="Textstand-alone"/>
        <w:rPr>
          <w:lang w:bidi="en-GB"/>
        </w:rPr>
      </w:pPr>
      <w:r>
        <w:rPr>
          <w:lang w:bidi="en-GB"/>
        </w:rPr>
        <w:t>In 2016 EUR 386 million was taken from the 11th Performance reserve to finance the African Peace Facility under the 10th EDF.</w:t>
      </w:r>
      <w:bookmarkEnd w:id="266"/>
    </w:p>
    <w:p w:rsidR="005D6812" w:rsidRDefault="005D6812">
      <w:pPr>
        <w:pStyle w:val="Textstand-alone"/>
        <w:sectPr w:rsidR="005D6812">
          <w:headerReference w:type="even" r:id="rId161"/>
          <w:headerReference w:type="default" r:id="rId162"/>
          <w:footerReference w:type="even" r:id="rId163"/>
          <w:footerReference w:type="default" r:id="rId164"/>
          <w:headerReference w:type="first" r:id="rId165"/>
          <w:footerReference w:type="first" r:id="rId166"/>
          <w:pgSz w:w="11906" w:h="16838"/>
          <w:pgMar w:top="1134" w:right="1134" w:bottom="1134" w:left="1134" w:header="708" w:footer="708" w:gutter="0"/>
          <w:cols w:space="708"/>
          <w:docGrid w:linePitch="360"/>
        </w:sectPr>
      </w:pPr>
    </w:p>
    <w:p w:rsidR="005D6812" w:rsidRDefault="005D6812">
      <w:pPr>
        <w:pStyle w:val="Textstand-alone"/>
        <w:rPr>
          <w:lang w:bidi="en-GB"/>
        </w:rPr>
        <w:sectPr w:rsidR="005D6812">
          <w:headerReference w:type="even" r:id="rId167"/>
          <w:headerReference w:type="default" r:id="rId168"/>
          <w:footerReference w:type="even" r:id="rId169"/>
          <w:footerReference w:type="default" r:id="rId170"/>
          <w:headerReference w:type="first" r:id="rId171"/>
          <w:footerReference w:type="first" r:id="rId172"/>
          <w:type w:val="continuous"/>
          <w:pgSz w:w="11906" w:h="16838"/>
          <w:pgMar w:top="1134" w:right="1134" w:bottom="1134" w:left="1134" w:header="709" w:footer="709" w:gutter="0"/>
          <w:cols w:space="708"/>
          <w:docGrid w:linePitch="360"/>
        </w:sectPr>
      </w:pPr>
    </w:p>
    <w:p w:rsidR="005D6812" w:rsidRDefault="00AB2A2B">
      <w:pPr>
        <w:pStyle w:val="HEADER1Part2"/>
        <w:rPr>
          <w:noProof/>
        </w:rPr>
      </w:pPr>
      <w:bookmarkStart w:id="268" w:name="_DMBM_9553"/>
      <w:r>
        <w:rPr>
          <w:noProof/>
        </w:rPr>
        <w:t>NOTES TO THE STATEMENT OF FINANCIAL PERFORMANCE</w:t>
      </w:r>
    </w:p>
    <w:p w:rsidR="005D6812" w:rsidRDefault="00AB2A2B">
      <w:pPr>
        <w:pStyle w:val="Textstand-alone"/>
        <w:sectPr w:rsidR="005D6812">
          <w:headerReference w:type="even" r:id="rId173"/>
          <w:headerReference w:type="default" r:id="rId174"/>
          <w:footerReference w:type="even" r:id="rId175"/>
          <w:footerReference w:type="default" r:id="rId176"/>
          <w:headerReference w:type="first" r:id="rId177"/>
          <w:footerReference w:type="first" r:id="rId178"/>
          <w:pgSz w:w="11906" w:h="16838"/>
          <w:pgMar w:top="1134" w:right="1134" w:bottom="1134" w:left="1134" w:header="709" w:footer="709" w:gutter="0"/>
          <w:cols w:space="708"/>
          <w:docGrid w:linePitch="360"/>
        </w:sectPr>
      </w:pPr>
      <w:r>
        <w:t xml:space="preserve"> </w:t>
      </w:r>
      <w:bookmarkEnd w:id="268"/>
    </w:p>
    <w:p w:rsidR="005D6812" w:rsidRDefault="00AB2A2B">
      <w:pPr>
        <w:pStyle w:val="HEADERTITLE"/>
      </w:pPr>
      <w:bookmarkStart w:id="269" w:name="_Toc484164215"/>
      <w:bookmarkStart w:id="270" w:name="_Toc484164237"/>
      <w:bookmarkStart w:id="271" w:name="_DMBM_9543"/>
      <w:r>
        <w:t>REVENUE</w:t>
      </w:r>
      <w:bookmarkEnd w:id="269"/>
      <w:bookmarkEnd w:id="27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rsidR="005D6812">
        <w:trPr>
          <w:trHeight w:val="268"/>
        </w:trPr>
        <w:tc>
          <w:tcPr>
            <w:tcW w:w="5211" w:type="dxa"/>
            <w:tcBorders>
              <w:top w:val="nil"/>
              <w:left w:val="nil"/>
              <w:bottom w:val="nil"/>
              <w:right w:val="nil"/>
            </w:tcBorders>
            <w:tcMar>
              <w:top w:w="0" w:type="dxa"/>
              <w:left w:w="108" w:type="dxa"/>
              <w:bottom w:w="0" w:type="dxa"/>
              <w:right w:w="108" w:type="dxa"/>
            </w:tcMar>
          </w:tcPr>
          <w:p w:rsidR="005D6812" w:rsidRDefault="005D6812">
            <w:pPr>
              <w:pStyle w:val="Text8pItalicLeft"/>
              <w:rPr>
                <w:rFonts w:eastAsia="Times New Roman" w:cs="Verdana"/>
                <w:color w:val="FFFFFF"/>
              </w:rPr>
            </w:pPr>
            <w:bookmarkStart w:id="272" w:name="DOC_TBL00035_1_1"/>
            <w:bookmarkEnd w:id="272"/>
          </w:p>
        </w:tc>
        <w:tc>
          <w:tcPr>
            <w:tcW w:w="851"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rsidR="005D6812" w:rsidRDefault="00AB2A2B">
            <w:pPr>
              <w:pStyle w:val="Text8pItalicRight025EUR"/>
              <w:rPr>
                <w:rFonts w:eastAsia="Times New Roman" w:cs="Verdana"/>
              </w:rPr>
            </w:pPr>
            <w:r>
              <w:rPr>
                <w:rFonts w:eastAsia="Times New Roman" w:cs="Verdana"/>
              </w:rPr>
              <w:t>EUR millions</w:t>
            </w:r>
          </w:p>
        </w:tc>
      </w:tr>
      <w:tr w:rsidR="005D6812">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Note</w:t>
            </w:r>
          </w:p>
        </w:tc>
        <w:tc>
          <w:tcPr>
            <w:tcW w:w="184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2016</w:t>
            </w:r>
          </w:p>
        </w:tc>
        <w:tc>
          <w:tcPr>
            <w:tcW w:w="1843"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2015</w:t>
            </w:r>
          </w:p>
        </w:tc>
      </w:tr>
      <w:tr w:rsidR="005D6812">
        <w:trPr>
          <w:trHeight w:val="268"/>
        </w:trPr>
        <w:tc>
          <w:tcPr>
            <w:tcW w:w="5211"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Revenue from non-exchange transactions</w:t>
            </w:r>
          </w:p>
        </w:tc>
        <w:tc>
          <w:tcPr>
            <w:tcW w:w="851" w:type="dxa"/>
            <w:tcBorders>
              <w:top w:val="nil"/>
              <w:left w:val="nil"/>
              <w:bottom w:val="nil"/>
              <w:right w:val="nil"/>
            </w:tcBorders>
            <w:tcMar>
              <w:top w:w="0" w:type="dxa"/>
              <w:left w:w="108" w:type="dxa"/>
              <w:bottom w:w="0" w:type="dxa"/>
              <w:right w:w="108" w:type="dxa"/>
            </w:tcMar>
          </w:tcPr>
          <w:p w:rsidR="005D6812" w:rsidRDefault="00AB2A2B">
            <w:pPr>
              <w:pStyle w:val="Text9pItalicCentered"/>
              <w:rPr>
                <w:rFonts w:eastAsia="Times New Roman" w:cs="Verdana"/>
              </w:rPr>
            </w:pPr>
            <w:r>
              <w:rPr>
                <w:rFonts w:eastAsia="Times New Roman" w:cs="Verdana"/>
              </w:rPr>
              <w:t>3.1</w:t>
            </w:r>
          </w:p>
        </w:tc>
        <w:tc>
          <w:tcPr>
            <w:tcW w:w="1842"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8</w:t>
            </w:r>
          </w:p>
        </w:tc>
        <w:tc>
          <w:tcPr>
            <w:tcW w:w="1843"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90</w:t>
            </w:r>
          </w:p>
        </w:tc>
      </w:tr>
      <w:tr w:rsidR="005D6812">
        <w:trPr>
          <w:trHeight w:val="268"/>
        </w:trPr>
        <w:tc>
          <w:tcPr>
            <w:tcW w:w="5211"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Revenue from exchange transactions</w:t>
            </w:r>
          </w:p>
        </w:tc>
        <w:tc>
          <w:tcPr>
            <w:tcW w:w="851" w:type="dxa"/>
            <w:tcBorders>
              <w:top w:val="nil"/>
              <w:left w:val="nil"/>
              <w:bottom w:val="nil"/>
              <w:right w:val="nil"/>
            </w:tcBorders>
            <w:tcMar>
              <w:top w:w="0" w:type="dxa"/>
              <w:left w:w="108" w:type="dxa"/>
              <w:bottom w:w="0" w:type="dxa"/>
              <w:right w:w="108" w:type="dxa"/>
            </w:tcMar>
          </w:tcPr>
          <w:p w:rsidR="005D6812" w:rsidRDefault="00AB2A2B">
            <w:pPr>
              <w:pStyle w:val="Text9pItalicCentered"/>
              <w:rPr>
                <w:rFonts w:eastAsia="Times New Roman" w:cs="Verdana"/>
              </w:rPr>
            </w:pPr>
            <w:r>
              <w:rPr>
                <w:rFonts w:eastAsia="Times New Roman" w:cs="Verdana"/>
              </w:rPr>
              <w:t>3.2</w:t>
            </w:r>
          </w:p>
        </w:tc>
        <w:tc>
          <w:tcPr>
            <w:tcW w:w="1842"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66</w:t>
            </w:r>
          </w:p>
        </w:tc>
        <w:tc>
          <w:tcPr>
            <w:tcW w:w="1843"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50</w:t>
            </w:r>
          </w:p>
        </w:tc>
      </w:tr>
      <w:tr w:rsidR="005D6812">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Total</w:t>
            </w:r>
          </w:p>
        </w:tc>
        <w:tc>
          <w:tcPr>
            <w:tcW w:w="85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Times New Roman"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73</w:t>
            </w:r>
          </w:p>
        </w:tc>
        <w:tc>
          <w:tcPr>
            <w:tcW w:w="184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140</w:t>
            </w:r>
          </w:p>
        </w:tc>
      </w:tr>
    </w:tbl>
    <w:p w:rsidR="005D6812" w:rsidRDefault="00AB2A2B">
      <w:pPr>
        <w:pStyle w:val="HEADER2Part2"/>
        <w:rPr>
          <w:noProof/>
        </w:rPr>
      </w:pPr>
      <w:r>
        <w:rPr>
          <w:noProof/>
        </w:rPr>
        <w:t>REVENUE FROM NON-EXCHANGE TRANSACTIONS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851"/>
        <w:gridCol w:w="992"/>
        <w:gridCol w:w="992"/>
        <w:gridCol w:w="993"/>
        <w:gridCol w:w="850"/>
        <w:gridCol w:w="1418"/>
        <w:gridCol w:w="1417"/>
      </w:tblGrid>
      <w:tr w:rsidR="005D6812">
        <w:trPr>
          <w:trHeight w:val="274"/>
        </w:trPr>
        <w:tc>
          <w:tcPr>
            <w:tcW w:w="2376" w:type="dxa"/>
            <w:tcBorders>
              <w:top w:val="nil"/>
              <w:left w:val="nil"/>
              <w:bottom w:val="nil"/>
              <w:right w:val="nil"/>
            </w:tcBorders>
            <w:tcMar>
              <w:top w:w="0" w:type="dxa"/>
              <w:left w:w="108" w:type="dxa"/>
              <w:bottom w:w="0" w:type="dxa"/>
              <w:right w:w="108" w:type="dxa"/>
            </w:tcMar>
          </w:tcPr>
          <w:p w:rsidR="005D6812" w:rsidRDefault="005D6812">
            <w:pPr>
              <w:pStyle w:val="Text8pItalicLeft"/>
              <w:rPr>
                <w:rFonts w:eastAsia="Times New Roman" w:cs="Verdana"/>
                <w:color w:val="FFFFFF"/>
              </w:rPr>
            </w:pPr>
            <w:bookmarkStart w:id="273" w:name="DOC_TBL00036_1_1"/>
            <w:bookmarkEnd w:id="273"/>
          </w:p>
        </w:tc>
        <w:tc>
          <w:tcPr>
            <w:tcW w:w="851"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992"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992"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993"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850"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rsidR="005D6812" w:rsidRDefault="00AB2A2B">
            <w:pPr>
              <w:pStyle w:val="Text8pItalicRight025EUR"/>
              <w:rPr>
                <w:rFonts w:eastAsia="Times New Roman" w:cs="Verdana"/>
              </w:rPr>
            </w:pPr>
            <w:r>
              <w:rPr>
                <w:rFonts w:eastAsia="Times New Roman" w:cs="Verdana"/>
              </w:rPr>
              <w:t>EUR millions</w:t>
            </w:r>
          </w:p>
        </w:tc>
      </w:tr>
      <w:tr w:rsidR="005D6812">
        <w:tc>
          <w:tcPr>
            <w:tcW w:w="2376"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9pNormalLeft"/>
              <w:rPr>
                <w:rFonts w:cs="Verdana"/>
                <w:noProof/>
              </w:rPr>
            </w:pPr>
          </w:p>
        </w:tc>
        <w:tc>
          <w:tcPr>
            <w:tcW w:w="851"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cs="Verdana"/>
                <w:noProof/>
              </w:rPr>
            </w:pPr>
            <w:r>
              <w:rPr>
                <w:rFonts w:cs="Verdana"/>
                <w:noProof/>
              </w:rPr>
              <w:t>Note</w:t>
            </w: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cs="Verdana"/>
                <w:noProof/>
              </w:rPr>
            </w:pPr>
            <w:r>
              <w:rPr>
                <w:rFonts w:cs="Verdana"/>
                <w:noProof/>
              </w:rPr>
              <w:t xml:space="preserve">Eighth </w:t>
            </w:r>
            <w:r>
              <w:rPr>
                <w:rFonts w:cs="Verdana"/>
                <w:noProof/>
              </w:rPr>
              <w:t>EDF</w:t>
            </w: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cs="Verdana"/>
                <w:noProof/>
              </w:rPr>
            </w:pPr>
            <w:r>
              <w:rPr>
                <w:rFonts w:cs="Verdana"/>
                <w:noProof/>
              </w:rPr>
              <w:t>Ninth EDF</w:t>
            </w:r>
          </w:p>
        </w:tc>
        <w:tc>
          <w:tcPr>
            <w:tcW w:w="993"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cs="Verdana"/>
                <w:noProof/>
              </w:rPr>
            </w:pPr>
            <w:r>
              <w:rPr>
                <w:rFonts w:cs="Verdana"/>
                <w:noProof/>
              </w:rPr>
              <w:t>10th EDF</w:t>
            </w:r>
          </w:p>
        </w:tc>
        <w:tc>
          <w:tcPr>
            <w:tcW w:w="850"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cs="Verdana"/>
                <w:noProof/>
              </w:rPr>
            </w:pPr>
            <w:r>
              <w:rPr>
                <w:rFonts w:cs="Verdana"/>
                <w:noProof/>
              </w:rPr>
              <w:t>11th EDF</w:t>
            </w:r>
          </w:p>
        </w:tc>
        <w:tc>
          <w:tcPr>
            <w:tcW w:w="1418"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cs="Verdana"/>
                <w:noProof/>
              </w:rPr>
            </w:pPr>
            <w:r>
              <w:rPr>
                <w:rFonts w:cs="Verdana"/>
                <w:noProof/>
              </w:rPr>
              <w:t>2016</w:t>
            </w: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cs="Verdana"/>
                <w:noProof/>
              </w:rPr>
            </w:pPr>
            <w:r>
              <w:rPr>
                <w:rFonts w:cs="Verdana"/>
                <w:noProof/>
              </w:rPr>
              <w:t>2015</w:t>
            </w:r>
          </w:p>
        </w:tc>
      </w:tr>
      <w:tr w:rsidR="005D6812">
        <w:tc>
          <w:tcPr>
            <w:tcW w:w="2376"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Recovery of expenses</w:t>
            </w:r>
          </w:p>
        </w:tc>
        <w:tc>
          <w:tcPr>
            <w:tcW w:w="851" w:type="dxa"/>
            <w:tcBorders>
              <w:top w:val="nil"/>
              <w:left w:val="nil"/>
              <w:bottom w:val="nil"/>
              <w:right w:val="nil"/>
            </w:tcBorders>
            <w:tcMar>
              <w:top w:w="0" w:type="dxa"/>
              <w:left w:w="108" w:type="dxa"/>
              <w:bottom w:w="0" w:type="dxa"/>
              <w:right w:w="108" w:type="dxa"/>
            </w:tcMar>
          </w:tcPr>
          <w:p w:rsidR="005D6812" w:rsidRDefault="005D6812">
            <w:pPr>
              <w:pStyle w:val="Figures7pItalicRight025"/>
              <w:rPr>
                <w:rFonts w:eastAsia="Times New Roman" w:cs="Verdana"/>
              </w:rPr>
            </w:pPr>
          </w:p>
        </w:tc>
        <w:tc>
          <w:tcPr>
            <w:tcW w:w="992" w:type="dxa"/>
            <w:tcBorders>
              <w:top w:val="nil"/>
              <w:left w:val="nil"/>
              <w:bottom w:val="nil"/>
              <w:right w:val="nil"/>
            </w:tcBorders>
            <w:tcMar>
              <w:top w:w="0" w:type="dxa"/>
              <w:left w:w="108" w:type="dxa"/>
              <w:bottom w:w="0" w:type="dxa"/>
              <w:right w:w="108" w:type="dxa"/>
            </w:tcMar>
          </w:tcPr>
          <w:p w:rsidR="005D6812" w:rsidRDefault="00AB2A2B">
            <w:pPr>
              <w:pStyle w:val="Figures7pItalicRight025"/>
              <w:rPr>
                <w:rFonts w:eastAsia="Times New Roman" w:cs="Verdana"/>
              </w:rPr>
            </w:pPr>
            <w:r>
              <w:rPr>
                <w:rFonts w:eastAsia="Times New Roman" w:cs="Verdana"/>
              </w:rPr>
              <w:t xml:space="preserve"> 0</w:t>
            </w:r>
          </w:p>
        </w:tc>
        <w:tc>
          <w:tcPr>
            <w:tcW w:w="992" w:type="dxa"/>
            <w:tcBorders>
              <w:top w:val="nil"/>
              <w:left w:val="nil"/>
              <w:bottom w:val="nil"/>
              <w:right w:val="nil"/>
            </w:tcBorders>
            <w:tcMar>
              <w:top w:w="0" w:type="dxa"/>
              <w:left w:w="108" w:type="dxa"/>
              <w:bottom w:w="0" w:type="dxa"/>
              <w:right w:w="108" w:type="dxa"/>
            </w:tcMar>
          </w:tcPr>
          <w:p w:rsidR="005D6812" w:rsidRDefault="00AB2A2B">
            <w:pPr>
              <w:pStyle w:val="Figures7pItalicRight025"/>
              <w:rPr>
                <w:rFonts w:eastAsia="Times New Roman" w:cs="Verdana"/>
              </w:rPr>
            </w:pPr>
            <w:r>
              <w:rPr>
                <w:rFonts w:eastAsia="Times New Roman" w:cs="Verdana"/>
              </w:rPr>
              <w:t xml:space="preserve"> 5</w:t>
            </w:r>
          </w:p>
        </w:tc>
        <w:tc>
          <w:tcPr>
            <w:tcW w:w="993" w:type="dxa"/>
            <w:tcBorders>
              <w:top w:val="nil"/>
              <w:left w:val="nil"/>
              <w:bottom w:val="nil"/>
              <w:right w:val="nil"/>
            </w:tcBorders>
            <w:tcMar>
              <w:top w:w="0" w:type="dxa"/>
              <w:left w:w="108" w:type="dxa"/>
              <w:bottom w:w="0" w:type="dxa"/>
              <w:right w:w="108" w:type="dxa"/>
            </w:tcMar>
          </w:tcPr>
          <w:p w:rsidR="005D6812" w:rsidRDefault="00AB2A2B">
            <w:pPr>
              <w:pStyle w:val="Figures7pItalicRight025"/>
              <w:rPr>
                <w:rFonts w:eastAsia="Times New Roman" w:cs="Verdana"/>
              </w:rPr>
            </w:pPr>
            <w:r>
              <w:rPr>
                <w:rFonts w:eastAsia="Times New Roman" w:cs="Verdana"/>
              </w:rPr>
              <w:t xml:space="preserve"> 13</w:t>
            </w:r>
          </w:p>
        </w:tc>
        <w:tc>
          <w:tcPr>
            <w:tcW w:w="850" w:type="dxa"/>
            <w:tcBorders>
              <w:top w:val="nil"/>
              <w:left w:val="nil"/>
              <w:bottom w:val="nil"/>
              <w:right w:val="nil"/>
            </w:tcBorders>
            <w:tcMar>
              <w:top w:w="0" w:type="dxa"/>
              <w:left w:w="108" w:type="dxa"/>
              <w:bottom w:w="0" w:type="dxa"/>
              <w:right w:w="108" w:type="dxa"/>
            </w:tcMar>
          </w:tcPr>
          <w:p w:rsidR="005D6812" w:rsidRDefault="00AB2A2B">
            <w:pPr>
              <w:pStyle w:val="Figures7pItalicRight025"/>
              <w:rPr>
                <w:rFonts w:eastAsia="Times New Roman" w:cs="Verdana"/>
              </w:rPr>
            </w:pPr>
            <w:r>
              <w:rPr>
                <w:rFonts w:eastAsia="Times New Roman" w:cs="Verdana"/>
              </w:rPr>
              <w:t xml:space="preserve"> 4</w:t>
            </w: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7pItalicRight025"/>
              <w:rPr>
                <w:rFonts w:eastAsia="Times New Roman" w:cs="Verdana"/>
              </w:rPr>
            </w:pPr>
            <w:r>
              <w:rPr>
                <w:rFonts w:eastAsia="Times New Roman" w:cs="Verdana"/>
              </w:rPr>
              <w:t xml:space="preserve"> 23</w:t>
            </w:r>
          </w:p>
        </w:tc>
        <w:tc>
          <w:tcPr>
            <w:tcW w:w="1417" w:type="dxa"/>
            <w:tcBorders>
              <w:top w:val="nil"/>
              <w:left w:val="nil"/>
              <w:bottom w:val="nil"/>
              <w:right w:val="nil"/>
            </w:tcBorders>
            <w:tcMar>
              <w:top w:w="0" w:type="dxa"/>
              <w:left w:w="108" w:type="dxa"/>
              <w:bottom w:w="0" w:type="dxa"/>
              <w:right w:w="108" w:type="dxa"/>
            </w:tcMar>
          </w:tcPr>
          <w:p w:rsidR="005D6812" w:rsidRDefault="00AB2A2B">
            <w:pPr>
              <w:pStyle w:val="Figures7pItalicRight025"/>
              <w:rPr>
                <w:rFonts w:eastAsia="Times New Roman" w:cs="Verdana"/>
              </w:rPr>
            </w:pPr>
            <w:r>
              <w:rPr>
                <w:rFonts w:eastAsia="Times New Roman" w:cs="Verdana"/>
              </w:rPr>
              <w:t xml:space="preserve"> 20</w:t>
            </w:r>
          </w:p>
        </w:tc>
      </w:tr>
      <w:tr w:rsidR="005D6812">
        <w:tc>
          <w:tcPr>
            <w:tcW w:w="2376"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Recovery of STABEX funds</w:t>
            </w:r>
          </w:p>
        </w:tc>
        <w:tc>
          <w:tcPr>
            <w:tcW w:w="851" w:type="dxa"/>
            <w:tcBorders>
              <w:top w:val="nil"/>
              <w:left w:val="nil"/>
              <w:bottom w:val="nil"/>
              <w:right w:val="nil"/>
            </w:tcBorders>
            <w:tcMar>
              <w:top w:w="0" w:type="dxa"/>
              <w:left w:w="108" w:type="dxa"/>
              <w:bottom w:w="0" w:type="dxa"/>
              <w:right w:w="108" w:type="dxa"/>
            </w:tcMar>
          </w:tcPr>
          <w:p w:rsidR="005D6812" w:rsidRDefault="00AB2A2B">
            <w:pPr>
              <w:pStyle w:val="Figures7pItalicRight025"/>
              <w:rPr>
                <w:rFonts w:eastAsia="Times New Roman" w:cs="Verdana"/>
              </w:rPr>
            </w:pPr>
            <w:r>
              <w:rPr>
                <w:rFonts w:eastAsia="Times New Roman" w:cs="Verdana"/>
              </w:rPr>
              <w:t>3.1.1</w:t>
            </w:r>
          </w:p>
        </w:tc>
        <w:tc>
          <w:tcPr>
            <w:tcW w:w="992" w:type="dxa"/>
            <w:tcBorders>
              <w:top w:val="nil"/>
              <w:left w:val="nil"/>
              <w:bottom w:val="nil"/>
              <w:right w:val="nil"/>
            </w:tcBorders>
            <w:tcMar>
              <w:top w:w="0" w:type="dxa"/>
              <w:left w:w="108" w:type="dxa"/>
              <w:bottom w:w="0" w:type="dxa"/>
              <w:right w:w="108" w:type="dxa"/>
            </w:tcMar>
          </w:tcPr>
          <w:p w:rsidR="005D6812" w:rsidRDefault="00AB2A2B">
            <w:pPr>
              <w:pStyle w:val="Figures7pItalicRight025"/>
              <w:rPr>
                <w:rFonts w:eastAsia="Times New Roman" w:cs="Verdana"/>
              </w:rPr>
            </w:pPr>
            <w:r>
              <w:rPr>
                <w:rFonts w:eastAsia="Times New Roman" w:cs="Verdana"/>
              </w:rPr>
              <w:t xml:space="preserve"> 1</w:t>
            </w:r>
          </w:p>
        </w:tc>
        <w:tc>
          <w:tcPr>
            <w:tcW w:w="992" w:type="dxa"/>
            <w:tcBorders>
              <w:top w:val="nil"/>
              <w:left w:val="nil"/>
              <w:bottom w:val="nil"/>
              <w:right w:val="nil"/>
            </w:tcBorders>
            <w:tcMar>
              <w:top w:w="0" w:type="dxa"/>
              <w:left w:w="108" w:type="dxa"/>
              <w:bottom w:w="0" w:type="dxa"/>
              <w:right w:w="108" w:type="dxa"/>
            </w:tcMar>
          </w:tcPr>
          <w:p w:rsidR="005D6812" w:rsidRDefault="00AB2A2B">
            <w:pPr>
              <w:pStyle w:val="Figures7pItalicRight025"/>
              <w:rPr>
                <w:rFonts w:eastAsia="Times New Roman" w:cs="Verdana"/>
              </w:rPr>
            </w:pPr>
            <w:r>
              <w:rPr>
                <w:rFonts w:eastAsia="Times New Roman" w:cs="Verdana"/>
              </w:rPr>
              <w:t>–</w:t>
            </w:r>
          </w:p>
        </w:tc>
        <w:tc>
          <w:tcPr>
            <w:tcW w:w="993" w:type="dxa"/>
            <w:tcBorders>
              <w:top w:val="nil"/>
              <w:left w:val="nil"/>
              <w:bottom w:val="nil"/>
              <w:right w:val="nil"/>
            </w:tcBorders>
            <w:tcMar>
              <w:top w:w="0" w:type="dxa"/>
              <w:left w:w="108" w:type="dxa"/>
              <w:bottom w:w="0" w:type="dxa"/>
              <w:right w:w="108" w:type="dxa"/>
            </w:tcMar>
          </w:tcPr>
          <w:p w:rsidR="005D6812" w:rsidRDefault="00AB2A2B">
            <w:pPr>
              <w:pStyle w:val="Figures7pItalicRight025"/>
              <w:rPr>
                <w:rFonts w:eastAsia="Times New Roman" w:cs="Verdana"/>
              </w:rPr>
            </w:pPr>
            <w:r>
              <w:rPr>
                <w:rFonts w:eastAsia="Times New Roman" w:cs="Verdana"/>
              </w:rPr>
              <w:t>–</w:t>
            </w:r>
          </w:p>
        </w:tc>
        <w:tc>
          <w:tcPr>
            <w:tcW w:w="850" w:type="dxa"/>
            <w:tcBorders>
              <w:top w:val="nil"/>
              <w:left w:val="nil"/>
              <w:bottom w:val="nil"/>
              <w:right w:val="nil"/>
            </w:tcBorders>
            <w:tcMar>
              <w:top w:w="0" w:type="dxa"/>
              <w:left w:w="108" w:type="dxa"/>
              <w:bottom w:w="0" w:type="dxa"/>
              <w:right w:w="108" w:type="dxa"/>
            </w:tcMar>
          </w:tcPr>
          <w:p w:rsidR="005D6812" w:rsidRDefault="00AB2A2B">
            <w:pPr>
              <w:pStyle w:val="Figures7pItalicRight025"/>
              <w:rPr>
                <w:rFonts w:eastAsia="Times New Roman" w:cs="Verdana"/>
              </w:rPr>
            </w:pPr>
            <w:r>
              <w:rPr>
                <w:rFonts w:eastAsia="Times New Roman" w:cs="Verdana"/>
              </w:rPr>
              <w:t>–</w:t>
            </w:r>
          </w:p>
        </w:tc>
        <w:tc>
          <w:tcPr>
            <w:tcW w:w="1418" w:type="dxa"/>
            <w:tcBorders>
              <w:top w:val="nil"/>
              <w:left w:val="nil"/>
              <w:bottom w:val="nil"/>
              <w:right w:val="nil"/>
            </w:tcBorders>
            <w:tcMar>
              <w:top w:w="0" w:type="dxa"/>
              <w:left w:w="108" w:type="dxa"/>
              <w:bottom w:w="0" w:type="dxa"/>
              <w:right w:w="108" w:type="dxa"/>
            </w:tcMar>
          </w:tcPr>
          <w:p w:rsidR="005D6812" w:rsidRDefault="00AB2A2B">
            <w:pPr>
              <w:pStyle w:val="Figures7pItalicRight025"/>
              <w:rPr>
                <w:rFonts w:eastAsia="Times New Roman" w:cs="Verdana"/>
              </w:rPr>
            </w:pPr>
            <w:r>
              <w:rPr>
                <w:rFonts w:eastAsia="Times New Roman" w:cs="Verdana"/>
              </w:rPr>
              <w:t xml:space="preserve"> 1</w:t>
            </w:r>
          </w:p>
        </w:tc>
        <w:tc>
          <w:tcPr>
            <w:tcW w:w="1417" w:type="dxa"/>
            <w:tcBorders>
              <w:top w:val="nil"/>
              <w:left w:val="nil"/>
              <w:bottom w:val="nil"/>
              <w:right w:val="nil"/>
            </w:tcBorders>
            <w:tcMar>
              <w:top w:w="0" w:type="dxa"/>
              <w:left w:w="108" w:type="dxa"/>
              <w:bottom w:w="0" w:type="dxa"/>
              <w:right w:w="108" w:type="dxa"/>
            </w:tcMar>
          </w:tcPr>
          <w:p w:rsidR="005D6812" w:rsidRDefault="00AB2A2B">
            <w:pPr>
              <w:pStyle w:val="Figures7pItalicRight025"/>
              <w:rPr>
                <w:rFonts w:eastAsia="Times New Roman" w:cs="Verdana"/>
              </w:rPr>
            </w:pPr>
            <w:r>
              <w:rPr>
                <w:rFonts w:eastAsia="Times New Roman" w:cs="Verdana"/>
              </w:rPr>
              <w:t xml:space="preserve"> 1</w:t>
            </w:r>
          </w:p>
        </w:tc>
      </w:tr>
      <w:tr w:rsidR="005D6812">
        <w:tc>
          <w:tcPr>
            <w:tcW w:w="2376" w:type="dxa"/>
            <w:tcBorders>
              <w:top w:val="nil"/>
              <w:left w:val="nil"/>
              <w:bottom w:val="single" w:sz="4" w:space="0" w:color="FFFFFF"/>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Co-financing revenue</w:t>
            </w:r>
          </w:p>
        </w:tc>
        <w:tc>
          <w:tcPr>
            <w:tcW w:w="851" w:type="dxa"/>
            <w:tcBorders>
              <w:top w:val="nil"/>
              <w:left w:val="nil"/>
              <w:bottom w:val="single" w:sz="4" w:space="0" w:color="FFFFFF"/>
              <w:right w:val="nil"/>
            </w:tcBorders>
            <w:tcMar>
              <w:top w:w="0" w:type="dxa"/>
              <w:left w:w="108" w:type="dxa"/>
              <w:bottom w:w="0" w:type="dxa"/>
              <w:right w:w="108" w:type="dxa"/>
            </w:tcMar>
          </w:tcPr>
          <w:p w:rsidR="005D6812" w:rsidRDefault="00AB2A2B">
            <w:pPr>
              <w:pStyle w:val="Figures7pItalicRight025"/>
              <w:rPr>
                <w:rFonts w:eastAsia="Times New Roman" w:cs="Verdana"/>
              </w:rPr>
            </w:pPr>
            <w:r>
              <w:rPr>
                <w:rFonts w:eastAsia="Times New Roman" w:cs="Verdana"/>
              </w:rPr>
              <w:t>3.1.2</w:t>
            </w:r>
          </w:p>
        </w:tc>
        <w:tc>
          <w:tcPr>
            <w:tcW w:w="992" w:type="dxa"/>
            <w:tcBorders>
              <w:top w:val="nil"/>
              <w:left w:val="nil"/>
              <w:bottom w:val="single" w:sz="4" w:space="0" w:color="FFFFFF"/>
              <w:right w:val="nil"/>
            </w:tcBorders>
            <w:tcMar>
              <w:top w:w="0" w:type="dxa"/>
              <w:left w:w="108" w:type="dxa"/>
              <w:bottom w:w="0" w:type="dxa"/>
              <w:right w:w="108" w:type="dxa"/>
            </w:tcMar>
          </w:tcPr>
          <w:p w:rsidR="005D6812" w:rsidRDefault="00AB2A2B">
            <w:pPr>
              <w:pStyle w:val="Figures7pItalicRight025"/>
              <w:rPr>
                <w:rFonts w:eastAsia="Times New Roman" w:cs="Verdana"/>
              </w:rPr>
            </w:pPr>
            <w:r>
              <w:rPr>
                <w:rFonts w:eastAsia="Times New Roman" w:cs="Verdana"/>
              </w:rPr>
              <w:t>–</w:t>
            </w:r>
          </w:p>
        </w:tc>
        <w:tc>
          <w:tcPr>
            <w:tcW w:w="992" w:type="dxa"/>
            <w:tcBorders>
              <w:top w:val="nil"/>
              <w:left w:val="nil"/>
              <w:bottom w:val="single" w:sz="4" w:space="0" w:color="FFFFFF"/>
              <w:right w:val="nil"/>
            </w:tcBorders>
            <w:tcMar>
              <w:top w:w="0" w:type="dxa"/>
              <w:left w:w="108" w:type="dxa"/>
              <w:bottom w:w="0" w:type="dxa"/>
              <w:right w:w="108" w:type="dxa"/>
            </w:tcMar>
          </w:tcPr>
          <w:p w:rsidR="005D6812" w:rsidRDefault="00AB2A2B">
            <w:pPr>
              <w:pStyle w:val="Figures7pItalicRight025"/>
              <w:rPr>
                <w:rFonts w:eastAsia="Times New Roman" w:cs="Verdana"/>
              </w:rPr>
            </w:pPr>
            <w:r>
              <w:rPr>
                <w:rFonts w:eastAsia="Times New Roman" w:cs="Verdana"/>
              </w:rPr>
              <w:t>–</w:t>
            </w:r>
          </w:p>
        </w:tc>
        <w:tc>
          <w:tcPr>
            <w:tcW w:w="993" w:type="dxa"/>
            <w:tcBorders>
              <w:top w:val="nil"/>
              <w:left w:val="nil"/>
              <w:bottom w:val="single" w:sz="4" w:space="0" w:color="FFFFFF"/>
              <w:right w:val="nil"/>
            </w:tcBorders>
            <w:tcMar>
              <w:top w:w="0" w:type="dxa"/>
              <w:left w:w="108" w:type="dxa"/>
              <w:bottom w:w="0" w:type="dxa"/>
              <w:right w:w="108" w:type="dxa"/>
            </w:tcMar>
          </w:tcPr>
          <w:p w:rsidR="005D6812" w:rsidRDefault="00AB2A2B">
            <w:pPr>
              <w:pStyle w:val="Figures7pItalicRight025"/>
              <w:rPr>
                <w:rFonts w:eastAsia="Times New Roman" w:cs="Verdana"/>
              </w:rPr>
            </w:pPr>
            <w:r>
              <w:rPr>
                <w:rFonts w:eastAsia="Times New Roman" w:cs="Verdana"/>
              </w:rPr>
              <w:t xml:space="preserve"> (15)</w:t>
            </w:r>
          </w:p>
        </w:tc>
        <w:tc>
          <w:tcPr>
            <w:tcW w:w="850" w:type="dxa"/>
            <w:tcBorders>
              <w:top w:val="nil"/>
              <w:left w:val="nil"/>
              <w:bottom w:val="single" w:sz="4" w:space="0" w:color="FFFFFF"/>
              <w:right w:val="nil"/>
            </w:tcBorders>
            <w:tcMar>
              <w:top w:w="0" w:type="dxa"/>
              <w:left w:w="108" w:type="dxa"/>
              <w:bottom w:w="0" w:type="dxa"/>
              <w:right w:w="108" w:type="dxa"/>
            </w:tcMar>
          </w:tcPr>
          <w:p w:rsidR="005D6812" w:rsidRDefault="00AB2A2B">
            <w:pPr>
              <w:pStyle w:val="Figures7pItalicRight025"/>
              <w:rPr>
                <w:rFonts w:eastAsia="Times New Roman" w:cs="Verdana"/>
              </w:rPr>
            </w:pPr>
            <w:r>
              <w:rPr>
                <w:rFonts w:eastAsia="Times New Roman" w:cs="Verdana"/>
              </w:rPr>
              <w:t>–</w:t>
            </w:r>
          </w:p>
        </w:tc>
        <w:tc>
          <w:tcPr>
            <w:tcW w:w="1418" w:type="dxa"/>
            <w:tcBorders>
              <w:top w:val="nil"/>
              <w:left w:val="nil"/>
              <w:bottom w:val="single" w:sz="4" w:space="0" w:color="FFFFFF"/>
              <w:right w:val="nil"/>
            </w:tcBorders>
            <w:tcMar>
              <w:top w:w="0" w:type="dxa"/>
              <w:left w:w="108" w:type="dxa"/>
              <w:bottom w:w="0" w:type="dxa"/>
              <w:right w:w="108" w:type="dxa"/>
            </w:tcMar>
          </w:tcPr>
          <w:p w:rsidR="005D6812" w:rsidRDefault="00AB2A2B">
            <w:pPr>
              <w:pStyle w:val="Figures7pItalicRight025"/>
              <w:rPr>
                <w:rFonts w:eastAsia="Times New Roman" w:cs="Verdana"/>
              </w:rPr>
            </w:pPr>
            <w:r>
              <w:rPr>
                <w:rFonts w:eastAsia="Times New Roman" w:cs="Verdana"/>
              </w:rPr>
              <w:t xml:space="preserve"> (15)</w:t>
            </w:r>
          </w:p>
        </w:tc>
        <w:tc>
          <w:tcPr>
            <w:tcW w:w="1417" w:type="dxa"/>
            <w:tcBorders>
              <w:top w:val="nil"/>
              <w:left w:val="nil"/>
              <w:bottom w:val="single" w:sz="4" w:space="0" w:color="FFFFFF"/>
              <w:right w:val="nil"/>
            </w:tcBorders>
            <w:tcMar>
              <w:top w:w="0" w:type="dxa"/>
              <w:left w:w="108" w:type="dxa"/>
              <w:bottom w:w="0" w:type="dxa"/>
              <w:right w:w="108" w:type="dxa"/>
            </w:tcMar>
          </w:tcPr>
          <w:p w:rsidR="005D6812" w:rsidRDefault="00AB2A2B">
            <w:pPr>
              <w:pStyle w:val="Figures7pItalicRight025"/>
              <w:rPr>
                <w:rFonts w:eastAsia="Times New Roman" w:cs="Verdana"/>
              </w:rPr>
            </w:pPr>
            <w:r>
              <w:rPr>
                <w:rFonts w:eastAsia="Times New Roman" w:cs="Verdana"/>
              </w:rPr>
              <w:t xml:space="preserve"> 69</w:t>
            </w:r>
          </w:p>
        </w:tc>
      </w:tr>
      <w:tr w:rsidR="005D6812">
        <w:tc>
          <w:tcPr>
            <w:tcW w:w="2376"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Text8pBoldLeft"/>
              <w:rPr>
                <w:rFonts w:eastAsia="Times New Roman" w:cs="Verdana"/>
              </w:rPr>
            </w:pPr>
            <w:r>
              <w:rPr>
                <w:rFonts w:eastAsia="Times New Roman" w:cs="Verdana"/>
              </w:rPr>
              <w:t>Total</w:t>
            </w:r>
          </w:p>
        </w:tc>
        <w:tc>
          <w:tcPr>
            <w:tcW w:w="851"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5D6812">
            <w:pPr>
              <w:pStyle w:val="Figures7pItalicRight025"/>
              <w:rPr>
                <w:rFonts w:eastAsia="Times New Roman" w:cs="Verdana"/>
              </w:rPr>
            </w:pPr>
          </w:p>
        </w:tc>
        <w:tc>
          <w:tcPr>
            <w:tcW w:w="992"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Figures7pBoldRight025"/>
              <w:rPr>
                <w:rFonts w:eastAsia="Times New Roman" w:cs="Verdana"/>
              </w:rPr>
            </w:pPr>
            <w:r>
              <w:rPr>
                <w:rFonts w:eastAsia="Times New Roman" w:cs="Verdana"/>
              </w:rPr>
              <w:t xml:space="preserve"> 1</w:t>
            </w:r>
          </w:p>
        </w:tc>
        <w:tc>
          <w:tcPr>
            <w:tcW w:w="992"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Figures7pBoldRight025"/>
              <w:rPr>
                <w:rFonts w:eastAsia="Times New Roman" w:cs="Verdana"/>
              </w:rPr>
            </w:pPr>
            <w:r>
              <w:rPr>
                <w:rFonts w:eastAsia="Times New Roman" w:cs="Verdana"/>
              </w:rPr>
              <w:t xml:space="preserve"> 5</w:t>
            </w:r>
          </w:p>
        </w:tc>
        <w:tc>
          <w:tcPr>
            <w:tcW w:w="993"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Figures7pBoldRight025"/>
              <w:rPr>
                <w:rFonts w:eastAsia="Times New Roman" w:cs="Verdana"/>
              </w:rPr>
            </w:pPr>
            <w:r>
              <w:rPr>
                <w:rFonts w:eastAsia="Times New Roman" w:cs="Verdana"/>
              </w:rPr>
              <w:t xml:space="preserve"> (2)</w:t>
            </w:r>
          </w:p>
        </w:tc>
        <w:tc>
          <w:tcPr>
            <w:tcW w:w="850"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Figures7pBoldRight025"/>
              <w:rPr>
                <w:rFonts w:eastAsia="Times New Roman" w:cs="Verdana"/>
              </w:rPr>
            </w:pPr>
            <w:r>
              <w:rPr>
                <w:rFonts w:eastAsia="Times New Roman" w:cs="Verdana"/>
              </w:rPr>
              <w:t xml:space="preserve"> 4</w:t>
            </w:r>
          </w:p>
        </w:tc>
        <w:tc>
          <w:tcPr>
            <w:tcW w:w="1418"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Figures7pBoldRight025"/>
              <w:rPr>
                <w:rFonts w:eastAsia="Times New Roman" w:cs="Verdana"/>
              </w:rPr>
            </w:pPr>
            <w:r>
              <w:rPr>
                <w:rFonts w:eastAsia="Times New Roman" w:cs="Verdana"/>
              </w:rPr>
              <w:t xml:space="preserve"> 8</w:t>
            </w:r>
          </w:p>
        </w:tc>
        <w:tc>
          <w:tcPr>
            <w:tcW w:w="1417" w:type="dxa"/>
            <w:tcBorders>
              <w:top w:val="single" w:sz="4" w:space="0" w:color="016794"/>
              <w:left w:val="nil"/>
              <w:bottom w:val="nil"/>
              <w:right w:val="nil"/>
            </w:tcBorders>
            <w:shd w:val="clear" w:color="auto" w:fill="CBE1EA"/>
            <w:tcMar>
              <w:top w:w="0" w:type="dxa"/>
              <w:left w:w="108" w:type="dxa"/>
              <w:bottom w:w="0" w:type="dxa"/>
              <w:right w:w="108" w:type="dxa"/>
            </w:tcMar>
          </w:tcPr>
          <w:p w:rsidR="005D6812" w:rsidRDefault="00AB2A2B">
            <w:pPr>
              <w:pStyle w:val="Figures7pBoldRight025"/>
              <w:rPr>
                <w:rFonts w:eastAsia="Times New Roman" w:cs="Verdana"/>
              </w:rPr>
            </w:pPr>
            <w:r>
              <w:rPr>
                <w:rFonts w:eastAsia="Times New Roman" w:cs="Verdana"/>
              </w:rPr>
              <w:t xml:space="preserve"> 90</w:t>
            </w:r>
          </w:p>
        </w:tc>
      </w:tr>
    </w:tbl>
    <w:p w:rsidR="005D6812" w:rsidRDefault="00AB2A2B">
      <w:pPr>
        <w:pStyle w:val="Textstand-alone"/>
        <w:spacing w:before="0" w:after="0"/>
      </w:pPr>
      <w:r>
        <w:t xml:space="preserve"> </w:t>
      </w:r>
    </w:p>
    <w:p w:rsidR="005D6812" w:rsidRDefault="00AB2A2B">
      <w:pPr>
        <w:pStyle w:val="Textstand-alone"/>
        <w:spacing w:before="0" w:after="0"/>
      </w:pPr>
      <w:r>
        <w:t xml:space="preserve">The non-exchange revenue can be broken </w:t>
      </w:r>
      <w:r>
        <w:t>down by management mode as follows: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5D6812">
        <w:tc>
          <w:tcPr>
            <w:tcW w:w="5637" w:type="dxa"/>
            <w:tcBorders>
              <w:top w:val="nil"/>
              <w:left w:val="nil"/>
              <w:bottom w:val="nil"/>
              <w:right w:val="nil"/>
            </w:tcBorders>
            <w:tcMar>
              <w:top w:w="0" w:type="dxa"/>
              <w:left w:w="108" w:type="dxa"/>
              <w:bottom w:w="0" w:type="dxa"/>
              <w:right w:w="108" w:type="dxa"/>
            </w:tcMar>
          </w:tcPr>
          <w:p w:rsidR="005D6812" w:rsidRDefault="005D6812">
            <w:pPr>
              <w:pStyle w:val="Text8pItalicLeft"/>
              <w:rPr>
                <w:rFonts w:eastAsia="Times New Roman" w:cs="Verdana"/>
                <w:color w:val="FFFFFF"/>
              </w:rPr>
            </w:pPr>
            <w:bookmarkStart w:id="274" w:name="DOC_TBL00037_1_1"/>
            <w:bookmarkEnd w:id="274"/>
          </w:p>
        </w:tc>
        <w:tc>
          <w:tcPr>
            <w:tcW w:w="2126" w:type="dxa"/>
            <w:tcBorders>
              <w:top w:val="nil"/>
              <w:left w:val="nil"/>
              <w:bottom w:val="nil"/>
              <w:right w:val="nil"/>
            </w:tcBorders>
            <w:tcMar>
              <w:top w:w="0" w:type="dxa"/>
              <w:left w:w="108" w:type="dxa"/>
              <w:bottom w:w="0" w:type="dxa"/>
              <w:right w:w="108" w:type="dxa"/>
            </w:tcMar>
          </w:tcPr>
          <w:p w:rsidR="005D6812" w:rsidRDefault="005D6812">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rsidR="005D6812" w:rsidRDefault="00AB2A2B">
            <w:pPr>
              <w:pStyle w:val="Text8pItalicRight025EUR"/>
              <w:rPr>
                <w:rFonts w:eastAsia="Times New Roman" w:cs="Verdana"/>
              </w:rPr>
            </w:pPr>
            <w:r>
              <w:rPr>
                <w:rFonts w:eastAsia="Times New Roman" w:cs="Verdana"/>
              </w:rPr>
              <w:t>EUR millions</w:t>
            </w:r>
          </w:p>
        </w:tc>
      </w:tr>
      <w:tr w:rsidR="005D6812">
        <w:tc>
          <w:tcPr>
            <w:tcW w:w="5637"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2016</w:t>
            </w:r>
          </w:p>
        </w:tc>
        <w:tc>
          <w:tcPr>
            <w:tcW w:w="1985"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2015</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Direct Management</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6</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61</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Indented"/>
              <w:ind w:left="200"/>
              <w:rPr>
                <w:rFonts w:eastAsia="Times New Roman" w:cs="Verdana"/>
              </w:rPr>
            </w:pPr>
            <w:r>
              <w:rPr>
                <w:rFonts w:eastAsia="Times New Roman" w:cs="Verdana"/>
              </w:rPr>
              <w:t>Implemented by:</w:t>
            </w:r>
          </w:p>
        </w:tc>
        <w:tc>
          <w:tcPr>
            <w:tcW w:w="2126"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Commission</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EU delegations</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5</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58</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Indirect Management</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2</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29</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Indented"/>
              <w:ind w:left="200"/>
              <w:rPr>
                <w:rFonts w:eastAsia="Times New Roman" w:cs="Verdana"/>
              </w:rPr>
            </w:pPr>
            <w:r>
              <w:rPr>
                <w:rFonts w:eastAsia="Times New Roman" w:cs="Verdana"/>
              </w:rPr>
              <w:t>Implemented by :</w:t>
            </w:r>
          </w:p>
        </w:tc>
        <w:tc>
          <w:tcPr>
            <w:tcW w:w="2126"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Third countries</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14</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International organisations</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2</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14</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Public law bodies</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Private law bodies with a public service mission</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w:t>
            </w:r>
          </w:p>
        </w:tc>
      </w:tr>
      <w:tr w:rsidR="005D6812">
        <w:tc>
          <w:tcPr>
            <w:tcW w:w="563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Total</w:t>
            </w:r>
          </w:p>
        </w:tc>
        <w:tc>
          <w:tcPr>
            <w:tcW w:w="212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8</w:t>
            </w:r>
          </w:p>
        </w:tc>
        <w:tc>
          <w:tcPr>
            <w:tcW w:w="198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90</w:t>
            </w:r>
          </w:p>
        </w:tc>
      </w:tr>
    </w:tbl>
    <w:p w:rsidR="005D6812" w:rsidRDefault="00AB2A2B">
      <w:pPr>
        <w:pStyle w:val="HEADER3Part2"/>
        <w:rPr>
          <w:noProof/>
        </w:rPr>
      </w:pPr>
      <w:r>
        <w:rPr>
          <w:noProof/>
        </w:rPr>
        <w:t>Recovery of STABEX funds</w:t>
      </w:r>
    </w:p>
    <w:p w:rsidR="005D6812" w:rsidRDefault="00AB2A2B">
      <w:pPr>
        <w:pStyle w:val="Textstand-alone"/>
      </w:pPr>
      <w:r>
        <w:t xml:space="preserve">During 2016, EUR 1 million was returned to the EDF from double signature accounts in ACP countries. These revenues are included </w:t>
      </w:r>
      <w:r>
        <w:t>under revenue from non-exchange transactions (recovery of STABEX funds) in the statement of financial performance of the Eighth EDF.</w:t>
      </w:r>
    </w:p>
    <w:p w:rsidR="005D6812" w:rsidRDefault="00AB2A2B">
      <w:pPr>
        <w:pStyle w:val="HEADER3Part2"/>
        <w:rPr>
          <w:noProof/>
        </w:rPr>
      </w:pPr>
      <w:r>
        <w:rPr>
          <w:noProof/>
        </w:rPr>
        <w:t>Co-financing revenue</w:t>
      </w:r>
    </w:p>
    <w:p w:rsidR="005D6812" w:rsidRDefault="00AB2A2B">
      <w:pPr>
        <w:pStyle w:val="Textstand-alone"/>
      </w:pPr>
      <w:r>
        <w:t>The co</w:t>
      </w:r>
      <w:r>
        <w:noBreakHyphen/>
        <w:t>financing contributions received fulfil the criteria of revenues from non-exchange transactions</w:t>
      </w:r>
      <w:r>
        <w:t xml:space="preserve"> under conditions and as such should not affect the statement of financial performance. The received contributions remain under liabilities (see note </w:t>
      </w:r>
      <w:r>
        <w:rPr>
          <w:b/>
        </w:rPr>
        <w:t>2.7.2.1</w:t>
      </w:r>
      <w:r>
        <w:t>) until the conditions attached to the donated funds are met, i.e. eligible expenses are incurred (</w:t>
      </w:r>
      <w:r>
        <w:t xml:space="preserve">see note </w:t>
      </w:r>
      <w:r>
        <w:rPr>
          <w:b/>
        </w:rPr>
        <w:t>3.4</w:t>
      </w:r>
      <w:r>
        <w:t>). The corresponding amount is then recognised as non-exchange revenue from co</w:t>
      </w:r>
      <w:r>
        <w:noBreakHyphen/>
        <w:t>financing. Consequently the effect on economic result of the year is nil.</w:t>
      </w:r>
    </w:p>
    <w:p w:rsidR="005D6812" w:rsidRDefault="005D6812">
      <w:pPr>
        <w:pStyle w:val="Textstand-alone"/>
      </w:pPr>
    </w:p>
    <w:p w:rsidR="005D6812" w:rsidRDefault="005D6812">
      <w:pPr>
        <w:pStyle w:val="Textstand-alone"/>
      </w:pPr>
    </w:p>
    <w:p w:rsidR="005D6812" w:rsidRDefault="00AB2A2B">
      <w:pPr>
        <w:pStyle w:val="HEADER2Part2"/>
        <w:rPr>
          <w:noProof/>
        </w:rPr>
      </w:pPr>
      <w:r>
        <w:rPr>
          <w:noProof/>
        </w:rPr>
        <w:t>REVENUE FROM EXCHANGE TRANSACTIONS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077"/>
        <w:gridCol w:w="1191"/>
        <w:gridCol w:w="1134"/>
        <w:gridCol w:w="1134"/>
        <w:gridCol w:w="1192"/>
        <w:gridCol w:w="1218"/>
      </w:tblGrid>
      <w:tr w:rsidR="005D6812">
        <w:tc>
          <w:tcPr>
            <w:tcW w:w="2943" w:type="dxa"/>
            <w:tcBorders>
              <w:top w:val="nil"/>
              <w:left w:val="nil"/>
              <w:bottom w:val="nil"/>
              <w:right w:val="nil"/>
            </w:tcBorders>
            <w:tcMar>
              <w:top w:w="0" w:type="dxa"/>
              <w:left w:w="108" w:type="dxa"/>
              <w:bottom w:w="0" w:type="dxa"/>
              <w:right w:w="108" w:type="dxa"/>
            </w:tcMar>
          </w:tcPr>
          <w:p w:rsidR="005D6812" w:rsidRDefault="005D6812">
            <w:pPr>
              <w:pStyle w:val="Text8pItalicLeft"/>
              <w:rPr>
                <w:rFonts w:eastAsia="Times New Roman" w:cs="Verdana"/>
                <w:color w:val="FFFFFF"/>
              </w:rPr>
            </w:pPr>
            <w:bookmarkStart w:id="275" w:name="DOC_TBL00038_1_1"/>
            <w:bookmarkEnd w:id="275"/>
          </w:p>
        </w:tc>
        <w:tc>
          <w:tcPr>
            <w:tcW w:w="1077"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92"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218" w:type="dxa"/>
            <w:tcBorders>
              <w:top w:val="nil"/>
              <w:left w:val="nil"/>
              <w:bottom w:val="nil"/>
              <w:right w:val="nil"/>
            </w:tcBorders>
            <w:tcMar>
              <w:top w:w="0" w:type="dxa"/>
              <w:left w:w="108" w:type="dxa"/>
              <w:bottom w:w="0" w:type="dxa"/>
              <w:right w:w="108" w:type="dxa"/>
            </w:tcMar>
          </w:tcPr>
          <w:p w:rsidR="005D6812" w:rsidRDefault="00AB2A2B">
            <w:pPr>
              <w:pStyle w:val="Text7pItalicLeft"/>
              <w:rPr>
                <w:rFonts w:eastAsia="Times New Roman" w:cs="Verdana"/>
              </w:rPr>
            </w:pPr>
            <w:r>
              <w:rPr>
                <w:rFonts w:eastAsia="Times New Roman" w:cs="Verdana"/>
              </w:rPr>
              <w:t>EUR millions</w:t>
            </w:r>
          </w:p>
        </w:tc>
      </w:tr>
      <w:tr w:rsidR="005D6812">
        <w:trPr>
          <w:trHeight w:val="247"/>
        </w:trPr>
        <w:tc>
          <w:tcPr>
            <w:tcW w:w="2943"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9pNormalLeft"/>
              <w:rPr>
                <w:rFonts w:cs="Verdana"/>
                <w:noProof/>
              </w:rPr>
            </w:pPr>
          </w:p>
        </w:tc>
        <w:tc>
          <w:tcPr>
            <w:tcW w:w="1077"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Eighth EDF</w:t>
            </w:r>
          </w:p>
        </w:tc>
        <w:tc>
          <w:tcPr>
            <w:tcW w:w="1191"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Ninth EDF</w:t>
            </w:r>
          </w:p>
        </w:tc>
        <w:tc>
          <w:tcPr>
            <w:tcW w:w="1134"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10th EDF</w:t>
            </w:r>
          </w:p>
        </w:tc>
        <w:tc>
          <w:tcPr>
            <w:tcW w:w="1134"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11th EDF</w:t>
            </w:r>
          </w:p>
        </w:tc>
        <w:tc>
          <w:tcPr>
            <w:tcW w:w="1192"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Right025"/>
              <w:rPr>
                <w:rFonts w:cs="Verdana"/>
                <w:noProof/>
              </w:rPr>
            </w:pPr>
            <w:r>
              <w:rPr>
                <w:rFonts w:cs="Verdana"/>
                <w:noProof/>
              </w:rPr>
              <w:t>2016</w:t>
            </w:r>
          </w:p>
        </w:tc>
        <w:tc>
          <w:tcPr>
            <w:tcW w:w="1218"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Right025"/>
              <w:rPr>
                <w:rFonts w:cs="Verdana"/>
                <w:noProof/>
              </w:rPr>
            </w:pPr>
            <w:r>
              <w:rPr>
                <w:rFonts w:cs="Verdana"/>
                <w:noProof/>
              </w:rPr>
              <w:t>2015</w:t>
            </w:r>
          </w:p>
        </w:tc>
      </w:tr>
      <w:tr w:rsidR="005D6812">
        <w:trPr>
          <w:trHeight w:val="247"/>
        </w:trPr>
        <w:tc>
          <w:tcPr>
            <w:tcW w:w="2943"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Financial income</w:t>
            </w:r>
          </w:p>
        </w:tc>
        <w:tc>
          <w:tcPr>
            <w:tcW w:w="107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2</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2</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w:t>
            </w:r>
          </w:p>
        </w:tc>
        <w:tc>
          <w:tcPr>
            <w:tcW w:w="1192"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w:t>
            </w:r>
          </w:p>
        </w:tc>
        <w:tc>
          <w:tcPr>
            <w:tcW w:w="1218"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8</w:t>
            </w:r>
          </w:p>
        </w:tc>
      </w:tr>
      <w:tr w:rsidR="005D6812">
        <w:trPr>
          <w:trHeight w:val="247"/>
        </w:trPr>
        <w:tc>
          <w:tcPr>
            <w:tcW w:w="2943"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Other income</w:t>
            </w:r>
          </w:p>
        </w:tc>
        <w:tc>
          <w:tcPr>
            <w:tcW w:w="107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2</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17</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40</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w:t>
            </w:r>
          </w:p>
        </w:tc>
        <w:tc>
          <w:tcPr>
            <w:tcW w:w="1192"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62</w:t>
            </w:r>
          </w:p>
        </w:tc>
        <w:tc>
          <w:tcPr>
            <w:tcW w:w="1218"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42</w:t>
            </w:r>
          </w:p>
        </w:tc>
      </w:tr>
      <w:tr w:rsidR="005D6812">
        <w:trPr>
          <w:trHeight w:val="247"/>
        </w:trPr>
        <w:tc>
          <w:tcPr>
            <w:tcW w:w="294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Total</w:t>
            </w:r>
          </w:p>
        </w:tc>
        <w:tc>
          <w:tcPr>
            <w:tcW w:w="107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2</w:t>
            </w:r>
          </w:p>
        </w:tc>
        <w:tc>
          <w:tcPr>
            <w:tcW w:w="119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19</w:t>
            </w:r>
          </w:p>
        </w:tc>
        <w:tc>
          <w:tcPr>
            <w:tcW w:w="1134"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43</w:t>
            </w:r>
          </w:p>
        </w:tc>
        <w:tc>
          <w:tcPr>
            <w:tcW w:w="1134"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2</w:t>
            </w:r>
          </w:p>
        </w:tc>
        <w:tc>
          <w:tcPr>
            <w:tcW w:w="119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66</w:t>
            </w:r>
          </w:p>
        </w:tc>
        <w:tc>
          <w:tcPr>
            <w:tcW w:w="12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50</w:t>
            </w:r>
          </w:p>
        </w:tc>
      </w:tr>
    </w:tbl>
    <w:p w:rsidR="005D6812" w:rsidRDefault="005D6812">
      <w:pPr>
        <w:pStyle w:val="Textstand-alone"/>
        <w:spacing w:before="0"/>
        <w:rPr>
          <w:lang w:bidi="en-GB"/>
        </w:rPr>
      </w:pPr>
    </w:p>
    <w:p w:rsidR="005D6812" w:rsidRDefault="00AB2A2B">
      <w:pPr>
        <w:pStyle w:val="Textstand-alone"/>
        <w:spacing w:before="0"/>
      </w:pPr>
      <w:r>
        <w:t>The financial income largely comprises interest on pre-financing that in 2016 amounted to EUR 3 million</w:t>
      </w:r>
      <w:r>
        <w:rPr>
          <w:rStyle w:val="FootnoteReference"/>
        </w:rPr>
        <w:footnoteReference w:id="12"/>
      </w:r>
      <w:r>
        <w:t xml:space="preserve"> (2015: EUR 7 million).</w:t>
      </w:r>
    </w:p>
    <w:p w:rsidR="005D6812" w:rsidRDefault="00AB2A2B">
      <w:pPr>
        <w:pStyle w:val="Textstand-alone"/>
        <w:keepNext/>
        <w:keepLines/>
        <w:spacing w:before="0"/>
      </w:pPr>
      <w:r>
        <w:t xml:space="preserve">Other income entirely relates to the realised and unrealised foreign exchange gains. </w:t>
      </w:r>
      <w:bookmarkEnd w:id="271"/>
    </w:p>
    <w:p w:rsidR="005D6812" w:rsidRDefault="00AB2A2B">
      <w:pPr>
        <w:pStyle w:val="HEADERTITLE"/>
      </w:pPr>
      <w:bookmarkStart w:id="276" w:name="_Toc484164216"/>
      <w:bookmarkStart w:id="277" w:name="_Toc484164238"/>
      <w:bookmarkStart w:id="278" w:name="_DMBM_9467"/>
      <w:r>
        <w:t>EXPENSES</w:t>
      </w:r>
      <w:bookmarkEnd w:id="276"/>
      <w:bookmarkEnd w:id="277"/>
    </w:p>
    <w:p w:rsidR="005D6812" w:rsidRDefault="00AB2A2B">
      <w:pPr>
        <w:pStyle w:val="HEADER2Part2"/>
        <w:rPr>
          <w:noProof/>
        </w:rPr>
      </w:pPr>
      <w:r>
        <w:rPr>
          <w:noProof/>
        </w:rPr>
        <w:t>AID INSTRUMENTS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077"/>
        <w:gridCol w:w="1191"/>
        <w:gridCol w:w="1134"/>
        <w:gridCol w:w="1134"/>
        <w:gridCol w:w="1192"/>
        <w:gridCol w:w="1218"/>
      </w:tblGrid>
      <w:tr w:rsidR="005D6812">
        <w:trPr>
          <w:cantSplit/>
        </w:trPr>
        <w:tc>
          <w:tcPr>
            <w:tcW w:w="2943" w:type="dxa"/>
            <w:tcBorders>
              <w:top w:val="nil"/>
              <w:left w:val="nil"/>
              <w:bottom w:val="nil"/>
              <w:right w:val="nil"/>
            </w:tcBorders>
            <w:tcMar>
              <w:top w:w="0" w:type="dxa"/>
              <w:left w:w="108" w:type="dxa"/>
              <w:bottom w:w="0" w:type="dxa"/>
              <w:right w:w="108" w:type="dxa"/>
            </w:tcMar>
          </w:tcPr>
          <w:p w:rsidR="005D6812" w:rsidRDefault="005D6812">
            <w:pPr>
              <w:pStyle w:val="Text8pItalicLeft"/>
              <w:rPr>
                <w:rFonts w:eastAsia="Times New Roman" w:cs="Verdana"/>
                <w:color w:val="FFFFFF"/>
              </w:rPr>
            </w:pPr>
            <w:bookmarkStart w:id="279" w:name="DOC_TBL00039_1_1"/>
            <w:bookmarkEnd w:id="279"/>
          </w:p>
        </w:tc>
        <w:tc>
          <w:tcPr>
            <w:tcW w:w="1077"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92"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218" w:type="dxa"/>
            <w:tcBorders>
              <w:top w:val="nil"/>
              <w:left w:val="nil"/>
              <w:bottom w:val="nil"/>
              <w:right w:val="nil"/>
            </w:tcBorders>
            <w:tcMar>
              <w:top w:w="0" w:type="dxa"/>
              <w:left w:w="108" w:type="dxa"/>
              <w:bottom w:w="0" w:type="dxa"/>
              <w:right w:w="108" w:type="dxa"/>
            </w:tcMar>
          </w:tcPr>
          <w:p w:rsidR="005D6812" w:rsidRDefault="00AB2A2B">
            <w:pPr>
              <w:pStyle w:val="Text7pItalicLeft"/>
              <w:rPr>
                <w:rFonts w:eastAsia="Times New Roman" w:cs="Verdana"/>
              </w:rPr>
            </w:pPr>
            <w:r>
              <w:rPr>
                <w:rFonts w:eastAsia="Times New Roman" w:cs="Verdana"/>
              </w:rPr>
              <w:t>EUR millions</w:t>
            </w:r>
          </w:p>
        </w:tc>
      </w:tr>
      <w:tr w:rsidR="005D6812">
        <w:trPr>
          <w:cantSplit/>
          <w:trHeight w:val="247"/>
        </w:trPr>
        <w:tc>
          <w:tcPr>
            <w:tcW w:w="2943"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9pNormalLeft"/>
              <w:rPr>
                <w:rFonts w:cs="Verdana"/>
                <w:noProof/>
              </w:rPr>
            </w:pPr>
          </w:p>
        </w:tc>
        <w:tc>
          <w:tcPr>
            <w:tcW w:w="1077"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Eighth EDF</w:t>
            </w:r>
          </w:p>
        </w:tc>
        <w:tc>
          <w:tcPr>
            <w:tcW w:w="1191"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Ninth EDF</w:t>
            </w:r>
          </w:p>
        </w:tc>
        <w:tc>
          <w:tcPr>
            <w:tcW w:w="1134"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10th EDF</w:t>
            </w:r>
          </w:p>
        </w:tc>
        <w:tc>
          <w:tcPr>
            <w:tcW w:w="1134"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11th EDF</w:t>
            </w:r>
          </w:p>
        </w:tc>
        <w:tc>
          <w:tcPr>
            <w:tcW w:w="1192"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Right025"/>
              <w:rPr>
                <w:rFonts w:cs="Verdana"/>
                <w:noProof/>
              </w:rPr>
            </w:pPr>
            <w:r>
              <w:rPr>
                <w:rFonts w:cs="Verdana"/>
                <w:noProof/>
              </w:rPr>
              <w:t>2016</w:t>
            </w:r>
          </w:p>
        </w:tc>
        <w:tc>
          <w:tcPr>
            <w:tcW w:w="1218"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Right025"/>
              <w:rPr>
                <w:rFonts w:cs="Verdana"/>
                <w:noProof/>
              </w:rPr>
            </w:pPr>
            <w:r>
              <w:rPr>
                <w:rFonts w:cs="Verdana"/>
                <w:noProof/>
              </w:rPr>
              <w:t>2015</w:t>
            </w:r>
          </w:p>
        </w:tc>
      </w:tr>
      <w:tr w:rsidR="005D6812">
        <w:trPr>
          <w:cantSplit/>
          <w:trHeight w:val="247"/>
        </w:trPr>
        <w:tc>
          <w:tcPr>
            <w:tcW w:w="2943"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Programmable aid</w:t>
            </w:r>
          </w:p>
        </w:tc>
        <w:tc>
          <w:tcPr>
            <w:tcW w:w="107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1 007</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746</w:t>
            </w:r>
          </w:p>
        </w:tc>
        <w:tc>
          <w:tcPr>
            <w:tcW w:w="1192"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1 751</w:t>
            </w:r>
          </w:p>
        </w:tc>
        <w:tc>
          <w:tcPr>
            <w:tcW w:w="1218"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1 971</w:t>
            </w:r>
          </w:p>
        </w:tc>
      </w:tr>
      <w:tr w:rsidR="005D6812">
        <w:trPr>
          <w:cantSplit/>
          <w:trHeight w:val="247"/>
        </w:trPr>
        <w:tc>
          <w:tcPr>
            <w:tcW w:w="2943"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Macro-economic support</w:t>
            </w:r>
          </w:p>
        </w:tc>
        <w:tc>
          <w:tcPr>
            <w:tcW w:w="107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39</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92"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39</w:t>
            </w:r>
          </w:p>
        </w:tc>
        <w:tc>
          <w:tcPr>
            <w:tcW w:w="1218"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51</w:t>
            </w:r>
          </w:p>
        </w:tc>
      </w:tr>
      <w:tr w:rsidR="005D6812">
        <w:trPr>
          <w:cantSplit/>
          <w:trHeight w:val="247"/>
        </w:trPr>
        <w:tc>
          <w:tcPr>
            <w:tcW w:w="2943"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Sectoral policy</w:t>
            </w:r>
          </w:p>
        </w:tc>
        <w:tc>
          <w:tcPr>
            <w:tcW w:w="107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18</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92"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18</w:t>
            </w:r>
          </w:p>
        </w:tc>
        <w:tc>
          <w:tcPr>
            <w:tcW w:w="1218"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(24)</w:t>
            </w:r>
          </w:p>
        </w:tc>
      </w:tr>
      <w:tr w:rsidR="005D6812">
        <w:trPr>
          <w:cantSplit/>
          <w:trHeight w:val="247"/>
        </w:trPr>
        <w:tc>
          <w:tcPr>
            <w:tcW w:w="2943"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Intra ACP projects</w:t>
            </w:r>
          </w:p>
        </w:tc>
        <w:tc>
          <w:tcPr>
            <w:tcW w:w="107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41</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301</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351</w:t>
            </w:r>
          </w:p>
        </w:tc>
        <w:tc>
          <w:tcPr>
            <w:tcW w:w="1192"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693</w:t>
            </w:r>
          </w:p>
        </w:tc>
        <w:tc>
          <w:tcPr>
            <w:tcW w:w="1218"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746</w:t>
            </w:r>
          </w:p>
        </w:tc>
      </w:tr>
      <w:tr w:rsidR="005D6812">
        <w:trPr>
          <w:cantSplit/>
          <w:trHeight w:val="247"/>
        </w:trPr>
        <w:tc>
          <w:tcPr>
            <w:tcW w:w="2943"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Interest rate subsidies</w:t>
            </w:r>
          </w:p>
        </w:tc>
        <w:tc>
          <w:tcPr>
            <w:tcW w:w="107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92"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w:t>
            </w:r>
          </w:p>
        </w:tc>
        <w:tc>
          <w:tcPr>
            <w:tcW w:w="1218"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(6)</w:t>
            </w:r>
          </w:p>
        </w:tc>
      </w:tr>
      <w:tr w:rsidR="005D6812">
        <w:trPr>
          <w:cantSplit/>
          <w:trHeight w:val="247"/>
        </w:trPr>
        <w:tc>
          <w:tcPr>
            <w:tcW w:w="2943"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Emergency aid</w:t>
            </w:r>
          </w:p>
        </w:tc>
        <w:tc>
          <w:tcPr>
            <w:tcW w:w="107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98</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300</w:t>
            </w:r>
          </w:p>
        </w:tc>
        <w:tc>
          <w:tcPr>
            <w:tcW w:w="1192"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398</w:t>
            </w:r>
          </w:p>
        </w:tc>
        <w:tc>
          <w:tcPr>
            <w:tcW w:w="1218"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285</w:t>
            </w:r>
          </w:p>
        </w:tc>
      </w:tr>
      <w:tr w:rsidR="005D6812">
        <w:trPr>
          <w:cantSplit/>
          <w:trHeight w:val="247"/>
        </w:trPr>
        <w:tc>
          <w:tcPr>
            <w:tcW w:w="2943"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Other aid programmes related to former EDFs</w:t>
            </w:r>
          </w:p>
        </w:tc>
        <w:tc>
          <w:tcPr>
            <w:tcW w:w="107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92"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w:t>
            </w:r>
          </w:p>
        </w:tc>
        <w:tc>
          <w:tcPr>
            <w:tcW w:w="1218"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r>
      <w:tr w:rsidR="005D6812">
        <w:trPr>
          <w:cantSplit/>
          <w:trHeight w:val="247"/>
        </w:trPr>
        <w:tc>
          <w:tcPr>
            <w:tcW w:w="2943"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Institutional support</w:t>
            </w:r>
          </w:p>
        </w:tc>
        <w:tc>
          <w:tcPr>
            <w:tcW w:w="107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5</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33</w:t>
            </w:r>
          </w:p>
        </w:tc>
        <w:tc>
          <w:tcPr>
            <w:tcW w:w="1192"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38</w:t>
            </w:r>
          </w:p>
        </w:tc>
        <w:tc>
          <w:tcPr>
            <w:tcW w:w="1218"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34</w:t>
            </w:r>
          </w:p>
        </w:tc>
      </w:tr>
      <w:tr w:rsidR="005D6812">
        <w:trPr>
          <w:cantSplit/>
          <w:trHeight w:val="247"/>
        </w:trPr>
        <w:tc>
          <w:tcPr>
            <w:tcW w:w="2943"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Compensation export receipts</w:t>
            </w:r>
          </w:p>
        </w:tc>
        <w:tc>
          <w:tcPr>
            <w:tcW w:w="107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92"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1218"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w:t>
            </w:r>
          </w:p>
        </w:tc>
      </w:tr>
      <w:tr w:rsidR="005D6812">
        <w:trPr>
          <w:cantSplit/>
          <w:trHeight w:val="247"/>
        </w:trPr>
        <w:tc>
          <w:tcPr>
            <w:tcW w:w="2943"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Contributions to Trust Funds</w:t>
            </w:r>
          </w:p>
        </w:tc>
        <w:tc>
          <w:tcPr>
            <w:tcW w:w="107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35</w:t>
            </w:r>
          </w:p>
        </w:tc>
        <w:tc>
          <w:tcPr>
            <w:tcW w:w="1192"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35</w:t>
            </w:r>
          </w:p>
        </w:tc>
        <w:tc>
          <w:tcPr>
            <w:tcW w:w="1218"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5</w:t>
            </w:r>
          </w:p>
        </w:tc>
      </w:tr>
      <w:tr w:rsidR="005D6812">
        <w:trPr>
          <w:cantSplit/>
          <w:trHeight w:val="247"/>
        </w:trPr>
        <w:tc>
          <w:tcPr>
            <w:tcW w:w="294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Total</w:t>
            </w:r>
          </w:p>
        </w:tc>
        <w:tc>
          <w:tcPr>
            <w:tcW w:w="107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(2)</w:t>
            </w:r>
          </w:p>
        </w:tc>
        <w:tc>
          <w:tcPr>
            <w:tcW w:w="119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95</w:t>
            </w:r>
          </w:p>
        </w:tc>
        <w:tc>
          <w:tcPr>
            <w:tcW w:w="1134"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1 411</w:t>
            </w:r>
          </w:p>
        </w:tc>
        <w:tc>
          <w:tcPr>
            <w:tcW w:w="1134"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1 465</w:t>
            </w:r>
          </w:p>
        </w:tc>
        <w:tc>
          <w:tcPr>
            <w:tcW w:w="119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2 970</w:t>
            </w:r>
          </w:p>
        </w:tc>
        <w:tc>
          <w:tcPr>
            <w:tcW w:w="12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3 059</w:t>
            </w:r>
          </w:p>
        </w:tc>
      </w:tr>
    </w:tbl>
    <w:p w:rsidR="005D6812" w:rsidRDefault="00AB2A2B">
      <w:pPr>
        <w:pStyle w:val="Textstand-alone"/>
        <w:spacing w:before="0"/>
      </w:pPr>
      <w:r>
        <w:t xml:space="preserve"> </w:t>
      </w:r>
    </w:p>
    <w:p w:rsidR="005D6812" w:rsidRDefault="00AB2A2B">
      <w:pPr>
        <w:pStyle w:val="Textstand-alone"/>
        <w:spacing w:after="0"/>
      </w:pPr>
      <w:r>
        <w:t xml:space="preserve">The EDF operating expenditure covers various aid instruments and takes </w:t>
      </w:r>
      <w:r>
        <w:t>different forms, depending on how the money is paid out and managed.</w:t>
      </w:r>
    </w:p>
    <w:p w:rsidR="005D6812" w:rsidRDefault="00AB2A2B">
      <w:pPr>
        <w:pStyle w:val="HEADER2Part2"/>
        <w:rPr>
          <w:noProof/>
        </w:rPr>
      </w:pPr>
      <w:r>
        <w:rPr>
          <w:noProof/>
        </w:rPr>
        <w:t>CO-FINANCING EXPENSES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077"/>
        <w:gridCol w:w="1191"/>
        <w:gridCol w:w="1134"/>
        <w:gridCol w:w="1134"/>
        <w:gridCol w:w="1192"/>
        <w:gridCol w:w="1218"/>
      </w:tblGrid>
      <w:tr w:rsidR="005D6812">
        <w:tc>
          <w:tcPr>
            <w:tcW w:w="2943" w:type="dxa"/>
            <w:tcBorders>
              <w:top w:val="nil"/>
              <w:left w:val="nil"/>
              <w:bottom w:val="nil"/>
              <w:right w:val="nil"/>
            </w:tcBorders>
            <w:tcMar>
              <w:top w:w="0" w:type="dxa"/>
              <w:left w:w="108" w:type="dxa"/>
              <w:bottom w:w="0" w:type="dxa"/>
              <w:right w:w="108" w:type="dxa"/>
            </w:tcMar>
          </w:tcPr>
          <w:p w:rsidR="005D6812" w:rsidRDefault="005D6812">
            <w:pPr>
              <w:pStyle w:val="Text8pItalicLeft"/>
              <w:rPr>
                <w:rFonts w:eastAsia="Times New Roman" w:cs="Verdana"/>
                <w:color w:val="FFFFFF"/>
              </w:rPr>
            </w:pPr>
            <w:bookmarkStart w:id="280" w:name="DOC_TBL00040_1_1"/>
            <w:bookmarkEnd w:id="280"/>
          </w:p>
        </w:tc>
        <w:tc>
          <w:tcPr>
            <w:tcW w:w="1077"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92"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218" w:type="dxa"/>
            <w:tcBorders>
              <w:top w:val="nil"/>
              <w:left w:val="nil"/>
              <w:bottom w:val="nil"/>
              <w:right w:val="nil"/>
            </w:tcBorders>
            <w:tcMar>
              <w:top w:w="0" w:type="dxa"/>
              <w:left w:w="108" w:type="dxa"/>
              <w:bottom w:w="0" w:type="dxa"/>
              <w:right w:w="108" w:type="dxa"/>
            </w:tcMar>
          </w:tcPr>
          <w:p w:rsidR="005D6812" w:rsidRDefault="00AB2A2B">
            <w:pPr>
              <w:pStyle w:val="Text7pItalicLeft"/>
              <w:rPr>
                <w:rFonts w:eastAsia="Times New Roman" w:cs="Verdana"/>
              </w:rPr>
            </w:pPr>
            <w:r>
              <w:rPr>
                <w:rFonts w:eastAsia="Times New Roman" w:cs="Verdana"/>
              </w:rPr>
              <w:t>EUR millions</w:t>
            </w:r>
          </w:p>
        </w:tc>
      </w:tr>
      <w:tr w:rsidR="005D6812">
        <w:trPr>
          <w:trHeight w:val="247"/>
        </w:trPr>
        <w:tc>
          <w:tcPr>
            <w:tcW w:w="2943"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9pNormalLeft"/>
              <w:rPr>
                <w:rFonts w:cs="Verdana"/>
                <w:noProof/>
              </w:rPr>
            </w:pPr>
          </w:p>
        </w:tc>
        <w:tc>
          <w:tcPr>
            <w:tcW w:w="1077"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Eighth EDF</w:t>
            </w:r>
          </w:p>
        </w:tc>
        <w:tc>
          <w:tcPr>
            <w:tcW w:w="1191"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Ninth EDF</w:t>
            </w:r>
          </w:p>
        </w:tc>
        <w:tc>
          <w:tcPr>
            <w:tcW w:w="1134"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10th EDF</w:t>
            </w:r>
          </w:p>
        </w:tc>
        <w:tc>
          <w:tcPr>
            <w:tcW w:w="1134"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11th EDF</w:t>
            </w:r>
          </w:p>
        </w:tc>
        <w:tc>
          <w:tcPr>
            <w:tcW w:w="1192"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Right025"/>
              <w:rPr>
                <w:rFonts w:cs="Verdana"/>
                <w:noProof/>
              </w:rPr>
            </w:pPr>
            <w:r>
              <w:rPr>
                <w:rFonts w:cs="Verdana"/>
                <w:noProof/>
              </w:rPr>
              <w:t>2016</w:t>
            </w:r>
          </w:p>
        </w:tc>
        <w:tc>
          <w:tcPr>
            <w:tcW w:w="1218"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Right025"/>
              <w:rPr>
                <w:rFonts w:cs="Verdana"/>
                <w:noProof/>
              </w:rPr>
            </w:pPr>
            <w:r>
              <w:rPr>
                <w:rFonts w:cs="Verdana"/>
                <w:noProof/>
              </w:rPr>
              <w:t>2015</w:t>
            </w:r>
          </w:p>
        </w:tc>
      </w:tr>
      <w:tr w:rsidR="005D6812">
        <w:trPr>
          <w:trHeight w:val="247"/>
        </w:trPr>
        <w:tc>
          <w:tcPr>
            <w:tcW w:w="2943"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Co-financing</w:t>
            </w:r>
          </w:p>
        </w:tc>
        <w:tc>
          <w:tcPr>
            <w:tcW w:w="107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(15)</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92"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(15)</w:t>
            </w:r>
          </w:p>
        </w:tc>
        <w:tc>
          <w:tcPr>
            <w:tcW w:w="1218"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69</w:t>
            </w:r>
          </w:p>
        </w:tc>
      </w:tr>
    </w:tbl>
    <w:p w:rsidR="005D6812" w:rsidRDefault="00AB2A2B">
      <w:pPr>
        <w:pStyle w:val="Textstand-alone"/>
      </w:pPr>
      <w:r>
        <w:t xml:space="preserve">Included under this heading are the expenses incurred on </w:t>
      </w:r>
      <w:r>
        <w:t>co-financing projects in 2016. It should be noted that the expenses incurred include estimated amounts related to the cut-off exercise (and consequently reversals of the estimated amounts related to last year). Because the reversals of the 2015 estimated e</w:t>
      </w:r>
      <w:r>
        <w:t>xpenses (EUR 50 million) exceed the expenses incurred in 2016 (EUR 35 million), the co</w:t>
      </w:r>
      <w:r>
        <w:noBreakHyphen/>
        <w:t xml:space="preserve">financing expenses are negative for 2016. Corresponding negative revenue has been recognised in the statement of financial performance (see note </w:t>
      </w:r>
      <w:r>
        <w:rPr>
          <w:b/>
        </w:rPr>
        <w:t>3.1.2</w:t>
      </w:r>
      <w:r>
        <w:t>).</w:t>
      </w:r>
    </w:p>
    <w:p w:rsidR="005D6812" w:rsidRDefault="00AB2A2B">
      <w:pPr>
        <w:pStyle w:val="HEADER2Part2"/>
        <w:rPr>
          <w:noProof/>
        </w:rPr>
      </w:pPr>
      <w:r>
        <w:rPr>
          <w:noProof/>
        </w:rPr>
        <w:t xml:space="preserve">AID INSTRUMENTS </w:t>
      </w:r>
      <w:r>
        <w:rPr>
          <w:noProof/>
        </w:rPr>
        <w:t>AND CO-FINANCING EXPENSES BY MANAGEMENT TYPE</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5D6812">
        <w:tc>
          <w:tcPr>
            <w:tcW w:w="5637" w:type="dxa"/>
            <w:tcBorders>
              <w:top w:val="nil"/>
              <w:left w:val="nil"/>
              <w:bottom w:val="nil"/>
              <w:right w:val="nil"/>
            </w:tcBorders>
            <w:tcMar>
              <w:top w:w="0" w:type="dxa"/>
              <w:left w:w="108" w:type="dxa"/>
              <w:bottom w:w="0" w:type="dxa"/>
              <w:right w:w="108" w:type="dxa"/>
            </w:tcMar>
          </w:tcPr>
          <w:p w:rsidR="005D6812" w:rsidRDefault="005D6812">
            <w:pPr>
              <w:pStyle w:val="Text8pItalicLeft"/>
              <w:rPr>
                <w:rFonts w:eastAsia="Times New Roman" w:cs="Verdana"/>
                <w:color w:val="FFFFFF"/>
              </w:rPr>
            </w:pPr>
            <w:bookmarkStart w:id="281" w:name="DOC_TBL00041_1_1"/>
            <w:bookmarkEnd w:id="281"/>
          </w:p>
        </w:tc>
        <w:tc>
          <w:tcPr>
            <w:tcW w:w="2126" w:type="dxa"/>
            <w:tcBorders>
              <w:top w:val="nil"/>
              <w:left w:val="nil"/>
              <w:bottom w:val="nil"/>
              <w:right w:val="nil"/>
            </w:tcBorders>
            <w:tcMar>
              <w:top w:w="0" w:type="dxa"/>
              <w:left w:w="108" w:type="dxa"/>
              <w:bottom w:w="0" w:type="dxa"/>
              <w:right w:w="108" w:type="dxa"/>
            </w:tcMar>
          </w:tcPr>
          <w:p w:rsidR="005D6812" w:rsidRDefault="005D6812">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rsidR="005D6812" w:rsidRDefault="00AB2A2B">
            <w:pPr>
              <w:pStyle w:val="Text8pItalicRight025EUR"/>
              <w:rPr>
                <w:rFonts w:eastAsia="Times New Roman" w:cs="Verdana"/>
              </w:rPr>
            </w:pPr>
            <w:r>
              <w:rPr>
                <w:rFonts w:eastAsia="Times New Roman" w:cs="Verdana"/>
              </w:rPr>
              <w:t>EUR millions</w:t>
            </w:r>
          </w:p>
        </w:tc>
      </w:tr>
      <w:tr w:rsidR="005D6812">
        <w:tc>
          <w:tcPr>
            <w:tcW w:w="5637"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2016</w:t>
            </w:r>
          </w:p>
        </w:tc>
        <w:tc>
          <w:tcPr>
            <w:tcW w:w="1985"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Times New Roman" w:cs="Verdana"/>
              </w:rPr>
            </w:pPr>
            <w:r>
              <w:rPr>
                <w:rFonts w:eastAsia="Times New Roman" w:cs="Verdana"/>
              </w:rPr>
              <w:t>2015</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Direct Management</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1 173</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1 106</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Indented"/>
              <w:ind w:left="200"/>
              <w:rPr>
                <w:rFonts w:eastAsia="Times New Roman" w:cs="Verdana"/>
              </w:rPr>
            </w:pPr>
            <w:r>
              <w:rPr>
                <w:rFonts w:eastAsia="Times New Roman" w:cs="Verdana"/>
              </w:rPr>
              <w:t>Implemented by:</w:t>
            </w:r>
          </w:p>
        </w:tc>
        <w:tc>
          <w:tcPr>
            <w:tcW w:w="2126"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Commission</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140</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99</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EU executive agencies</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10</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2</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Trust Funds</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36</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5</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EU delegations</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987</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1 000</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Indirect Management</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1 781</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2 023</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Indented"/>
              <w:ind w:left="200"/>
              <w:rPr>
                <w:rFonts w:eastAsia="Times New Roman" w:cs="Verdana"/>
              </w:rPr>
            </w:pPr>
            <w:r>
              <w:rPr>
                <w:rFonts w:eastAsia="Times New Roman" w:cs="Verdana"/>
              </w:rPr>
              <w:t>Implemented by :</w:t>
            </w:r>
          </w:p>
        </w:tc>
        <w:tc>
          <w:tcPr>
            <w:tcW w:w="2126"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rsidR="005D6812" w:rsidRDefault="005D6812">
            <w:pPr>
              <w:pStyle w:val="Figures9pItalicRight025"/>
              <w:rPr>
                <w:rFonts w:eastAsia="Times New Roman" w:cs="Verdana"/>
              </w:rPr>
            </w:pP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EIB and EIF</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5</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31</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International organisations</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821</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990</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Private law bodies with a public service mission</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143</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31</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Public law bodies</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57</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70</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Third countries</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756</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900</w:t>
            </w:r>
          </w:p>
        </w:tc>
      </w:tr>
      <w:tr w:rsidR="005D6812">
        <w:tc>
          <w:tcPr>
            <w:tcW w:w="5637" w:type="dxa"/>
            <w:tcBorders>
              <w:top w:val="nil"/>
              <w:left w:val="nil"/>
              <w:bottom w:val="nil"/>
              <w:right w:val="nil"/>
            </w:tcBorders>
            <w:tcMar>
              <w:top w:w="0" w:type="dxa"/>
              <w:left w:w="108" w:type="dxa"/>
              <w:bottom w:w="0" w:type="dxa"/>
              <w:right w:w="108" w:type="dxa"/>
            </w:tcMar>
          </w:tcPr>
          <w:p w:rsidR="005D6812" w:rsidRDefault="00AB2A2B">
            <w:pPr>
              <w:pStyle w:val="Text9pItalicLeft"/>
              <w:ind w:left="600"/>
              <w:rPr>
                <w:rFonts w:eastAsia="Times New Roman" w:cs="Verdana"/>
              </w:rPr>
            </w:pPr>
            <w:r>
              <w:rPr>
                <w:rFonts w:eastAsia="Times New Roman" w:cs="Verdana"/>
              </w:rPr>
              <w:t>Private law bodies implementing Public Private Partnership</w:t>
            </w:r>
          </w:p>
        </w:tc>
        <w:tc>
          <w:tcPr>
            <w:tcW w:w="2126"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w:t>
            </w:r>
          </w:p>
        </w:tc>
        <w:tc>
          <w:tcPr>
            <w:tcW w:w="1985"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w:t>
            </w:r>
          </w:p>
        </w:tc>
      </w:tr>
      <w:tr w:rsidR="005D6812">
        <w:tc>
          <w:tcPr>
            <w:tcW w:w="563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Total</w:t>
            </w:r>
          </w:p>
        </w:tc>
        <w:tc>
          <w:tcPr>
            <w:tcW w:w="212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2 954</w:t>
            </w:r>
          </w:p>
        </w:tc>
        <w:tc>
          <w:tcPr>
            <w:tcW w:w="198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3 128</w:t>
            </w:r>
          </w:p>
        </w:tc>
      </w:tr>
    </w:tbl>
    <w:p w:rsidR="005D6812" w:rsidRDefault="00AB2A2B">
      <w:pPr>
        <w:pStyle w:val="HEADER2Part2"/>
        <w:rPr>
          <w:noProof/>
        </w:rPr>
      </w:pPr>
      <w:r>
        <w:rPr>
          <w:noProof/>
        </w:rPr>
        <w:t>FINANCE COSTS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077"/>
        <w:gridCol w:w="1191"/>
        <w:gridCol w:w="1134"/>
        <w:gridCol w:w="1134"/>
        <w:gridCol w:w="1192"/>
        <w:gridCol w:w="1218"/>
      </w:tblGrid>
      <w:tr w:rsidR="005D6812">
        <w:tc>
          <w:tcPr>
            <w:tcW w:w="2943" w:type="dxa"/>
            <w:tcBorders>
              <w:top w:val="nil"/>
              <w:left w:val="nil"/>
              <w:bottom w:val="nil"/>
              <w:right w:val="nil"/>
            </w:tcBorders>
            <w:tcMar>
              <w:top w:w="0" w:type="dxa"/>
              <w:left w:w="108" w:type="dxa"/>
              <w:bottom w:w="0" w:type="dxa"/>
              <w:right w:w="108" w:type="dxa"/>
            </w:tcMar>
          </w:tcPr>
          <w:p w:rsidR="005D6812" w:rsidRDefault="005D6812">
            <w:pPr>
              <w:pStyle w:val="Text8pItalicLeft"/>
              <w:rPr>
                <w:rFonts w:eastAsia="Times New Roman" w:cs="Verdana"/>
                <w:color w:val="FFFFFF"/>
              </w:rPr>
            </w:pPr>
            <w:bookmarkStart w:id="282" w:name="DOC_TBL00042_1_1"/>
            <w:bookmarkEnd w:id="282"/>
          </w:p>
        </w:tc>
        <w:tc>
          <w:tcPr>
            <w:tcW w:w="1077"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92"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218" w:type="dxa"/>
            <w:tcBorders>
              <w:top w:val="nil"/>
              <w:left w:val="nil"/>
              <w:bottom w:val="nil"/>
              <w:right w:val="nil"/>
            </w:tcBorders>
            <w:tcMar>
              <w:top w:w="0" w:type="dxa"/>
              <w:left w:w="108" w:type="dxa"/>
              <w:bottom w:w="0" w:type="dxa"/>
              <w:right w:w="108" w:type="dxa"/>
            </w:tcMar>
          </w:tcPr>
          <w:p w:rsidR="005D6812" w:rsidRDefault="00AB2A2B">
            <w:pPr>
              <w:pStyle w:val="Text7pItalicLeft"/>
              <w:rPr>
                <w:rFonts w:eastAsia="Times New Roman" w:cs="Verdana"/>
              </w:rPr>
            </w:pPr>
            <w:r>
              <w:rPr>
                <w:rFonts w:eastAsia="Times New Roman" w:cs="Verdana"/>
              </w:rPr>
              <w:t>EUR millions</w:t>
            </w:r>
          </w:p>
        </w:tc>
      </w:tr>
      <w:tr w:rsidR="005D6812">
        <w:trPr>
          <w:trHeight w:val="247"/>
        </w:trPr>
        <w:tc>
          <w:tcPr>
            <w:tcW w:w="2943"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9pNormalLeft"/>
              <w:rPr>
                <w:rFonts w:cs="Verdana"/>
                <w:noProof/>
              </w:rPr>
            </w:pPr>
          </w:p>
        </w:tc>
        <w:tc>
          <w:tcPr>
            <w:tcW w:w="1077"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Eighth EDF</w:t>
            </w:r>
          </w:p>
        </w:tc>
        <w:tc>
          <w:tcPr>
            <w:tcW w:w="1191"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Ninth EDF</w:t>
            </w:r>
          </w:p>
        </w:tc>
        <w:tc>
          <w:tcPr>
            <w:tcW w:w="1134"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10th EDF</w:t>
            </w:r>
          </w:p>
        </w:tc>
        <w:tc>
          <w:tcPr>
            <w:tcW w:w="1134"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11th EDF</w:t>
            </w:r>
          </w:p>
        </w:tc>
        <w:tc>
          <w:tcPr>
            <w:tcW w:w="119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2016</w:t>
            </w:r>
          </w:p>
        </w:tc>
        <w:tc>
          <w:tcPr>
            <w:tcW w:w="1218"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2015</w:t>
            </w:r>
          </w:p>
        </w:tc>
      </w:tr>
      <w:tr w:rsidR="005D6812">
        <w:trPr>
          <w:trHeight w:val="247"/>
        </w:trPr>
        <w:tc>
          <w:tcPr>
            <w:tcW w:w="2943"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Write-down of receivables</w:t>
            </w:r>
          </w:p>
        </w:tc>
        <w:tc>
          <w:tcPr>
            <w:tcW w:w="107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(4)</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92"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(4)</w:t>
            </w:r>
          </w:p>
        </w:tc>
        <w:tc>
          <w:tcPr>
            <w:tcW w:w="1218"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w:t>
            </w:r>
          </w:p>
        </w:tc>
      </w:tr>
      <w:tr w:rsidR="005D6812">
        <w:trPr>
          <w:trHeight w:val="247"/>
        </w:trPr>
        <w:tc>
          <w:tcPr>
            <w:tcW w:w="2943"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Other financial expenses</w:t>
            </w:r>
          </w:p>
        </w:tc>
        <w:tc>
          <w:tcPr>
            <w:tcW w:w="107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1192"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1218"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r>
      <w:tr w:rsidR="005D6812">
        <w:trPr>
          <w:trHeight w:val="247"/>
        </w:trPr>
        <w:tc>
          <w:tcPr>
            <w:tcW w:w="294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Total</w:t>
            </w:r>
          </w:p>
        </w:tc>
        <w:tc>
          <w:tcPr>
            <w:tcW w:w="107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0</w:t>
            </w:r>
          </w:p>
        </w:tc>
        <w:tc>
          <w:tcPr>
            <w:tcW w:w="119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0</w:t>
            </w:r>
          </w:p>
        </w:tc>
        <w:tc>
          <w:tcPr>
            <w:tcW w:w="1134"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(4)</w:t>
            </w:r>
          </w:p>
        </w:tc>
        <w:tc>
          <w:tcPr>
            <w:tcW w:w="1134"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0</w:t>
            </w:r>
          </w:p>
        </w:tc>
        <w:tc>
          <w:tcPr>
            <w:tcW w:w="119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(4)</w:t>
            </w:r>
          </w:p>
        </w:tc>
        <w:tc>
          <w:tcPr>
            <w:tcW w:w="12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1</w:t>
            </w:r>
          </w:p>
        </w:tc>
      </w:tr>
    </w:tbl>
    <w:p w:rsidR="005D6812" w:rsidRDefault="00AB2A2B">
      <w:pPr>
        <w:pStyle w:val="Textstand-alone"/>
      </w:pPr>
      <w:r>
        <w:t xml:space="preserve">The heading write-down of </w:t>
      </w:r>
      <w:r>
        <w:t xml:space="preserve">receivables comprises closure estimate of expenses on irrecoverable receivables and also includes reversals of the estimated amounts related to last year. Because the reversals of the 2015 amounts (EUR 29 million) exceed the amounts estimated in 2016 (EUR </w:t>
      </w:r>
      <w:r>
        <w:t>25 million), the overall expenses related to write-down of receivables are negative for 2016.</w:t>
      </w:r>
    </w:p>
    <w:p w:rsidR="005D6812" w:rsidRDefault="00AB2A2B">
      <w:pPr>
        <w:pStyle w:val="HEADER2Part2"/>
        <w:rPr>
          <w:noProof/>
        </w:rPr>
      </w:pPr>
      <w:r>
        <w:rPr>
          <w:noProof/>
        </w:rPr>
        <w:t>OTHER EXPENSES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077"/>
        <w:gridCol w:w="1191"/>
        <w:gridCol w:w="1134"/>
        <w:gridCol w:w="1134"/>
        <w:gridCol w:w="1192"/>
        <w:gridCol w:w="1218"/>
      </w:tblGrid>
      <w:tr w:rsidR="005D6812">
        <w:tc>
          <w:tcPr>
            <w:tcW w:w="2943" w:type="dxa"/>
            <w:tcBorders>
              <w:top w:val="nil"/>
              <w:left w:val="nil"/>
              <w:bottom w:val="nil"/>
              <w:right w:val="nil"/>
            </w:tcBorders>
            <w:tcMar>
              <w:top w:w="0" w:type="dxa"/>
              <w:left w:w="108" w:type="dxa"/>
              <w:bottom w:w="0" w:type="dxa"/>
              <w:right w:w="108" w:type="dxa"/>
            </w:tcMar>
          </w:tcPr>
          <w:p w:rsidR="005D6812" w:rsidRDefault="005D6812">
            <w:pPr>
              <w:pStyle w:val="Text8pItalicLeft"/>
              <w:rPr>
                <w:rFonts w:eastAsia="Times New Roman" w:cs="Verdana"/>
                <w:color w:val="FFFFFF"/>
              </w:rPr>
            </w:pPr>
            <w:bookmarkStart w:id="283" w:name="DOC_TBL00043_1_1"/>
            <w:bookmarkEnd w:id="283"/>
          </w:p>
        </w:tc>
        <w:tc>
          <w:tcPr>
            <w:tcW w:w="1077"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92"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218" w:type="dxa"/>
            <w:tcBorders>
              <w:top w:val="nil"/>
              <w:left w:val="nil"/>
              <w:bottom w:val="nil"/>
              <w:right w:val="nil"/>
            </w:tcBorders>
            <w:tcMar>
              <w:top w:w="0" w:type="dxa"/>
              <w:left w:w="108" w:type="dxa"/>
              <w:bottom w:w="0" w:type="dxa"/>
              <w:right w:w="108" w:type="dxa"/>
            </w:tcMar>
          </w:tcPr>
          <w:p w:rsidR="005D6812" w:rsidRDefault="00AB2A2B">
            <w:pPr>
              <w:pStyle w:val="Text7pItalicLeft"/>
              <w:rPr>
                <w:rFonts w:eastAsia="Times New Roman" w:cs="Verdana"/>
              </w:rPr>
            </w:pPr>
            <w:r>
              <w:rPr>
                <w:rFonts w:eastAsia="Times New Roman" w:cs="Verdana"/>
              </w:rPr>
              <w:t>EUR millions</w:t>
            </w:r>
          </w:p>
        </w:tc>
      </w:tr>
      <w:tr w:rsidR="005D6812">
        <w:trPr>
          <w:trHeight w:val="247"/>
        </w:trPr>
        <w:tc>
          <w:tcPr>
            <w:tcW w:w="2943"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9pNormalLeft"/>
              <w:rPr>
                <w:rFonts w:cs="Verdana"/>
                <w:noProof/>
              </w:rPr>
            </w:pPr>
          </w:p>
        </w:tc>
        <w:tc>
          <w:tcPr>
            <w:tcW w:w="1077"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Eighth EDF</w:t>
            </w:r>
          </w:p>
        </w:tc>
        <w:tc>
          <w:tcPr>
            <w:tcW w:w="1191"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Ninth EDF</w:t>
            </w:r>
          </w:p>
        </w:tc>
        <w:tc>
          <w:tcPr>
            <w:tcW w:w="1134"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10th EDF</w:t>
            </w:r>
          </w:p>
        </w:tc>
        <w:tc>
          <w:tcPr>
            <w:tcW w:w="1134"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11th EDF</w:t>
            </w:r>
          </w:p>
        </w:tc>
        <w:tc>
          <w:tcPr>
            <w:tcW w:w="119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2016</w:t>
            </w:r>
          </w:p>
        </w:tc>
        <w:tc>
          <w:tcPr>
            <w:tcW w:w="1218"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Right025"/>
              <w:rPr>
                <w:rFonts w:cs="Verdana"/>
                <w:noProof/>
              </w:rPr>
            </w:pPr>
            <w:r>
              <w:rPr>
                <w:rFonts w:cs="Verdana"/>
                <w:noProof/>
              </w:rPr>
              <w:t>2015</w:t>
            </w:r>
          </w:p>
        </w:tc>
      </w:tr>
      <w:tr w:rsidR="005D6812">
        <w:trPr>
          <w:trHeight w:val="247"/>
        </w:trPr>
        <w:tc>
          <w:tcPr>
            <w:tcW w:w="2943"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Administrative and IT expenses</w:t>
            </w:r>
          </w:p>
        </w:tc>
        <w:tc>
          <w:tcPr>
            <w:tcW w:w="107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4</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126</w:t>
            </w:r>
          </w:p>
        </w:tc>
        <w:tc>
          <w:tcPr>
            <w:tcW w:w="1192"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129</w:t>
            </w:r>
          </w:p>
        </w:tc>
        <w:tc>
          <w:tcPr>
            <w:tcW w:w="1218"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113</w:t>
            </w:r>
          </w:p>
        </w:tc>
      </w:tr>
      <w:tr w:rsidR="005D6812">
        <w:trPr>
          <w:trHeight w:val="247"/>
        </w:trPr>
        <w:tc>
          <w:tcPr>
            <w:tcW w:w="2943"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Provision for risks</w:t>
            </w:r>
            <w:r>
              <w:rPr>
                <w:rFonts w:eastAsia="Times New Roman" w:cs="Verdana"/>
              </w:rPr>
              <w:t xml:space="preserve"> and charges</w:t>
            </w:r>
          </w:p>
        </w:tc>
        <w:tc>
          <w:tcPr>
            <w:tcW w:w="107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92"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218"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4</w:t>
            </w:r>
          </w:p>
        </w:tc>
      </w:tr>
      <w:tr w:rsidR="005D6812">
        <w:trPr>
          <w:trHeight w:val="247"/>
        </w:trPr>
        <w:tc>
          <w:tcPr>
            <w:tcW w:w="2943"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Realised losses on trade debtors</w:t>
            </w:r>
          </w:p>
        </w:tc>
        <w:tc>
          <w:tcPr>
            <w:tcW w:w="107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c>
          <w:tcPr>
            <w:tcW w:w="1192"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0</w:t>
            </w:r>
          </w:p>
        </w:tc>
        <w:tc>
          <w:tcPr>
            <w:tcW w:w="1218"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2</w:t>
            </w:r>
          </w:p>
        </w:tc>
      </w:tr>
      <w:tr w:rsidR="005D6812">
        <w:trPr>
          <w:trHeight w:val="247"/>
        </w:trPr>
        <w:tc>
          <w:tcPr>
            <w:tcW w:w="2943"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Exchange loses</w:t>
            </w:r>
          </w:p>
        </w:tc>
        <w:tc>
          <w:tcPr>
            <w:tcW w:w="107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w:t>
            </w:r>
          </w:p>
        </w:tc>
        <w:tc>
          <w:tcPr>
            <w:tcW w:w="119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19</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42</w:t>
            </w:r>
          </w:p>
        </w:tc>
        <w:tc>
          <w:tcPr>
            <w:tcW w:w="1134"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w:t>
            </w:r>
          </w:p>
        </w:tc>
        <w:tc>
          <w:tcPr>
            <w:tcW w:w="1192"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66</w:t>
            </w:r>
          </w:p>
        </w:tc>
        <w:tc>
          <w:tcPr>
            <w:tcW w:w="1218"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44</w:t>
            </w:r>
          </w:p>
        </w:tc>
      </w:tr>
      <w:tr w:rsidR="005D6812">
        <w:trPr>
          <w:trHeight w:val="247"/>
        </w:trPr>
        <w:tc>
          <w:tcPr>
            <w:tcW w:w="294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Total</w:t>
            </w:r>
          </w:p>
        </w:tc>
        <w:tc>
          <w:tcPr>
            <w:tcW w:w="107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3</w:t>
            </w:r>
          </w:p>
        </w:tc>
        <w:tc>
          <w:tcPr>
            <w:tcW w:w="119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19</w:t>
            </w:r>
          </w:p>
        </w:tc>
        <w:tc>
          <w:tcPr>
            <w:tcW w:w="1134"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46</w:t>
            </w:r>
          </w:p>
        </w:tc>
        <w:tc>
          <w:tcPr>
            <w:tcW w:w="1134"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129</w:t>
            </w:r>
          </w:p>
        </w:tc>
        <w:tc>
          <w:tcPr>
            <w:tcW w:w="119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196</w:t>
            </w:r>
          </w:p>
        </w:tc>
        <w:tc>
          <w:tcPr>
            <w:tcW w:w="1218"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162</w:t>
            </w:r>
          </w:p>
        </w:tc>
      </w:tr>
    </w:tbl>
    <w:p w:rsidR="005D6812" w:rsidRDefault="005D6812">
      <w:pPr>
        <w:pStyle w:val="Textstand-alone"/>
        <w:spacing w:before="0"/>
        <w:rPr>
          <w:lang w:bidi="en-GB"/>
        </w:rPr>
      </w:pPr>
    </w:p>
    <w:p w:rsidR="005D6812" w:rsidRDefault="00AB2A2B">
      <w:pPr>
        <w:pStyle w:val="Textstand-alone"/>
        <w:spacing w:after="0"/>
        <w:sectPr w:rsidR="005D6812">
          <w:headerReference w:type="even" r:id="rId179"/>
          <w:headerReference w:type="default" r:id="rId180"/>
          <w:footerReference w:type="even" r:id="rId181"/>
          <w:footerReference w:type="default" r:id="rId182"/>
          <w:headerReference w:type="first" r:id="rId183"/>
          <w:footerReference w:type="first" r:id="rId184"/>
          <w:type w:val="continuous"/>
          <w:pgSz w:w="11906" w:h="16838"/>
          <w:pgMar w:top="1134" w:right="1134" w:bottom="1134" w:left="1134" w:header="709" w:footer="709" w:gutter="0"/>
          <w:cols w:space="708"/>
          <w:docGrid w:linePitch="360"/>
        </w:sectPr>
      </w:pPr>
      <w:r>
        <w:t>This heading includes support expenditure, i.e. the administrative costs related to the programming and implementation of the EDFs. This includes expenses for preparation, follow-up, monitoring, and evaluation of projects as well as</w:t>
      </w:r>
      <w:r>
        <w:t xml:space="preserve"> expenses for computer networks, technical assistance etc.</w:t>
      </w:r>
      <w:bookmarkEnd w:id="278"/>
    </w:p>
    <w:p w:rsidR="005D6812" w:rsidRDefault="005D6812">
      <w:pPr>
        <w:pStyle w:val="Textstand-alone"/>
        <w:sectPr w:rsidR="005D6812">
          <w:headerReference w:type="even" r:id="rId185"/>
          <w:headerReference w:type="default" r:id="rId186"/>
          <w:footerReference w:type="even" r:id="rId187"/>
          <w:footerReference w:type="default" r:id="rId188"/>
          <w:headerReference w:type="first" r:id="rId189"/>
          <w:footerReference w:type="first" r:id="rId190"/>
          <w:type w:val="continuous"/>
          <w:pgSz w:w="11906" w:h="16838"/>
          <w:pgMar w:top="1134" w:right="1134" w:bottom="1134" w:left="1134" w:header="709" w:footer="709" w:gutter="0"/>
          <w:cols w:space="708"/>
          <w:docGrid w:linePitch="360"/>
        </w:sectPr>
      </w:pPr>
      <w:bookmarkStart w:id="284" w:name="_DMBM_9526"/>
      <w:bookmarkEnd w:id="284"/>
    </w:p>
    <w:p w:rsidR="005D6812" w:rsidRDefault="00AB2A2B">
      <w:pPr>
        <w:pStyle w:val="HEADER1Part2"/>
        <w:rPr>
          <w:noProof/>
        </w:rPr>
      </w:pPr>
      <w:bookmarkStart w:id="285" w:name="_DMBM_9455"/>
      <w:r>
        <w:rPr>
          <w:noProof/>
        </w:rPr>
        <w:t>CONTINGENT ASSETS &amp; LIABILITIES AND OTHER SIGNIFICANT DISCLOSURES</w:t>
      </w:r>
    </w:p>
    <w:p w:rsidR="005D6812" w:rsidRDefault="00AB2A2B">
      <w:pPr>
        <w:pStyle w:val="HEADER2Part2"/>
        <w:rPr>
          <w:noProof/>
        </w:rPr>
      </w:pPr>
      <w:r>
        <w:rPr>
          <w:noProof/>
        </w:rPr>
        <w:t xml:space="preserve"> </w:t>
      </w:r>
      <w:bookmarkStart w:id="286" w:name="_DMBM_9506"/>
      <w:bookmarkEnd w:id="285"/>
      <w:r>
        <w:rPr>
          <w:noProof/>
        </w:rPr>
        <w:t>CONTINGENT ASSETS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134"/>
        <w:gridCol w:w="1276"/>
        <w:gridCol w:w="1134"/>
        <w:gridCol w:w="1276"/>
        <w:gridCol w:w="1275"/>
      </w:tblGrid>
      <w:tr w:rsidR="005D6812">
        <w:tc>
          <w:tcPr>
            <w:tcW w:w="23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287" w:name="DOC_TBL00044_1_1"/>
            <w:bookmarkEnd w:id="287"/>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7pItalicRight025"/>
              <w:rPr>
                <w:rFonts w:eastAsia="Verdana" w:cs="Verdana"/>
                <w:lang w:bidi="en-GB"/>
              </w:rPr>
            </w:pPr>
            <w:r>
              <w:rPr>
                <w:rFonts w:eastAsia="Verdana" w:cs="Verdana"/>
                <w:lang w:bidi="en-GB"/>
              </w:rPr>
              <w:t>EUR millions</w:t>
            </w:r>
          </w:p>
        </w:tc>
      </w:tr>
      <w:tr w:rsidR="005D6812">
        <w:trPr>
          <w:trHeight w:val="247"/>
        </w:trPr>
        <w:tc>
          <w:tcPr>
            <w:tcW w:w="23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5D6812">
            <w:pPr>
              <w:pStyle w:val="Heading9pNormalCentered"/>
              <w:rPr>
                <w:rFonts w:eastAsia="Verdana" w:cs="Verdana"/>
                <w:noProof/>
                <w:lang w:bidi="en-GB"/>
              </w:rPr>
            </w:pP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Eighth EDF</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Ninth EDF</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10th EDF</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11th EDF</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31.12.2016</w:t>
            </w: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31.12.2015</w:t>
            </w:r>
          </w:p>
        </w:tc>
      </w:tr>
      <w:tr w:rsidR="005D6812">
        <w:trPr>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Performance guarantees</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4</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5</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0</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9</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13</w:t>
            </w:r>
          </w:p>
        </w:tc>
      </w:tr>
      <w:tr w:rsidR="005D6812">
        <w:trPr>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Retention guarantees</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4</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3</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7</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6</w:t>
            </w:r>
          </w:p>
        </w:tc>
      </w:tr>
      <w:tr w:rsidR="005D6812">
        <w:trPr>
          <w:trHeight w:val="247"/>
        </w:trPr>
        <w:tc>
          <w:tcPr>
            <w:tcW w:w="23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Text9pBoldLeft"/>
              <w:rPr>
                <w:rFonts w:eastAsia="Verdana" w:cs="Verdana"/>
                <w:lang w:bidi="en-GB"/>
              </w:rPr>
            </w:pPr>
            <w:r>
              <w:rPr>
                <w:rFonts w:eastAsia="Verdana" w:cs="Verdana"/>
                <w:lang w:bidi="en-GB"/>
              </w:rPr>
              <w:t>Total</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(0)</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7</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8</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0</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16</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20</w:t>
            </w:r>
          </w:p>
        </w:tc>
      </w:tr>
    </w:tbl>
    <w:p w:rsidR="005D6812" w:rsidRDefault="00AB2A2B">
      <w:pPr>
        <w:pStyle w:val="Textstand-alone"/>
        <w:rPr>
          <w:lang w:bidi="en-GB"/>
        </w:rPr>
      </w:pPr>
      <w:r>
        <w:t xml:space="preserve">Performance guarantees are requested to ensure that </w:t>
      </w:r>
      <w:r>
        <w:t>beneficiaries of EDF funding meet the obligations of their contracts with the EDF.</w:t>
      </w:r>
    </w:p>
    <w:p w:rsidR="005D6812" w:rsidRDefault="00AB2A2B">
      <w:pPr>
        <w:pStyle w:val="Textstand-alone"/>
      </w:pPr>
      <w:r>
        <w:t>Retention guarantees concern only works contracts. Typically 10 % of the interim payments to beneficiaries are withheld to ensure that the contractor fulfils their obligatio</w:t>
      </w:r>
      <w:r>
        <w:t>ns. These withheld amounts are reflected as amounts payable. Subject to the approval of the contracting authority, the contractor may instead submit a retention guarantee which replaces the amounts withheld on interim payments. These received guarantees ar</w:t>
      </w:r>
      <w:r>
        <w:t>e disclosed as contingent assets.</w:t>
      </w:r>
    </w:p>
    <w:p w:rsidR="005D6812" w:rsidRDefault="00AB2A2B">
      <w:pPr>
        <w:pStyle w:val="Textstand-alone"/>
      </w:pPr>
      <w:r>
        <w:t>In case of contracts managed under the indirect mode, the guarantees belong to a contracting authority other than the EDF and they are not recorded by the EDF.</w:t>
      </w:r>
    </w:p>
    <w:bookmarkEnd w:id="286"/>
    <w:p w:rsidR="005D6812" w:rsidRDefault="005D6812">
      <w:pPr>
        <w:pStyle w:val="Textstand-alone"/>
        <w:sectPr w:rsidR="005D6812">
          <w:headerReference w:type="even" r:id="rId191"/>
          <w:headerReference w:type="default" r:id="rId192"/>
          <w:footerReference w:type="even" r:id="rId193"/>
          <w:footerReference w:type="default" r:id="rId194"/>
          <w:headerReference w:type="first" r:id="rId195"/>
          <w:footerReference w:type="first" r:id="rId196"/>
          <w:type w:val="continuous"/>
          <w:pgSz w:w="11906" w:h="16838"/>
          <w:pgMar w:top="1134" w:right="1134" w:bottom="1134" w:left="1134" w:header="709" w:footer="709" w:gutter="0"/>
          <w:cols w:space="708"/>
          <w:docGrid w:linePitch="360"/>
        </w:sectPr>
      </w:pPr>
    </w:p>
    <w:p w:rsidR="005D6812" w:rsidRDefault="00AB2A2B">
      <w:pPr>
        <w:pStyle w:val="HEADER2Part2"/>
        <w:rPr>
          <w:noProof/>
        </w:rPr>
      </w:pPr>
      <w:bookmarkStart w:id="288" w:name="_DMBM_9487"/>
      <w:r>
        <w:rPr>
          <w:noProof/>
        </w:rPr>
        <w:t>OTHER SIGNIFICANT DISCLOSURES</w:t>
      </w:r>
    </w:p>
    <w:p w:rsidR="005D6812" w:rsidRDefault="00AB2A2B">
      <w:pPr>
        <w:pStyle w:val="HEADER3Part2"/>
        <w:rPr>
          <w:noProof/>
        </w:rPr>
      </w:pPr>
      <w:r>
        <w:rPr>
          <w:noProof/>
        </w:rPr>
        <w:t>Outstanding commitments not yet expensed</w:t>
      </w:r>
    </w:p>
    <w:p w:rsidR="005D6812" w:rsidRDefault="00AB2A2B">
      <w:pPr>
        <w:pStyle w:val="Textstand-alone"/>
      </w:pPr>
      <w:r>
        <w:t>The amount disclosed below is the budgetary RAL ('Reste à Liquider</w:t>
      </w:r>
      <w:r>
        <w:rPr>
          <w:rFonts w:ascii="Arial" w:hAnsi="Arial" w:cs="Arial"/>
        </w:rPr>
        <w:t>'</w:t>
      </w:r>
      <w:r>
        <w:t>) less related amounts that have been included as expenses in t</w:t>
      </w:r>
      <w:r>
        <w:t>he statement of financial performance. The budgetary RAL is an amount representing the open commitments for which payments and/or de-commitments have not yet been made. This is the normal consequence of the existence of multi-annual programmes.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134"/>
        <w:gridCol w:w="1276"/>
        <w:gridCol w:w="1134"/>
        <w:gridCol w:w="1276"/>
        <w:gridCol w:w="1275"/>
      </w:tblGrid>
      <w:tr w:rsidR="005D6812">
        <w:tc>
          <w:tcPr>
            <w:tcW w:w="23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289" w:name="DOC_TBL00045_1_1"/>
            <w:bookmarkEnd w:id="289"/>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13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27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7pItalicRight025"/>
              <w:rPr>
                <w:rFonts w:eastAsia="Verdana" w:cs="Verdana"/>
                <w:lang w:bidi="en-GB"/>
              </w:rPr>
            </w:pPr>
            <w:r>
              <w:rPr>
                <w:rFonts w:eastAsia="Verdana" w:cs="Verdana"/>
                <w:lang w:bidi="en-GB"/>
              </w:rPr>
              <w:t>EUR m</w:t>
            </w:r>
            <w:r>
              <w:rPr>
                <w:rFonts w:eastAsia="Verdana" w:cs="Verdana"/>
                <w:lang w:bidi="en-GB"/>
              </w:rPr>
              <w:t>illions</w:t>
            </w:r>
          </w:p>
        </w:tc>
      </w:tr>
      <w:tr w:rsidR="005D6812">
        <w:trPr>
          <w:trHeight w:val="247"/>
        </w:trPr>
        <w:tc>
          <w:tcPr>
            <w:tcW w:w="23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5D6812">
            <w:pPr>
              <w:pStyle w:val="Heading9pNormalCentered"/>
              <w:rPr>
                <w:rFonts w:eastAsia="Verdana" w:cs="Verdana"/>
                <w:noProof/>
                <w:lang w:bidi="en-GB"/>
              </w:rPr>
            </w:pP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Eighth EDF</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Ninth EDF</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10th EDF</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11th EDF</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31.12.2016</w:t>
            </w: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eastAsia="Verdana" w:cs="Verdana"/>
                <w:noProof/>
                <w:lang w:bidi="en-GB"/>
              </w:rPr>
            </w:pPr>
            <w:r>
              <w:rPr>
                <w:rFonts w:eastAsia="Verdana" w:cs="Verdana"/>
                <w:noProof/>
                <w:lang w:bidi="en-GB"/>
              </w:rPr>
              <w:t>31.12.2015</w:t>
            </w:r>
          </w:p>
        </w:tc>
      </w:tr>
      <w:tr w:rsidR="005D6812">
        <w:trPr>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Text9pItalicLeft"/>
              <w:rPr>
                <w:rFonts w:eastAsia="Verdana" w:cs="Verdana"/>
                <w:lang w:bidi="en-GB"/>
              </w:rPr>
            </w:pPr>
            <w:r>
              <w:rPr>
                <w:rFonts w:eastAsia="Verdana" w:cs="Verdana"/>
                <w:lang w:bidi="en-GB"/>
              </w:rPr>
              <w:t>Outstanding commitments not yet expensed</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2</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 xml:space="preserve"> 202</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2 406</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4 136</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6 746</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rsidR="005D6812" w:rsidRDefault="00AB2A2B">
            <w:pPr>
              <w:pStyle w:val="Figures9pItalicRight025"/>
              <w:rPr>
                <w:rFonts w:eastAsia="Verdana" w:cs="Verdana"/>
                <w:lang w:bidi="en-GB"/>
              </w:rPr>
            </w:pPr>
            <w:r>
              <w:rPr>
                <w:rFonts w:eastAsia="Verdana" w:cs="Verdana"/>
                <w:lang w:bidi="en-GB"/>
              </w:rPr>
              <w:t>5 821</w:t>
            </w:r>
          </w:p>
        </w:tc>
      </w:tr>
      <w:tr w:rsidR="005D6812">
        <w:trPr>
          <w:trHeight w:val="247"/>
        </w:trPr>
        <w:tc>
          <w:tcPr>
            <w:tcW w:w="23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Text9pBoldLeft"/>
              <w:rPr>
                <w:rFonts w:eastAsia="Verdana" w:cs="Verdana"/>
                <w:lang w:bidi="en-GB"/>
              </w:rPr>
            </w:pPr>
            <w:r>
              <w:rPr>
                <w:rFonts w:eastAsia="Verdana" w:cs="Verdana"/>
                <w:lang w:bidi="en-GB"/>
              </w:rPr>
              <w:t>Total</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2</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 xml:space="preserve"> 202</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2 406</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4 136</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6 746</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9pBoldRight025"/>
              <w:rPr>
                <w:rFonts w:eastAsia="Verdana" w:cs="Verdana"/>
                <w:lang w:bidi="en-GB"/>
              </w:rPr>
            </w:pPr>
            <w:r>
              <w:rPr>
                <w:rFonts w:eastAsia="Verdana" w:cs="Verdana"/>
                <w:lang w:bidi="en-GB"/>
              </w:rPr>
              <w:t>5 821</w:t>
            </w:r>
          </w:p>
        </w:tc>
      </w:tr>
    </w:tbl>
    <w:p w:rsidR="005D6812" w:rsidRDefault="00AB2A2B">
      <w:pPr>
        <w:pStyle w:val="Textstand-alone"/>
      </w:pPr>
      <w:r>
        <w:t>At 31 December 2016 the budgetary RAL totalled EUR 7 665 million (2015:</w:t>
      </w:r>
      <w:r>
        <w:t xml:space="preserve"> EUR 6 809 million).</w:t>
      </w:r>
    </w:p>
    <w:p w:rsidR="005D6812" w:rsidRDefault="00AB2A2B">
      <w:pPr>
        <w:pStyle w:val="HEADER3Part2"/>
        <w:rPr>
          <w:noProof/>
        </w:rPr>
      </w:pPr>
      <w:r>
        <w:rPr>
          <w:noProof/>
        </w:rPr>
        <w:t>Centre for the Development of Enterprise</w:t>
      </w:r>
    </w:p>
    <w:p w:rsidR="005D6812" w:rsidRDefault="00AB2A2B">
      <w:pPr>
        <w:pStyle w:val="Textstand-alone"/>
      </w:pPr>
      <w:r>
        <w:t xml:space="preserve">The ACP-EU Council of Ministers agreed in June 2014 "to proceed with the orderly closing of the CDE", and at the same time "to ensure that the private sector support projects implemented by the </w:t>
      </w:r>
      <w:r>
        <w:t xml:space="preserve">CDE in ACP countries and regions are completed in full". For this purpose, the ACP-EU Council of Ministers granted a delegation of powers to the ACP-EU Committee of Ambassadors to take this matter forward with a view to adopt the necessary decisions. </w:t>
      </w:r>
    </w:p>
    <w:p w:rsidR="005D6812" w:rsidRDefault="00AB2A2B">
      <w:pPr>
        <w:jc w:val="both"/>
        <w:rPr>
          <w:rFonts w:ascii="Verdana" w:hAnsi="Verdana"/>
          <w:noProof/>
          <w:sz w:val="18"/>
          <w:szCs w:val="18"/>
        </w:rPr>
      </w:pPr>
      <w:r>
        <w:rPr>
          <w:rFonts w:ascii="Verdana" w:hAnsi="Verdana"/>
          <w:noProof/>
          <w:sz w:val="18"/>
          <w:szCs w:val="18"/>
        </w:rPr>
        <w:t xml:space="preserve">The </w:t>
      </w:r>
      <w:r>
        <w:rPr>
          <w:rFonts w:ascii="Verdana" w:hAnsi="Verdana"/>
          <w:noProof/>
          <w:sz w:val="18"/>
          <w:szCs w:val="18"/>
        </w:rPr>
        <w:t>ACP-EU Committee of Ambassadors authorised, by Decision No 4/2014 of 23/10/2014, the Executive Board of the CDE to take, with immediate effect, all appropriate measures to prepare for the closure of the CDE. As stipulated in article 2 of that Decision, the</w:t>
      </w:r>
      <w:r>
        <w:rPr>
          <w:rFonts w:ascii="Verdana" w:hAnsi="Verdana"/>
          <w:noProof/>
          <w:sz w:val="18"/>
          <w:szCs w:val="18"/>
        </w:rPr>
        <w:t xml:space="preserve"> Executive Board was instructed to contract a Curator to prepare and implement a closure plan.</w:t>
      </w:r>
    </w:p>
    <w:p w:rsidR="005D6812" w:rsidRDefault="00AB2A2B">
      <w:pPr>
        <w:jc w:val="both"/>
        <w:rPr>
          <w:rFonts w:ascii="Verdana" w:hAnsi="Verdana"/>
          <w:noProof/>
          <w:sz w:val="18"/>
          <w:szCs w:val="18"/>
        </w:rPr>
      </w:pPr>
      <w:r>
        <w:rPr>
          <w:rFonts w:ascii="Verdana" w:hAnsi="Verdana"/>
          <w:noProof/>
          <w:sz w:val="18"/>
          <w:szCs w:val="18"/>
        </w:rPr>
        <w:t>The Curator submitted to the CDE Executive Board at the end of June 2015 a definitive strategic plan, with a budget and work-plan, which reflected the outcome of</w:t>
      </w:r>
      <w:r>
        <w:rPr>
          <w:rFonts w:ascii="Verdana" w:hAnsi="Verdana"/>
          <w:noProof/>
          <w:sz w:val="18"/>
          <w:szCs w:val="18"/>
        </w:rPr>
        <w:t xml:space="preserve"> the social dialogue. The budget of the definitive strategic plan, approved by the CDE Executive Board, was the basis for the Commission's proposal for a Financing Decision that was adopted by the EC in 2015 for a total amount of EUR 18.2 million. Subseque</w:t>
      </w:r>
      <w:r>
        <w:rPr>
          <w:rFonts w:ascii="Verdana" w:hAnsi="Verdana"/>
          <w:noProof/>
          <w:sz w:val="18"/>
          <w:szCs w:val="18"/>
        </w:rPr>
        <w:t>nt to the adoption of the above Financing Decision, a grant agreement was concluded in December 2015 between the CDE and the European Commission providing the necessary financing for the realization of CDE's assets and settlement of its liabilities. This g</w:t>
      </w:r>
      <w:r>
        <w:rPr>
          <w:rFonts w:ascii="Verdana" w:hAnsi="Verdana"/>
          <w:noProof/>
          <w:sz w:val="18"/>
          <w:szCs w:val="18"/>
        </w:rPr>
        <w:t>rant agreement started on 1 January 2016 and will last until 31 December 2017. The value of the contract is covered by the outstanding commitments not yet expensed.</w:t>
      </w:r>
    </w:p>
    <w:p w:rsidR="005D6812" w:rsidRDefault="005D6812">
      <w:pPr>
        <w:rPr>
          <w:noProof/>
        </w:rPr>
      </w:pPr>
    </w:p>
    <w:bookmarkEnd w:id="288"/>
    <w:p w:rsidR="005D6812" w:rsidRDefault="005D6812">
      <w:pPr>
        <w:pStyle w:val="Textstand-alone"/>
        <w:rPr>
          <w:lang w:bidi="en-GB"/>
        </w:rPr>
        <w:sectPr w:rsidR="005D6812">
          <w:headerReference w:type="even" r:id="rId197"/>
          <w:headerReference w:type="default" r:id="rId198"/>
          <w:footerReference w:type="even" r:id="rId199"/>
          <w:footerReference w:type="default" r:id="rId200"/>
          <w:headerReference w:type="first" r:id="rId201"/>
          <w:footerReference w:type="first" r:id="rId202"/>
          <w:type w:val="continuous"/>
          <w:pgSz w:w="11906" w:h="16838"/>
          <w:pgMar w:top="1134" w:right="1134" w:bottom="1134" w:left="1134" w:header="709" w:footer="709" w:gutter="0"/>
          <w:cols w:space="708"/>
          <w:docGrid w:linePitch="360"/>
        </w:sectPr>
      </w:pPr>
    </w:p>
    <w:p w:rsidR="005D6812" w:rsidRDefault="00AB2A2B">
      <w:pPr>
        <w:pStyle w:val="HEADER1Part2"/>
        <w:rPr>
          <w:noProof/>
        </w:rPr>
      </w:pPr>
      <w:bookmarkStart w:id="290" w:name="_DMBM_9488"/>
      <w:r>
        <w:rPr>
          <w:noProof/>
        </w:rPr>
        <w:t>FINANCIAL RISK MANAGEMENT</w:t>
      </w:r>
    </w:p>
    <w:p w:rsidR="005D6812" w:rsidRDefault="00AB2A2B">
      <w:pPr>
        <w:pStyle w:val="Textstand-alone"/>
      </w:pPr>
      <w:r>
        <w:t>The following disclosures with regard to the financial risk management of the EDF relate to the treasury operations carried out by the Commission on behalf of the EDF in order to implement its resources.</w:t>
      </w:r>
    </w:p>
    <w:p w:rsidR="005D6812" w:rsidRDefault="00AB2A2B">
      <w:pPr>
        <w:pStyle w:val="HEADER2Part2"/>
        <w:rPr>
          <w:noProof/>
        </w:rPr>
      </w:pPr>
      <w:r>
        <w:rPr>
          <w:noProof/>
        </w:rPr>
        <w:t>R</w:t>
      </w:r>
      <w:r>
        <w:rPr>
          <w:noProof/>
        </w:rPr>
        <w:t>ISK MANAGEMENT POLICIES AND HEDGING ACTIVITIES</w:t>
      </w:r>
    </w:p>
    <w:p w:rsidR="005D6812" w:rsidRDefault="00AB2A2B">
      <w:pPr>
        <w:pStyle w:val="Textstand-alone"/>
      </w:pPr>
      <w:r>
        <w:t>The rules and principles for the management of the treasury operations are laid down in the 11th EDF Financial Regulation and in the Internal Agreement.</w:t>
      </w:r>
    </w:p>
    <w:p w:rsidR="005D6812" w:rsidRDefault="00AB2A2B">
      <w:pPr>
        <w:pStyle w:val="Textstand-alone"/>
      </w:pPr>
      <w:r>
        <w:t xml:space="preserve">As a result of the above regulation, the following main </w:t>
      </w:r>
      <w:r>
        <w:t>principles apply:</w:t>
      </w:r>
    </w:p>
    <w:p w:rsidR="005D6812" w:rsidRDefault="00AB2A2B">
      <w:pPr>
        <w:pStyle w:val="Textstand-alonebulletpointJustified"/>
        <w:numPr>
          <w:ilvl w:val="0"/>
          <w:numId w:val="19"/>
        </w:numPr>
        <w:ind w:left="357" w:hanging="357"/>
        <w:rPr>
          <w:noProof/>
        </w:rPr>
      </w:pPr>
      <w:r>
        <w:rPr>
          <w:noProof/>
        </w:rPr>
        <w:t xml:space="preserve">The EDF contributions are paid by Member States in special accounts opened with the bank of issue of each Member State or the financial institution designated by it. The amounts of the contributions shall remain in those special accounts </w:t>
      </w:r>
      <w:r>
        <w:rPr>
          <w:noProof/>
        </w:rPr>
        <w:t>until the payments of EDF need to be made.</w:t>
      </w:r>
    </w:p>
    <w:p w:rsidR="005D6812" w:rsidRDefault="00AB2A2B">
      <w:pPr>
        <w:pStyle w:val="Textstand-alonebulletpointJustified"/>
        <w:numPr>
          <w:ilvl w:val="0"/>
          <w:numId w:val="19"/>
        </w:numPr>
        <w:ind w:left="357" w:hanging="357"/>
        <w:rPr>
          <w:noProof/>
        </w:rPr>
      </w:pPr>
      <w:r>
        <w:rPr>
          <w:noProof/>
        </w:rPr>
        <w:t>EDF contributions are paid by Member States in EUR, while the EDF's payments are denominated in EUR and in other currencies, including less well-known ones.</w:t>
      </w:r>
    </w:p>
    <w:p w:rsidR="005D6812" w:rsidRDefault="00AB2A2B">
      <w:pPr>
        <w:pStyle w:val="Textstand-alonebulletpointJustified"/>
        <w:numPr>
          <w:ilvl w:val="0"/>
          <w:numId w:val="19"/>
        </w:numPr>
        <w:ind w:left="357" w:hanging="357"/>
        <w:rPr>
          <w:noProof/>
        </w:rPr>
      </w:pPr>
      <w:r>
        <w:rPr>
          <w:noProof/>
        </w:rPr>
        <w:t xml:space="preserve">Bank accounts opened by the Commission on behalf of the </w:t>
      </w:r>
      <w:r>
        <w:rPr>
          <w:noProof/>
        </w:rPr>
        <w:t>EDF may not be overdrawn.</w:t>
      </w:r>
    </w:p>
    <w:p w:rsidR="005D6812" w:rsidRDefault="00AB2A2B">
      <w:pPr>
        <w:pStyle w:val="Textstand-alone"/>
      </w:pPr>
      <w:r>
        <w:t>In addition to the special accounts, other bank accounts are opened by the Commission in the name of the EDF, with financial institutions (central banks and commercial banks), for the purpose of executing payments and receiving re</w:t>
      </w:r>
      <w:r>
        <w:t>ceipts other than the Member State contributions to the budget.</w:t>
      </w:r>
    </w:p>
    <w:p w:rsidR="005D6812" w:rsidRDefault="00AB2A2B">
      <w:pPr>
        <w:pStyle w:val="Textstand-alone"/>
      </w:pPr>
      <w:r>
        <w:t>Treasury and payment operations are highly automated and rely on modern information systems. Specific procedures are applied to guarantee system security and to ensure segregation of duties in</w:t>
      </w:r>
      <w:r>
        <w:t xml:space="preserve"> line with the Financial Regulation, the Commission’s internal control standards, and audit principles.</w:t>
      </w:r>
    </w:p>
    <w:p w:rsidR="005D6812" w:rsidRDefault="00AB2A2B">
      <w:pPr>
        <w:pStyle w:val="Textstand-alone"/>
        <w:rPr>
          <w:bCs/>
        </w:rPr>
      </w:pPr>
      <w:r>
        <w:rPr>
          <w:bCs/>
        </w:rPr>
        <w:t>A written set of guidelines and procedures regulate the management of the treasury and payment operations with the objective of limiting operational and</w:t>
      </w:r>
      <w:r>
        <w:rPr>
          <w:bCs/>
        </w:rPr>
        <w:t xml:space="preserve"> financial risk and ensuring an</w:t>
      </w:r>
      <w:r>
        <w:rPr>
          <w:bCs/>
          <w:sz w:val="22"/>
          <w:szCs w:val="22"/>
        </w:rPr>
        <w:t xml:space="preserve"> </w:t>
      </w:r>
      <w:r>
        <w:rPr>
          <w:bCs/>
        </w:rPr>
        <w:t>adequate level of control. They cover the different areas of operation, and compliance with the guidelines and procedures is checked regularly.</w:t>
      </w:r>
    </w:p>
    <w:p w:rsidR="005D6812" w:rsidRDefault="00AB2A2B">
      <w:pPr>
        <w:pStyle w:val="Textstand-alone"/>
        <w:sectPr w:rsidR="005D6812">
          <w:headerReference w:type="even" r:id="rId203"/>
          <w:headerReference w:type="default" r:id="rId204"/>
          <w:footerReference w:type="even" r:id="rId205"/>
          <w:footerReference w:type="default" r:id="rId206"/>
          <w:headerReference w:type="first" r:id="rId207"/>
          <w:footerReference w:type="first" r:id="rId208"/>
          <w:pgSz w:w="11906" w:h="16838"/>
          <w:pgMar w:top="1134" w:right="1134" w:bottom="1134" w:left="1134" w:header="709" w:footer="709" w:gutter="0"/>
          <w:cols w:space="708"/>
          <w:docGrid w:linePitch="360"/>
        </w:sectPr>
      </w:pPr>
      <w:r>
        <w:t xml:space="preserve"> </w:t>
      </w:r>
      <w:bookmarkEnd w:id="290"/>
    </w:p>
    <w:p w:rsidR="005D6812" w:rsidRDefault="00AB2A2B">
      <w:pPr>
        <w:pStyle w:val="HEADER2Part2"/>
        <w:rPr>
          <w:noProof/>
        </w:rPr>
      </w:pPr>
      <w:bookmarkStart w:id="291" w:name="_DMBM_9565"/>
      <w:r>
        <w:rPr>
          <w:noProof/>
        </w:rPr>
        <w:t>CURRENCY RISK</w:t>
      </w:r>
    </w:p>
    <w:p w:rsidR="005D6812" w:rsidRDefault="00AB2A2B">
      <w:pPr>
        <w:pStyle w:val="HEADER5"/>
        <w:rPr>
          <w:noProof/>
        </w:rPr>
      </w:pPr>
      <w:r>
        <w:rPr>
          <w:noProof/>
        </w:rPr>
        <w:t>Exposure of the EDF to currency risk at year end – net position</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712"/>
        <w:gridCol w:w="874"/>
        <w:gridCol w:w="874"/>
        <w:gridCol w:w="874"/>
        <w:gridCol w:w="874"/>
        <w:gridCol w:w="874"/>
        <w:gridCol w:w="877"/>
        <w:gridCol w:w="285"/>
        <w:gridCol w:w="847"/>
        <w:gridCol w:w="847"/>
        <w:gridCol w:w="850"/>
        <w:gridCol w:w="847"/>
        <w:gridCol w:w="853"/>
        <w:gridCol w:w="994"/>
        <w:gridCol w:w="994"/>
      </w:tblGrid>
      <w:tr w:rsidR="005D6812">
        <w:trPr>
          <w:cantSplit/>
        </w:trPr>
        <w:tc>
          <w:tcPr>
            <w:tcW w:w="2232" w:type="dxa"/>
            <w:tcBorders>
              <w:top w:val="nil"/>
              <w:left w:val="nil"/>
              <w:bottom w:val="nil"/>
              <w:right w:val="nil"/>
            </w:tcBorders>
            <w:tcMar>
              <w:top w:w="0" w:type="dxa"/>
              <w:left w:w="108" w:type="dxa"/>
              <w:bottom w:w="0" w:type="dxa"/>
              <w:right w:w="108" w:type="dxa"/>
            </w:tcMar>
          </w:tcPr>
          <w:p w:rsidR="005D6812" w:rsidRDefault="005D6812">
            <w:pPr>
              <w:pStyle w:val="Text7pItalicLeft"/>
              <w:rPr>
                <w:rFonts w:eastAsia="Times New Roman" w:cs="Verdana"/>
                <w:color w:val="FFFFFF"/>
              </w:rPr>
            </w:pPr>
            <w:bookmarkStart w:id="292" w:name="DOC_TBL00046_1_1"/>
            <w:bookmarkEnd w:id="292"/>
          </w:p>
        </w:tc>
        <w:tc>
          <w:tcPr>
            <w:tcW w:w="712" w:type="dxa"/>
            <w:tcBorders>
              <w:top w:val="nil"/>
              <w:left w:val="nil"/>
              <w:bottom w:val="nil"/>
              <w:right w:val="nil"/>
            </w:tcBorders>
            <w:tcMar>
              <w:top w:w="0" w:type="dxa"/>
              <w:left w:w="108" w:type="dxa"/>
              <w:bottom w:w="0" w:type="dxa"/>
              <w:right w:w="108" w:type="dxa"/>
            </w:tcMar>
          </w:tcPr>
          <w:p w:rsidR="005D6812" w:rsidRDefault="005D6812">
            <w:pPr>
              <w:pStyle w:val="Text7pItalicRight025"/>
              <w:rPr>
                <w:rFonts w:eastAsia="Times New Roman" w:cs="Verdana"/>
                <w:i w:val="0"/>
              </w:rPr>
            </w:pPr>
          </w:p>
        </w:tc>
        <w:tc>
          <w:tcPr>
            <w:tcW w:w="874" w:type="dxa"/>
            <w:tcBorders>
              <w:top w:val="nil"/>
              <w:left w:val="nil"/>
              <w:bottom w:val="nil"/>
              <w:right w:val="nil"/>
            </w:tcBorders>
            <w:tcMar>
              <w:top w:w="0" w:type="dxa"/>
              <w:left w:w="108" w:type="dxa"/>
              <w:bottom w:w="0" w:type="dxa"/>
              <w:right w:w="108" w:type="dxa"/>
            </w:tcMar>
          </w:tcPr>
          <w:p w:rsidR="005D6812" w:rsidRDefault="005D6812">
            <w:pPr>
              <w:pStyle w:val="Text7pItalicRight025"/>
              <w:rPr>
                <w:rFonts w:eastAsia="Times New Roman" w:cs="Verdana"/>
                <w:i w:val="0"/>
              </w:rPr>
            </w:pPr>
          </w:p>
        </w:tc>
        <w:tc>
          <w:tcPr>
            <w:tcW w:w="874" w:type="dxa"/>
            <w:tcBorders>
              <w:top w:val="nil"/>
              <w:left w:val="nil"/>
              <w:bottom w:val="nil"/>
              <w:right w:val="nil"/>
            </w:tcBorders>
            <w:tcMar>
              <w:top w:w="0" w:type="dxa"/>
              <w:left w:w="108" w:type="dxa"/>
              <w:bottom w:w="0" w:type="dxa"/>
              <w:right w:w="108" w:type="dxa"/>
            </w:tcMar>
          </w:tcPr>
          <w:p w:rsidR="005D6812" w:rsidRDefault="005D6812">
            <w:pPr>
              <w:pStyle w:val="Text7pItalicRight025"/>
              <w:rPr>
                <w:rFonts w:eastAsia="Times New Roman" w:cs="Verdana"/>
                <w:i w:val="0"/>
              </w:rPr>
            </w:pPr>
          </w:p>
        </w:tc>
        <w:tc>
          <w:tcPr>
            <w:tcW w:w="874" w:type="dxa"/>
            <w:tcBorders>
              <w:top w:val="nil"/>
              <w:left w:val="nil"/>
              <w:bottom w:val="nil"/>
              <w:right w:val="nil"/>
            </w:tcBorders>
            <w:tcMar>
              <w:top w:w="0" w:type="dxa"/>
              <w:left w:w="108" w:type="dxa"/>
              <w:bottom w:w="0" w:type="dxa"/>
              <w:right w:w="108" w:type="dxa"/>
            </w:tcMar>
          </w:tcPr>
          <w:p w:rsidR="005D6812" w:rsidRDefault="005D6812">
            <w:pPr>
              <w:pStyle w:val="Text7pItalicRight025"/>
              <w:rPr>
                <w:rFonts w:eastAsia="Times New Roman" w:cs="Verdana"/>
                <w:i w:val="0"/>
              </w:rPr>
            </w:pPr>
          </w:p>
        </w:tc>
        <w:tc>
          <w:tcPr>
            <w:tcW w:w="874" w:type="dxa"/>
            <w:tcBorders>
              <w:top w:val="nil"/>
              <w:left w:val="nil"/>
              <w:bottom w:val="nil"/>
              <w:right w:val="nil"/>
            </w:tcBorders>
            <w:tcMar>
              <w:top w:w="0" w:type="dxa"/>
              <w:left w:w="108" w:type="dxa"/>
              <w:bottom w:w="0" w:type="dxa"/>
              <w:right w:w="108" w:type="dxa"/>
            </w:tcMar>
          </w:tcPr>
          <w:p w:rsidR="005D6812" w:rsidRDefault="005D6812">
            <w:pPr>
              <w:pStyle w:val="Text7pItalicRight025"/>
              <w:rPr>
                <w:rFonts w:eastAsia="Times New Roman" w:cs="Verdana"/>
                <w:i w:val="0"/>
              </w:rPr>
            </w:pPr>
          </w:p>
        </w:tc>
        <w:tc>
          <w:tcPr>
            <w:tcW w:w="874" w:type="dxa"/>
            <w:tcBorders>
              <w:top w:val="nil"/>
              <w:left w:val="nil"/>
              <w:bottom w:val="nil"/>
              <w:right w:val="nil"/>
            </w:tcBorders>
            <w:tcMar>
              <w:top w:w="0" w:type="dxa"/>
              <w:left w:w="108" w:type="dxa"/>
              <w:bottom w:w="0" w:type="dxa"/>
              <w:right w:w="108" w:type="dxa"/>
            </w:tcMar>
          </w:tcPr>
          <w:p w:rsidR="005D6812" w:rsidRDefault="005D6812">
            <w:pPr>
              <w:pStyle w:val="Text7pItalicRight025"/>
              <w:rPr>
                <w:rFonts w:eastAsia="Times New Roman" w:cs="Verdana"/>
                <w:i w:val="0"/>
              </w:rPr>
            </w:pPr>
          </w:p>
        </w:tc>
        <w:tc>
          <w:tcPr>
            <w:tcW w:w="877" w:type="dxa"/>
            <w:tcBorders>
              <w:top w:val="nil"/>
              <w:left w:val="nil"/>
              <w:bottom w:val="nil"/>
              <w:right w:val="nil"/>
            </w:tcBorders>
            <w:tcMar>
              <w:top w:w="0" w:type="dxa"/>
              <w:left w:w="108" w:type="dxa"/>
              <w:bottom w:w="0" w:type="dxa"/>
              <w:right w:w="108" w:type="dxa"/>
            </w:tcMar>
          </w:tcPr>
          <w:p w:rsidR="005D6812" w:rsidRDefault="005D6812">
            <w:pPr>
              <w:pStyle w:val="Text7pItalicRight025"/>
              <w:rPr>
                <w:rFonts w:eastAsia="Times New Roman" w:cs="Verdana"/>
                <w:i w:val="0"/>
              </w:rPr>
            </w:pPr>
          </w:p>
        </w:tc>
        <w:tc>
          <w:tcPr>
            <w:tcW w:w="285" w:type="dxa"/>
            <w:tcBorders>
              <w:top w:val="nil"/>
              <w:left w:val="nil"/>
              <w:bottom w:val="nil"/>
              <w:right w:val="nil"/>
            </w:tcBorders>
            <w:tcMar>
              <w:top w:w="0" w:type="dxa"/>
              <w:left w:w="108" w:type="dxa"/>
              <w:bottom w:w="0" w:type="dxa"/>
              <w:right w:w="108" w:type="dxa"/>
            </w:tcMar>
          </w:tcPr>
          <w:p w:rsidR="005D6812" w:rsidRDefault="005D6812">
            <w:pPr>
              <w:pStyle w:val="Text7pItalicRight025"/>
              <w:rPr>
                <w:rFonts w:eastAsia="Times New Roman" w:cs="Verdana"/>
                <w:i w:val="0"/>
              </w:rPr>
            </w:pPr>
          </w:p>
        </w:tc>
        <w:tc>
          <w:tcPr>
            <w:tcW w:w="847" w:type="dxa"/>
            <w:tcBorders>
              <w:top w:val="nil"/>
              <w:left w:val="nil"/>
              <w:bottom w:val="nil"/>
              <w:right w:val="nil"/>
            </w:tcBorders>
            <w:tcMar>
              <w:top w:w="0" w:type="dxa"/>
              <w:left w:w="108" w:type="dxa"/>
              <w:bottom w:w="0" w:type="dxa"/>
              <w:right w:w="108" w:type="dxa"/>
            </w:tcMar>
          </w:tcPr>
          <w:p w:rsidR="005D6812" w:rsidRDefault="005D6812">
            <w:pPr>
              <w:pStyle w:val="Text7pItalicRight025"/>
              <w:rPr>
                <w:rFonts w:eastAsia="Times New Roman" w:cs="Verdana"/>
                <w:i w:val="0"/>
              </w:rPr>
            </w:pPr>
          </w:p>
        </w:tc>
        <w:tc>
          <w:tcPr>
            <w:tcW w:w="847" w:type="dxa"/>
            <w:tcBorders>
              <w:top w:val="nil"/>
              <w:left w:val="nil"/>
              <w:bottom w:val="nil"/>
              <w:right w:val="nil"/>
            </w:tcBorders>
            <w:tcMar>
              <w:top w:w="0" w:type="dxa"/>
              <w:left w:w="108" w:type="dxa"/>
              <w:bottom w:w="0" w:type="dxa"/>
              <w:right w:w="108" w:type="dxa"/>
            </w:tcMar>
          </w:tcPr>
          <w:p w:rsidR="005D6812" w:rsidRDefault="005D6812">
            <w:pPr>
              <w:pStyle w:val="Text7pItalicRight025"/>
              <w:rPr>
                <w:rFonts w:eastAsia="Times New Roman" w:cs="Verdana"/>
                <w:i w:val="0"/>
              </w:rPr>
            </w:pPr>
          </w:p>
        </w:tc>
        <w:tc>
          <w:tcPr>
            <w:tcW w:w="850" w:type="dxa"/>
            <w:tcBorders>
              <w:top w:val="nil"/>
              <w:left w:val="nil"/>
              <w:bottom w:val="nil"/>
              <w:right w:val="nil"/>
            </w:tcBorders>
            <w:tcMar>
              <w:top w:w="0" w:type="dxa"/>
              <w:left w:w="108" w:type="dxa"/>
              <w:bottom w:w="0" w:type="dxa"/>
              <w:right w:w="108" w:type="dxa"/>
            </w:tcMar>
          </w:tcPr>
          <w:p w:rsidR="005D6812" w:rsidRDefault="005D6812">
            <w:pPr>
              <w:pStyle w:val="Text7pItalicRight025"/>
              <w:rPr>
                <w:rFonts w:eastAsia="Times New Roman" w:cs="Verdana"/>
                <w:i w:val="0"/>
              </w:rPr>
            </w:pPr>
          </w:p>
        </w:tc>
        <w:tc>
          <w:tcPr>
            <w:tcW w:w="847" w:type="dxa"/>
            <w:tcBorders>
              <w:top w:val="nil"/>
              <w:left w:val="nil"/>
              <w:bottom w:val="nil"/>
              <w:right w:val="nil"/>
            </w:tcBorders>
            <w:tcMar>
              <w:top w:w="0" w:type="dxa"/>
              <w:left w:w="108" w:type="dxa"/>
              <w:bottom w:w="0" w:type="dxa"/>
              <w:right w:w="108" w:type="dxa"/>
            </w:tcMar>
          </w:tcPr>
          <w:p w:rsidR="005D6812" w:rsidRDefault="005D6812">
            <w:pPr>
              <w:pStyle w:val="Text7pItalicRight025"/>
              <w:rPr>
                <w:rFonts w:eastAsia="Times New Roman" w:cs="Verdana"/>
                <w:i w:val="0"/>
              </w:rPr>
            </w:pPr>
          </w:p>
        </w:tc>
        <w:tc>
          <w:tcPr>
            <w:tcW w:w="853" w:type="dxa"/>
            <w:tcBorders>
              <w:top w:val="nil"/>
              <w:left w:val="nil"/>
              <w:bottom w:val="nil"/>
              <w:right w:val="nil"/>
            </w:tcBorders>
            <w:tcMar>
              <w:top w:w="0" w:type="dxa"/>
              <w:left w:w="108" w:type="dxa"/>
              <w:bottom w:w="0" w:type="dxa"/>
              <w:right w:w="108" w:type="dxa"/>
            </w:tcMar>
          </w:tcPr>
          <w:p w:rsidR="005D6812" w:rsidRDefault="005D6812">
            <w:pPr>
              <w:pStyle w:val="Text7pItalicRight025"/>
              <w:rPr>
                <w:rFonts w:eastAsia="Times New Roman" w:cs="Verdana"/>
                <w:i w:val="0"/>
              </w:rPr>
            </w:pPr>
          </w:p>
        </w:tc>
        <w:tc>
          <w:tcPr>
            <w:tcW w:w="994" w:type="dxa"/>
            <w:tcBorders>
              <w:top w:val="nil"/>
              <w:left w:val="nil"/>
              <w:bottom w:val="nil"/>
              <w:right w:val="nil"/>
            </w:tcBorders>
            <w:tcMar>
              <w:top w:w="0" w:type="dxa"/>
              <w:left w:w="108" w:type="dxa"/>
              <w:bottom w:w="0" w:type="dxa"/>
              <w:right w:w="108" w:type="dxa"/>
            </w:tcMar>
          </w:tcPr>
          <w:p w:rsidR="005D6812" w:rsidRDefault="005D6812">
            <w:pPr>
              <w:pStyle w:val="Text7pItalicRight025"/>
              <w:rPr>
                <w:rFonts w:eastAsia="Times New Roman" w:cs="Verdana"/>
                <w:i w:val="0"/>
              </w:rPr>
            </w:pPr>
          </w:p>
        </w:tc>
        <w:tc>
          <w:tcPr>
            <w:tcW w:w="994" w:type="dxa"/>
            <w:tcBorders>
              <w:top w:val="nil"/>
              <w:left w:val="nil"/>
              <w:bottom w:val="nil"/>
              <w:right w:val="nil"/>
            </w:tcBorders>
            <w:tcMar>
              <w:top w:w="0" w:type="dxa"/>
              <w:left w:w="108" w:type="dxa"/>
              <w:bottom w:w="0" w:type="dxa"/>
              <w:right w:w="108" w:type="dxa"/>
            </w:tcMar>
          </w:tcPr>
          <w:p w:rsidR="005D6812" w:rsidRDefault="00AB2A2B">
            <w:pPr>
              <w:pStyle w:val="Text5pItalicRight025"/>
              <w:rPr>
                <w:rFonts w:eastAsia="Times New Roman" w:cs="Verdana"/>
              </w:rPr>
            </w:pPr>
            <w:r>
              <w:rPr>
                <w:rFonts w:eastAsia="Times New Roman" w:cs="Verdana"/>
              </w:rPr>
              <w:t>EUR millions</w:t>
            </w:r>
          </w:p>
        </w:tc>
      </w:tr>
      <w:tr w:rsidR="005D6812">
        <w:trPr>
          <w:cantSplit/>
        </w:trPr>
        <w:tc>
          <w:tcPr>
            <w:tcW w:w="2232"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7pNormalCentered"/>
              <w:rPr>
                <w:rFonts w:eastAsia="Times New Roman" w:cs="Verdana"/>
              </w:rPr>
            </w:pPr>
          </w:p>
        </w:tc>
        <w:tc>
          <w:tcPr>
            <w:tcW w:w="5959" w:type="dxa"/>
            <w:gridSpan w:val="7"/>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7pNormalCentered"/>
              <w:rPr>
                <w:rFonts w:eastAsia="Times New Roman" w:cs="Verdana"/>
              </w:rPr>
            </w:pPr>
            <w:r>
              <w:rPr>
                <w:rFonts w:eastAsia="Times New Roman" w:cs="Verdana"/>
              </w:rPr>
              <w:t>31.12.2016</w:t>
            </w:r>
          </w:p>
        </w:tc>
        <w:tc>
          <w:tcPr>
            <w:tcW w:w="285"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5D6812">
            <w:pPr>
              <w:pStyle w:val="Heading7pNormalCentered"/>
              <w:rPr>
                <w:rFonts w:eastAsia="Times New Roman" w:cs="Verdana"/>
                <w:color w:val="auto"/>
              </w:rPr>
            </w:pPr>
          </w:p>
        </w:tc>
        <w:tc>
          <w:tcPr>
            <w:tcW w:w="6232" w:type="dxa"/>
            <w:gridSpan w:val="7"/>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7pNormalCentered"/>
              <w:rPr>
                <w:rFonts w:eastAsia="Times New Roman" w:cs="Verdana"/>
              </w:rPr>
            </w:pPr>
            <w:r>
              <w:rPr>
                <w:rFonts w:eastAsia="Times New Roman" w:cs="Verdana"/>
              </w:rPr>
              <w:t>31.12.2015</w:t>
            </w:r>
          </w:p>
        </w:tc>
      </w:tr>
      <w:tr w:rsidR="005D6812">
        <w:trPr>
          <w:cantSplit/>
        </w:trPr>
        <w:tc>
          <w:tcPr>
            <w:tcW w:w="2232"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7pNormalCentered"/>
              <w:rPr>
                <w:rFonts w:eastAsia="Times New Roman" w:cs="Verdana"/>
              </w:rPr>
            </w:pPr>
          </w:p>
        </w:tc>
        <w:tc>
          <w:tcPr>
            <w:tcW w:w="71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7pNormalCentered"/>
              <w:rPr>
                <w:rFonts w:eastAsia="Times New Roman" w:cs="Verdana"/>
              </w:rPr>
            </w:pPr>
            <w:r>
              <w:rPr>
                <w:rFonts w:eastAsia="Times New Roman" w:cs="Verdana"/>
              </w:rPr>
              <w:t>USD</w:t>
            </w:r>
          </w:p>
        </w:tc>
        <w:tc>
          <w:tcPr>
            <w:tcW w:w="874"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7pNormalCentered"/>
              <w:rPr>
                <w:rFonts w:eastAsia="Times New Roman" w:cs="Verdana"/>
              </w:rPr>
            </w:pPr>
            <w:r>
              <w:rPr>
                <w:rFonts w:eastAsia="Times New Roman" w:cs="Verdana"/>
              </w:rPr>
              <w:t>GBP</w:t>
            </w:r>
          </w:p>
        </w:tc>
        <w:tc>
          <w:tcPr>
            <w:tcW w:w="874"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7pNormalCentered"/>
              <w:rPr>
                <w:rFonts w:eastAsia="Times New Roman" w:cs="Verdana"/>
              </w:rPr>
            </w:pPr>
            <w:r>
              <w:rPr>
                <w:rFonts w:eastAsia="Times New Roman" w:cs="Verdana"/>
              </w:rPr>
              <w:t>DKK</w:t>
            </w:r>
          </w:p>
        </w:tc>
        <w:tc>
          <w:tcPr>
            <w:tcW w:w="874"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7pNormalCentered"/>
              <w:rPr>
                <w:rFonts w:eastAsia="Times New Roman" w:cs="Verdana"/>
              </w:rPr>
            </w:pPr>
            <w:r>
              <w:rPr>
                <w:rFonts w:eastAsia="Times New Roman" w:cs="Verdana"/>
              </w:rPr>
              <w:t>SEK</w:t>
            </w:r>
          </w:p>
        </w:tc>
        <w:tc>
          <w:tcPr>
            <w:tcW w:w="874"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7pNormalCentered"/>
              <w:rPr>
                <w:rFonts w:eastAsia="Times New Roman" w:cs="Verdana"/>
              </w:rPr>
            </w:pPr>
            <w:r>
              <w:rPr>
                <w:rFonts w:eastAsia="Times New Roman" w:cs="Verdana"/>
              </w:rPr>
              <w:t>EUR</w:t>
            </w:r>
          </w:p>
        </w:tc>
        <w:tc>
          <w:tcPr>
            <w:tcW w:w="874"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7pNormalCentered"/>
              <w:rPr>
                <w:rFonts w:eastAsia="Times New Roman" w:cs="Verdana"/>
              </w:rPr>
            </w:pPr>
            <w:r>
              <w:rPr>
                <w:rFonts w:eastAsia="Times New Roman" w:cs="Verdana"/>
              </w:rPr>
              <w:t>Other</w:t>
            </w:r>
          </w:p>
        </w:tc>
        <w:tc>
          <w:tcPr>
            <w:tcW w:w="877"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7pNormalCentered"/>
              <w:rPr>
                <w:rFonts w:eastAsia="Times New Roman" w:cs="Verdana"/>
              </w:rPr>
            </w:pPr>
            <w:r>
              <w:rPr>
                <w:rFonts w:eastAsia="Times New Roman" w:cs="Verdana"/>
              </w:rPr>
              <w:t>Total</w:t>
            </w:r>
          </w:p>
        </w:tc>
        <w:tc>
          <w:tcPr>
            <w:tcW w:w="285"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5D6812">
            <w:pPr>
              <w:pStyle w:val="Heading7pNormalCentered"/>
              <w:rPr>
                <w:rFonts w:eastAsia="Times New Roman" w:cs="Verdana"/>
                <w:color w:val="auto"/>
              </w:rPr>
            </w:pPr>
          </w:p>
        </w:tc>
        <w:tc>
          <w:tcPr>
            <w:tcW w:w="847"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7pNormalCentered"/>
              <w:rPr>
                <w:rFonts w:eastAsia="Times New Roman" w:cs="Verdana"/>
              </w:rPr>
            </w:pPr>
            <w:r>
              <w:rPr>
                <w:rFonts w:eastAsia="Times New Roman" w:cs="Verdana"/>
              </w:rPr>
              <w:t>USD</w:t>
            </w:r>
          </w:p>
        </w:tc>
        <w:tc>
          <w:tcPr>
            <w:tcW w:w="847"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7pNormalCentered"/>
              <w:rPr>
                <w:rFonts w:eastAsia="Times New Roman" w:cs="Verdana"/>
              </w:rPr>
            </w:pPr>
            <w:r>
              <w:rPr>
                <w:rFonts w:eastAsia="Times New Roman" w:cs="Verdana"/>
              </w:rPr>
              <w:t>GBP</w:t>
            </w:r>
          </w:p>
        </w:tc>
        <w:tc>
          <w:tcPr>
            <w:tcW w:w="850"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7pNormalCentered"/>
              <w:rPr>
                <w:rFonts w:eastAsia="Times New Roman" w:cs="Verdana"/>
              </w:rPr>
            </w:pPr>
            <w:r>
              <w:rPr>
                <w:rFonts w:eastAsia="Times New Roman" w:cs="Verdana"/>
              </w:rPr>
              <w:t>DKK</w:t>
            </w:r>
          </w:p>
        </w:tc>
        <w:tc>
          <w:tcPr>
            <w:tcW w:w="847"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7pNormalCentered"/>
              <w:rPr>
                <w:rFonts w:eastAsia="Times New Roman" w:cs="Verdana"/>
              </w:rPr>
            </w:pPr>
            <w:r>
              <w:rPr>
                <w:rFonts w:eastAsia="Times New Roman" w:cs="Verdana"/>
              </w:rPr>
              <w:t>SEK</w:t>
            </w:r>
          </w:p>
        </w:tc>
        <w:tc>
          <w:tcPr>
            <w:tcW w:w="853"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7pNormalCentered"/>
              <w:rPr>
                <w:rFonts w:eastAsia="Times New Roman" w:cs="Verdana"/>
              </w:rPr>
            </w:pPr>
            <w:r>
              <w:rPr>
                <w:rFonts w:eastAsia="Times New Roman" w:cs="Verdana"/>
              </w:rPr>
              <w:t>EUR</w:t>
            </w:r>
          </w:p>
        </w:tc>
        <w:tc>
          <w:tcPr>
            <w:tcW w:w="994"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7pNormalCentered"/>
              <w:rPr>
                <w:rFonts w:eastAsia="Times New Roman" w:cs="Verdana"/>
              </w:rPr>
            </w:pPr>
            <w:r>
              <w:rPr>
                <w:rFonts w:eastAsia="Times New Roman" w:cs="Verdana"/>
              </w:rPr>
              <w:t>Other</w:t>
            </w:r>
          </w:p>
        </w:tc>
        <w:tc>
          <w:tcPr>
            <w:tcW w:w="994"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7pNormalCentered"/>
              <w:rPr>
                <w:rFonts w:eastAsia="Times New Roman" w:cs="Verdana"/>
              </w:rPr>
            </w:pPr>
            <w:r>
              <w:rPr>
                <w:rFonts w:eastAsia="Times New Roman" w:cs="Verdana"/>
              </w:rPr>
              <w:t>Total</w:t>
            </w:r>
          </w:p>
        </w:tc>
      </w:tr>
      <w:tr w:rsidR="005D6812">
        <w:trPr>
          <w:cantSplit/>
        </w:trPr>
        <w:tc>
          <w:tcPr>
            <w:tcW w:w="2232" w:type="dxa"/>
            <w:tcBorders>
              <w:top w:val="nil"/>
              <w:left w:val="nil"/>
              <w:bottom w:val="nil"/>
              <w:right w:val="nil"/>
            </w:tcBorders>
            <w:shd w:val="clear" w:color="auto" w:fill="FFFFFF"/>
            <w:tcMar>
              <w:top w:w="0" w:type="dxa"/>
              <w:left w:w="108" w:type="dxa"/>
              <w:bottom w:w="0" w:type="dxa"/>
              <w:right w:w="108" w:type="dxa"/>
            </w:tcMar>
            <w:vAlign w:val="center"/>
          </w:tcPr>
          <w:p w:rsidR="005D6812" w:rsidRDefault="00AB2A2B">
            <w:pPr>
              <w:pStyle w:val="Text7pBoldLeft"/>
              <w:rPr>
                <w:rFonts w:eastAsia="Times New Roman" w:cs="Verdana"/>
              </w:rPr>
            </w:pPr>
            <w:r>
              <w:rPr>
                <w:rFonts w:eastAsia="Times New Roman" w:cs="Verdana"/>
              </w:rPr>
              <w:t>Financial assets</w:t>
            </w:r>
          </w:p>
        </w:tc>
        <w:tc>
          <w:tcPr>
            <w:tcW w:w="712" w:type="dxa"/>
            <w:tcBorders>
              <w:top w:val="nil"/>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c>
          <w:tcPr>
            <w:tcW w:w="877" w:type="dxa"/>
            <w:tcBorders>
              <w:top w:val="nil"/>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c>
          <w:tcPr>
            <w:tcW w:w="285" w:type="dxa"/>
            <w:tcBorders>
              <w:top w:val="nil"/>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b w:val="0"/>
              </w:rPr>
            </w:pPr>
          </w:p>
        </w:tc>
        <w:tc>
          <w:tcPr>
            <w:tcW w:w="847" w:type="dxa"/>
            <w:tcBorders>
              <w:top w:val="nil"/>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c>
          <w:tcPr>
            <w:tcW w:w="847" w:type="dxa"/>
            <w:tcBorders>
              <w:top w:val="nil"/>
              <w:left w:val="nil"/>
              <w:bottom w:val="nil"/>
              <w:right w:val="nil"/>
            </w:tcBorders>
            <w:shd w:val="clear" w:color="auto" w:fill="FFFFFF"/>
            <w:tcMar>
              <w:top w:w="0" w:type="dxa"/>
              <w:left w:w="108" w:type="dxa"/>
              <w:bottom w:w="0" w:type="dxa"/>
              <w:right w:w="108" w:type="dxa"/>
            </w:tcMar>
          </w:tcPr>
          <w:p w:rsidR="005D6812" w:rsidRDefault="005D6812">
            <w:pPr>
              <w:pStyle w:val="Figures55pBoldRight01"/>
              <w:rPr>
                <w:rFonts w:eastAsia="Times New Roman" w:cs="Verdana"/>
              </w:rPr>
            </w:pPr>
          </w:p>
        </w:tc>
        <w:tc>
          <w:tcPr>
            <w:tcW w:w="850" w:type="dxa"/>
            <w:tcBorders>
              <w:top w:val="nil"/>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c>
          <w:tcPr>
            <w:tcW w:w="847" w:type="dxa"/>
            <w:tcBorders>
              <w:top w:val="nil"/>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c>
          <w:tcPr>
            <w:tcW w:w="853" w:type="dxa"/>
            <w:tcBorders>
              <w:top w:val="nil"/>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c>
          <w:tcPr>
            <w:tcW w:w="994" w:type="dxa"/>
            <w:tcBorders>
              <w:top w:val="nil"/>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c>
          <w:tcPr>
            <w:tcW w:w="994" w:type="dxa"/>
            <w:tcBorders>
              <w:top w:val="nil"/>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r>
      <w:tr w:rsidR="005D6812">
        <w:trPr>
          <w:cantSplit/>
        </w:trPr>
        <w:tc>
          <w:tcPr>
            <w:tcW w:w="2232" w:type="dxa"/>
            <w:tcBorders>
              <w:top w:val="nil"/>
              <w:left w:val="nil"/>
              <w:bottom w:val="nil"/>
              <w:right w:val="nil"/>
            </w:tcBorders>
            <w:tcMar>
              <w:top w:w="0" w:type="dxa"/>
              <w:left w:w="108" w:type="dxa"/>
              <w:bottom w:w="0" w:type="dxa"/>
              <w:right w:w="108" w:type="dxa"/>
            </w:tcMar>
            <w:vAlign w:val="center"/>
          </w:tcPr>
          <w:p w:rsidR="005D6812" w:rsidRDefault="00AB2A2B">
            <w:pPr>
              <w:pStyle w:val="Text7pItalicLeft"/>
              <w:rPr>
                <w:rFonts w:eastAsia="Times New Roman" w:cs="Verdana"/>
              </w:rPr>
            </w:pPr>
            <w:r>
              <w:rPr>
                <w:rFonts w:eastAsia="Times New Roman" w:cs="Verdana"/>
              </w:rPr>
              <w:t>Receivables and recoverables</w:t>
            </w:r>
          </w:p>
        </w:tc>
        <w:tc>
          <w:tcPr>
            <w:tcW w:w="712"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0</w:t>
            </w:r>
          </w:p>
        </w:tc>
        <w:tc>
          <w:tcPr>
            <w:tcW w:w="874"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74"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74"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74"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129</w:t>
            </w:r>
          </w:p>
        </w:tc>
        <w:tc>
          <w:tcPr>
            <w:tcW w:w="874"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3</w:t>
            </w:r>
          </w:p>
        </w:tc>
        <w:tc>
          <w:tcPr>
            <w:tcW w:w="877"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132</w:t>
            </w:r>
          </w:p>
        </w:tc>
        <w:tc>
          <w:tcPr>
            <w:tcW w:w="285" w:type="dxa"/>
            <w:tcBorders>
              <w:top w:val="nil"/>
              <w:left w:val="nil"/>
              <w:bottom w:val="nil"/>
              <w:right w:val="nil"/>
            </w:tcBorders>
            <w:tcMar>
              <w:top w:w="0" w:type="dxa"/>
              <w:left w:w="108" w:type="dxa"/>
              <w:bottom w:w="0" w:type="dxa"/>
              <w:right w:w="108" w:type="dxa"/>
            </w:tcMar>
            <w:vAlign w:val="center"/>
          </w:tcPr>
          <w:p w:rsidR="005D6812" w:rsidRDefault="005D6812">
            <w:pPr>
              <w:pStyle w:val="Figures55pItalicRight01"/>
              <w:rPr>
                <w:rFonts w:eastAsia="Times New Roman" w:cs="Verdana"/>
                <w:i w:val="0"/>
              </w:rPr>
            </w:pPr>
          </w:p>
        </w:tc>
        <w:tc>
          <w:tcPr>
            <w:tcW w:w="847"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47"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50"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47"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53"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171</w:t>
            </w:r>
          </w:p>
        </w:tc>
        <w:tc>
          <w:tcPr>
            <w:tcW w:w="994"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1</w:t>
            </w:r>
          </w:p>
        </w:tc>
        <w:tc>
          <w:tcPr>
            <w:tcW w:w="994"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171</w:t>
            </w:r>
          </w:p>
        </w:tc>
      </w:tr>
      <w:tr w:rsidR="005D6812">
        <w:trPr>
          <w:cantSplit/>
        </w:trPr>
        <w:tc>
          <w:tcPr>
            <w:tcW w:w="2232"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Text7pItalicLeft"/>
              <w:rPr>
                <w:rFonts w:eastAsia="Times New Roman" w:cs="Verdana"/>
              </w:rPr>
            </w:pPr>
            <w:r>
              <w:rPr>
                <w:rFonts w:eastAsia="Times New Roman" w:cs="Verdana"/>
              </w:rPr>
              <w:t>Cash and cash equivalents</w:t>
            </w:r>
          </w:p>
        </w:tc>
        <w:tc>
          <w:tcPr>
            <w:tcW w:w="712"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2</w:t>
            </w:r>
          </w:p>
        </w:tc>
        <w:tc>
          <w:tcPr>
            <w:tcW w:w="874"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0</w:t>
            </w:r>
          </w:p>
        </w:tc>
        <w:tc>
          <w:tcPr>
            <w:tcW w:w="874"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74"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74"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678</w:t>
            </w:r>
          </w:p>
        </w:tc>
        <w:tc>
          <w:tcPr>
            <w:tcW w:w="874"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77"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680</w:t>
            </w:r>
          </w:p>
        </w:tc>
        <w:tc>
          <w:tcPr>
            <w:tcW w:w="285" w:type="dxa"/>
            <w:tcBorders>
              <w:top w:val="nil"/>
              <w:left w:val="nil"/>
              <w:bottom w:val="single" w:sz="4" w:space="0" w:color="3486A9"/>
              <w:right w:val="nil"/>
            </w:tcBorders>
            <w:tcMar>
              <w:top w:w="0" w:type="dxa"/>
              <w:left w:w="108" w:type="dxa"/>
              <w:bottom w:w="0" w:type="dxa"/>
              <w:right w:w="108" w:type="dxa"/>
            </w:tcMar>
            <w:vAlign w:val="center"/>
          </w:tcPr>
          <w:p w:rsidR="005D6812" w:rsidRDefault="005D6812">
            <w:pPr>
              <w:pStyle w:val="Figures55pItalicRight01"/>
              <w:rPr>
                <w:rFonts w:eastAsia="Times New Roman" w:cs="Verdana"/>
                <w:i w:val="0"/>
              </w:rPr>
            </w:pPr>
          </w:p>
        </w:tc>
        <w:tc>
          <w:tcPr>
            <w:tcW w:w="847"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4</w:t>
            </w:r>
          </w:p>
        </w:tc>
        <w:tc>
          <w:tcPr>
            <w:tcW w:w="847"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0</w:t>
            </w:r>
          </w:p>
        </w:tc>
        <w:tc>
          <w:tcPr>
            <w:tcW w:w="850"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47"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53"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500</w:t>
            </w:r>
          </w:p>
        </w:tc>
        <w:tc>
          <w:tcPr>
            <w:tcW w:w="994"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994"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504</w:t>
            </w:r>
          </w:p>
        </w:tc>
      </w:tr>
      <w:tr w:rsidR="005D6812">
        <w:trPr>
          <w:cantSplit/>
        </w:trPr>
        <w:tc>
          <w:tcPr>
            <w:tcW w:w="2232"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Text7pItalicLeft"/>
              <w:rPr>
                <w:rFonts w:eastAsia="Times New Roman" w:cs="Verdana"/>
              </w:rPr>
            </w:pPr>
            <w:r>
              <w:rPr>
                <w:rFonts w:eastAsia="Times New Roman" w:cs="Verdana"/>
              </w:rPr>
              <w:t>Total</w:t>
            </w:r>
          </w:p>
        </w:tc>
        <w:tc>
          <w:tcPr>
            <w:tcW w:w="712"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2</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0</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807</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3</w:t>
            </w:r>
          </w:p>
        </w:tc>
        <w:tc>
          <w:tcPr>
            <w:tcW w:w="87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812</w:t>
            </w:r>
          </w:p>
        </w:tc>
        <w:tc>
          <w:tcPr>
            <w:tcW w:w="285"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b w:val="0"/>
              </w:rPr>
            </w:pP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4</w:t>
            </w: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55pBoldRight01"/>
              <w:rPr>
                <w:rFonts w:eastAsia="Times New Roman" w:cs="Verdana"/>
              </w:rPr>
            </w:pPr>
            <w:r>
              <w:rPr>
                <w:rFonts w:eastAsia="Times New Roman" w:cs="Verdana"/>
              </w:rPr>
              <w:t xml:space="preserve"> 0</w:t>
            </w:r>
          </w:p>
        </w:tc>
        <w:tc>
          <w:tcPr>
            <w:tcW w:w="850"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w:t>
            </w: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w:t>
            </w:r>
          </w:p>
        </w:tc>
        <w:tc>
          <w:tcPr>
            <w:tcW w:w="853"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671</w:t>
            </w:r>
          </w:p>
        </w:tc>
        <w:tc>
          <w:tcPr>
            <w:tcW w:w="99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1</w:t>
            </w:r>
          </w:p>
        </w:tc>
        <w:tc>
          <w:tcPr>
            <w:tcW w:w="99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675</w:t>
            </w:r>
          </w:p>
        </w:tc>
      </w:tr>
      <w:tr w:rsidR="005D6812">
        <w:trPr>
          <w:cantSplit/>
        </w:trPr>
        <w:tc>
          <w:tcPr>
            <w:tcW w:w="2232"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rsidR="005D6812" w:rsidRDefault="00AB2A2B">
            <w:pPr>
              <w:pStyle w:val="Text7pBoldLeft"/>
              <w:rPr>
                <w:rFonts w:eastAsia="Times New Roman" w:cs="Verdana"/>
              </w:rPr>
            </w:pPr>
            <w:r>
              <w:rPr>
                <w:rFonts w:eastAsia="Times New Roman" w:cs="Verdana"/>
              </w:rPr>
              <w:t>Financial liabilities</w:t>
            </w:r>
          </w:p>
        </w:tc>
        <w:tc>
          <w:tcPr>
            <w:tcW w:w="712"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c>
          <w:tcPr>
            <w:tcW w:w="877"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c>
          <w:tcPr>
            <w:tcW w:w="285"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b w:val="0"/>
              </w:rPr>
            </w:pPr>
          </w:p>
        </w:tc>
        <w:tc>
          <w:tcPr>
            <w:tcW w:w="847"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c>
          <w:tcPr>
            <w:tcW w:w="847" w:type="dxa"/>
            <w:tcBorders>
              <w:top w:val="single" w:sz="4" w:space="0" w:color="016794"/>
              <w:left w:val="nil"/>
              <w:bottom w:val="nil"/>
              <w:right w:val="nil"/>
            </w:tcBorders>
            <w:shd w:val="clear" w:color="auto" w:fill="FFFFFF"/>
            <w:tcMar>
              <w:top w:w="0" w:type="dxa"/>
              <w:left w:w="108" w:type="dxa"/>
              <w:bottom w:w="0" w:type="dxa"/>
              <w:right w:w="108" w:type="dxa"/>
            </w:tcMar>
          </w:tcPr>
          <w:p w:rsidR="005D6812" w:rsidRDefault="005D6812">
            <w:pPr>
              <w:pStyle w:val="Figures55pBoldRight01"/>
              <w:rPr>
                <w:rFonts w:eastAsia="Times New Roman" w:cs="Verdana"/>
              </w:rPr>
            </w:pPr>
          </w:p>
        </w:tc>
        <w:tc>
          <w:tcPr>
            <w:tcW w:w="850"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c>
          <w:tcPr>
            <w:tcW w:w="847"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c>
          <w:tcPr>
            <w:tcW w:w="853"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c>
          <w:tcPr>
            <w:tcW w:w="99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c>
          <w:tcPr>
            <w:tcW w:w="99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rPr>
            </w:pPr>
          </w:p>
        </w:tc>
      </w:tr>
      <w:tr w:rsidR="005D6812">
        <w:trPr>
          <w:cantSplit/>
        </w:trPr>
        <w:tc>
          <w:tcPr>
            <w:tcW w:w="2232" w:type="dxa"/>
            <w:tcBorders>
              <w:top w:val="nil"/>
              <w:left w:val="nil"/>
              <w:bottom w:val="nil"/>
              <w:right w:val="nil"/>
            </w:tcBorders>
            <w:tcMar>
              <w:top w:w="0" w:type="dxa"/>
              <w:left w:w="108" w:type="dxa"/>
              <w:bottom w:w="0" w:type="dxa"/>
              <w:right w:w="108" w:type="dxa"/>
            </w:tcMar>
            <w:vAlign w:val="center"/>
          </w:tcPr>
          <w:p w:rsidR="005D6812" w:rsidRDefault="00AB2A2B">
            <w:pPr>
              <w:pStyle w:val="Text7pItalicLeft"/>
              <w:rPr>
                <w:rFonts w:eastAsia="Times New Roman" w:cs="Verdana"/>
              </w:rPr>
            </w:pPr>
            <w:r>
              <w:rPr>
                <w:rFonts w:eastAsia="Times New Roman" w:cs="Verdana"/>
              </w:rPr>
              <w:t>Non-current financial liabilities</w:t>
            </w:r>
          </w:p>
        </w:tc>
        <w:tc>
          <w:tcPr>
            <w:tcW w:w="712"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74"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74"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74"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74"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(6)</w:t>
            </w:r>
          </w:p>
        </w:tc>
        <w:tc>
          <w:tcPr>
            <w:tcW w:w="874"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77"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(6)</w:t>
            </w:r>
          </w:p>
        </w:tc>
        <w:tc>
          <w:tcPr>
            <w:tcW w:w="285" w:type="dxa"/>
            <w:tcBorders>
              <w:top w:val="nil"/>
              <w:left w:val="nil"/>
              <w:bottom w:val="nil"/>
              <w:right w:val="nil"/>
            </w:tcBorders>
            <w:tcMar>
              <w:top w:w="0" w:type="dxa"/>
              <w:left w:w="108" w:type="dxa"/>
              <w:bottom w:w="0" w:type="dxa"/>
              <w:right w:w="108" w:type="dxa"/>
            </w:tcMar>
            <w:vAlign w:val="center"/>
          </w:tcPr>
          <w:p w:rsidR="005D6812" w:rsidRDefault="005D6812">
            <w:pPr>
              <w:pStyle w:val="Figures55pItalicRight01"/>
              <w:rPr>
                <w:rFonts w:eastAsia="Times New Roman" w:cs="Verdana"/>
                <w:i w:val="0"/>
              </w:rPr>
            </w:pPr>
          </w:p>
        </w:tc>
        <w:tc>
          <w:tcPr>
            <w:tcW w:w="847"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0</w:t>
            </w:r>
          </w:p>
        </w:tc>
        <w:tc>
          <w:tcPr>
            <w:tcW w:w="847"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50"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47"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53"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(10)</w:t>
            </w:r>
          </w:p>
        </w:tc>
        <w:tc>
          <w:tcPr>
            <w:tcW w:w="994"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994" w:type="dxa"/>
            <w:tcBorders>
              <w:top w:val="nil"/>
              <w:left w:val="nil"/>
              <w:bottom w:val="nil"/>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(10)</w:t>
            </w:r>
          </w:p>
        </w:tc>
      </w:tr>
      <w:tr w:rsidR="005D6812">
        <w:trPr>
          <w:cantSplit/>
        </w:trPr>
        <w:tc>
          <w:tcPr>
            <w:tcW w:w="2232"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Text7pItalicLeft"/>
              <w:rPr>
                <w:rFonts w:eastAsia="Times New Roman" w:cs="Verdana"/>
              </w:rPr>
            </w:pPr>
            <w:r>
              <w:rPr>
                <w:rFonts w:eastAsia="Times New Roman" w:cs="Verdana"/>
              </w:rPr>
              <w:t>Payables</w:t>
            </w:r>
          </w:p>
        </w:tc>
        <w:tc>
          <w:tcPr>
            <w:tcW w:w="712"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0</w:t>
            </w:r>
          </w:p>
        </w:tc>
        <w:tc>
          <w:tcPr>
            <w:tcW w:w="874"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74"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74"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74"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(495)</w:t>
            </w:r>
          </w:p>
        </w:tc>
        <w:tc>
          <w:tcPr>
            <w:tcW w:w="874"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(54)</w:t>
            </w:r>
          </w:p>
        </w:tc>
        <w:tc>
          <w:tcPr>
            <w:tcW w:w="877"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(549)</w:t>
            </w:r>
          </w:p>
        </w:tc>
        <w:tc>
          <w:tcPr>
            <w:tcW w:w="285" w:type="dxa"/>
            <w:tcBorders>
              <w:top w:val="nil"/>
              <w:left w:val="nil"/>
              <w:bottom w:val="single" w:sz="4" w:space="0" w:color="3486A9"/>
              <w:right w:val="nil"/>
            </w:tcBorders>
            <w:tcMar>
              <w:top w:w="0" w:type="dxa"/>
              <w:left w:w="108" w:type="dxa"/>
              <w:bottom w:w="0" w:type="dxa"/>
              <w:right w:w="108" w:type="dxa"/>
            </w:tcMar>
            <w:vAlign w:val="center"/>
          </w:tcPr>
          <w:p w:rsidR="005D6812" w:rsidRDefault="005D6812">
            <w:pPr>
              <w:pStyle w:val="Figures55pItalicRight01"/>
              <w:rPr>
                <w:rFonts w:eastAsia="Times New Roman" w:cs="Verdana"/>
                <w:i w:val="0"/>
              </w:rPr>
            </w:pPr>
          </w:p>
        </w:tc>
        <w:tc>
          <w:tcPr>
            <w:tcW w:w="847"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0</w:t>
            </w:r>
          </w:p>
        </w:tc>
        <w:tc>
          <w:tcPr>
            <w:tcW w:w="847"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50"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47"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w:t>
            </w:r>
          </w:p>
        </w:tc>
        <w:tc>
          <w:tcPr>
            <w:tcW w:w="853"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(473)</w:t>
            </w:r>
          </w:p>
        </w:tc>
        <w:tc>
          <w:tcPr>
            <w:tcW w:w="994"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(47)</w:t>
            </w:r>
          </w:p>
        </w:tc>
        <w:tc>
          <w:tcPr>
            <w:tcW w:w="994" w:type="dxa"/>
            <w:tcBorders>
              <w:top w:val="nil"/>
              <w:left w:val="nil"/>
              <w:bottom w:val="single" w:sz="4" w:space="0" w:color="3486A9"/>
              <w:right w:val="nil"/>
            </w:tcBorders>
            <w:tcMar>
              <w:top w:w="0" w:type="dxa"/>
              <w:left w:w="108" w:type="dxa"/>
              <w:bottom w:w="0" w:type="dxa"/>
              <w:right w:w="108" w:type="dxa"/>
            </w:tcMar>
            <w:vAlign w:val="center"/>
          </w:tcPr>
          <w:p w:rsidR="005D6812" w:rsidRDefault="00AB2A2B">
            <w:pPr>
              <w:pStyle w:val="Figures55pItalicRight01"/>
              <w:rPr>
                <w:rFonts w:eastAsia="Times New Roman" w:cs="Verdana"/>
              </w:rPr>
            </w:pPr>
            <w:r>
              <w:rPr>
                <w:rFonts w:eastAsia="Times New Roman" w:cs="Verdana"/>
              </w:rPr>
              <w:t xml:space="preserve"> (520)</w:t>
            </w:r>
          </w:p>
        </w:tc>
      </w:tr>
      <w:tr w:rsidR="005D6812">
        <w:trPr>
          <w:cantSplit/>
        </w:trPr>
        <w:tc>
          <w:tcPr>
            <w:tcW w:w="2232"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Text7pItalicLeft"/>
              <w:rPr>
                <w:rFonts w:eastAsia="Times New Roman" w:cs="Verdana"/>
              </w:rPr>
            </w:pPr>
            <w:r>
              <w:rPr>
                <w:rFonts w:eastAsia="Times New Roman" w:cs="Verdana"/>
              </w:rPr>
              <w:t>Total</w:t>
            </w:r>
          </w:p>
        </w:tc>
        <w:tc>
          <w:tcPr>
            <w:tcW w:w="712"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0</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(501)</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(54)</w:t>
            </w:r>
          </w:p>
        </w:tc>
        <w:tc>
          <w:tcPr>
            <w:tcW w:w="87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(555)</w:t>
            </w:r>
          </w:p>
        </w:tc>
        <w:tc>
          <w:tcPr>
            <w:tcW w:w="285"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5D6812">
            <w:pPr>
              <w:pStyle w:val="Figures55pBoldRight01"/>
              <w:rPr>
                <w:rFonts w:eastAsia="Times New Roman" w:cs="Verdana"/>
                <w:b w:val="0"/>
              </w:rPr>
            </w:pP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0</w:t>
            </w: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tcPr>
          <w:p w:rsidR="005D6812" w:rsidRDefault="00AB2A2B">
            <w:pPr>
              <w:pStyle w:val="Figures55pBoldRight01"/>
              <w:rPr>
                <w:rFonts w:eastAsia="Times New Roman" w:cs="Verdana"/>
              </w:rPr>
            </w:pPr>
            <w:r>
              <w:rPr>
                <w:rFonts w:eastAsia="Times New Roman" w:cs="Verdana"/>
              </w:rPr>
              <w:t>–</w:t>
            </w:r>
          </w:p>
        </w:tc>
        <w:tc>
          <w:tcPr>
            <w:tcW w:w="850"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w:t>
            </w: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w:t>
            </w:r>
          </w:p>
        </w:tc>
        <w:tc>
          <w:tcPr>
            <w:tcW w:w="853"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(483)</w:t>
            </w:r>
          </w:p>
        </w:tc>
        <w:tc>
          <w:tcPr>
            <w:tcW w:w="99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(47)</w:t>
            </w:r>
          </w:p>
        </w:tc>
        <w:tc>
          <w:tcPr>
            <w:tcW w:w="99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(530)</w:t>
            </w:r>
          </w:p>
        </w:tc>
      </w:tr>
      <w:tr w:rsidR="005D6812">
        <w:trPr>
          <w:cantSplit/>
        </w:trPr>
        <w:tc>
          <w:tcPr>
            <w:tcW w:w="2232"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rsidR="005D6812" w:rsidRDefault="00AB2A2B">
            <w:pPr>
              <w:pStyle w:val="Text7pBoldLeft"/>
              <w:rPr>
                <w:rFonts w:eastAsia="Times New Roman" w:cs="Verdana"/>
              </w:rPr>
            </w:pPr>
            <w:r>
              <w:rPr>
                <w:rFonts w:eastAsia="Times New Roman" w:cs="Verdana"/>
              </w:rPr>
              <w:t>Total</w:t>
            </w:r>
          </w:p>
        </w:tc>
        <w:tc>
          <w:tcPr>
            <w:tcW w:w="712"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2</w:t>
            </w:r>
          </w:p>
        </w:tc>
        <w:tc>
          <w:tcPr>
            <w:tcW w:w="874"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0</w:t>
            </w:r>
          </w:p>
        </w:tc>
        <w:tc>
          <w:tcPr>
            <w:tcW w:w="874"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w:t>
            </w:r>
          </w:p>
        </w:tc>
        <w:tc>
          <w:tcPr>
            <w:tcW w:w="874"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w:t>
            </w:r>
          </w:p>
        </w:tc>
        <w:tc>
          <w:tcPr>
            <w:tcW w:w="874"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306</w:t>
            </w:r>
          </w:p>
        </w:tc>
        <w:tc>
          <w:tcPr>
            <w:tcW w:w="874"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(51)</w:t>
            </w:r>
          </w:p>
        </w:tc>
        <w:tc>
          <w:tcPr>
            <w:tcW w:w="877"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257</w:t>
            </w:r>
          </w:p>
        </w:tc>
        <w:tc>
          <w:tcPr>
            <w:tcW w:w="285"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rsidR="005D6812" w:rsidRDefault="005D6812">
            <w:pPr>
              <w:pStyle w:val="Figures55pBoldRight01"/>
              <w:rPr>
                <w:rFonts w:eastAsia="Times New Roman" w:cs="Verdana"/>
                <w:b w:val="0"/>
              </w:rPr>
            </w:pPr>
          </w:p>
        </w:tc>
        <w:tc>
          <w:tcPr>
            <w:tcW w:w="847"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4</w:t>
            </w:r>
          </w:p>
        </w:tc>
        <w:tc>
          <w:tcPr>
            <w:tcW w:w="847"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0</w:t>
            </w:r>
          </w:p>
        </w:tc>
        <w:tc>
          <w:tcPr>
            <w:tcW w:w="850"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w:t>
            </w:r>
          </w:p>
        </w:tc>
        <w:tc>
          <w:tcPr>
            <w:tcW w:w="847"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w:t>
            </w:r>
          </w:p>
        </w:tc>
        <w:tc>
          <w:tcPr>
            <w:tcW w:w="853"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188</w:t>
            </w:r>
          </w:p>
        </w:tc>
        <w:tc>
          <w:tcPr>
            <w:tcW w:w="994"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(46)</w:t>
            </w:r>
          </w:p>
        </w:tc>
        <w:tc>
          <w:tcPr>
            <w:tcW w:w="994"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rsidR="005D6812" w:rsidRDefault="00AB2A2B">
            <w:pPr>
              <w:pStyle w:val="Figures55pBoldRight01"/>
              <w:rPr>
                <w:rFonts w:eastAsia="Times New Roman" w:cs="Verdana"/>
              </w:rPr>
            </w:pPr>
            <w:r>
              <w:rPr>
                <w:rFonts w:eastAsia="Times New Roman" w:cs="Verdana"/>
              </w:rPr>
              <w:t xml:space="preserve"> 145</w:t>
            </w:r>
          </w:p>
        </w:tc>
      </w:tr>
    </w:tbl>
    <w:p w:rsidR="005D6812" w:rsidRDefault="00AB2A2B">
      <w:pPr>
        <w:pStyle w:val="Textstand-alone"/>
      </w:pPr>
      <w:r>
        <w:t>All contributions are held in EUR, and other currencies are purchased only when they are needed for the execution of payments. As a result the EDF's treasury operations are not exposed to currency risk.</w:t>
      </w:r>
    </w:p>
    <w:p w:rsidR="005D6812" w:rsidRDefault="00AB2A2B">
      <w:pPr>
        <w:pStyle w:val="Textstand-alone"/>
        <w:sectPr w:rsidR="005D6812">
          <w:headerReference w:type="even" r:id="rId209"/>
          <w:headerReference w:type="default" r:id="rId210"/>
          <w:footerReference w:type="even" r:id="rId211"/>
          <w:footerReference w:type="default" r:id="rId212"/>
          <w:headerReference w:type="first" r:id="rId213"/>
          <w:footerReference w:type="first" r:id="rId214"/>
          <w:pgSz w:w="16838" w:h="11906" w:orient="landscape"/>
          <w:pgMar w:top="1134" w:right="1134" w:bottom="1134" w:left="1134" w:header="708" w:footer="708" w:gutter="0"/>
          <w:cols w:space="708"/>
          <w:docGrid w:linePitch="360"/>
        </w:sectPr>
      </w:pPr>
      <w:r>
        <w:t xml:space="preserve"> </w:t>
      </w:r>
      <w:bookmarkEnd w:id="291"/>
    </w:p>
    <w:p w:rsidR="005D6812" w:rsidRDefault="00AB2A2B">
      <w:pPr>
        <w:pStyle w:val="HEADER2Part2"/>
        <w:rPr>
          <w:noProof/>
          <w:lang w:val="fr-BE"/>
        </w:rPr>
      </w:pPr>
      <w:bookmarkStart w:id="293" w:name="_DMBM_9566"/>
      <w:r>
        <w:rPr>
          <w:noProof/>
          <w:lang w:val="fr-BE"/>
        </w:rPr>
        <w:t>INTEREST RATE RISK</w:t>
      </w:r>
    </w:p>
    <w:p w:rsidR="005D6812" w:rsidRDefault="00AB2A2B">
      <w:pPr>
        <w:pStyle w:val="Textstand-alone"/>
      </w:pPr>
      <w:r>
        <w:t>The EDF does not borrow money and as a consequence it is not exposed to interest rate risk.</w:t>
      </w:r>
    </w:p>
    <w:p w:rsidR="005D6812" w:rsidRDefault="00AB2A2B">
      <w:pPr>
        <w:pStyle w:val="Textstand-alone"/>
      </w:pPr>
      <w:r>
        <w:t xml:space="preserve">Interest is accrued on balances it holds on its different banks </w:t>
      </w:r>
      <w:r>
        <w:t>accounts. The Commission, on behalf of the EDF, has therefore put in place measures to ensure that interest earned regularly reflect market interest rates as well as their possible fluctuation.</w:t>
      </w:r>
    </w:p>
    <w:p w:rsidR="005D6812" w:rsidRDefault="00AB2A2B">
      <w:pPr>
        <w:pStyle w:val="Textstand-alone"/>
      </w:pPr>
      <w:r>
        <w:t>Contributions to the EDF budget are credited by each Member St</w:t>
      </w:r>
      <w:r>
        <w:t xml:space="preserve">ate to a special account opened with the financial institution designed by it. As the remuneration applied to some of these accounts may currently be negative, cash management procedures are in place to minimise balances kept on the accounts concerned. In </w:t>
      </w:r>
      <w:r>
        <w:t>addition, in accordance with Council Regulation (EU)2016/888, any negative remuneration on these accounts is borne by the relevant Member State.</w:t>
      </w:r>
    </w:p>
    <w:p w:rsidR="005D6812" w:rsidRDefault="00AB2A2B">
      <w:pPr>
        <w:pStyle w:val="Textstand-alone"/>
      </w:pPr>
      <w:r>
        <w:t>Overnight balances held on commercial bank accounts are remunerated on a daily basis. The remuneration of balan</w:t>
      </w:r>
      <w:r>
        <w:t>ces on such accounts is based on variable market rates to which a contractual margin (positive or negative) is applied. For most of the accounts the interest calculation is linked to a market reference rate and is adjusted to reflect any fluctuations of th</w:t>
      </w:r>
      <w:r>
        <w:t>is rate. As a result no risk is taken by the EDF that its balances be remunerated at rates lower than market rates.</w:t>
      </w:r>
    </w:p>
    <w:p w:rsidR="005D6812" w:rsidRDefault="00AB2A2B">
      <w:pPr>
        <w:pStyle w:val="Textstand-alone"/>
        <w:sectPr w:rsidR="005D6812">
          <w:headerReference w:type="even" r:id="rId215"/>
          <w:headerReference w:type="default" r:id="rId216"/>
          <w:footerReference w:type="even" r:id="rId217"/>
          <w:footerReference w:type="default" r:id="rId218"/>
          <w:headerReference w:type="first" r:id="rId219"/>
          <w:footerReference w:type="first" r:id="rId220"/>
          <w:pgSz w:w="11906" w:h="16838"/>
          <w:pgMar w:top="1134" w:right="1134" w:bottom="1134" w:left="1134" w:header="709" w:footer="709" w:gutter="0"/>
          <w:cols w:space="708"/>
          <w:docGrid w:linePitch="360"/>
        </w:sectPr>
      </w:pPr>
      <w:r>
        <w:t xml:space="preserve"> </w:t>
      </w:r>
      <w:bookmarkEnd w:id="293"/>
    </w:p>
    <w:p w:rsidR="005D6812" w:rsidRDefault="00AB2A2B">
      <w:pPr>
        <w:pStyle w:val="HEADER2Part2"/>
        <w:rPr>
          <w:noProof/>
          <w:lang w:val="fr-BE"/>
        </w:rPr>
      </w:pPr>
      <w:bookmarkStart w:id="294" w:name="_DMBM_9567"/>
      <w:r>
        <w:rPr>
          <w:noProof/>
          <w:lang w:val="fr-BE"/>
        </w:rPr>
        <w:t>CREDIT RISK (COUNTERPARTY R</w:t>
      </w:r>
      <w:r>
        <w:rPr>
          <w:noProof/>
          <w:lang w:val="fr-BE"/>
        </w:rPr>
        <w:t>ISK)</w:t>
      </w:r>
    </w:p>
    <w:p w:rsidR="005D6812" w:rsidRDefault="00AB2A2B">
      <w:pPr>
        <w:pStyle w:val="HEADER5"/>
        <w:rPr>
          <w:noProof/>
        </w:rPr>
      </w:pPr>
      <w:r>
        <w:rPr>
          <w:noProof/>
        </w:rPr>
        <w:t>Financial assets that are neither past due nor impaired:</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417"/>
        <w:gridCol w:w="1267"/>
        <w:gridCol w:w="1267"/>
        <w:gridCol w:w="1273"/>
        <w:gridCol w:w="1261"/>
      </w:tblGrid>
      <w:tr w:rsidR="005D6812">
        <w:trPr>
          <w:cantSplit/>
        </w:trPr>
        <w:tc>
          <w:tcPr>
            <w:tcW w:w="3369" w:type="dxa"/>
            <w:tcBorders>
              <w:top w:val="nil"/>
              <w:left w:val="nil"/>
              <w:bottom w:val="nil"/>
              <w:right w:val="nil"/>
            </w:tcBorders>
            <w:tcMar>
              <w:top w:w="0" w:type="dxa"/>
              <w:left w:w="108" w:type="dxa"/>
              <w:bottom w:w="0" w:type="dxa"/>
              <w:right w:w="108" w:type="dxa"/>
            </w:tcMar>
          </w:tcPr>
          <w:p w:rsidR="005D6812" w:rsidRDefault="005D6812">
            <w:pPr>
              <w:pStyle w:val="Text8pItalicLeft"/>
              <w:rPr>
                <w:rFonts w:eastAsia="Times New Roman" w:cs="Verdana"/>
                <w:color w:val="FFFFFF"/>
              </w:rPr>
            </w:pPr>
            <w:bookmarkStart w:id="295" w:name="DOC_TBL00047_1_1"/>
            <w:bookmarkEnd w:id="295"/>
          </w:p>
        </w:tc>
        <w:tc>
          <w:tcPr>
            <w:tcW w:w="1417"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3807" w:type="dxa"/>
            <w:gridSpan w:val="3"/>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261" w:type="dxa"/>
            <w:tcBorders>
              <w:top w:val="nil"/>
              <w:left w:val="nil"/>
              <w:bottom w:val="nil"/>
              <w:right w:val="nil"/>
            </w:tcBorders>
            <w:tcMar>
              <w:top w:w="0" w:type="dxa"/>
              <w:left w:w="108" w:type="dxa"/>
              <w:bottom w:w="0" w:type="dxa"/>
              <w:right w:w="108" w:type="dxa"/>
            </w:tcMar>
          </w:tcPr>
          <w:p w:rsidR="005D6812" w:rsidRDefault="00AB2A2B">
            <w:pPr>
              <w:pStyle w:val="Text7pItalicRight025"/>
              <w:rPr>
                <w:rFonts w:eastAsia="Times New Roman" w:cs="Verdana"/>
              </w:rPr>
            </w:pPr>
            <w:r>
              <w:rPr>
                <w:rFonts w:eastAsia="Times New Roman" w:cs="Verdana"/>
              </w:rPr>
              <w:t>EUR millions</w:t>
            </w:r>
          </w:p>
        </w:tc>
      </w:tr>
      <w:tr w:rsidR="005D6812">
        <w:trPr>
          <w:cantSplit/>
        </w:trPr>
        <w:tc>
          <w:tcPr>
            <w:tcW w:w="3369"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5D6812">
            <w:pPr>
              <w:pStyle w:val="Heading9pNormalCentered"/>
              <w:rPr>
                <w:rFonts w:cs="Verdana"/>
                <w:noProof/>
              </w:rPr>
            </w:pP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cs="Verdana"/>
                <w:noProof/>
              </w:rPr>
            </w:pPr>
            <w:r>
              <w:rPr>
                <w:rFonts w:cs="Verdana"/>
                <w:noProof/>
              </w:rPr>
              <w:t>Total</w:t>
            </w:r>
          </w:p>
        </w:tc>
        <w:tc>
          <w:tcPr>
            <w:tcW w:w="1267"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cs="Verdana"/>
                <w:noProof/>
              </w:rPr>
            </w:pPr>
            <w:r>
              <w:rPr>
                <w:rFonts w:cs="Verdana"/>
                <w:noProof/>
              </w:rPr>
              <w:t>Neither past due nor impaired</w:t>
            </w:r>
          </w:p>
        </w:tc>
        <w:tc>
          <w:tcPr>
            <w:tcW w:w="3801" w:type="dxa"/>
            <w:gridSpan w:val="3"/>
            <w:tcBorders>
              <w:top w:val="nil"/>
              <w:left w:val="nil"/>
              <w:bottom w:val="nil"/>
              <w:right w:val="nil"/>
            </w:tcBorders>
            <w:shd w:val="clear" w:color="auto" w:fill="016794"/>
            <w:tcMar>
              <w:top w:w="0" w:type="dxa"/>
              <w:left w:w="108" w:type="dxa"/>
              <w:bottom w:w="0" w:type="dxa"/>
              <w:right w:w="108" w:type="dxa"/>
            </w:tcMar>
            <w:vAlign w:val="center"/>
          </w:tcPr>
          <w:p w:rsidR="005D6812" w:rsidRDefault="00AB2A2B">
            <w:pPr>
              <w:pStyle w:val="Heading9pNormalCentered"/>
              <w:rPr>
                <w:rFonts w:cs="Verdana"/>
                <w:noProof/>
              </w:rPr>
            </w:pPr>
            <w:r>
              <w:rPr>
                <w:rFonts w:cs="Verdana"/>
                <w:noProof/>
              </w:rPr>
              <w:t>Past due but not impaired</w:t>
            </w:r>
          </w:p>
        </w:tc>
      </w:tr>
      <w:tr w:rsidR="005D6812">
        <w:trPr>
          <w:cantSplit/>
        </w:trPr>
        <w:tc>
          <w:tcPr>
            <w:tcW w:w="3369"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5D6812">
            <w:pPr>
              <w:pStyle w:val="Heading9pNormalCentered"/>
              <w:rPr>
                <w:rFonts w:cs="Verdana"/>
                <w:noProof/>
              </w:rPr>
            </w:pP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5D6812">
            <w:pPr>
              <w:pStyle w:val="Heading9pNormalCentered"/>
              <w:rPr>
                <w:rFonts w:cs="Verdana"/>
                <w:noProof/>
              </w:rPr>
            </w:pPr>
          </w:p>
        </w:tc>
        <w:tc>
          <w:tcPr>
            <w:tcW w:w="1267" w:type="dxa"/>
            <w:tcBorders>
              <w:top w:val="nil"/>
              <w:left w:val="nil"/>
              <w:bottom w:val="nil"/>
              <w:right w:val="nil"/>
            </w:tcBorders>
            <w:shd w:val="clear" w:color="auto" w:fill="016794"/>
            <w:tcMar>
              <w:top w:w="0" w:type="dxa"/>
              <w:left w:w="108" w:type="dxa"/>
              <w:bottom w:w="0" w:type="dxa"/>
              <w:right w:w="108" w:type="dxa"/>
            </w:tcMar>
            <w:vAlign w:val="center"/>
          </w:tcPr>
          <w:p w:rsidR="005D6812" w:rsidRDefault="005D6812">
            <w:pPr>
              <w:pStyle w:val="Heading9pNormalCentered"/>
              <w:rPr>
                <w:rFonts w:cs="Verdana"/>
                <w:noProof/>
              </w:rPr>
            </w:pPr>
          </w:p>
        </w:tc>
        <w:tc>
          <w:tcPr>
            <w:tcW w:w="1267" w:type="dxa"/>
            <w:tcBorders>
              <w:top w:val="nil"/>
              <w:left w:val="nil"/>
              <w:bottom w:val="nil"/>
              <w:right w:val="nil"/>
            </w:tcBorders>
            <w:shd w:val="clear" w:color="auto" w:fill="3486A9"/>
            <w:tcMar>
              <w:top w:w="0" w:type="dxa"/>
              <w:left w:w="108" w:type="dxa"/>
              <w:bottom w:w="0" w:type="dxa"/>
              <w:right w:w="108" w:type="dxa"/>
            </w:tcMar>
            <w:vAlign w:val="center"/>
          </w:tcPr>
          <w:p w:rsidR="005D6812" w:rsidRDefault="00AB2A2B">
            <w:pPr>
              <w:pStyle w:val="Heading9pNormalCentered"/>
              <w:rPr>
                <w:rFonts w:cs="Verdana"/>
                <w:noProof/>
              </w:rPr>
            </w:pPr>
            <w:r>
              <w:rPr>
                <w:rFonts w:cs="Verdana"/>
                <w:noProof/>
              </w:rPr>
              <w:t>&lt; 1 year</w:t>
            </w:r>
          </w:p>
        </w:tc>
        <w:tc>
          <w:tcPr>
            <w:tcW w:w="1273" w:type="dxa"/>
            <w:tcBorders>
              <w:top w:val="nil"/>
              <w:left w:val="nil"/>
              <w:bottom w:val="nil"/>
              <w:right w:val="nil"/>
            </w:tcBorders>
            <w:shd w:val="clear" w:color="auto" w:fill="3486A9"/>
            <w:tcMar>
              <w:top w:w="0" w:type="dxa"/>
              <w:left w:w="108" w:type="dxa"/>
              <w:bottom w:w="0" w:type="dxa"/>
              <w:right w:w="108" w:type="dxa"/>
            </w:tcMar>
            <w:vAlign w:val="center"/>
          </w:tcPr>
          <w:p w:rsidR="005D6812" w:rsidRDefault="00AB2A2B">
            <w:pPr>
              <w:pStyle w:val="Heading9pNormalCentered"/>
              <w:rPr>
                <w:rFonts w:cs="Verdana"/>
                <w:noProof/>
              </w:rPr>
            </w:pPr>
            <w:r>
              <w:rPr>
                <w:rFonts w:cs="Verdana"/>
                <w:noProof/>
              </w:rPr>
              <w:t>1-5 years</w:t>
            </w:r>
          </w:p>
        </w:tc>
        <w:tc>
          <w:tcPr>
            <w:tcW w:w="1261" w:type="dxa"/>
            <w:tcBorders>
              <w:top w:val="nil"/>
              <w:left w:val="nil"/>
              <w:bottom w:val="nil"/>
              <w:right w:val="nil"/>
            </w:tcBorders>
            <w:shd w:val="clear" w:color="auto" w:fill="3486A9"/>
            <w:tcMar>
              <w:top w:w="0" w:type="dxa"/>
              <w:left w:w="108" w:type="dxa"/>
              <w:bottom w:w="0" w:type="dxa"/>
              <w:right w:w="108" w:type="dxa"/>
            </w:tcMar>
            <w:vAlign w:val="center"/>
          </w:tcPr>
          <w:p w:rsidR="005D6812" w:rsidRDefault="00AB2A2B">
            <w:pPr>
              <w:pStyle w:val="Heading9pNormalCentered"/>
              <w:rPr>
                <w:rFonts w:cs="Verdana"/>
                <w:noProof/>
              </w:rPr>
            </w:pPr>
            <w:r>
              <w:rPr>
                <w:rFonts w:cs="Verdana"/>
                <w:noProof/>
              </w:rPr>
              <w:t>&gt; 5 years</w:t>
            </w:r>
          </w:p>
        </w:tc>
      </w:tr>
      <w:tr w:rsidR="005D6812">
        <w:trPr>
          <w:cantSplit/>
        </w:trPr>
        <w:tc>
          <w:tcPr>
            <w:tcW w:w="3369"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Exchange receivables and non-exchange recoverables</w:t>
            </w:r>
          </w:p>
        </w:tc>
        <w:tc>
          <w:tcPr>
            <w:tcW w:w="141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132</w:t>
            </w:r>
          </w:p>
        </w:tc>
        <w:tc>
          <w:tcPr>
            <w:tcW w:w="126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93</w:t>
            </w:r>
          </w:p>
        </w:tc>
        <w:tc>
          <w:tcPr>
            <w:tcW w:w="126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36</w:t>
            </w:r>
          </w:p>
        </w:tc>
        <w:tc>
          <w:tcPr>
            <w:tcW w:w="1273"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4</w:t>
            </w:r>
          </w:p>
        </w:tc>
        <w:tc>
          <w:tcPr>
            <w:tcW w:w="126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r>
      <w:tr w:rsidR="005D6812">
        <w:trPr>
          <w:cantSplit/>
        </w:trPr>
        <w:tc>
          <w:tcPr>
            <w:tcW w:w="3369" w:type="dxa"/>
            <w:tcBorders>
              <w:top w:val="nil"/>
              <w:left w:val="nil"/>
              <w:bottom w:val="nil"/>
              <w:right w:val="nil"/>
            </w:tcBorders>
            <w:shd w:val="clear" w:color="auto" w:fill="CBE1EA"/>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 xml:space="preserve">Total at </w:t>
            </w:r>
            <w:r>
              <w:rPr>
                <w:rFonts w:eastAsia="Times New Roman" w:cs="Verdana"/>
              </w:rPr>
              <w:t>31.12.2016</w:t>
            </w:r>
          </w:p>
        </w:tc>
        <w:tc>
          <w:tcPr>
            <w:tcW w:w="1417" w:type="dxa"/>
            <w:tcBorders>
              <w:top w:val="nil"/>
              <w:left w:val="nil"/>
              <w:bottom w:val="nil"/>
              <w:right w:val="nil"/>
            </w:tcBorders>
            <w:shd w:val="clear" w:color="auto" w:fill="CB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132</w:t>
            </w:r>
          </w:p>
        </w:tc>
        <w:tc>
          <w:tcPr>
            <w:tcW w:w="1267" w:type="dxa"/>
            <w:tcBorders>
              <w:top w:val="nil"/>
              <w:left w:val="nil"/>
              <w:bottom w:val="nil"/>
              <w:right w:val="nil"/>
            </w:tcBorders>
            <w:shd w:val="clear" w:color="auto" w:fill="CB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93</w:t>
            </w:r>
          </w:p>
        </w:tc>
        <w:tc>
          <w:tcPr>
            <w:tcW w:w="1267" w:type="dxa"/>
            <w:tcBorders>
              <w:top w:val="nil"/>
              <w:left w:val="nil"/>
              <w:bottom w:val="nil"/>
              <w:right w:val="nil"/>
            </w:tcBorders>
            <w:shd w:val="clear" w:color="auto" w:fill="CB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36</w:t>
            </w:r>
          </w:p>
        </w:tc>
        <w:tc>
          <w:tcPr>
            <w:tcW w:w="1273" w:type="dxa"/>
            <w:tcBorders>
              <w:top w:val="nil"/>
              <w:left w:val="nil"/>
              <w:bottom w:val="nil"/>
              <w:right w:val="nil"/>
            </w:tcBorders>
            <w:shd w:val="clear" w:color="auto" w:fill="CB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4</w:t>
            </w:r>
          </w:p>
        </w:tc>
        <w:tc>
          <w:tcPr>
            <w:tcW w:w="1261" w:type="dxa"/>
            <w:tcBorders>
              <w:top w:val="nil"/>
              <w:left w:val="nil"/>
              <w:bottom w:val="nil"/>
              <w:right w:val="nil"/>
            </w:tcBorders>
            <w:shd w:val="clear" w:color="auto" w:fill="CB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w:t>
            </w:r>
          </w:p>
        </w:tc>
      </w:tr>
      <w:tr w:rsidR="005D6812">
        <w:trPr>
          <w:cantSplit/>
        </w:trPr>
        <w:tc>
          <w:tcPr>
            <w:tcW w:w="3369" w:type="dxa"/>
            <w:tcBorders>
              <w:top w:val="nil"/>
              <w:left w:val="nil"/>
              <w:bottom w:val="nil"/>
              <w:right w:val="nil"/>
            </w:tcBorders>
            <w:tcMar>
              <w:top w:w="0" w:type="dxa"/>
              <w:left w:w="108" w:type="dxa"/>
              <w:bottom w:w="0" w:type="dxa"/>
              <w:right w:w="108" w:type="dxa"/>
            </w:tcMar>
          </w:tcPr>
          <w:p w:rsidR="005D6812" w:rsidRDefault="00AB2A2B">
            <w:pPr>
              <w:pStyle w:val="Text9pItalicLeft"/>
              <w:rPr>
                <w:rFonts w:eastAsia="Times New Roman" w:cs="Verdana"/>
              </w:rPr>
            </w:pPr>
            <w:r>
              <w:rPr>
                <w:rFonts w:eastAsia="Times New Roman" w:cs="Verdana"/>
              </w:rPr>
              <w:t>Exchange receivables and non-exchange recoverables</w:t>
            </w:r>
          </w:p>
        </w:tc>
        <w:tc>
          <w:tcPr>
            <w:tcW w:w="141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171</w:t>
            </w:r>
          </w:p>
        </w:tc>
        <w:tc>
          <w:tcPr>
            <w:tcW w:w="126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50</w:t>
            </w:r>
          </w:p>
        </w:tc>
        <w:tc>
          <w:tcPr>
            <w:tcW w:w="1267"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120</w:t>
            </w:r>
          </w:p>
        </w:tc>
        <w:tc>
          <w:tcPr>
            <w:tcW w:w="1273"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 xml:space="preserve"> 1</w:t>
            </w:r>
          </w:p>
        </w:tc>
        <w:tc>
          <w:tcPr>
            <w:tcW w:w="1261" w:type="dxa"/>
            <w:tcBorders>
              <w:top w:val="nil"/>
              <w:left w:val="nil"/>
              <w:bottom w:val="nil"/>
              <w:right w:val="nil"/>
            </w:tcBorders>
            <w:tcMar>
              <w:top w:w="0" w:type="dxa"/>
              <w:left w:w="108" w:type="dxa"/>
              <w:bottom w:w="0" w:type="dxa"/>
              <w:right w:w="108" w:type="dxa"/>
            </w:tcMar>
          </w:tcPr>
          <w:p w:rsidR="005D6812" w:rsidRDefault="00AB2A2B">
            <w:pPr>
              <w:pStyle w:val="Figures9pItalicRight025"/>
              <w:rPr>
                <w:rFonts w:eastAsia="Times New Roman" w:cs="Verdana"/>
              </w:rPr>
            </w:pPr>
            <w:r>
              <w:rPr>
                <w:rFonts w:eastAsia="Times New Roman" w:cs="Verdana"/>
              </w:rPr>
              <w:t>–</w:t>
            </w:r>
          </w:p>
        </w:tc>
      </w:tr>
      <w:tr w:rsidR="005D6812">
        <w:trPr>
          <w:cantSplit/>
        </w:trPr>
        <w:tc>
          <w:tcPr>
            <w:tcW w:w="3369" w:type="dxa"/>
            <w:tcBorders>
              <w:top w:val="nil"/>
              <w:left w:val="nil"/>
              <w:bottom w:val="nil"/>
              <w:right w:val="nil"/>
            </w:tcBorders>
            <w:shd w:val="clear" w:color="auto" w:fill="CBE1EA"/>
            <w:tcMar>
              <w:top w:w="0" w:type="dxa"/>
              <w:left w:w="108" w:type="dxa"/>
              <w:bottom w:w="0" w:type="dxa"/>
              <w:right w:w="108" w:type="dxa"/>
            </w:tcMar>
          </w:tcPr>
          <w:p w:rsidR="005D6812" w:rsidRDefault="00AB2A2B">
            <w:pPr>
              <w:pStyle w:val="Text9pBoldLeft"/>
              <w:rPr>
                <w:rFonts w:eastAsia="Times New Roman" w:cs="Verdana"/>
              </w:rPr>
            </w:pPr>
            <w:r>
              <w:rPr>
                <w:rFonts w:eastAsia="Times New Roman" w:cs="Verdana"/>
              </w:rPr>
              <w:t>Total at 31.12.2015</w:t>
            </w:r>
          </w:p>
        </w:tc>
        <w:tc>
          <w:tcPr>
            <w:tcW w:w="1417" w:type="dxa"/>
            <w:tcBorders>
              <w:top w:val="nil"/>
              <w:left w:val="nil"/>
              <w:bottom w:val="nil"/>
              <w:right w:val="nil"/>
            </w:tcBorders>
            <w:shd w:val="clear" w:color="auto" w:fill="CB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171</w:t>
            </w:r>
          </w:p>
        </w:tc>
        <w:tc>
          <w:tcPr>
            <w:tcW w:w="1267" w:type="dxa"/>
            <w:tcBorders>
              <w:top w:val="nil"/>
              <w:left w:val="nil"/>
              <w:bottom w:val="nil"/>
              <w:right w:val="nil"/>
            </w:tcBorders>
            <w:shd w:val="clear" w:color="auto" w:fill="CB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50</w:t>
            </w:r>
          </w:p>
        </w:tc>
        <w:tc>
          <w:tcPr>
            <w:tcW w:w="1267" w:type="dxa"/>
            <w:tcBorders>
              <w:top w:val="nil"/>
              <w:left w:val="nil"/>
              <w:bottom w:val="nil"/>
              <w:right w:val="nil"/>
            </w:tcBorders>
            <w:shd w:val="clear" w:color="auto" w:fill="CB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120</w:t>
            </w:r>
          </w:p>
        </w:tc>
        <w:tc>
          <w:tcPr>
            <w:tcW w:w="1273" w:type="dxa"/>
            <w:tcBorders>
              <w:top w:val="nil"/>
              <w:left w:val="nil"/>
              <w:bottom w:val="nil"/>
              <w:right w:val="nil"/>
            </w:tcBorders>
            <w:shd w:val="clear" w:color="auto" w:fill="CB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 xml:space="preserve"> 1</w:t>
            </w:r>
          </w:p>
        </w:tc>
        <w:tc>
          <w:tcPr>
            <w:tcW w:w="1261" w:type="dxa"/>
            <w:tcBorders>
              <w:top w:val="nil"/>
              <w:left w:val="nil"/>
              <w:bottom w:val="nil"/>
              <w:right w:val="nil"/>
            </w:tcBorders>
            <w:shd w:val="clear" w:color="auto" w:fill="CBE1EA"/>
            <w:tcMar>
              <w:top w:w="0" w:type="dxa"/>
              <w:left w:w="108" w:type="dxa"/>
              <w:bottom w:w="0" w:type="dxa"/>
              <w:right w:w="108" w:type="dxa"/>
            </w:tcMar>
          </w:tcPr>
          <w:p w:rsidR="005D6812" w:rsidRDefault="00AB2A2B">
            <w:pPr>
              <w:pStyle w:val="Figures9pBoldRight025"/>
              <w:rPr>
                <w:rFonts w:eastAsia="Times New Roman" w:cs="Verdana"/>
              </w:rPr>
            </w:pPr>
            <w:r>
              <w:rPr>
                <w:rFonts w:eastAsia="Times New Roman" w:cs="Verdana"/>
              </w:rPr>
              <w:t>–</w:t>
            </w:r>
          </w:p>
        </w:tc>
      </w:tr>
    </w:tbl>
    <w:p w:rsidR="005D6812" w:rsidRDefault="005D6812">
      <w:pPr>
        <w:rPr>
          <w:noProof/>
          <w:lang w:bidi="en-GB"/>
        </w:rPr>
      </w:pPr>
    </w:p>
    <w:p w:rsidR="005D6812" w:rsidRDefault="00AB2A2B">
      <w:pPr>
        <w:pStyle w:val="HEADER5"/>
        <w:rPr>
          <w:noProof/>
        </w:rPr>
      </w:pPr>
      <w:r>
        <w:rPr>
          <w:noProof/>
        </w:rPr>
        <w:t>Financial assets by risk category: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141"/>
        <w:gridCol w:w="851"/>
        <w:gridCol w:w="992"/>
        <w:gridCol w:w="1134"/>
        <w:gridCol w:w="142"/>
        <w:gridCol w:w="850"/>
        <w:gridCol w:w="993"/>
      </w:tblGrid>
      <w:tr w:rsidR="005D6812">
        <w:tc>
          <w:tcPr>
            <w:tcW w:w="3369" w:type="dxa"/>
            <w:tcBorders>
              <w:top w:val="nil"/>
              <w:left w:val="nil"/>
              <w:bottom w:val="nil"/>
              <w:right w:val="nil"/>
            </w:tcBorders>
            <w:tcMar>
              <w:top w:w="0" w:type="dxa"/>
              <w:left w:w="108" w:type="dxa"/>
              <w:bottom w:w="0" w:type="dxa"/>
              <w:right w:w="108" w:type="dxa"/>
            </w:tcMar>
          </w:tcPr>
          <w:p w:rsidR="005D6812" w:rsidRDefault="005D6812">
            <w:pPr>
              <w:pStyle w:val="Text8pItalicLeft"/>
              <w:rPr>
                <w:rFonts w:eastAsia="Times New Roman" w:cs="Verdana"/>
                <w:color w:val="FFFFFF"/>
              </w:rPr>
            </w:pPr>
            <w:bookmarkStart w:id="296" w:name="DOC_TBL00048_1_1"/>
            <w:bookmarkEnd w:id="296"/>
          </w:p>
        </w:tc>
        <w:tc>
          <w:tcPr>
            <w:tcW w:w="1134"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992" w:type="dxa"/>
            <w:gridSpan w:val="2"/>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992"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rsidR="005D6812" w:rsidRDefault="005D6812">
            <w:pPr>
              <w:pStyle w:val="Text8pItalicRight025EUR"/>
              <w:rPr>
                <w:rFonts w:eastAsia="Times New Roman" w:cs="Verdana"/>
                <w:i w:val="0"/>
              </w:rPr>
            </w:pPr>
          </w:p>
        </w:tc>
        <w:tc>
          <w:tcPr>
            <w:tcW w:w="1985" w:type="dxa"/>
            <w:gridSpan w:val="3"/>
            <w:tcBorders>
              <w:top w:val="nil"/>
              <w:left w:val="nil"/>
              <w:bottom w:val="nil"/>
              <w:right w:val="nil"/>
            </w:tcBorders>
            <w:tcMar>
              <w:top w:w="0" w:type="dxa"/>
              <w:left w:w="108" w:type="dxa"/>
              <w:bottom w:w="0" w:type="dxa"/>
              <w:right w:w="108" w:type="dxa"/>
            </w:tcMar>
          </w:tcPr>
          <w:p w:rsidR="005D6812" w:rsidRDefault="00AB2A2B">
            <w:pPr>
              <w:pStyle w:val="Text8pItalicRight025EUR"/>
              <w:rPr>
                <w:rFonts w:eastAsia="Times New Roman" w:cs="Verdana"/>
              </w:rPr>
            </w:pPr>
            <w:r>
              <w:rPr>
                <w:rFonts w:eastAsia="Times New Roman" w:cs="Verdana"/>
              </w:rPr>
              <w:t>EUR millions</w:t>
            </w:r>
          </w:p>
        </w:tc>
      </w:tr>
      <w:tr w:rsidR="005D6812">
        <w:tc>
          <w:tcPr>
            <w:tcW w:w="3369"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9pNormalCentered"/>
              <w:rPr>
                <w:rFonts w:eastAsia="Times New Roman" w:cs="Verdana"/>
              </w:rPr>
            </w:pPr>
          </w:p>
        </w:tc>
        <w:tc>
          <w:tcPr>
            <w:tcW w:w="3118" w:type="dxa"/>
            <w:gridSpan w:val="4"/>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Centered"/>
              <w:rPr>
                <w:rFonts w:eastAsia="Times New Roman" w:cs="Verdana"/>
              </w:rPr>
            </w:pPr>
            <w:r>
              <w:rPr>
                <w:rFonts w:eastAsia="Times New Roman" w:cs="Verdana"/>
              </w:rPr>
              <w:t>31.12.2016</w:t>
            </w:r>
          </w:p>
        </w:tc>
        <w:tc>
          <w:tcPr>
            <w:tcW w:w="3119" w:type="dxa"/>
            <w:gridSpan w:val="4"/>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9pNormalCentered"/>
              <w:rPr>
                <w:rFonts w:eastAsia="Times New Roman" w:cs="Verdana"/>
              </w:rPr>
            </w:pPr>
            <w:r>
              <w:rPr>
                <w:rFonts w:eastAsia="Times New Roman" w:cs="Verdana"/>
              </w:rPr>
              <w:t>31.12.2015</w:t>
            </w:r>
          </w:p>
        </w:tc>
      </w:tr>
      <w:tr w:rsidR="005D6812">
        <w:tc>
          <w:tcPr>
            <w:tcW w:w="3369"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Centered"/>
              <w:rPr>
                <w:rFonts w:eastAsia="Times New Roman" w:cs="Verdana"/>
              </w:rPr>
            </w:pPr>
          </w:p>
        </w:tc>
        <w:tc>
          <w:tcPr>
            <w:tcW w:w="1275" w:type="dxa"/>
            <w:gridSpan w:val="2"/>
            <w:tcBorders>
              <w:top w:val="nil"/>
              <w:left w:val="nil"/>
              <w:bottom w:val="nil"/>
              <w:right w:val="nil"/>
            </w:tcBorders>
            <w:shd w:val="clear" w:color="auto" w:fill="3486A9"/>
            <w:tcMar>
              <w:top w:w="0" w:type="dxa"/>
              <w:left w:w="108" w:type="dxa"/>
              <w:bottom w:w="0" w:type="dxa"/>
              <w:right w:w="108" w:type="dxa"/>
            </w:tcMar>
          </w:tcPr>
          <w:p w:rsidR="005D6812" w:rsidRDefault="00AB2A2B">
            <w:pPr>
              <w:pStyle w:val="Heading8pNormalRight01"/>
              <w:rPr>
                <w:rFonts w:cs="Verdana"/>
                <w:noProof/>
              </w:rPr>
            </w:pPr>
            <w:r>
              <w:rPr>
                <w:rFonts w:cs="Verdana"/>
                <w:noProof/>
              </w:rPr>
              <w:t>Receivables</w:t>
            </w:r>
          </w:p>
        </w:tc>
        <w:tc>
          <w:tcPr>
            <w:tcW w:w="851" w:type="dxa"/>
            <w:tcBorders>
              <w:top w:val="nil"/>
              <w:left w:val="nil"/>
              <w:bottom w:val="nil"/>
              <w:right w:val="nil"/>
            </w:tcBorders>
            <w:shd w:val="clear" w:color="auto" w:fill="3486A9"/>
            <w:tcMar>
              <w:top w:w="0" w:type="dxa"/>
              <w:left w:w="108" w:type="dxa"/>
              <w:bottom w:w="0" w:type="dxa"/>
              <w:right w:w="108" w:type="dxa"/>
            </w:tcMar>
          </w:tcPr>
          <w:p w:rsidR="005D6812" w:rsidRDefault="00AB2A2B">
            <w:pPr>
              <w:pStyle w:val="Heading8pNormalRight01"/>
              <w:rPr>
                <w:rFonts w:cs="Verdana"/>
                <w:noProof/>
              </w:rPr>
            </w:pPr>
            <w:r>
              <w:rPr>
                <w:rFonts w:cs="Verdana"/>
                <w:noProof/>
              </w:rPr>
              <w:t>Cash</w:t>
            </w:r>
          </w:p>
        </w:tc>
        <w:tc>
          <w:tcPr>
            <w:tcW w:w="992" w:type="dxa"/>
            <w:tcBorders>
              <w:top w:val="nil"/>
              <w:left w:val="nil"/>
              <w:bottom w:val="nil"/>
              <w:right w:val="nil"/>
            </w:tcBorders>
            <w:shd w:val="clear" w:color="auto" w:fill="3486A9"/>
            <w:tcMar>
              <w:top w:w="0" w:type="dxa"/>
              <w:left w:w="108" w:type="dxa"/>
              <w:bottom w:w="0" w:type="dxa"/>
              <w:right w:w="108" w:type="dxa"/>
            </w:tcMar>
          </w:tcPr>
          <w:p w:rsidR="005D6812" w:rsidRDefault="00AB2A2B">
            <w:pPr>
              <w:pStyle w:val="Heading8pNormalRight01"/>
              <w:rPr>
                <w:rFonts w:cs="Verdana"/>
                <w:noProof/>
              </w:rPr>
            </w:pPr>
            <w:r>
              <w:rPr>
                <w:rFonts w:cs="Verdana"/>
                <w:noProof/>
              </w:rPr>
              <w:t>Total</w:t>
            </w:r>
          </w:p>
        </w:tc>
        <w:tc>
          <w:tcPr>
            <w:tcW w:w="1276" w:type="dxa"/>
            <w:gridSpan w:val="2"/>
            <w:tcBorders>
              <w:top w:val="nil"/>
              <w:left w:val="nil"/>
              <w:bottom w:val="nil"/>
              <w:right w:val="nil"/>
            </w:tcBorders>
            <w:shd w:val="clear" w:color="auto" w:fill="3486A9"/>
            <w:tcMar>
              <w:top w:w="0" w:type="dxa"/>
              <w:left w:w="108" w:type="dxa"/>
              <w:bottom w:w="0" w:type="dxa"/>
              <w:right w:w="108" w:type="dxa"/>
            </w:tcMar>
          </w:tcPr>
          <w:p w:rsidR="005D6812" w:rsidRDefault="00AB2A2B">
            <w:pPr>
              <w:pStyle w:val="Heading8pNormalRight01"/>
              <w:rPr>
                <w:rFonts w:cs="Verdana"/>
                <w:noProof/>
              </w:rPr>
            </w:pPr>
            <w:r>
              <w:rPr>
                <w:rFonts w:cs="Verdana"/>
                <w:noProof/>
              </w:rPr>
              <w:t>Receivables</w:t>
            </w:r>
          </w:p>
        </w:tc>
        <w:tc>
          <w:tcPr>
            <w:tcW w:w="850" w:type="dxa"/>
            <w:tcBorders>
              <w:top w:val="nil"/>
              <w:left w:val="nil"/>
              <w:bottom w:val="nil"/>
              <w:right w:val="nil"/>
            </w:tcBorders>
            <w:shd w:val="clear" w:color="auto" w:fill="3486A9"/>
            <w:tcMar>
              <w:top w:w="0" w:type="dxa"/>
              <w:left w:w="108" w:type="dxa"/>
              <w:bottom w:w="0" w:type="dxa"/>
              <w:right w:w="108" w:type="dxa"/>
            </w:tcMar>
          </w:tcPr>
          <w:p w:rsidR="005D6812" w:rsidRDefault="00AB2A2B">
            <w:pPr>
              <w:pStyle w:val="Heading8pNormalRight01"/>
              <w:rPr>
                <w:rFonts w:cs="Verdana"/>
                <w:noProof/>
              </w:rPr>
            </w:pPr>
            <w:r>
              <w:rPr>
                <w:rFonts w:cs="Verdana"/>
                <w:noProof/>
              </w:rPr>
              <w:t>Cash</w:t>
            </w:r>
          </w:p>
        </w:tc>
        <w:tc>
          <w:tcPr>
            <w:tcW w:w="993" w:type="dxa"/>
            <w:tcBorders>
              <w:top w:val="nil"/>
              <w:left w:val="nil"/>
              <w:bottom w:val="nil"/>
              <w:right w:val="nil"/>
            </w:tcBorders>
            <w:shd w:val="clear" w:color="auto" w:fill="3486A9"/>
            <w:tcMar>
              <w:top w:w="0" w:type="dxa"/>
              <w:left w:w="108" w:type="dxa"/>
              <w:bottom w:w="0" w:type="dxa"/>
              <w:right w:w="108" w:type="dxa"/>
            </w:tcMar>
          </w:tcPr>
          <w:p w:rsidR="005D6812" w:rsidRDefault="00AB2A2B">
            <w:pPr>
              <w:pStyle w:val="Heading8pNormalRight01"/>
              <w:rPr>
                <w:rFonts w:cs="Verdana"/>
                <w:noProof/>
              </w:rPr>
            </w:pPr>
            <w:r>
              <w:rPr>
                <w:rFonts w:cs="Verdana"/>
                <w:noProof/>
              </w:rPr>
              <w:t>Total</w:t>
            </w:r>
          </w:p>
        </w:tc>
      </w:tr>
      <w:tr w:rsidR="005D6812">
        <w:tc>
          <w:tcPr>
            <w:tcW w:w="3369"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Counterparties with external credit rating</w:t>
            </w:r>
          </w:p>
        </w:tc>
        <w:tc>
          <w:tcPr>
            <w:tcW w:w="1275" w:type="dxa"/>
            <w:gridSpan w:val="2"/>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992"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276" w:type="dxa"/>
            <w:gridSpan w:val="2"/>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850"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993" w:type="dxa"/>
            <w:tcBorders>
              <w:top w:val="nil"/>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r>
      <w:tr w:rsidR="005D6812">
        <w:tc>
          <w:tcPr>
            <w:tcW w:w="3369"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Prime and high grade</w:t>
            </w:r>
          </w:p>
        </w:tc>
        <w:tc>
          <w:tcPr>
            <w:tcW w:w="1275" w:type="dxa"/>
            <w:gridSpan w:val="2"/>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34</w:t>
            </w:r>
          </w:p>
        </w:tc>
        <w:tc>
          <w:tcPr>
            <w:tcW w:w="851"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284</w:t>
            </w:r>
          </w:p>
        </w:tc>
        <w:tc>
          <w:tcPr>
            <w:tcW w:w="992"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318</w:t>
            </w:r>
          </w:p>
        </w:tc>
        <w:tc>
          <w:tcPr>
            <w:tcW w:w="1276" w:type="dxa"/>
            <w:gridSpan w:val="2"/>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6</w:t>
            </w:r>
          </w:p>
        </w:tc>
        <w:tc>
          <w:tcPr>
            <w:tcW w:w="85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167</w:t>
            </w:r>
          </w:p>
        </w:tc>
        <w:tc>
          <w:tcPr>
            <w:tcW w:w="993"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173</w:t>
            </w:r>
          </w:p>
        </w:tc>
      </w:tr>
      <w:tr w:rsidR="005D6812">
        <w:tc>
          <w:tcPr>
            <w:tcW w:w="3369"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Upper medium grade</w:t>
            </w:r>
          </w:p>
        </w:tc>
        <w:tc>
          <w:tcPr>
            <w:tcW w:w="1275" w:type="dxa"/>
            <w:gridSpan w:val="2"/>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3</w:t>
            </w:r>
          </w:p>
        </w:tc>
        <w:tc>
          <w:tcPr>
            <w:tcW w:w="851"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371</w:t>
            </w:r>
          </w:p>
        </w:tc>
        <w:tc>
          <w:tcPr>
            <w:tcW w:w="992"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374</w:t>
            </w:r>
          </w:p>
        </w:tc>
        <w:tc>
          <w:tcPr>
            <w:tcW w:w="1276" w:type="dxa"/>
            <w:gridSpan w:val="2"/>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34</w:t>
            </w:r>
          </w:p>
        </w:tc>
        <w:tc>
          <w:tcPr>
            <w:tcW w:w="85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16</w:t>
            </w:r>
          </w:p>
        </w:tc>
        <w:tc>
          <w:tcPr>
            <w:tcW w:w="993"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50</w:t>
            </w:r>
          </w:p>
        </w:tc>
      </w:tr>
      <w:tr w:rsidR="005D6812">
        <w:tc>
          <w:tcPr>
            <w:tcW w:w="3369"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Lower medium grade</w:t>
            </w:r>
          </w:p>
        </w:tc>
        <w:tc>
          <w:tcPr>
            <w:tcW w:w="1275" w:type="dxa"/>
            <w:gridSpan w:val="2"/>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2</w:t>
            </w:r>
          </w:p>
        </w:tc>
        <w:tc>
          <w:tcPr>
            <w:tcW w:w="851"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16</w:t>
            </w:r>
          </w:p>
        </w:tc>
        <w:tc>
          <w:tcPr>
            <w:tcW w:w="992"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18</w:t>
            </w:r>
          </w:p>
        </w:tc>
        <w:tc>
          <w:tcPr>
            <w:tcW w:w="1276" w:type="dxa"/>
            <w:gridSpan w:val="2"/>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36</w:t>
            </w:r>
          </w:p>
        </w:tc>
        <w:tc>
          <w:tcPr>
            <w:tcW w:w="85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312</w:t>
            </w:r>
          </w:p>
        </w:tc>
        <w:tc>
          <w:tcPr>
            <w:tcW w:w="993"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348</w:t>
            </w:r>
          </w:p>
        </w:tc>
      </w:tr>
      <w:tr w:rsidR="005D6812">
        <w:tc>
          <w:tcPr>
            <w:tcW w:w="3369" w:type="dxa"/>
            <w:tcBorders>
              <w:top w:val="nil"/>
              <w:left w:val="nil"/>
              <w:bottom w:val="single" w:sz="4" w:space="0" w:color="3486A9"/>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Non- investment grade</w:t>
            </w:r>
          </w:p>
        </w:tc>
        <w:tc>
          <w:tcPr>
            <w:tcW w:w="1275" w:type="dxa"/>
            <w:gridSpan w:val="2"/>
            <w:tcBorders>
              <w:top w:val="nil"/>
              <w:left w:val="nil"/>
              <w:bottom w:val="single" w:sz="4" w:space="0" w:color="3486A9"/>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1</w:t>
            </w:r>
          </w:p>
        </w:tc>
        <w:tc>
          <w:tcPr>
            <w:tcW w:w="851" w:type="dxa"/>
            <w:tcBorders>
              <w:top w:val="nil"/>
              <w:left w:val="nil"/>
              <w:bottom w:val="single" w:sz="4" w:space="0" w:color="3486A9"/>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9</w:t>
            </w:r>
          </w:p>
        </w:tc>
        <w:tc>
          <w:tcPr>
            <w:tcW w:w="992" w:type="dxa"/>
            <w:tcBorders>
              <w:top w:val="nil"/>
              <w:left w:val="nil"/>
              <w:bottom w:val="single" w:sz="4" w:space="0" w:color="3486A9"/>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10</w:t>
            </w:r>
          </w:p>
        </w:tc>
        <w:tc>
          <w:tcPr>
            <w:tcW w:w="1276" w:type="dxa"/>
            <w:gridSpan w:val="2"/>
            <w:tcBorders>
              <w:top w:val="nil"/>
              <w:left w:val="nil"/>
              <w:bottom w:val="single" w:sz="4" w:space="0" w:color="3486A9"/>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14</w:t>
            </w:r>
          </w:p>
        </w:tc>
        <w:tc>
          <w:tcPr>
            <w:tcW w:w="850" w:type="dxa"/>
            <w:tcBorders>
              <w:top w:val="nil"/>
              <w:left w:val="nil"/>
              <w:bottom w:val="single" w:sz="4" w:space="0" w:color="3486A9"/>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9</w:t>
            </w:r>
          </w:p>
        </w:tc>
        <w:tc>
          <w:tcPr>
            <w:tcW w:w="993" w:type="dxa"/>
            <w:tcBorders>
              <w:top w:val="nil"/>
              <w:left w:val="nil"/>
              <w:bottom w:val="single" w:sz="4" w:space="0" w:color="3486A9"/>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23</w:t>
            </w:r>
          </w:p>
        </w:tc>
      </w:tr>
      <w:tr w:rsidR="005D6812">
        <w:tc>
          <w:tcPr>
            <w:tcW w:w="3369" w:type="dxa"/>
            <w:tcBorders>
              <w:top w:val="single" w:sz="4" w:space="0" w:color="3486A9"/>
              <w:left w:val="nil"/>
              <w:bottom w:val="single" w:sz="4" w:space="0" w:color="3486A9"/>
              <w:right w:val="nil"/>
            </w:tcBorders>
            <w:tcMar>
              <w:top w:w="0" w:type="dxa"/>
              <w:left w:w="108" w:type="dxa"/>
              <w:bottom w:w="0" w:type="dxa"/>
              <w:right w:w="108" w:type="dxa"/>
            </w:tcMar>
          </w:tcPr>
          <w:p w:rsidR="005D6812" w:rsidRDefault="00AB2A2B">
            <w:pPr>
              <w:pStyle w:val="Text8pItalicBoldLeft"/>
              <w:rPr>
                <w:rFonts w:eastAsia="Times New Roman" w:cs="Verdana"/>
              </w:rPr>
            </w:pPr>
            <w:r>
              <w:rPr>
                <w:rFonts w:eastAsia="Times New Roman" w:cs="Verdana"/>
              </w:rPr>
              <w:t>Total</w:t>
            </w:r>
          </w:p>
        </w:tc>
        <w:tc>
          <w:tcPr>
            <w:tcW w:w="1275" w:type="dxa"/>
            <w:gridSpan w:val="2"/>
            <w:tcBorders>
              <w:top w:val="single" w:sz="4" w:space="0" w:color="3486A9"/>
              <w:left w:val="nil"/>
              <w:bottom w:val="single" w:sz="4" w:space="0" w:color="3486A9"/>
              <w:right w:val="nil"/>
            </w:tcBorders>
            <w:tcMar>
              <w:top w:w="0" w:type="dxa"/>
              <w:left w:w="108" w:type="dxa"/>
              <w:bottom w:w="0" w:type="dxa"/>
              <w:right w:w="108" w:type="dxa"/>
            </w:tcMar>
          </w:tcPr>
          <w:p w:rsidR="005D6812" w:rsidRDefault="00AB2A2B">
            <w:pPr>
              <w:pStyle w:val="Figures8pItalicBoldRight025"/>
              <w:rPr>
                <w:rFonts w:eastAsia="Times New Roman" w:cs="Verdana"/>
              </w:rPr>
            </w:pPr>
            <w:r>
              <w:rPr>
                <w:rFonts w:eastAsia="Times New Roman" w:cs="Verdana"/>
              </w:rPr>
              <w:t xml:space="preserve"> 40</w:t>
            </w:r>
          </w:p>
        </w:tc>
        <w:tc>
          <w:tcPr>
            <w:tcW w:w="851" w:type="dxa"/>
            <w:tcBorders>
              <w:top w:val="single" w:sz="4" w:space="0" w:color="3486A9"/>
              <w:left w:val="nil"/>
              <w:bottom w:val="single" w:sz="4" w:space="0" w:color="3486A9"/>
              <w:right w:val="nil"/>
            </w:tcBorders>
            <w:tcMar>
              <w:top w:w="0" w:type="dxa"/>
              <w:left w:w="108" w:type="dxa"/>
              <w:bottom w:w="0" w:type="dxa"/>
              <w:right w:w="108" w:type="dxa"/>
            </w:tcMar>
          </w:tcPr>
          <w:p w:rsidR="005D6812" w:rsidRDefault="00AB2A2B">
            <w:pPr>
              <w:pStyle w:val="Figures8pItalicBoldRight025"/>
              <w:rPr>
                <w:rFonts w:eastAsia="Times New Roman" w:cs="Verdana"/>
              </w:rPr>
            </w:pPr>
            <w:r>
              <w:rPr>
                <w:rFonts w:eastAsia="Times New Roman" w:cs="Verdana"/>
              </w:rPr>
              <w:t xml:space="preserve"> 680</w:t>
            </w:r>
          </w:p>
        </w:tc>
        <w:tc>
          <w:tcPr>
            <w:tcW w:w="992" w:type="dxa"/>
            <w:tcBorders>
              <w:top w:val="single" w:sz="4" w:space="0" w:color="3486A9"/>
              <w:left w:val="nil"/>
              <w:bottom w:val="single" w:sz="4" w:space="0" w:color="3486A9"/>
              <w:right w:val="nil"/>
            </w:tcBorders>
            <w:tcMar>
              <w:top w:w="0" w:type="dxa"/>
              <w:left w:w="108" w:type="dxa"/>
              <w:bottom w:w="0" w:type="dxa"/>
              <w:right w:w="108" w:type="dxa"/>
            </w:tcMar>
          </w:tcPr>
          <w:p w:rsidR="005D6812" w:rsidRDefault="00AB2A2B">
            <w:pPr>
              <w:pStyle w:val="Figures8pItalicBoldRight025"/>
              <w:rPr>
                <w:rFonts w:eastAsia="Times New Roman" w:cs="Verdana"/>
              </w:rPr>
            </w:pPr>
            <w:r>
              <w:rPr>
                <w:rFonts w:eastAsia="Times New Roman" w:cs="Verdana"/>
              </w:rPr>
              <w:t xml:space="preserve"> 720</w:t>
            </w:r>
          </w:p>
        </w:tc>
        <w:tc>
          <w:tcPr>
            <w:tcW w:w="1276" w:type="dxa"/>
            <w:gridSpan w:val="2"/>
            <w:tcBorders>
              <w:top w:val="single" w:sz="4" w:space="0" w:color="3486A9"/>
              <w:left w:val="nil"/>
              <w:bottom w:val="single" w:sz="4" w:space="0" w:color="3486A9"/>
              <w:right w:val="nil"/>
            </w:tcBorders>
            <w:tcMar>
              <w:top w:w="0" w:type="dxa"/>
              <w:left w:w="108" w:type="dxa"/>
              <w:bottom w:w="0" w:type="dxa"/>
              <w:right w:w="108" w:type="dxa"/>
            </w:tcMar>
          </w:tcPr>
          <w:p w:rsidR="005D6812" w:rsidRDefault="00AB2A2B">
            <w:pPr>
              <w:pStyle w:val="Figures8pItalicBoldRight025"/>
              <w:rPr>
                <w:rFonts w:eastAsia="Times New Roman" w:cs="Verdana"/>
              </w:rPr>
            </w:pPr>
            <w:r>
              <w:rPr>
                <w:rFonts w:eastAsia="Times New Roman" w:cs="Verdana"/>
              </w:rPr>
              <w:t xml:space="preserve"> 90</w:t>
            </w:r>
          </w:p>
        </w:tc>
        <w:tc>
          <w:tcPr>
            <w:tcW w:w="850" w:type="dxa"/>
            <w:tcBorders>
              <w:top w:val="single" w:sz="4" w:space="0" w:color="3486A9"/>
              <w:left w:val="nil"/>
              <w:bottom w:val="single" w:sz="4" w:space="0" w:color="3486A9"/>
              <w:right w:val="nil"/>
            </w:tcBorders>
            <w:tcMar>
              <w:top w:w="0" w:type="dxa"/>
              <w:left w:w="108" w:type="dxa"/>
              <w:bottom w:w="0" w:type="dxa"/>
              <w:right w:w="108" w:type="dxa"/>
            </w:tcMar>
          </w:tcPr>
          <w:p w:rsidR="005D6812" w:rsidRDefault="00AB2A2B">
            <w:pPr>
              <w:pStyle w:val="Figures8pItalicBoldRight025"/>
              <w:rPr>
                <w:rFonts w:eastAsia="Times New Roman" w:cs="Verdana"/>
              </w:rPr>
            </w:pPr>
            <w:r>
              <w:rPr>
                <w:rFonts w:eastAsia="Times New Roman" w:cs="Verdana"/>
              </w:rPr>
              <w:t xml:space="preserve"> 503</w:t>
            </w:r>
          </w:p>
        </w:tc>
        <w:tc>
          <w:tcPr>
            <w:tcW w:w="993" w:type="dxa"/>
            <w:tcBorders>
              <w:top w:val="single" w:sz="4" w:space="0" w:color="3486A9"/>
              <w:left w:val="nil"/>
              <w:bottom w:val="single" w:sz="4" w:space="0" w:color="3486A9"/>
              <w:right w:val="nil"/>
            </w:tcBorders>
            <w:tcMar>
              <w:top w:w="0" w:type="dxa"/>
              <w:left w:w="108" w:type="dxa"/>
              <w:bottom w:w="0" w:type="dxa"/>
              <w:right w:w="108" w:type="dxa"/>
            </w:tcMar>
          </w:tcPr>
          <w:p w:rsidR="005D6812" w:rsidRDefault="00AB2A2B">
            <w:pPr>
              <w:pStyle w:val="Figures8pItalicBoldRight025"/>
              <w:rPr>
                <w:rFonts w:eastAsia="Times New Roman" w:cs="Verdana"/>
              </w:rPr>
            </w:pPr>
            <w:r>
              <w:rPr>
                <w:rFonts w:eastAsia="Times New Roman" w:cs="Verdana"/>
              </w:rPr>
              <w:t xml:space="preserve"> 593</w:t>
            </w:r>
          </w:p>
        </w:tc>
      </w:tr>
      <w:tr w:rsidR="005D6812">
        <w:tc>
          <w:tcPr>
            <w:tcW w:w="3369" w:type="dxa"/>
            <w:tcBorders>
              <w:top w:val="single" w:sz="4" w:space="0" w:color="3486A9"/>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Counterparties without external credit rating</w:t>
            </w:r>
          </w:p>
        </w:tc>
        <w:tc>
          <w:tcPr>
            <w:tcW w:w="1275" w:type="dxa"/>
            <w:gridSpan w:val="2"/>
            <w:tcBorders>
              <w:top w:val="single" w:sz="4" w:space="0" w:color="3486A9"/>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851" w:type="dxa"/>
            <w:tcBorders>
              <w:top w:val="single" w:sz="4" w:space="0" w:color="3486A9"/>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992" w:type="dxa"/>
            <w:tcBorders>
              <w:top w:val="single" w:sz="4" w:space="0" w:color="3486A9"/>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1276" w:type="dxa"/>
            <w:gridSpan w:val="2"/>
            <w:tcBorders>
              <w:top w:val="single" w:sz="4" w:space="0" w:color="3486A9"/>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850" w:type="dxa"/>
            <w:tcBorders>
              <w:top w:val="single" w:sz="4" w:space="0" w:color="3486A9"/>
              <w:left w:val="nil"/>
              <w:bottom w:val="nil"/>
              <w:right w:val="nil"/>
            </w:tcBorders>
            <w:tcMar>
              <w:top w:w="0" w:type="dxa"/>
              <w:left w:w="108" w:type="dxa"/>
              <w:bottom w:w="0" w:type="dxa"/>
              <w:right w:w="108" w:type="dxa"/>
            </w:tcMar>
          </w:tcPr>
          <w:p w:rsidR="005D6812" w:rsidRDefault="005D6812">
            <w:pPr>
              <w:pStyle w:val="Figures8pItalicRight025"/>
              <w:rPr>
                <w:rFonts w:eastAsia="Times New Roman" w:cs="Verdana"/>
              </w:rPr>
            </w:pPr>
          </w:p>
        </w:tc>
        <w:tc>
          <w:tcPr>
            <w:tcW w:w="993" w:type="dxa"/>
            <w:tcBorders>
              <w:top w:val="single" w:sz="4" w:space="0" w:color="3486A9"/>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r>
      <w:tr w:rsidR="005D6812">
        <w:tc>
          <w:tcPr>
            <w:tcW w:w="3369" w:type="dxa"/>
            <w:tcBorders>
              <w:top w:val="nil"/>
              <w:left w:val="nil"/>
              <w:bottom w:val="nil"/>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Group 1 (debtors without defaults in the past)</w:t>
            </w:r>
          </w:p>
        </w:tc>
        <w:tc>
          <w:tcPr>
            <w:tcW w:w="1275" w:type="dxa"/>
            <w:gridSpan w:val="2"/>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92</w:t>
            </w:r>
          </w:p>
        </w:tc>
        <w:tc>
          <w:tcPr>
            <w:tcW w:w="851"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0</w:t>
            </w:r>
          </w:p>
        </w:tc>
        <w:tc>
          <w:tcPr>
            <w:tcW w:w="992"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92</w:t>
            </w:r>
          </w:p>
        </w:tc>
        <w:tc>
          <w:tcPr>
            <w:tcW w:w="1276" w:type="dxa"/>
            <w:gridSpan w:val="2"/>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81</w:t>
            </w:r>
          </w:p>
        </w:tc>
        <w:tc>
          <w:tcPr>
            <w:tcW w:w="850"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1</w:t>
            </w:r>
          </w:p>
        </w:tc>
        <w:tc>
          <w:tcPr>
            <w:tcW w:w="993" w:type="dxa"/>
            <w:tcBorders>
              <w:top w:val="nil"/>
              <w:left w:val="nil"/>
              <w:bottom w:val="nil"/>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 xml:space="preserve"> 82</w:t>
            </w:r>
          </w:p>
        </w:tc>
      </w:tr>
      <w:tr w:rsidR="005D6812">
        <w:tc>
          <w:tcPr>
            <w:tcW w:w="3369" w:type="dxa"/>
            <w:tcBorders>
              <w:top w:val="nil"/>
              <w:left w:val="nil"/>
              <w:bottom w:val="single" w:sz="4" w:space="0" w:color="3486A9"/>
              <w:right w:val="nil"/>
            </w:tcBorders>
            <w:tcMar>
              <w:top w:w="0" w:type="dxa"/>
              <w:left w:w="108" w:type="dxa"/>
              <w:bottom w:w="0" w:type="dxa"/>
              <w:right w:w="108" w:type="dxa"/>
            </w:tcMar>
          </w:tcPr>
          <w:p w:rsidR="005D6812" w:rsidRDefault="00AB2A2B">
            <w:pPr>
              <w:pStyle w:val="Text8pItalicLeft"/>
              <w:rPr>
                <w:rFonts w:eastAsia="Times New Roman" w:cs="Verdana"/>
              </w:rPr>
            </w:pPr>
            <w:r>
              <w:rPr>
                <w:rFonts w:eastAsia="Times New Roman" w:cs="Verdana"/>
              </w:rPr>
              <w:t>Group 2 (debtors with defaults in the past)</w:t>
            </w:r>
          </w:p>
        </w:tc>
        <w:tc>
          <w:tcPr>
            <w:tcW w:w="1275" w:type="dxa"/>
            <w:gridSpan w:val="2"/>
            <w:tcBorders>
              <w:top w:val="nil"/>
              <w:left w:val="nil"/>
              <w:bottom w:val="single" w:sz="4" w:space="0" w:color="3486A9"/>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851" w:type="dxa"/>
            <w:tcBorders>
              <w:top w:val="nil"/>
              <w:left w:val="nil"/>
              <w:bottom w:val="single" w:sz="4" w:space="0" w:color="3486A9"/>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992" w:type="dxa"/>
            <w:tcBorders>
              <w:top w:val="nil"/>
              <w:left w:val="nil"/>
              <w:bottom w:val="single" w:sz="4" w:space="0" w:color="3486A9"/>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1276" w:type="dxa"/>
            <w:gridSpan w:val="2"/>
            <w:tcBorders>
              <w:top w:val="nil"/>
              <w:left w:val="nil"/>
              <w:bottom w:val="single" w:sz="4" w:space="0" w:color="3486A9"/>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850" w:type="dxa"/>
            <w:tcBorders>
              <w:top w:val="nil"/>
              <w:left w:val="nil"/>
              <w:bottom w:val="single" w:sz="4" w:space="0" w:color="3486A9"/>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c>
          <w:tcPr>
            <w:tcW w:w="993" w:type="dxa"/>
            <w:tcBorders>
              <w:top w:val="nil"/>
              <w:left w:val="nil"/>
              <w:bottom w:val="single" w:sz="4" w:space="0" w:color="3486A9"/>
              <w:right w:val="nil"/>
            </w:tcBorders>
            <w:tcMar>
              <w:top w:w="0" w:type="dxa"/>
              <w:left w:w="108" w:type="dxa"/>
              <w:bottom w:w="0" w:type="dxa"/>
              <w:right w:w="108" w:type="dxa"/>
            </w:tcMar>
          </w:tcPr>
          <w:p w:rsidR="005D6812" w:rsidRDefault="00AB2A2B">
            <w:pPr>
              <w:pStyle w:val="Figures8pItalicRight025"/>
              <w:rPr>
                <w:rFonts w:eastAsia="Times New Roman" w:cs="Verdana"/>
              </w:rPr>
            </w:pPr>
            <w:r>
              <w:rPr>
                <w:rFonts w:eastAsia="Times New Roman" w:cs="Verdana"/>
              </w:rPr>
              <w:t>–</w:t>
            </w:r>
          </w:p>
        </w:tc>
      </w:tr>
      <w:tr w:rsidR="005D6812">
        <w:tc>
          <w:tcPr>
            <w:tcW w:w="3369" w:type="dxa"/>
            <w:tcBorders>
              <w:top w:val="single" w:sz="4" w:space="0" w:color="3486A9"/>
              <w:left w:val="nil"/>
              <w:bottom w:val="single" w:sz="4" w:space="0" w:color="3486A9"/>
              <w:right w:val="nil"/>
            </w:tcBorders>
            <w:tcMar>
              <w:top w:w="0" w:type="dxa"/>
              <w:left w:w="108" w:type="dxa"/>
              <w:bottom w:w="0" w:type="dxa"/>
              <w:right w:w="108" w:type="dxa"/>
            </w:tcMar>
          </w:tcPr>
          <w:p w:rsidR="005D6812" w:rsidRDefault="00AB2A2B">
            <w:pPr>
              <w:pStyle w:val="Text8pItalicBoldLeft"/>
              <w:rPr>
                <w:rFonts w:eastAsia="Times New Roman" w:cs="Verdana"/>
              </w:rPr>
            </w:pPr>
            <w:r>
              <w:rPr>
                <w:rFonts w:eastAsia="Times New Roman" w:cs="Verdana"/>
              </w:rPr>
              <w:t>Total</w:t>
            </w:r>
          </w:p>
        </w:tc>
        <w:tc>
          <w:tcPr>
            <w:tcW w:w="1275" w:type="dxa"/>
            <w:gridSpan w:val="2"/>
            <w:tcBorders>
              <w:top w:val="single" w:sz="4" w:space="0" w:color="3486A9"/>
              <w:left w:val="nil"/>
              <w:bottom w:val="single" w:sz="4" w:space="0" w:color="3486A9"/>
              <w:right w:val="nil"/>
            </w:tcBorders>
            <w:tcMar>
              <w:top w:w="0" w:type="dxa"/>
              <w:left w:w="108" w:type="dxa"/>
              <w:bottom w:w="0" w:type="dxa"/>
              <w:right w:w="108" w:type="dxa"/>
            </w:tcMar>
          </w:tcPr>
          <w:p w:rsidR="005D6812" w:rsidRDefault="00AB2A2B">
            <w:pPr>
              <w:pStyle w:val="Figures8pItalicBoldRight025"/>
              <w:rPr>
                <w:rFonts w:eastAsia="Times New Roman" w:cs="Verdana"/>
              </w:rPr>
            </w:pPr>
            <w:r>
              <w:rPr>
                <w:rFonts w:eastAsia="Times New Roman" w:cs="Verdana"/>
              </w:rPr>
              <w:t xml:space="preserve"> 92</w:t>
            </w:r>
          </w:p>
        </w:tc>
        <w:tc>
          <w:tcPr>
            <w:tcW w:w="851" w:type="dxa"/>
            <w:tcBorders>
              <w:top w:val="single" w:sz="4" w:space="0" w:color="3486A9"/>
              <w:left w:val="nil"/>
              <w:bottom w:val="single" w:sz="4" w:space="0" w:color="3486A9"/>
              <w:right w:val="nil"/>
            </w:tcBorders>
            <w:tcMar>
              <w:top w:w="0" w:type="dxa"/>
              <w:left w:w="108" w:type="dxa"/>
              <w:bottom w:w="0" w:type="dxa"/>
              <w:right w:w="108" w:type="dxa"/>
            </w:tcMar>
          </w:tcPr>
          <w:p w:rsidR="005D6812" w:rsidRDefault="00AB2A2B">
            <w:pPr>
              <w:pStyle w:val="Figures8pItalicBoldRight025"/>
              <w:rPr>
                <w:rFonts w:eastAsia="Times New Roman" w:cs="Verdana"/>
              </w:rPr>
            </w:pPr>
            <w:r>
              <w:rPr>
                <w:rFonts w:eastAsia="Times New Roman" w:cs="Verdana"/>
              </w:rPr>
              <w:t xml:space="preserve"> 0</w:t>
            </w:r>
          </w:p>
        </w:tc>
        <w:tc>
          <w:tcPr>
            <w:tcW w:w="992" w:type="dxa"/>
            <w:tcBorders>
              <w:top w:val="single" w:sz="4" w:space="0" w:color="3486A9"/>
              <w:left w:val="nil"/>
              <w:bottom w:val="single" w:sz="4" w:space="0" w:color="3486A9"/>
              <w:right w:val="nil"/>
            </w:tcBorders>
            <w:tcMar>
              <w:top w:w="0" w:type="dxa"/>
              <w:left w:w="108" w:type="dxa"/>
              <w:bottom w:w="0" w:type="dxa"/>
              <w:right w:w="108" w:type="dxa"/>
            </w:tcMar>
          </w:tcPr>
          <w:p w:rsidR="005D6812" w:rsidRDefault="00AB2A2B">
            <w:pPr>
              <w:pStyle w:val="Figures8pItalicBoldRight025"/>
              <w:rPr>
                <w:rFonts w:eastAsia="Times New Roman" w:cs="Verdana"/>
              </w:rPr>
            </w:pPr>
            <w:r>
              <w:rPr>
                <w:rFonts w:eastAsia="Times New Roman" w:cs="Verdana"/>
              </w:rPr>
              <w:t xml:space="preserve"> 92</w:t>
            </w:r>
          </w:p>
        </w:tc>
        <w:tc>
          <w:tcPr>
            <w:tcW w:w="1276" w:type="dxa"/>
            <w:gridSpan w:val="2"/>
            <w:tcBorders>
              <w:top w:val="single" w:sz="4" w:space="0" w:color="3486A9"/>
              <w:left w:val="nil"/>
              <w:bottom w:val="single" w:sz="4" w:space="0" w:color="3486A9"/>
              <w:right w:val="nil"/>
            </w:tcBorders>
            <w:tcMar>
              <w:top w:w="0" w:type="dxa"/>
              <w:left w:w="108" w:type="dxa"/>
              <w:bottom w:w="0" w:type="dxa"/>
              <w:right w:w="108" w:type="dxa"/>
            </w:tcMar>
          </w:tcPr>
          <w:p w:rsidR="005D6812" w:rsidRDefault="00AB2A2B">
            <w:pPr>
              <w:pStyle w:val="Figures8pItalicBoldRight025"/>
              <w:rPr>
                <w:rFonts w:eastAsia="Times New Roman" w:cs="Verdana"/>
              </w:rPr>
            </w:pPr>
            <w:r>
              <w:rPr>
                <w:rFonts w:eastAsia="Times New Roman" w:cs="Verdana"/>
              </w:rPr>
              <w:t xml:space="preserve"> 81</w:t>
            </w:r>
          </w:p>
        </w:tc>
        <w:tc>
          <w:tcPr>
            <w:tcW w:w="850" w:type="dxa"/>
            <w:tcBorders>
              <w:top w:val="single" w:sz="4" w:space="0" w:color="3486A9"/>
              <w:left w:val="nil"/>
              <w:bottom w:val="single" w:sz="4" w:space="0" w:color="3486A9"/>
              <w:right w:val="nil"/>
            </w:tcBorders>
            <w:tcMar>
              <w:top w:w="0" w:type="dxa"/>
              <w:left w:w="108" w:type="dxa"/>
              <w:bottom w:w="0" w:type="dxa"/>
              <w:right w:w="108" w:type="dxa"/>
            </w:tcMar>
          </w:tcPr>
          <w:p w:rsidR="005D6812" w:rsidRDefault="00AB2A2B">
            <w:pPr>
              <w:pStyle w:val="Figures8pItalicBoldRight025"/>
              <w:rPr>
                <w:rFonts w:eastAsia="Times New Roman" w:cs="Verdana"/>
              </w:rPr>
            </w:pPr>
            <w:r>
              <w:rPr>
                <w:rFonts w:eastAsia="Times New Roman" w:cs="Verdana"/>
              </w:rPr>
              <w:t xml:space="preserve"> 1</w:t>
            </w:r>
          </w:p>
        </w:tc>
        <w:tc>
          <w:tcPr>
            <w:tcW w:w="993" w:type="dxa"/>
            <w:tcBorders>
              <w:top w:val="single" w:sz="4" w:space="0" w:color="3486A9"/>
              <w:left w:val="nil"/>
              <w:bottom w:val="single" w:sz="4" w:space="0" w:color="3486A9"/>
              <w:right w:val="nil"/>
            </w:tcBorders>
            <w:tcMar>
              <w:top w:w="0" w:type="dxa"/>
              <w:left w:w="108" w:type="dxa"/>
              <w:bottom w:w="0" w:type="dxa"/>
              <w:right w:w="108" w:type="dxa"/>
            </w:tcMar>
          </w:tcPr>
          <w:p w:rsidR="005D6812" w:rsidRDefault="00AB2A2B">
            <w:pPr>
              <w:pStyle w:val="Figures8pItalicBoldRight025"/>
              <w:rPr>
                <w:rFonts w:eastAsia="Times New Roman" w:cs="Verdana"/>
              </w:rPr>
            </w:pPr>
            <w:r>
              <w:rPr>
                <w:rFonts w:eastAsia="Times New Roman" w:cs="Verdana"/>
              </w:rPr>
              <w:t xml:space="preserve"> 82</w:t>
            </w:r>
          </w:p>
        </w:tc>
      </w:tr>
      <w:tr w:rsidR="005D6812">
        <w:tc>
          <w:tcPr>
            <w:tcW w:w="3369" w:type="dxa"/>
            <w:tcBorders>
              <w:top w:val="single" w:sz="4" w:space="0" w:color="3486A9"/>
              <w:left w:val="nil"/>
              <w:bottom w:val="nil"/>
              <w:right w:val="nil"/>
            </w:tcBorders>
            <w:shd w:val="clear" w:color="auto" w:fill="CCE1EA"/>
            <w:tcMar>
              <w:top w:w="0" w:type="dxa"/>
              <w:left w:w="108" w:type="dxa"/>
              <w:bottom w:w="0" w:type="dxa"/>
              <w:right w:w="108" w:type="dxa"/>
            </w:tcMar>
          </w:tcPr>
          <w:p w:rsidR="005D6812" w:rsidRDefault="00AB2A2B">
            <w:pPr>
              <w:pStyle w:val="Heading7pBoldLeft"/>
              <w:rPr>
                <w:rFonts w:eastAsia="Times New Roman" w:cs="Verdana"/>
              </w:rPr>
            </w:pPr>
            <w:r>
              <w:rPr>
                <w:rFonts w:eastAsia="Times New Roman" w:cs="Verdana"/>
              </w:rPr>
              <w:t>Total</w:t>
            </w:r>
          </w:p>
        </w:tc>
        <w:tc>
          <w:tcPr>
            <w:tcW w:w="1275" w:type="dxa"/>
            <w:gridSpan w:val="2"/>
            <w:tcBorders>
              <w:top w:val="single" w:sz="4" w:space="0" w:color="3486A9"/>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 xml:space="preserve"> 132</w:t>
            </w:r>
          </w:p>
        </w:tc>
        <w:tc>
          <w:tcPr>
            <w:tcW w:w="851" w:type="dxa"/>
            <w:tcBorders>
              <w:top w:val="single" w:sz="4" w:space="0" w:color="3486A9"/>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 xml:space="preserve"> 680</w:t>
            </w:r>
          </w:p>
        </w:tc>
        <w:tc>
          <w:tcPr>
            <w:tcW w:w="992" w:type="dxa"/>
            <w:tcBorders>
              <w:top w:val="single" w:sz="4" w:space="0" w:color="3486A9"/>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 xml:space="preserve"> 812</w:t>
            </w:r>
          </w:p>
        </w:tc>
        <w:tc>
          <w:tcPr>
            <w:tcW w:w="1276" w:type="dxa"/>
            <w:gridSpan w:val="2"/>
            <w:tcBorders>
              <w:top w:val="single" w:sz="4" w:space="0" w:color="3486A9"/>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 xml:space="preserve"> 171</w:t>
            </w:r>
          </w:p>
        </w:tc>
        <w:tc>
          <w:tcPr>
            <w:tcW w:w="850" w:type="dxa"/>
            <w:tcBorders>
              <w:top w:val="single" w:sz="4" w:space="0" w:color="3486A9"/>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 xml:space="preserve"> 504</w:t>
            </w:r>
          </w:p>
        </w:tc>
        <w:tc>
          <w:tcPr>
            <w:tcW w:w="993" w:type="dxa"/>
            <w:tcBorders>
              <w:top w:val="single" w:sz="4" w:space="0" w:color="3486A9"/>
              <w:left w:val="nil"/>
              <w:bottom w:val="nil"/>
              <w:right w:val="nil"/>
            </w:tcBorders>
            <w:shd w:val="clear" w:color="auto" w:fill="CCE1EA"/>
            <w:tcMar>
              <w:top w:w="0" w:type="dxa"/>
              <w:left w:w="108" w:type="dxa"/>
              <w:bottom w:w="0" w:type="dxa"/>
              <w:right w:w="108" w:type="dxa"/>
            </w:tcMar>
          </w:tcPr>
          <w:p w:rsidR="005D6812" w:rsidRDefault="00AB2A2B">
            <w:pPr>
              <w:pStyle w:val="Figures8pBoldRight025"/>
              <w:rPr>
                <w:rFonts w:eastAsia="Times New Roman" w:cs="Verdana"/>
              </w:rPr>
            </w:pPr>
            <w:r>
              <w:rPr>
                <w:rFonts w:eastAsia="Times New Roman" w:cs="Verdana"/>
              </w:rPr>
              <w:t xml:space="preserve"> 675</w:t>
            </w:r>
          </w:p>
        </w:tc>
      </w:tr>
    </w:tbl>
    <w:p w:rsidR="005D6812" w:rsidRDefault="00AB2A2B">
      <w:pPr>
        <w:pStyle w:val="Textstand-alone"/>
      </w:pPr>
      <w:r>
        <w:t xml:space="preserve">Funds in the categories </w:t>
      </w:r>
      <w:r>
        <w:rPr>
          <w:i/>
          <w:iCs/>
        </w:rPr>
        <w:t>non-investment grade</w:t>
      </w:r>
      <w:r>
        <w:t xml:space="preserve"> and </w:t>
      </w:r>
      <w:r>
        <w:rPr>
          <w:i/>
          <w:iCs/>
        </w:rPr>
        <w:t xml:space="preserve">lower medium grade </w:t>
      </w:r>
      <w:r>
        <w:t>relate</w:t>
      </w:r>
      <w:r>
        <w:rPr>
          <w:i/>
          <w:iCs/>
        </w:rPr>
        <w:t xml:space="preserve"> </w:t>
      </w:r>
      <w:r>
        <w:t>mainly to Member State contributions to the EDF paid to the special accounts opened by Member States in accordance with Article 22(3) of the EDF FR. According to this regulation the amount of such contributions must remain in those special accounts until t</w:t>
      </w:r>
      <w:r>
        <w:t xml:space="preserve">he payments need to be made. </w:t>
      </w:r>
    </w:p>
    <w:p w:rsidR="005D6812" w:rsidRDefault="00AB2A2B">
      <w:pPr>
        <w:pStyle w:val="Textstand-alone"/>
      </w:pPr>
      <w:r>
        <w:t>Most of the EDF's treasury resources are kept, in accordance with the EDF FR, in the "special accounts" opened by Member States for the payment of their contributions. The majority of such accounts are held with Member States'</w:t>
      </w:r>
      <w:r>
        <w:t xml:space="preserve"> treasuries or national central banks. These institutions carry the lowest counterparty risk for the EDF (exposure is with its Member States).</w:t>
      </w:r>
    </w:p>
    <w:p w:rsidR="005D6812" w:rsidRDefault="00AB2A2B">
      <w:pPr>
        <w:pStyle w:val="Textstand-alone"/>
      </w:pPr>
      <w:r>
        <w:t>For the part of the EDF's treasury resources kept with commercial banks in order to cover the execution of paymen</w:t>
      </w:r>
      <w:r>
        <w:t>ts, replenishment of these accounts is executed on a just-in-time basis and is automatically managed by the Commission treasury's cash management system. Minimum cash levels, proportional to the average amount of daily payments made from it, are kept on ea</w:t>
      </w:r>
      <w:r>
        <w:t>ch account. As a consequence the amounts kept overnight on these accounts remain constantly at low levels which ensure the EDF's risk exposure is limited.</w:t>
      </w:r>
    </w:p>
    <w:p w:rsidR="005D6812" w:rsidRDefault="00AB2A2B">
      <w:pPr>
        <w:pStyle w:val="Textstand-alone"/>
      </w:pPr>
      <w:r>
        <w:t>In addition, specific guidelines are applied for the selection of commercial banks in order to furthe</w:t>
      </w:r>
      <w:r>
        <w:t>r minimise counterparty risk to which the EDF is exposed.</w:t>
      </w:r>
    </w:p>
    <w:p w:rsidR="005D6812" w:rsidRDefault="00AB2A2B">
      <w:pPr>
        <w:pStyle w:val="Textstand-alone"/>
      </w:pPr>
      <w:r>
        <w:t>All commercial banks are selected by call for tenders. The minimum short-term credit rating required for admission to the tendering procedures is Moody's P-1 or equivalent (S&amp;P A-1 or Fitch F1). A l</w:t>
      </w:r>
      <w:r>
        <w:t>ower level may be required in specific and duly justified circumstances.</w:t>
      </w:r>
    </w:p>
    <w:bookmarkEnd w:id="294"/>
    <w:p w:rsidR="005D6812" w:rsidRDefault="005D6812">
      <w:pPr>
        <w:pStyle w:val="Textstand-alone"/>
        <w:sectPr w:rsidR="005D6812">
          <w:headerReference w:type="even" r:id="rId221"/>
          <w:headerReference w:type="default" r:id="rId222"/>
          <w:footerReference w:type="even" r:id="rId223"/>
          <w:footerReference w:type="default" r:id="rId224"/>
          <w:headerReference w:type="first" r:id="rId225"/>
          <w:footerReference w:type="first" r:id="rId226"/>
          <w:type w:val="continuous"/>
          <w:pgSz w:w="11906" w:h="16838"/>
          <w:pgMar w:top="1134" w:right="1134" w:bottom="1134" w:left="1134" w:header="709" w:footer="709" w:gutter="0"/>
          <w:cols w:space="708"/>
          <w:docGrid w:linePitch="360"/>
        </w:sectPr>
      </w:pPr>
    </w:p>
    <w:p w:rsidR="005D6812" w:rsidRDefault="00AB2A2B">
      <w:pPr>
        <w:pStyle w:val="HEADER2Part2"/>
        <w:rPr>
          <w:noProof/>
        </w:rPr>
      </w:pPr>
      <w:bookmarkStart w:id="297" w:name="_DMBM_9568"/>
      <w:r>
        <w:rPr>
          <w:noProof/>
        </w:rPr>
        <w:t>LIQUIDITY RISK</w:t>
      </w:r>
    </w:p>
    <w:p w:rsidR="005D6812" w:rsidRDefault="00AB2A2B">
      <w:pPr>
        <w:pStyle w:val="HEADER5"/>
        <w:rPr>
          <w:noProof/>
        </w:rPr>
      </w:pPr>
      <w:r>
        <w:rPr>
          <w:noProof/>
        </w:rPr>
        <w:t xml:space="preserve">Maturity analysis of financial liabilities by </w:t>
      </w:r>
      <w:r>
        <w:rPr>
          <w:noProof/>
        </w:rPr>
        <w:t>remaining contractual maturity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488"/>
        <w:gridCol w:w="1488"/>
        <w:gridCol w:w="1418"/>
        <w:gridCol w:w="1559"/>
      </w:tblGrid>
      <w:tr w:rsidR="005D6812">
        <w:tc>
          <w:tcPr>
            <w:tcW w:w="3794"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298" w:name="DOC_TBL00049_1_1"/>
            <w:bookmarkEnd w:id="298"/>
          </w:p>
        </w:tc>
        <w:tc>
          <w:tcPr>
            <w:tcW w:w="1488"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88"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418"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559"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bidi="en-GB"/>
              </w:rPr>
            </w:pPr>
            <w:r>
              <w:rPr>
                <w:rFonts w:eastAsia="Verdana" w:cs="Verdana"/>
                <w:lang w:bidi="en-GB"/>
              </w:rPr>
              <w:t>EUR millions</w:t>
            </w:r>
          </w:p>
        </w:tc>
      </w:tr>
      <w:tr w:rsidR="005D6812">
        <w:tc>
          <w:tcPr>
            <w:tcW w:w="3794"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Verdana" w:cs="Verdana"/>
                <w:lang w:bidi="en-GB"/>
              </w:rPr>
            </w:pPr>
          </w:p>
        </w:tc>
        <w:tc>
          <w:tcPr>
            <w:tcW w:w="1488" w:type="dxa"/>
            <w:tcBorders>
              <w:top w:val="nil"/>
              <w:left w:val="nil"/>
              <w:bottom w:val="nil"/>
              <w:right w:val="nil"/>
            </w:tcBorders>
            <w:shd w:val="clear" w:color="auto" w:fill="3486A9"/>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&lt; 1 year</w:t>
            </w:r>
          </w:p>
        </w:tc>
        <w:tc>
          <w:tcPr>
            <w:tcW w:w="1488" w:type="dxa"/>
            <w:tcBorders>
              <w:top w:val="nil"/>
              <w:left w:val="nil"/>
              <w:bottom w:val="nil"/>
              <w:right w:val="nil"/>
            </w:tcBorders>
            <w:shd w:val="clear" w:color="auto" w:fill="3486A9"/>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1-5 years</w:t>
            </w:r>
          </w:p>
        </w:tc>
        <w:tc>
          <w:tcPr>
            <w:tcW w:w="1418" w:type="dxa"/>
            <w:tcBorders>
              <w:top w:val="nil"/>
              <w:left w:val="nil"/>
              <w:bottom w:val="nil"/>
              <w:right w:val="nil"/>
            </w:tcBorders>
            <w:shd w:val="clear" w:color="auto" w:fill="3486A9"/>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&gt; 5 years</w:t>
            </w:r>
          </w:p>
        </w:tc>
        <w:tc>
          <w:tcPr>
            <w:tcW w:w="1559" w:type="dxa"/>
            <w:tcBorders>
              <w:top w:val="nil"/>
              <w:left w:val="nil"/>
              <w:bottom w:val="nil"/>
              <w:right w:val="nil"/>
            </w:tcBorders>
            <w:shd w:val="clear" w:color="auto" w:fill="3486A9"/>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Total</w:t>
            </w:r>
          </w:p>
        </w:tc>
      </w:tr>
      <w:tr w:rsidR="005D6812">
        <w:tc>
          <w:tcPr>
            <w:tcW w:w="3794"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Financial liabilities</w:t>
            </w:r>
          </w:p>
        </w:tc>
        <w:tc>
          <w:tcPr>
            <w:tcW w:w="1488"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549</w:t>
            </w:r>
          </w:p>
        </w:tc>
        <w:tc>
          <w:tcPr>
            <w:tcW w:w="1488"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6</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559"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555</w:t>
            </w:r>
          </w:p>
        </w:tc>
      </w:tr>
      <w:tr w:rsidR="005D6812">
        <w:tc>
          <w:tcPr>
            <w:tcW w:w="3794"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Total at 31.12.2016</w:t>
            </w:r>
          </w:p>
        </w:tc>
        <w:tc>
          <w:tcPr>
            <w:tcW w:w="1488"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9pItalicBoldRight025"/>
              <w:rPr>
                <w:rFonts w:eastAsia="Verdana" w:cs="Verdana"/>
                <w:lang w:bidi="en-GB"/>
              </w:rPr>
            </w:pPr>
            <w:r>
              <w:rPr>
                <w:rFonts w:eastAsia="Verdana" w:cs="Verdana"/>
                <w:lang w:bidi="en-GB"/>
              </w:rPr>
              <w:t xml:space="preserve"> 549</w:t>
            </w:r>
          </w:p>
        </w:tc>
        <w:tc>
          <w:tcPr>
            <w:tcW w:w="1488"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9pItalicBoldRight025"/>
              <w:rPr>
                <w:rFonts w:eastAsia="Verdana" w:cs="Verdana"/>
                <w:lang w:bidi="en-GB"/>
              </w:rPr>
            </w:pPr>
            <w:r>
              <w:rPr>
                <w:rFonts w:eastAsia="Verdana" w:cs="Verdana"/>
                <w:lang w:bidi="en-GB"/>
              </w:rPr>
              <w:t xml:space="preserve"> 6</w:t>
            </w:r>
          </w:p>
        </w:tc>
        <w:tc>
          <w:tcPr>
            <w:tcW w:w="1418"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9pItalicBoldRight025"/>
              <w:rPr>
                <w:rFonts w:eastAsia="Verdana" w:cs="Verdana"/>
                <w:lang w:bidi="en-GB"/>
              </w:rPr>
            </w:pPr>
            <w:r>
              <w:rPr>
                <w:rFonts w:eastAsia="Verdana" w:cs="Verdana"/>
                <w:lang w:bidi="en-GB"/>
              </w:rPr>
              <w:t>–</w:t>
            </w:r>
          </w:p>
        </w:tc>
        <w:tc>
          <w:tcPr>
            <w:tcW w:w="1559"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9pItalicBoldRight025"/>
              <w:rPr>
                <w:rFonts w:eastAsia="Verdana" w:cs="Verdana"/>
                <w:lang w:bidi="en-GB"/>
              </w:rPr>
            </w:pPr>
            <w:r>
              <w:rPr>
                <w:rFonts w:eastAsia="Verdana" w:cs="Verdana"/>
                <w:lang w:bidi="en-GB"/>
              </w:rPr>
              <w:t xml:space="preserve"> 555</w:t>
            </w:r>
          </w:p>
        </w:tc>
      </w:tr>
      <w:tr w:rsidR="005D6812">
        <w:tc>
          <w:tcPr>
            <w:tcW w:w="3794"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Financial liabilities</w:t>
            </w:r>
          </w:p>
        </w:tc>
        <w:tc>
          <w:tcPr>
            <w:tcW w:w="1488"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520</w:t>
            </w:r>
          </w:p>
        </w:tc>
        <w:tc>
          <w:tcPr>
            <w:tcW w:w="1488"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10</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559"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530</w:t>
            </w:r>
          </w:p>
        </w:tc>
      </w:tr>
      <w:tr w:rsidR="005D6812">
        <w:tc>
          <w:tcPr>
            <w:tcW w:w="3794"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Total at 31.12.2015</w:t>
            </w:r>
          </w:p>
        </w:tc>
        <w:tc>
          <w:tcPr>
            <w:tcW w:w="1488"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9pItalicBoldRight025"/>
              <w:rPr>
                <w:rFonts w:eastAsia="Verdana" w:cs="Verdana"/>
                <w:lang w:bidi="en-GB"/>
              </w:rPr>
            </w:pPr>
            <w:r>
              <w:rPr>
                <w:rFonts w:eastAsia="Verdana" w:cs="Verdana"/>
                <w:lang w:bidi="en-GB"/>
              </w:rPr>
              <w:t xml:space="preserve"> 520</w:t>
            </w:r>
          </w:p>
        </w:tc>
        <w:tc>
          <w:tcPr>
            <w:tcW w:w="1488"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9pItalicBoldRight025"/>
              <w:rPr>
                <w:rFonts w:eastAsia="Verdana" w:cs="Verdana"/>
                <w:lang w:bidi="en-GB"/>
              </w:rPr>
            </w:pPr>
            <w:r>
              <w:rPr>
                <w:rFonts w:eastAsia="Verdana" w:cs="Verdana"/>
                <w:lang w:bidi="en-GB"/>
              </w:rPr>
              <w:t xml:space="preserve"> 10</w:t>
            </w:r>
          </w:p>
        </w:tc>
        <w:tc>
          <w:tcPr>
            <w:tcW w:w="1418"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9pItalicBoldRight025"/>
              <w:rPr>
                <w:rFonts w:eastAsia="Verdana" w:cs="Verdana"/>
                <w:lang w:bidi="en-GB"/>
              </w:rPr>
            </w:pPr>
            <w:r>
              <w:rPr>
                <w:rFonts w:eastAsia="Verdana" w:cs="Verdana"/>
                <w:lang w:bidi="en-GB"/>
              </w:rPr>
              <w:t>–</w:t>
            </w:r>
          </w:p>
        </w:tc>
        <w:tc>
          <w:tcPr>
            <w:tcW w:w="1559"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9pItalicBoldRight025"/>
              <w:rPr>
                <w:rFonts w:eastAsia="Verdana" w:cs="Verdana"/>
                <w:lang w:bidi="en-GB"/>
              </w:rPr>
            </w:pPr>
            <w:r>
              <w:rPr>
                <w:rFonts w:eastAsia="Verdana" w:cs="Verdana"/>
                <w:lang w:bidi="en-GB"/>
              </w:rPr>
              <w:t xml:space="preserve"> 530</w:t>
            </w:r>
          </w:p>
        </w:tc>
      </w:tr>
    </w:tbl>
    <w:p w:rsidR="005D6812" w:rsidRDefault="00AB2A2B">
      <w:pPr>
        <w:pStyle w:val="Textstand-alone"/>
      </w:pPr>
      <w:r>
        <w:t xml:space="preserve">Budget principles </w:t>
      </w:r>
      <w:r>
        <w:t>applied to the EDF ensure that overall cash resources for the budgetary period are always sufficient for the execution of all related payments. Indeed the total Member States' contributions equal the overall amount of payment appropriations for the relevan</w:t>
      </w:r>
      <w:r>
        <w:t>t budgetary period.</w:t>
      </w:r>
    </w:p>
    <w:p w:rsidR="005D6812" w:rsidRDefault="00AB2A2B">
      <w:pPr>
        <w:pStyle w:val="Textstand-alone"/>
      </w:pPr>
      <w:r>
        <w:t>Member States contributions to EDF, however, are paid in three instalments per year, while payments are subject to certain seasonality.</w:t>
      </w:r>
    </w:p>
    <w:p w:rsidR="005D6812" w:rsidRDefault="00AB2A2B">
      <w:pPr>
        <w:pStyle w:val="Textstand-alone"/>
      </w:pPr>
      <w:r>
        <w:t>In order to ensure that treasury resources are always sufficient to cover the payments to be execute</w:t>
      </w:r>
      <w:r>
        <w:t>d in any given month, information on the treasury situation is regularly exchanged between the Commission' treasury and the relevant spending departments in order to ensure that payments executed in any given period do not exceed the available treasury res</w:t>
      </w:r>
      <w:r>
        <w:t>ources.</w:t>
      </w:r>
    </w:p>
    <w:p w:rsidR="005D6812" w:rsidRDefault="00AB2A2B">
      <w:pPr>
        <w:pStyle w:val="Textstand-alone"/>
      </w:pPr>
      <w:r>
        <w:t>In addition to the above, in the context of the EDF's daily treasury operations, automated cash management tools ensure that sufficient liquidity is available on each of the EDF's bank accounts, on a daily basis.</w:t>
      </w:r>
    </w:p>
    <w:p w:rsidR="005D6812" w:rsidRDefault="00AB2A2B">
      <w:pPr>
        <w:rPr>
          <w:noProof/>
          <w:lang w:bidi="en-GB"/>
        </w:rPr>
        <w:sectPr w:rsidR="005D6812">
          <w:headerReference w:type="even" r:id="rId227"/>
          <w:headerReference w:type="default" r:id="rId228"/>
          <w:footerReference w:type="even" r:id="rId229"/>
          <w:footerReference w:type="default" r:id="rId230"/>
          <w:headerReference w:type="first" r:id="rId231"/>
          <w:footerReference w:type="first" r:id="rId232"/>
          <w:type w:val="continuous"/>
          <w:pgSz w:w="11906" w:h="16838"/>
          <w:pgMar w:top="1134" w:right="1134" w:bottom="1134" w:left="1134" w:header="709" w:footer="709" w:gutter="0"/>
          <w:cols w:space="708"/>
          <w:docGrid w:linePitch="360"/>
        </w:sectPr>
      </w:pPr>
      <w:r>
        <w:rPr>
          <w:noProof/>
          <w:lang w:bidi="en-GB"/>
        </w:rPr>
        <w:t xml:space="preserve"> </w:t>
      </w:r>
      <w:bookmarkEnd w:id="297"/>
    </w:p>
    <w:p w:rsidR="005D6812" w:rsidRDefault="00AB2A2B">
      <w:pPr>
        <w:pStyle w:val="HEADER1Part2"/>
        <w:rPr>
          <w:noProof/>
          <w:lang w:val="en-US"/>
        </w:rPr>
      </w:pPr>
      <w:bookmarkStart w:id="299" w:name="_DMBM_9539"/>
      <w:r>
        <w:rPr>
          <w:noProof/>
        </w:rPr>
        <w:t>RELATED</w:t>
      </w:r>
      <w:r>
        <w:rPr>
          <w:noProof/>
          <w:lang w:val="en-US"/>
        </w:rPr>
        <w:t xml:space="preserve"> PARTY DISCLOSURES</w:t>
      </w:r>
    </w:p>
    <w:p w:rsidR="005D6812" w:rsidRDefault="00AB2A2B">
      <w:pPr>
        <w:pStyle w:val="Textstand-alone"/>
      </w:pPr>
      <w:r>
        <w:t xml:space="preserve">The related parties of the EDF are the Bêkou EU Trust Fund and the EUTF for Africa. Transactions between these entities take place as part of the </w:t>
      </w:r>
      <w:r>
        <w:t>normal operations of the EDF and as this is the case, no specific disclosure requirements are necessary for these transactions in accordance with the EU accounting rules.</w:t>
      </w:r>
    </w:p>
    <w:p w:rsidR="005D6812" w:rsidRDefault="00AB2A2B">
      <w:pPr>
        <w:pStyle w:val="Textstand-alone"/>
      </w:pPr>
      <w:r>
        <w:t>The EDF has no separate management since it is managed by the Commission. The entitle</w:t>
      </w:r>
      <w:r>
        <w:t>ments of the key management of the EU, including the Commission, have been disclosed in the Consolidated annual accounts of the European Union under heading 7.2 "Key management entitlements".</w:t>
      </w:r>
    </w:p>
    <w:p w:rsidR="005D6812" w:rsidRDefault="00AB2A2B">
      <w:pPr>
        <w:pStyle w:val="HEADER1Part2"/>
        <w:rPr>
          <w:noProof/>
        </w:rPr>
      </w:pPr>
      <w:bookmarkStart w:id="300" w:name="_DMBM_9536"/>
      <w:bookmarkEnd w:id="299"/>
      <w:r>
        <w:rPr>
          <w:noProof/>
        </w:rPr>
        <w:t>EVENTS AFTER THE BALANCE SHEET DATE</w:t>
      </w:r>
    </w:p>
    <w:p w:rsidR="005D6812" w:rsidRDefault="00AB2A2B">
      <w:pPr>
        <w:pStyle w:val="Textstand-alone"/>
      </w:pPr>
      <w:r>
        <w:t xml:space="preserve">At the date of transmission </w:t>
      </w:r>
      <w:r>
        <w:t xml:space="preserve">of these accounts, no material issues had come to the attention of or were reported to the Accounting Officer of the EDF that would require separate disclosure under this section. The annual accounts and related notes were prepared using the most recently </w:t>
      </w:r>
      <w:r>
        <w:t>available information and this is reflected in the information presented above.</w:t>
      </w:r>
    </w:p>
    <w:p w:rsidR="005D6812" w:rsidRDefault="00AB2A2B">
      <w:pPr>
        <w:pStyle w:val="HEADER1Part2"/>
        <w:rPr>
          <w:noProof/>
        </w:rPr>
      </w:pPr>
      <w:bookmarkStart w:id="301" w:name="_DMBM_9554"/>
      <w:bookmarkEnd w:id="300"/>
      <w:r>
        <w:rPr>
          <w:noProof/>
        </w:rPr>
        <w:t>RECONCILIATION OF ECONOMIC RESULT AND BUDGET RESULT</w:t>
      </w:r>
    </w:p>
    <w:p w:rsidR="005D6812" w:rsidRDefault="00AB2A2B">
      <w:pPr>
        <w:pStyle w:val="Textstand-alone"/>
      </w:pPr>
      <w:r>
        <w:t>The economic result of the year is calculated on the basis of accrual accounting principles. The budget result is however ba</w:t>
      </w:r>
      <w:r>
        <w:t>sed on cash accounting rules. As the economic result and the budget result both cover the same underlying operational transactions, it is a useful control to ensure that they are reconcilable. The table below shows this reconciliation, highlighting the key</w:t>
      </w:r>
      <w:r>
        <w:t xml:space="preserve"> reconciling amounts, split between revenue and expenditure items.</w:t>
      </w:r>
      <w:r>
        <w:tab/>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302" w:name="DOC_TBL00050_1_1"/>
            <w:bookmarkEnd w:id="302"/>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Heading10pNormalCentered"/>
              <w:rPr>
                <w:rFonts w:eastAsia="Verdana" w:cs="Verdana"/>
                <w:color w:val="auto"/>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bidi="en-GB"/>
              </w:rPr>
            </w:pPr>
            <w:r>
              <w:rPr>
                <w:rFonts w:eastAsia="Verdana" w:cs="Verdana"/>
                <w:lang w:bidi="en-GB"/>
              </w:rPr>
              <w:t>EUR millions</w:t>
            </w:r>
          </w:p>
        </w:tc>
      </w:tr>
      <w:tr w:rsidR="005D6812">
        <w:tc>
          <w:tcPr>
            <w:tcW w:w="5637"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Verdana" w:cs="Verdana"/>
                <w:lang w:bidi="en-GB"/>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2016</w:t>
            </w:r>
          </w:p>
        </w:tc>
        <w:tc>
          <w:tcPr>
            <w:tcW w:w="1985"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2015</w:t>
            </w:r>
          </w:p>
        </w:tc>
      </w:tr>
      <w:tr w:rsidR="005D6812">
        <w:tc>
          <w:tcPr>
            <w:tcW w:w="563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ECONOMIC RESULT OF THE YEAR</w:t>
            </w:r>
          </w:p>
        </w:tc>
        <w:tc>
          <w:tcPr>
            <w:tcW w:w="212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(3 073)</w:t>
            </w:r>
          </w:p>
        </w:tc>
        <w:tc>
          <w:tcPr>
            <w:tcW w:w="198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(3 152)</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bidi="en-GB"/>
              </w:rPr>
            </w:pP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p>
        </w:tc>
      </w:tr>
      <w:tr w:rsidR="005D6812">
        <w:tc>
          <w:tcPr>
            <w:tcW w:w="563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Revenue</w:t>
            </w:r>
          </w:p>
        </w:tc>
        <w:tc>
          <w:tcPr>
            <w:tcW w:w="2126"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c>
          <w:tcPr>
            <w:tcW w:w="1985"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Entitlements not affecting the budget result</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(2)</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Entitlements established in current year but</w:t>
            </w:r>
            <w:r>
              <w:rPr>
                <w:rFonts w:eastAsia="Verdana" w:cs="Verdana"/>
                <w:lang w:bidi="en-GB"/>
              </w:rPr>
              <w:t xml:space="preserve"> not yet collected</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(7)</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(11)</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Entitlements established in previous years and collected in current year</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16</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19</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Net effect of pre-financing</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43</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28</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Accrued revenue (net)</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8</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29</w:t>
            </w:r>
          </w:p>
        </w:tc>
      </w:tr>
      <w:tr w:rsidR="005D6812">
        <w:tc>
          <w:tcPr>
            <w:tcW w:w="563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Expenses</w:t>
            </w:r>
          </w:p>
        </w:tc>
        <w:tc>
          <w:tcPr>
            <w:tcW w:w="2126"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c>
          <w:tcPr>
            <w:tcW w:w="1985"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Expenses of the current year not yet paid</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63</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61</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 xml:space="preserve">Expenses of </w:t>
            </w:r>
            <w:r>
              <w:rPr>
                <w:rFonts w:eastAsia="Verdana" w:cs="Verdana"/>
                <w:lang w:bidi="en-GB"/>
              </w:rPr>
              <w:t>previous years paid in the current year</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(129)</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(221)</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Payments cancellation</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22</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12</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Net effect of pre-financing</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(459)</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(53)</w:t>
            </w:r>
          </w:p>
        </w:tc>
      </w:tr>
      <w:tr w:rsidR="005D6812">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Accrued expenses (net)</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168</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200</w:t>
            </w:r>
          </w:p>
        </w:tc>
      </w:tr>
      <w:tr w:rsidR="005D6812">
        <w:tc>
          <w:tcPr>
            <w:tcW w:w="5637"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bidi="en-GB"/>
              </w:rPr>
            </w:pP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p>
        </w:tc>
        <w:tc>
          <w:tcPr>
            <w:tcW w:w="1985"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p>
        </w:tc>
      </w:tr>
      <w:tr w:rsidR="005D6812">
        <w:tc>
          <w:tcPr>
            <w:tcW w:w="563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 xml:space="preserve">BUDGET RESULT OF THE YEAR </w:t>
            </w:r>
          </w:p>
        </w:tc>
        <w:tc>
          <w:tcPr>
            <w:tcW w:w="212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(3 350)</w:t>
            </w:r>
          </w:p>
        </w:tc>
        <w:tc>
          <w:tcPr>
            <w:tcW w:w="198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(3 088)</w:t>
            </w:r>
          </w:p>
        </w:tc>
      </w:tr>
    </w:tbl>
    <w:p w:rsidR="005D6812" w:rsidRDefault="00AB2A2B">
      <w:pPr>
        <w:pStyle w:val="HEADER2Part2"/>
        <w:rPr>
          <w:noProof/>
        </w:rPr>
      </w:pPr>
      <w:r>
        <w:rPr>
          <w:noProof/>
        </w:rPr>
        <w:t>RECONCILING ITEMS - REVENUE</w:t>
      </w:r>
    </w:p>
    <w:p w:rsidR="005D6812" w:rsidRDefault="00AB2A2B">
      <w:pPr>
        <w:pStyle w:val="Textstand-alone"/>
      </w:pPr>
      <w:r>
        <w:t xml:space="preserve">The budgetary </w:t>
      </w:r>
      <w:r>
        <w:t>revenue of a financial year corresponds to the revenue collected from entitlements established in the course of the year and amounts collected from entitlements established in previous years.</w:t>
      </w:r>
    </w:p>
    <w:p w:rsidR="005D6812" w:rsidRDefault="00AB2A2B">
      <w:pPr>
        <w:pStyle w:val="Textstand-alone"/>
      </w:pPr>
      <w:r>
        <w:t>The entitlements not affecting the budget result are recorded in</w:t>
      </w:r>
      <w:r>
        <w:t xml:space="preserve"> the economic result but from a budgetary perspective cannot be considered as revenues as the cashed amount is transferred to reserves and cannot be recommitted without a Council decision.</w:t>
      </w:r>
    </w:p>
    <w:p w:rsidR="005D6812" w:rsidRDefault="00AB2A2B">
      <w:pPr>
        <w:pStyle w:val="Textstand-alone"/>
      </w:pPr>
      <w:r>
        <w:t>The entitlements established in the current year but not yet collec</w:t>
      </w:r>
      <w:r>
        <w:t>ted are to be deducted from the economic result for reconciliation purposes as they do not form part of budgetary revenue. On the contrary, the entitlements established in previous years and collected in the current year must be added to the economic resul</w:t>
      </w:r>
      <w:r>
        <w:t>t for reconciliation purposes.</w:t>
      </w:r>
    </w:p>
    <w:p w:rsidR="005D6812" w:rsidRDefault="00AB2A2B">
      <w:pPr>
        <w:pStyle w:val="Textstand-alone"/>
      </w:pPr>
      <w:r>
        <w:t>The net effect of pre-financing is the clearing of the recovered pre-financing amounts. This is a cash receipt which has no impact on the economic result.</w:t>
      </w:r>
    </w:p>
    <w:p w:rsidR="005D6812" w:rsidRDefault="00AB2A2B">
      <w:pPr>
        <w:pStyle w:val="Textstand-alone"/>
        <w:spacing w:after="0"/>
      </w:pPr>
      <w:r>
        <w:t xml:space="preserve">The net accrued revenue mainly consists of accruals made for year-end </w:t>
      </w:r>
      <w:r>
        <w:t>cut-off purposes. Only the net effect, i.e. the accrued revenue of the current year less the reversal of accrued revenue of the previous year, is taken into consideration.</w:t>
      </w:r>
    </w:p>
    <w:p w:rsidR="005D6812" w:rsidRDefault="00AB2A2B">
      <w:pPr>
        <w:pStyle w:val="HEADER2Part2"/>
        <w:rPr>
          <w:noProof/>
        </w:rPr>
      </w:pPr>
      <w:r>
        <w:rPr>
          <w:noProof/>
        </w:rPr>
        <w:t>RECONCILING ITEMS – EXPENDITURE</w:t>
      </w:r>
    </w:p>
    <w:p w:rsidR="005D6812" w:rsidRDefault="00AB2A2B">
      <w:pPr>
        <w:pStyle w:val="Textstand-alone"/>
      </w:pPr>
      <w:r>
        <w:rPr>
          <w:b/>
        </w:rPr>
        <w:t xml:space="preserve">Expenses of the current year not yet paid </w:t>
      </w:r>
      <w:r>
        <w:t xml:space="preserve">are to be </w:t>
      </w:r>
      <w:r>
        <w:t xml:space="preserve">added for reconciliation purposes as they are included in the economic result but do not form part of budgetary expenditure. On the contrary, the </w:t>
      </w:r>
      <w:r>
        <w:rPr>
          <w:b/>
        </w:rPr>
        <w:t xml:space="preserve">expenses of previous years paid in the current year </w:t>
      </w:r>
      <w:r>
        <w:t>must be deducted from the economic result for reconciliati</w:t>
      </w:r>
      <w:r>
        <w:t>on purposes as they are part of the current year's budgetary expenditure but have either no effect on the economic result or they decrease the expenses in case of corrections.</w:t>
      </w:r>
    </w:p>
    <w:p w:rsidR="005D6812" w:rsidRDefault="00AB2A2B">
      <w:pPr>
        <w:pStyle w:val="Textstand-alone"/>
        <w:rPr>
          <w:bCs/>
        </w:rPr>
      </w:pPr>
      <w:r>
        <w:rPr>
          <w:bCs/>
        </w:rPr>
        <w:t>The</w:t>
      </w:r>
      <w:r>
        <w:rPr>
          <w:b/>
          <w:bCs/>
        </w:rPr>
        <w:t xml:space="preserve"> </w:t>
      </w:r>
      <w:r>
        <w:rPr>
          <w:bCs/>
        </w:rPr>
        <w:t xml:space="preserve">cash receipts from </w:t>
      </w:r>
      <w:r>
        <w:rPr>
          <w:b/>
          <w:bCs/>
        </w:rPr>
        <w:t xml:space="preserve">payment cancellations </w:t>
      </w:r>
      <w:r>
        <w:rPr>
          <w:bCs/>
        </w:rPr>
        <w:t>do not affect the economic result w</w:t>
      </w:r>
      <w:r>
        <w:rPr>
          <w:bCs/>
        </w:rPr>
        <w:t>hereas they impact the budget result.</w:t>
      </w:r>
    </w:p>
    <w:p w:rsidR="005D6812" w:rsidRDefault="00AB2A2B">
      <w:pPr>
        <w:pStyle w:val="Textstand-alone"/>
      </w:pPr>
      <w:r>
        <w:t xml:space="preserve">The </w:t>
      </w:r>
      <w:r>
        <w:rPr>
          <w:b/>
        </w:rPr>
        <w:t>net effect of pre-financing</w:t>
      </w:r>
      <w:r>
        <w:t xml:space="preserve"> is the combination of the new pre-financing amounts paid in the current year (recognised as budgetary expenditure of the year) and the clearing of pre-financing paid in the current year </w:t>
      </w:r>
      <w:r>
        <w:t>or previous years through the acceptance of eligible costs. The latter represents an expense in accrual terms but not in the budgetary accounts since the payment of the initial pre-financing had already been considered as a budgetary expenditure at the tim</w:t>
      </w:r>
      <w:r>
        <w:t>e of its payment.</w:t>
      </w:r>
    </w:p>
    <w:p w:rsidR="005D6812" w:rsidRDefault="00AB2A2B">
      <w:pPr>
        <w:pStyle w:val="Textstand-alone"/>
        <w:spacing w:after="0"/>
      </w:pPr>
      <w:r>
        <w:t xml:space="preserve">The </w:t>
      </w:r>
      <w:r>
        <w:rPr>
          <w:b/>
        </w:rPr>
        <w:t>net accrued expenses</w:t>
      </w:r>
      <w:r>
        <w:t xml:space="preserve"> mainly consist of accruals made for year-end cut-off purposes, i.e. eligible expenses incurred by beneficiaries of EDF funds but not yet reported to the EDF. Only the net effect, i.e. the accrued expenses of the c</w:t>
      </w:r>
      <w:r>
        <w:t>urrent year less the reversal of accrued expenses of the previous year, is taken into consideration.</w:t>
      </w:r>
      <w:bookmarkEnd w:id="301"/>
    </w:p>
    <w:p w:rsidR="005D6812" w:rsidRDefault="005D6812">
      <w:pPr>
        <w:pStyle w:val="Textstand-alone"/>
        <w:spacing w:after="0"/>
        <w:sectPr w:rsidR="005D6812">
          <w:headerReference w:type="even" r:id="rId233"/>
          <w:headerReference w:type="default" r:id="rId234"/>
          <w:footerReference w:type="even" r:id="rId235"/>
          <w:footerReference w:type="default" r:id="rId236"/>
          <w:headerReference w:type="first" r:id="rId237"/>
          <w:footerReference w:type="first" r:id="rId238"/>
          <w:pgSz w:w="11906" w:h="16838"/>
          <w:pgMar w:top="1134" w:right="1134" w:bottom="1134" w:left="1134" w:header="709" w:footer="709" w:gutter="0"/>
          <w:cols w:space="708"/>
          <w:docGrid w:linePitch="360"/>
        </w:sectPr>
      </w:pPr>
    </w:p>
    <w:p w:rsidR="005D6812" w:rsidRDefault="005D6812">
      <w:pPr>
        <w:pStyle w:val="FinancialYear"/>
        <w:rPr>
          <w:noProof/>
        </w:rPr>
      </w:pPr>
      <w:bookmarkStart w:id="303" w:name="_DMBM_10640"/>
    </w:p>
    <w:p w:rsidR="005D6812" w:rsidRDefault="005D6812">
      <w:pPr>
        <w:pStyle w:val="FinancialYear"/>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AB2A2B">
      <w:pPr>
        <w:pStyle w:val="FIRSTCHAPTERPAGE1"/>
      </w:pPr>
      <w:bookmarkStart w:id="304" w:name="_Toc484164217"/>
      <w:bookmarkStart w:id="305" w:name="_Toc484164239"/>
      <w:r>
        <w:t xml:space="preserve">FINANCIAL STATEMENTS OF THE EU TRUST </w:t>
      </w:r>
      <w:r>
        <w:t>FUNDS CONSOLIDATED IN EDF</w:t>
      </w:r>
      <w:bookmarkEnd w:id="304"/>
      <w:bookmarkEnd w:id="305"/>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AB2A2B">
      <w:pPr>
        <w:pStyle w:val="TOPHEADERNOTE"/>
        <w:rPr>
          <w:noProof/>
        </w:rPr>
      </w:pPr>
      <w:r>
        <w:rPr>
          <w:noProof/>
        </w:rPr>
        <w:t>It should be noted that due to the rounding of figures into thousands of euros, some financial data in the tables may appear not to add-up.</w:t>
      </w:r>
    </w:p>
    <w:p w:rsidR="005D6812" w:rsidRDefault="00AB2A2B">
      <w:pPr>
        <w:pStyle w:val="TOPHEADERNOTE"/>
        <w:rPr>
          <w:noProof/>
        </w:rPr>
        <w:sectPr w:rsidR="005D6812">
          <w:headerReference w:type="even" r:id="rId239"/>
          <w:headerReference w:type="default" r:id="rId240"/>
          <w:footerReference w:type="even" r:id="rId241"/>
          <w:footerReference w:type="default" r:id="rId242"/>
          <w:headerReference w:type="first" r:id="rId243"/>
          <w:footerReference w:type="first" r:id="rId244"/>
          <w:pgSz w:w="11906" w:h="16838"/>
          <w:pgMar w:top="1134" w:right="1134" w:bottom="1134" w:left="1134" w:header="708" w:footer="708" w:gutter="0"/>
          <w:cols w:space="708"/>
          <w:docGrid w:linePitch="360"/>
        </w:sectPr>
      </w:pPr>
      <w:r>
        <w:rPr>
          <w:noProof/>
        </w:rPr>
        <w:t xml:space="preserve"> </w:t>
      </w:r>
      <w:bookmarkEnd w:id="303"/>
    </w:p>
    <w:p w:rsidR="005D6812" w:rsidRDefault="005D6812">
      <w:pPr>
        <w:pStyle w:val="FinancialYear"/>
        <w:rPr>
          <w:noProof/>
        </w:rPr>
      </w:pPr>
      <w:bookmarkStart w:id="306" w:name="_DMBM_9562"/>
    </w:p>
    <w:p w:rsidR="005D6812" w:rsidRDefault="005D6812">
      <w:pPr>
        <w:pStyle w:val="FinancialYear"/>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AB2A2B">
      <w:pPr>
        <w:pStyle w:val="FIRSTCHAPTERPAGE1"/>
      </w:pPr>
      <w:bookmarkStart w:id="307" w:name="_Toc484164218"/>
      <w:bookmarkStart w:id="308" w:name="_Toc484164240"/>
      <w:r>
        <w:t>FINAL ANNUAL ACCOUNTS OF THE BÊKOU EU TRUST FUND</w:t>
      </w:r>
      <w:bookmarkEnd w:id="307"/>
      <w:bookmarkEnd w:id="308"/>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AB2A2B">
      <w:pPr>
        <w:pStyle w:val="TOPHEADERNOTE"/>
        <w:rPr>
          <w:noProof/>
        </w:rPr>
      </w:pPr>
      <w:r>
        <w:rPr>
          <w:noProof/>
        </w:rPr>
        <w:t>It should be noted that due to the rounding of figures into thousands of euros, some financial data in the tables may appear not to add-up.</w:t>
      </w:r>
    </w:p>
    <w:p w:rsidR="005D6812" w:rsidRDefault="00AB2A2B">
      <w:pPr>
        <w:pStyle w:val="TOPHEADERNOTE"/>
        <w:rPr>
          <w:noProof/>
        </w:rPr>
        <w:sectPr w:rsidR="005D6812">
          <w:headerReference w:type="even" r:id="rId245"/>
          <w:headerReference w:type="default" r:id="rId246"/>
          <w:footerReference w:type="even" r:id="rId247"/>
          <w:footerReference w:type="default" r:id="rId248"/>
          <w:headerReference w:type="first" r:id="rId249"/>
          <w:footerReference w:type="first" r:id="rId250"/>
          <w:pgSz w:w="11906" w:h="16838"/>
          <w:pgMar w:top="1134" w:right="1134" w:bottom="1134" w:left="1134" w:header="709" w:footer="709" w:gutter="0"/>
          <w:cols w:space="708"/>
          <w:docGrid w:linePitch="360"/>
        </w:sectPr>
      </w:pPr>
      <w:r>
        <w:rPr>
          <w:noProof/>
        </w:rPr>
        <w:t xml:space="preserve"> </w:t>
      </w:r>
      <w:bookmarkEnd w:id="306"/>
    </w:p>
    <w:p w:rsidR="005D6812" w:rsidRDefault="00AB2A2B">
      <w:pPr>
        <w:pStyle w:val="HEADERTITLE"/>
      </w:pPr>
      <w:bookmarkStart w:id="309" w:name="_Toc384635016"/>
      <w:bookmarkStart w:id="310" w:name="_Toc384635529"/>
      <w:bookmarkStart w:id="311" w:name="_Toc484164219"/>
      <w:bookmarkStart w:id="312" w:name="_Toc484164241"/>
      <w:bookmarkStart w:id="313" w:name="_DMBM_10448"/>
      <w:r>
        <w:t xml:space="preserve">BACKGROUND INFORMATION ON THE </w:t>
      </w:r>
      <w:bookmarkEnd w:id="309"/>
      <w:bookmarkEnd w:id="310"/>
      <w:r>
        <w:t>BÊKOU EU TRUST FUND</w:t>
      </w:r>
      <w:bookmarkEnd w:id="311"/>
      <w:bookmarkEnd w:id="312"/>
    </w:p>
    <w:p w:rsidR="005D6812" w:rsidRDefault="00AB2A2B">
      <w:pPr>
        <w:pStyle w:val="Textstand-alone"/>
        <w:rPr>
          <w:b/>
          <w:color w:val="016794"/>
        </w:rPr>
      </w:pPr>
      <w:r>
        <w:rPr>
          <w:b/>
          <w:color w:val="016794"/>
        </w:rPr>
        <w:t>General background on Union Trust Funds</w:t>
      </w:r>
    </w:p>
    <w:p w:rsidR="005D6812" w:rsidRDefault="00AB2A2B">
      <w:pPr>
        <w:pStyle w:val="Textstand-alone"/>
      </w:pPr>
      <w:r>
        <w:t xml:space="preserve">A trust fund is a legal arrangement with a distinct financial structure that </w:t>
      </w:r>
      <w:r>
        <w:t>pools the funds of several donors to jointly finance an action on the basis of commonly agreed objectives and reporting formats.</w:t>
      </w:r>
    </w:p>
    <w:p w:rsidR="005D6812" w:rsidRDefault="00AB2A2B">
      <w:pPr>
        <w:pStyle w:val="Textstand-alone"/>
      </w:pPr>
      <w:r>
        <w:t>In accordance with Article 187(1) of the Financial Regulation applicable to the general budget of the Union (EU FR) and Article</w:t>
      </w:r>
      <w:r>
        <w:t xml:space="preserve"> 42 of the Financial Regulation applicable to the 11th European Development Fund (EDF FR), the Commission is authorised to create Union Trust Funds for external actions (EUTF). The EUTFs are created under an agreement concluded with other donors to respond</w:t>
      </w:r>
      <w:r>
        <w:t xml:space="preserve"> to emergency, post-emergency or thematic actions. The establishment of an EUTF needs to be justified namely by EU added value (its objectives can be better met at EU than at national level), and complementarity (the trust fund should not duplicate already</w:t>
      </w:r>
      <w:r>
        <w:t xml:space="preserve"> existing and similar instruments).</w:t>
      </w:r>
    </w:p>
    <w:p w:rsidR="005D6812" w:rsidRDefault="00AB2A2B">
      <w:pPr>
        <w:pStyle w:val="Textstand-alone"/>
      </w:pPr>
      <w:r>
        <w:t>EUTFs are created for a limited duration, which is, together with its objectives, defined by the constitutive act of each trust fund. In accordance with Article 187 of the EU FR, the EUTF has specific governance arrangem</w:t>
      </w:r>
      <w:r>
        <w:t xml:space="preserve">ents and contributions are placed outside the EU budget. Each EUTF has a governing board ('trust fund board') chaired by the Commission with representation of the donors and the non-contributing Member States as observers. </w:t>
      </w:r>
    </w:p>
    <w:p w:rsidR="005D6812" w:rsidRDefault="00AB2A2B">
      <w:pPr>
        <w:pStyle w:val="Textstand-alone"/>
      </w:pPr>
      <w:r>
        <w:t>The Operational Board that is co</w:t>
      </w:r>
      <w:r>
        <w:t>mposed of the EU representative (the 'Chair'), founding Members ('Deputy Chairs') and representatives of other donors, who contributed at least EUR 3 million ('Members'), decides upon the use of the funds of the EUTF and assesses the effectiveness of the a</w:t>
      </w:r>
      <w:r>
        <w:t>ctivities financed by the EUTF. On the administrative level the Operational Board is amongst others responsible for approval of the annual report, audited annual accounts, assessing the effectiveness of the internal control systems, follow up of observatio</w:t>
      </w:r>
      <w:r>
        <w:t>ns by internal and external auditors, etc.</w:t>
      </w:r>
    </w:p>
    <w:p w:rsidR="005D6812" w:rsidRDefault="00AB2A2B">
      <w:pPr>
        <w:pStyle w:val="Textstand-alone"/>
      </w:pPr>
      <w:r>
        <w:t>EUTFs are managed by the Commission under the responsibility of the authorising officer by delegation who provides assurance on the use of the funds to the Commission and to third donors. The EUTF manager is the a</w:t>
      </w:r>
      <w:r>
        <w:t>uthorising officer by sub-delegation. As is the case for the European Development Fund, the accounting officer of a EUTF is the accounting officer of the Commission, who is responsible for laying down accounting procedures and chart of accounts common to a</w:t>
      </w:r>
      <w:r>
        <w:t xml:space="preserve">ll EUTFs. </w:t>
      </w:r>
    </w:p>
    <w:p w:rsidR="005D6812" w:rsidRDefault="00AB2A2B">
      <w:pPr>
        <w:pStyle w:val="Textstand-alone"/>
        <w:rPr>
          <w:b/>
          <w:color w:val="016794"/>
        </w:rPr>
      </w:pPr>
      <w:r>
        <w:rPr>
          <w:b/>
          <w:color w:val="016794"/>
        </w:rPr>
        <w:t>The Bêkou Trust Fund</w:t>
      </w:r>
    </w:p>
    <w:p w:rsidR="005D6812" w:rsidRDefault="00AB2A2B">
      <w:pPr>
        <w:pStyle w:val="Textstand-alone"/>
      </w:pPr>
      <w:r>
        <w:t>The first multi-donor EU Trust Fund called Bêkou, which means 'hope' in Sango, was established on 15 July 2014, by the EU Commission (represented by DGs DEVCO and</w:t>
      </w:r>
      <w:hyperlink r:id="rId251" w:tgtFrame="_blank" w:history="1">
        <w:r>
          <w:t xml:space="preserve"> ECHO, </w:t>
        </w:r>
      </w:hyperlink>
      <w:r>
        <w:t>a</w:t>
      </w:r>
      <w:r>
        <w:t xml:space="preserve">nd the </w:t>
      </w:r>
      <w:hyperlink r:id="rId252" w:tgtFrame="_blank" w:history="1">
        <w:r>
          <w:t>EEAS</w:t>
        </w:r>
      </w:hyperlink>
      <w:r>
        <w:t xml:space="preserve">) and three of its Member States (Germany, </w:t>
      </w:r>
      <w:hyperlink r:id="rId253" w:tgtFrame="_blank" w:history="1">
        <w:r>
          <w:t>France</w:t>
        </w:r>
      </w:hyperlink>
      <w:r>
        <w:t xml:space="preserve"> and the </w:t>
      </w:r>
      <w:hyperlink r:id="rId254" w:tgtFrame="_blank" w:history="1">
        <w:r>
          <w:t>Netherlands</w:t>
        </w:r>
      </w:hyperlink>
      <w:r>
        <w:t>), with the aim of promoting the stabilisation and reconstruction of the Central African Republic (CAR). It has been established for a maximum duration of 60 months. The trust fund is managed from Brussels.</w:t>
      </w:r>
    </w:p>
    <w:p w:rsidR="005D6812" w:rsidRDefault="00AB2A2B">
      <w:pPr>
        <w:pStyle w:val="Textstand-alone"/>
        <w:rPr>
          <w:b/>
          <w:color w:val="016794"/>
        </w:rPr>
      </w:pPr>
      <w:r>
        <w:rPr>
          <w:b/>
          <w:color w:val="016794"/>
        </w:rPr>
        <w:t>Annual accounts</w:t>
      </w:r>
      <w:r>
        <w:rPr>
          <w:b/>
          <w:color w:val="016794"/>
        </w:rPr>
        <w:t xml:space="preserve"> of the Bêkou Trust Fund</w:t>
      </w:r>
    </w:p>
    <w:p w:rsidR="005D6812" w:rsidRDefault="00AB2A2B">
      <w:pPr>
        <w:pStyle w:val="Textstand-alone"/>
      </w:pPr>
      <w:r>
        <w:t>According to Article 8 of the Agreement establishing the European Union Trust Fund for the Central African Republic, the 'Bêkou EU Trust Fund' and article 11.2.1 of the Constitutive agreement, the annual accounts comprise two parts</w:t>
      </w:r>
      <w:r>
        <w:t>: (1) The annual financial report prepared by the EUTF manager and (2) The annual financial statements prepared by the EC Accounting Officer, who is, based on the same article also the Accounting Officer of the trust fund.</w:t>
      </w:r>
    </w:p>
    <w:p w:rsidR="005D6812" w:rsidRDefault="00AB2A2B">
      <w:pPr>
        <w:pStyle w:val="Textstand-alone"/>
      </w:pPr>
      <w:r>
        <w:t>According to Article 8 of the Con</w:t>
      </w:r>
      <w:r>
        <w:t>stitutive agreement the financial statements shall be prepared in accordance with the accounting rules adopted by the Commission's Accounting Officer (EU Accounting Rules, EAR) that are based on the International Public Sector Accounting Standards (IPSAS).</w:t>
      </w:r>
      <w:r>
        <w:t xml:space="preserve"> </w:t>
      </w:r>
    </w:p>
    <w:p w:rsidR="005D6812" w:rsidRDefault="00AB2A2B">
      <w:pPr>
        <w:pStyle w:val="Textstand-alone"/>
      </w:pPr>
      <w:r>
        <w:t>The annual accounts are subject to independent external audit and the final annual accounts are submitted by the EUTF manager and the Accounting Officer to the operational board for approval (Article 8.3.4(c)).</w:t>
      </w:r>
    </w:p>
    <w:p w:rsidR="005D6812" w:rsidRDefault="00AB2A2B">
      <w:pPr>
        <w:pStyle w:val="Textstand-alone"/>
        <w:rPr>
          <w:b/>
          <w:color w:val="016794"/>
        </w:rPr>
      </w:pPr>
      <w:r>
        <w:rPr>
          <w:b/>
          <w:color w:val="016794"/>
        </w:rPr>
        <w:t>Highlights of the year</w:t>
      </w:r>
    </w:p>
    <w:p w:rsidR="005D6812" w:rsidRDefault="00AB2A2B">
      <w:pPr>
        <w:pStyle w:val="Textstand-alone"/>
      </w:pPr>
      <w:r>
        <w:t xml:space="preserve">At the end of 2016, </w:t>
      </w:r>
      <w:r>
        <w:t>7 donors contributed to the Bêkou Trust Fund: the European Development Fund (EDF), the EU Budget, 4 Member States (MS) and 1 non-Member State.</w:t>
      </w:r>
    </w:p>
    <w:p w:rsidR="005D6812" w:rsidRDefault="00AB2A2B">
      <w:pPr>
        <w:shd w:val="clear" w:color="auto" w:fill="FFFFFF"/>
        <w:spacing w:after="120"/>
        <w:jc w:val="both"/>
        <w:rPr>
          <w:rFonts w:ascii="Verdana" w:hAnsi="Verdana" w:cs="Arial"/>
          <w:noProof/>
          <w:color w:val="000000"/>
          <w:sz w:val="18"/>
          <w:szCs w:val="18"/>
        </w:rPr>
      </w:pPr>
      <w:r>
        <w:rPr>
          <w:rFonts w:ascii="Verdana" w:hAnsi="Verdana" w:cs="Arial"/>
          <w:noProof/>
          <w:color w:val="000000"/>
          <w:sz w:val="18"/>
          <w:szCs w:val="18"/>
        </w:rPr>
        <w:t xml:space="preserve">The Trust Fund will finance activities that contribute to assisting the Central African Republic in its recovery </w:t>
      </w:r>
      <w:r>
        <w:rPr>
          <w:rFonts w:ascii="Verdana" w:hAnsi="Verdana" w:cs="Arial"/>
          <w:noProof/>
          <w:color w:val="000000"/>
          <w:sz w:val="18"/>
          <w:szCs w:val="18"/>
        </w:rPr>
        <w:t>from crisis and in all aspects of reconstruction, with the emphasis on measures designed to:</w:t>
      </w:r>
    </w:p>
    <w:p w:rsidR="005D6812" w:rsidRDefault="00AB2A2B">
      <w:pPr>
        <w:numPr>
          <w:ilvl w:val="0"/>
          <w:numId w:val="20"/>
        </w:numPr>
        <w:shd w:val="clear" w:color="auto" w:fill="FFFFFF"/>
        <w:spacing w:before="100" w:beforeAutospacing="1" w:after="100" w:afterAutospacing="1"/>
        <w:jc w:val="both"/>
        <w:rPr>
          <w:rFonts w:ascii="Verdana" w:hAnsi="Verdana" w:cs="Arial"/>
          <w:noProof/>
          <w:sz w:val="18"/>
          <w:szCs w:val="18"/>
        </w:rPr>
      </w:pPr>
      <w:r>
        <w:rPr>
          <w:rFonts w:ascii="Verdana" w:hAnsi="Verdana" w:cs="Arial"/>
          <w:noProof/>
          <w:sz w:val="18"/>
          <w:szCs w:val="18"/>
        </w:rPr>
        <w:t>Restore essential public services (e.g. electricity, transport, access to justice and access to water) and basic social services (health and education), and stabil</w:t>
      </w:r>
      <w:r>
        <w:rPr>
          <w:rFonts w:ascii="Verdana" w:hAnsi="Verdana" w:cs="Arial"/>
          <w:noProof/>
          <w:sz w:val="18"/>
          <w:szCs w:val="18"/>
        </w:rPr>
        <w:t>ise the food and nutrition situation;</w:t>
      </w:r>
    </w:p>
    <w:p w:rsidR="005D6812" w:rsidRDefault="00AB2A2B">
      <w:pPr>
        <w:numPr>
          <w:ilvl w:val="0"/>
          <w:numId w:val="20"/>
        </w:numPr>
        <w:shd w:val="clear" w:color="auto" w:fill="FFFFFF"/>
        <w:spacing w:before="100" w:beforeAutospacing="1" w:after="100" w:afterAutospacing="1"/>
        <w:jc w:val="both"/>
        <w:rPr>
          <w:rFonts w:ascii="Verdana" w:hAnsi="Verdana" w:cs="Arial"/>
          <w:noProof/>
          <w:sz w:val="18"/>
          <w:szCs w:val="18"/>
        </w:rPr>
      </w:pPr>
      <w:r>
        <w:rPr>
          <w:rFonts w:ascii="Verdana" w:hAnsi="Verdana" w:cs="Arial"/>
          <w:noProof/>
          <w:sz w:val="18"/>
          <w:szCs w:val="18"/>
        </w:rPr>
        <w:t>Revive economic activity;</w:t>
      </w:r>
    </w:p>
    <w:p w:rsidR="005D6812" w:rsidRDefault="00AB2A2B">
      <w:pPr>
        <w:numPr>
          <w:ilvl w:val="0"/>
          <w:numId w:val="20"/>
        </w:numPr>
        <w:shd w:val="clear" w:color="auto" w:fill="FFFFFF"/>
        <w:spacing w:before="100" w:beforeAutospacing="1" w:after="100" w:afterAutospacing="1"/>
        <w:jc w:val="both"/>
        <w:rPr>
          <w:rFonts w:ascii="Verdana" w:hAnsi="Verdana" w:cs="Arial"/>
          <w:noProof/>
          <w:sz w:val="18"/>
          <w:szCs w:val="18"/>
        </w:rPr>
      </w:pPr>
      <w:r>
        <w:rPr>
          <w:rFonts w:ascii="Verdana" w:hAnsi="Verdana" w:cs="Arial"/>
          <w:noProof/>
          <w:sz w:val="18"/>
          <w:szCs w:val="18"/>
        </w:rPr>
        <w:t>Stabilise the country and restore the social fabric, in particular through reconciliation, peaceful coexistence between the communities of CAR and respect for human rights;</w:t>
      </w:r>
    </w:p>
    <w:p w:rsidR="005D6812" w:rsidRDefault="00AB2A2B">
      <w:pPr>
        <w:numPr>
          <w:ilvl w:val="0"/>
          <w:numId w:val="20"/>
        </w:numPr>
        <w:shd w:val="clear" w:color="auto" w:fill="FFFFFF"/>
        <w:spacing w:before="100" w:beforeAutospacing="1" w:after="100" w:afterAutospacing="1"/>
        <w:jc w:val="both"/>
        <w:rPr>
          <w:rFonts w:ascii="Verdana" w:hAnsi="Verdana" w:cs="Arial"/>
          <w:noProof/>
          <w:color w:val="333333"/>
          <w:sz w:val="18"/>
          <w:szCs w:val="18"/>
        </w:rPr>
      </w:pPr>
      <w:r>
        <w:rPr>
          <w:rFonts w:ascii="Verdana" w:hAnsi="Verdana" w:cs="Arial"/>
          <w:noProof/>
          <w:sz w:val="18"/>
          <w:szCs w:val="18"/>
        </w:rPr>
        <w:t xml:space="preserve">Re-establish the </w:t>
      </w:r>
      <w:r>
        <w:rPr>
          <w:rFonts w:ascii="Verdana" w:hAnsi="Verdana" w:cs="Arial"/>
          <w:noProof/>
          <w:sz w:val="18"/>
          <w:szCs w:val="18"/>
        </w:rPr>
        <w:t>legitimacy, rebuild capacity and restore the operation of national and local administrative structures</w:t>
      </w:r>
      <w:r>
        <w:rPr>
          <w:rFonts w:ascii="Verdana" w:hAnsi="Verdana" w:cs="Arial"/>
          <w:noProof/>
          <w:color w:val="333333"/>
          <w:sz w:val="18"/>
          <w:szCs w:val="18"/>
        </w:rPr>
        <w:t>.</w:t>
      </w:r>
    </w:p>
    <w:p w:rsidR="005D6812" w:rsidRDefault="00AB2A2B">
      <w:pPr>
        <w:shd w:val="clear" w:color="auto" w:fill="FFFFFF"/>
        <w:spacing w:after="120"/>
        <w:rPr>
          <w:rFonts w:ascii="Verdana" w:hAnsi="Verdana" w:cs="Arial"/>
          <w:noProof/>
          <w:color w:val="000000"/>
          <w:sz w:val="18"/>
          <w:szCs w:val="18"/>
        </w:rPr>
      </w:pPr>
      <w:r>
        <w:rPr>
          <w:rFonts w:ascii="Verdana" w:hAnsi="Verdana" w:cs="Arial"/>
          <w:noProof/>
          <w:color w:val="000000"/>
          <w:sz w:val="18"/>
          <w:szCs w:val="18"/>
        </w:rPr>
        <w:t>It will also finance activities that contribute to mitigating the impact of the crisis on the countries sharing a common border with CAR and/or shelteri</w:t>
      </w:r>
      <w:r>
        <w:rPr>
          <w:rFonts w:ascii="Verdana" w:hAnsi="Verdana" w:cs="Arial"/>
          <w:noProof/>
          <w:color w:val="000000"/>
          <w:sz w:val="18"/>
          <w:szCs w:val="18"/>
        </w:rPr>
        <w:t>ng refugees and those fleeing the violence in CAR.</w:t>
      </w:r>
    </w:p>
    <w:p w:rsidR="005D6812" w:rsidRDefault="00AB2A2B">
      <w:pPr>
        <w:pStyle w:val="Textstand-alone"/>
      </w:pPr>
      <w:r>
        <w:t>At the end of 2016 the total contribution pledged to the EUTF amounted to approximately EUR 173 million: EDF with EUR 68 million, EU Budget with EUR 50 million while MS and other donors have announced pled</w:t>
      </w:r>
      <w:r>
        <w:t xml:space="preserve">ges of EUR 55 million. </w:t>
      </w:r>
    </w:p>
    <w:p w:rsidR="005D6812" w:rsidRDefault="00AB2A2B">
      <w:pPr>
        <w:pStyle w:val="Textstand-alone"/>
        <w:spacing w:after="0"/>
      </w:pPr>
      <w:r>
        <w:t>In total, 11 programmes had been adopted for the recovery of the country. Up to the end of 2016 an amount of EUR 91.3 million in the areas of health, food and nutrition security, infrastructure, integration of women in the society a</w:t>
      </w:r>
      <w:r>
        <w:t>s well as aid to central african refugies in surrounding countries had been committed.</w:t>
      </w:r>
    </w:p>
    <w:p w:rsidR="005D6812" w:rsidRDefault="005D6812">
      <w:pPr>
        <w:shd w:val="clear" w:color="auto" w:fill="FFFFFF"/>
        <w:spacing w:after="120"/>
        <w:rPr>
          <w:noProof/>
        </w:rPr>
        <w:sectPr w:rsidR="005D6812">
          <w:headerReference w:type="even" r:id="rId255"/>
          <w:headerReference w:type="default" r:id="rId256"/>
          <w:footerReference w:type="even" r:id="rId257"/>
          <w:footerReference w:type="default" r:id="rId258"/>
          <w:headerReference w:type="first" r:id="rId259"/>
          <w:footerReference w:type="first" r:id="rId260"/>
          <w:pgSz w:w="11906" w:h="16838"/>
          <w:pgMar w:top="1134" w:right="1134" w:bottom="1134" w:left="1134" w:header="709" w:footer="709" w:gutter="0"/>
          <w:cols w:space="708"/>
          <w:docGrid w:linePitch="360"/>
        </w:sectPr>
      </w:pPr>
    </w:p>
    <w:p w:rsidR="005D6812" w:rsidRDefault="00AB2A2B">
      <w:pPr>
        <w:pStyle w:val="HEADERTITLE1"/>
      </w:pPr>
      <w:bookmarkStart w:id="314" w:name="_Toc484164242"/>
      <w:bookmarkStart w:id="315" w:name="_DMBM_10449"/>
      <w:bookmarkEnd w:id="313"/>
      <w:r>
        <w:t>BALANCE SHEET</w:t>
      </w:r>
      <w:bookmarkEnd w:id="314"/>
      <w:r>
        <w:t xml:space="preserve"> OF THE BÊKOU EU TRUST FUND</w:t>
      </w:r>
    </w:p>
    <w:p w:rsidR="005D6812" w:rsidRDefault="00AB2A2B">
      <w:pPr>
        <w:pStyle w:val="Textstand-alone"/>
      </w:pPr>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316" w:name="DOC_TBL00051_1_1"/>
            <w:bookmarkEnd w:id="316"/>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bidi="en-GB"/>
              </w:rPr>
            </w:pPr>
            <w:r>
              <w:rPr>
                <w:rFonts w:eastAsia="Verdana" w:cs="Verdana"/>
                <w:lang w:bidi="en-GB"/>
              </w:rPr>
              <w:t xml:space="preserve"> EUR '000</w:t>
            </w:r>
          </w:p>
        </w:tc>
      </w:tr>
      <w:tr w:rsidR="005D6812">
        <w:trPr>
          <w:cantSplit/>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Verdana" w:cs="Verdana"/>
                <w:lang w:bidi="en-GB"/>
              </w:rPr>
            </w:pPr>
          </w:p>
        </w:tc>
        <w:tc>
          <w:tcPr>
            <w:tcW w:w="851"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Right025"/>
              <w:rPr>
                <w:rFonts w:eastAsia="Verdana" w:cs="Verdana"/>
                <w:lang w:bidi="en-GB"/>
              </w:rPr>
            </w:pPr>
          </w:p>
        </w:tc>
        <w:tc>
          <w:tcPr>
            <w:tcW w:w="184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31.12.2016</w:t>
            </w:r>
          </w:p>
        </w:tc>
        <w:tc>
          <w:tcPr>
            <w:tcW w:w="1843"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31.12.2015</w:t>
            </w:r>
          </w:p>
        </w:tc>
      </w:tr>
      <w:tr w:rsidR="005D681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NON-CURRENT ASSETS</w:t>
            </w:r>
          </w:p>
        </w:tc>
        <w:tc>
          <w:tcPr>
            <w:tcW w:w="85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c>
          <w:tcPr>
            <w:tcW w:w="1843"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rPr>
          <w:cantSplit/>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Pre-financing</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3 604</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3 446</w:t>
            </w:r>
          </w:p>
        </w:tc>
      </w:tr>
      <w:tr w:rsidR="005D6812">
        <w:trPr>
          <w:cantSplit/>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i w:val="0"/>
                <w:lang w:bidi="en-GB"/>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3 604</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3 446</w:t>
            </w:r>
          </w:p>
        </w:tc>
      </w:tr>
      <w:tr w:rsidR="005D6812">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CURRENT ASSETS</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Pre-financing</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12 458</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6 047</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Exchange receivables and non-exchange recoverables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1 455</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1 364</w:t>
            </w:r>
          </w:p>
        </w:tc>
      </w:tr>
      <w:tr w:rsidR="005D6812">
        <w:trPr>
          <w:cantSplit/>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 xml:space="preserve">Cash and cash equivalents </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43 036</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52 461</w:t>
            </w:r>
          </w:p>
        </w:tc>
      </w:tr>
      <w:tr w:rsidR="005D6812">
        <w:trPr>
          <w:cantSplit/>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i w:val="0"/>
                <w:lang w:bidi="en-GB"/>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56 949</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59 873</w:t>
            </w:r>
          </w:p>
        </w:tc>
      </w:tr>
      <w:tr w:rsidR="005D6812">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Text9pItalicLeft"/>
              <w:rPr>
                <w:rFonts w:eastAsia="Verdana" w:cs="Verdana"/>
                <w:b/>
                <w:lang w:bidi="en-GB"/>
              </w:rPr>
            </w:pPr>
            <w:r>
              <w:rPr>
                <w:rFonts w:eastAsia="Verdana" w:cs="Verdana"/>
                <w:b/>
                <w:lang w:bidi="en-GB"/>
              </w:rPr>
              <w:t>TOTAL ASSETS</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b/>
                <w:lang w:bidi="en-GB"/>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9pItalicRight025"/>
              <w:rPr>
                <w:rFonts w:eastAsia="Verdana" w:cs="Verdana"/>
                <w:b/>
                <w:lang w:bidi="en-GB"/>
              </w:rPr>
            </w:pPr>
            <w:r>
              <w:rPr>
                <w:rFonts w:eastAsia="Verdana" w:cs="Verdana"/>
                <w:b/>
                <w:lang w:bidi="en-GB"/>
              </w:rPr>
              <w:t xml:space="preserve"> 60 554</w:t>
            </w: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9pItalicRight025"/>
              <w:rPr>
                <w:rFonts w:eastAsia="Verdana" w:cs="Verdana"/>
                <w:b/>
                <w:lang w:bidi="en-GB"/>
              </w:rPr>
            </w:pPr>
            <w:r>
              <w:rPr>
                <w:rFonts w:eastAsia="Verdana" w:cs="Verdana"/>
                <w:b/>
                <w:lang w:bidi="en-GB"/>
              </w:rPr>
              <w:t xml:space="preserve"> 63 319</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bidi="en-GB"/>
              </w:rPr>
            </w:pP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r>
      <w:tr w:rsidR="005D681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NON-CURRENT LIABILITIES</w:t>
            </w:r>
          </w:p>
        </w:tc>
        <w:tc>
          <w:tcPr>
            <w:tcW w:w="85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c>
          <w:tcPr>
            <w:tcW w:w="1843"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rPr>
          <w:cantSplit/>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Financial liabilities</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(59 339)</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(63 125)</w:t>
            </w:r>
          </w:p>
        </w:tc>
      </w:tr>
      <w:tr w:rsidR="005D6812">
        <w:trPr>
          <w:cantSplit/>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i w:val="0"/>
                <w:lang w:bidi="en-GB"/>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(59 339)</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(63 125)</w:t>
            </w:r>
          </w:p>
        </w:tc>
      </w:tr>
      <w:tr w:rsidR="005D6812">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CURRENT LIABILITIES</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rPr>
          <w:cantSplit/>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Accrued charges and deferred income</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(1 215)</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(193)</w:t>
            </w:r>
          </w:p>
        </w:tc>
      </w:tr>
      <w:tr w:rsidR="005D6812">
        <w:trPr>
          <w:cantSplit/>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i w:val="0"/>
                <w:lang w:bidi="en-GB"/>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(1 215)</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(193)</w:t>
            </w:r>
          </w:p>
        </w:tc>
      </w:tr>
      <w:tr w:rsidR="005D6812">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Text9pItalicLeft"/>
              <w:rPr>
                <w:rFonts w:eastAsia="Verdana" w:cs="Verdana"/>
                <w:b/>
                <w:lang w:bidi="en-GB"/>
              </w:rPr>
            </w:pPr>
            <w:r>
              <w:rPr>
                <w:rFonts w:eastAsia="Verdana" w:cs="Verdana"/>
                <w:b/>
                <w:lang w:bidi="en-GB"/>
              </w:rPr>
              <w:t xml:space="preserve">TOTAL </w:t>
            </w:r>
            <w:r>
              <w:rPr>
                <w:rFonts w:eastAsia="Verdana" w:cs="Verdana"/>
                <w:b/>
                <w:lang w:bidi="en-GB"/>
              </w:rPr>
              <w:t>LIABILITIES</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b/>
                <w:lang w:bidi="en-GB"/>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9pItalicRight025"/>
              <w:rPr>
                <w:rFonts w:eastAsia="Verdana" w:cs="Verdana"/>
                <w:b/>
                <w:lang w:bidi="en-GB"/>
              </w:rPr>
            </w:pPr>
            <w:r>
              <w:rPr>
                <w:rFonts w:eastAsia="Verdana" w:cs="Verdana"/>
                <w:b/>
                <w:lang w:bidi="en-GB"/>
              </w:rPr>
              <w:t xml:space="preserve"> (60 554)</w:t>
            </w: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9pItalicRight025"/>
              <w:rPr>
                <w:rFonts w:eastAsia="Verdana" w:cs="Verdana"/>
                <w:b/>
                <w:lang w:bidi="en-GB"/>
              </w:rPr>
            </w:pPr>
            <w:r>
              <w:rPr>
                <w:rFonts w:eastAsia="Verdana" w:cs="Verdana"/>
                <w:b/>
                <w:lang w:bidi="en-GB"/>
              </w:rPr>
              <w:t xml:space="preserve"> (63 319)</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bidi="en-GB"/>
              </w:rPr>
            </w:pP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r>
      <w:tr w:rsidR="005D681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NET ASSETS</w:t>
            </w:r>
          </w:p>
        </w:tc>
        <w:tc>
          <w:tcPr>
            <w:tcW w:w="85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w:t>
            </w:r>
          </w:p>
        </w:tc>
        <w:tc>
          <w:tcPr>
            <w:tcW w:w="184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bidi="en-GB"/>
              </w:rPr>
            </w:pP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r>
      <w:tr w:rsidR="005D681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FUNDS &amp; RESERVES</w:t>
            </w:r>
          </w:p>
        </w:tc>
        <w:tc>
          <w:tcPr>
            <w:tcW w:w="85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c>
          <w:tcPr>
            <w:tcW w:w="1843"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Accumulated surplus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Economic result of the year</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ItalicLeft"/>
              <w:rPr>
                <w:rFonts w:eastAsia="Verdana" w:cs="Verdana"/>
                <w:b/>
                <w:lang w:bidi="en-GB"/>
              </w:rPr>
            </w:pPr>
            <w:r>
              <w:rPr>
                <w:rFonts w:eastAsia="Verdana" w:cs="Verdana"/>
                <w:b/>
                <w:lang w:bidi="en-GB"/>
              </w:rPr>
              <w:t>NET ASSETS</w:t>
            </w:r>
          </w:p>
        </w:tc>
        <w:tc>
          <w:tcPr>
            <w:tcW w:w="85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b/>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ItalicRight025"/>
              <w:rPr>
                <w:rFonts w:eastAsia="Verdana" w:cs="Verdana"/>
                <w:b/>
                <w:lang w:bidi="en-GB"/>
              </w:rPr>
            </w:pPr>
            <w:r>
              <w:rPr>
                <w:rFonts w:eastAsia="Verdana" w:cs="Verdana"/>
                <w:b/>
                <w:lang w:bidi="en-GB"/>
              </w:rPr>
              <w:t>–</w:t>
            </w:r>
          </w:p>
        </w:tc>
        <w:tc>
          <w:tcPr>
            <w:tcW w:w="184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ItalicRight025"/>
              <w:rPr>
                <w:rFonts w:eastAsia="Verdana" w:cs="Verdana"/>
                <w:b/>
                <w:lang w:bidi="en-GB"/>
              </w:rPr>
            </w:pPr>
            <w:r>
              <w:rPr>
                <w:rFonts w:eastAsia="Verdana" w:cs="Verdana"/>
                <w:b/>
                <w:lang w:bidi="en-GB"/>
              </w:rPr>
              <w:t>–</w:t>
            </w:r>
          </w:p>
        </w:tc>
      </w:tr>
    </w:tbl>
    <w:p w:rsidR="005D6812" w:rsidRDefault="005D6812">
      <w:pPr>
        <w:pStyle w:val="Textstand-alone"/>
        <w:rPr>
          <w:lang w:bidi="en-GB"/>
        </w:rPr>
      </w:pPr>
    </w:p>
    <w:p w:rsidR="005D6812" w:rsidRDefault="00AB2A2B">
      <w:pPr>
        <w:pStyle w:val="Textstand-alone"/>
        <w:sectPr w:rsidR="005D6812">
          <w:headerReference w:type="even" r:id="rId261"/>
          <w:headerReference w:type="default" r:id="rId262"/>
          <w:footerReference w:type="even" r:id="rId263"/>
          <w:footerReference w:type="default" r:id="rId264"/>
          <w:headerReference w:type="first" r:id="rId265"/>
          <w:footerReference w:type="first" r:id="rId266"/>
          <w:pgSz w:w="11906" w:h="16838"/>
          <w:pgMar w:top="1134" w:right="1134" w:bottom="1134" w:left="1134" w:header="708" w:footer="708" w:gutter="0"/>
          <w:cols w:space="708"/>
          <w:docGrid w:linePitch="360"/>
        </w:sectPr>
      </w:pPr>
      <w:r>
        <w:rPr>
          <w:i/>
        </w:rPr>
        <w:t xml:space="preserve"> </w:t>
      </w:r>
      <w:bookmarkEnd w:id="315"/>
    </w:p>
    <w:p w:rsidR="005D6812" w:rsidRDefault="00AB2A2B">
      <w:pPr>
        <w:pStyle w:val="HEADERTITLE1"/>
      </w:pPr>
      <w:bookmarkStart w:id="317" w:name="_Toc484164243"/>
      <w:bookmarkStart w:id="318" w:name="_DMBM_10450"/>
      <w:r>
        <w:t>STATEMENT OF FINANCIAL PERFORMANCE</w:t>
      </w:r>
      <w:bookmarkEnd w:id="317"/>
      <w:r>
        <w:t xml:space="preserve"> OF THE BÊKOU EU TRUST FUND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319" w:name="DOC_TBL00052_1_1"/>
            <w:bookmarkEnd w:id="319"/>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val="fr-BE" w:bidi="en-GB"/>
              </w:rPr>
            </w:pPr>
            <w:r>
              <w:rPr>
                <w:rFonts w:eastAsia="Verdana" w:cs="Verdana"/>
                <w:lang w:val="fr-BE" w:bidi="en-GB"/>
              </w:rPr>
              <w:t>EUR '000</w:t>
            </w:r>
          </w:p>
        </w:tc>
      </w:tr>
      <w:tr w:rsidR="005D6812">
        <w:trPr>
          <w:cantSplit/>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Verdana" w:cs="Verdana"/>
                <w:lang w:val="fr-BE" w:bidi="en-GB"/>
              </w:rPr>
            </w:pPr>
          </w:p>
        </w:tc>
        <w:tc>
          <w:tcPr>
            <w:tcW w:w="851"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Right025"/>
              <w:rPr>
                <w:rFonts w:eastAsia="Verdana" w:cs="Verdana"/>
                <w:lang w:val="fr-BE" w:bidi="en-GB"/>
              </w:rPr>
            </w:pPr>
          </w:p>
        </w:tc>
        <w:tc>
          <w:tcPr>
            <w:tcW w:w="184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val="fr-BE" w:bidi="en-GB"/>
              </w:rPr>
            </w:pPr>
            <w:r>
              <w:rPr>
                <w:rFonts w:eastAsia="Verdana" w:cs="Verdana"/>
                <w:lang w:val="fr-BE" w:bidi="en-GB"/>
              </w:rPr>
              <w:t>2016</w:t>
            </w:r>
          </w:p>
        </w:tc>
        <w:tc>
          <w:tcPr>
            <w:tcW w:w="1843"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val="fr-BE" w:bidi="en-GB"/>
              </w:rPr>
            </w:pPr>
            <w:r>
              <w:rPr>
                <w:rFonts w:eastAsia="Verdana" w:cs="Verdana"/>
                <w:lang w:val="fr-BE" w:bidi="en-GB"/>
              </w:rPr>
              <w:t>2015</w:t>
            </w:r>
          </w:p>
        </w:tc>
      </w:tr>
      <w:tr w:rsidR="005D681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val="fr-BE" w:bidi="en-GB"/>
              </w:rPr>
            </w:pPr>
            <w:r>
              <w:rPr>
                <w:rFonts w:eastAsia="Verdana" w:cs="Verdana"/>
                <w:lang w:val="fr-BE" w:bidi="en-GB"/>
              </w:rPr>
              <w:t>REVENUE</w:t>
            </w:r>
          </w:p>
        </w:tc>
        <w:tc>
          <w:tcPr>
            <w:tcW w:w="85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lang w:val="fr-BE"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val="fr-BE" w:bidi="en-GB"/>
              </w:rPr>
            </w:pPr>
          </w:p>
        </w:tc>
        <w:tc>
          <w:tcPr>
            <w:tcW w:w="1843"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val="fr-BE" w:bidi="en-GB"/>
              </w:rPr>
            </w:pP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val="fr-BE" w:bidi="en-GB"/>
              </w:rPr>
            </w:pPr>
            <w:r>
              <w:rPr>
                <w:rFonts w:eastAsia="Verdana" w:cs="Verdana"/>
                <w:lang w:val="fr-BE" w:bidi="en-GB"/>
              </w:rPr>
              <w:t>Revenue from non-exchange transactions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b/>
                <w:i w:val="0"/>
                <w:lang w:val="fr-BE"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b/>
                <w:i w:val="0"/>
                <w:lang w:val="fr-BE"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b/>
                <w:i w:val="0"/>
                <w:lang w:val="fr-BE" w:bidi="en-GB"/>
              </w:rPr>
            </w:pP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val="fr-BE" w:bidi="en-GB"/>
              </w:rPr>
            </w:pPr>
            <w:r>
              <w:rPr>
                <w:rFonts w:eastAsia="Verdana" w:cs="Verdana"/>
                <w:lang w:val="fr-BE" w:bidi="en-GB"/>
              </w:rPr>
              <w:t>Revenue from donations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val="fr-BE"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 xml:space="preserve"> 17 232</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 xml:space="preserve"> 9 354</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BoldLeft"/>
              <w:rPr>
                <w:rFonts w:eastAsia="Verdana" w:cs="Verdana"/>
                <w:lang w:val="fr-BE" w:bidi="en-GB"/>
              </w:rPr>
            </w:pP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val="fr-BE"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b/>
                <w:i w:val="0"/>
                <w:lang w:val="fr-BE" w:bidi="en-GB"/>
              </w:rPr>
            </w:pPr>
            <w:r>
              <w:rPr>
                <w:rFonts w:eastAsia="Verdana" w:cs="Verdana"/>
                <w:b/>
                <w:i w:val="0"/>
                <w:lang w:val="fr-BE" w:bidi="en-GB"/>
              </w:rPr>
              <w:t xml:space="preserve"> 17 232</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b/>
                <w:i w:val="0"/>
                <w:lang w:val="fr-BE" w:bidi="en-GB"/>
              </w:rPr>
            </w:pPr>
            <w:r>
              <w:rPr>
                <w:rFonts w:eastAsia="Verdana" w:cs="Verdana"/>
                <w:b/>
                <w:i w:val="0"/>
                <w:lang w:val="fr-BE" w:bidi="en-GB"/>
              </w:rPr>
              <w:t xml:space="preserve"> 9 354</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val="fr-BE" w:bidi="en-GB"/>
              </w:rPr>
            </w:pPr>
            <w:r>
              <w:rPr>
                <w:rFonts w:eastAsia="Verdana" w:cs="Verdana"/>
                <w:lang w:val="fr-BE" w:bidi="en-GB"/>
              </w:rPr>
              <w:t xml:space="preserve">Revenue from exchange </w:t>
            </w:r>
            <w:r>
              <w:rPr>
                <w:rFonts w:eastAsia="Verdana" w:cs="Verdana"/>
                <w:lang w:val="fr-BE" w:bidi="en-GB"/>
              </w:rPr>
              <w:t>transactions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b/>
                <w:i w:val="0"/>
                <w:lang w:val="fr-BE"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b/>
                <w:i w:val="0"/>
                <w:lang w:val="fr-BE"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b/>
                <w:i w:val="0"/>
                <w:lang w:val="fr-BE" w:bidi="en-GB"/>
              </w:rPr>
            </w:pP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val="fr-BE" w:bidi="en-GB"/>
              </w:rPr>
            </w:pPr>
            <w:r>
              <w:rPr>
                <w:rFonts w:eastAsia="Verdana" w:cs="Verdana"/>
                <w:lang w:val="fr-BE" w:bidi="en-GB"/>
              </w:rPr>
              <w:t>Financial income</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val="fr-BE"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 xml:space="preserve">  48</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 xml:space="preserve">  101</w:t>
            </w:r>
          </w:p>
        </w:tc>
      </w:tr>
      <w:tr w:rsidR="005D6812">
        <w:trPr>
          <w:cantSplit/>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Text9pBoldLeft"/>
              <w:rPr>
                <w:rFonts w:eastAsia="Verdana" w:cs="Verdana"/>
                <w:lang w:val="fr-BE" w:bidi="en-GB"/>
              </w:rPr>
            </w:pP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val="fr-BE" w:bidi="en-GB"/>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val="fr-BE" w:bidi="en-GB"/>
              </w:rPr>
            </w:pPr>
            <w:r>
              <w:rPr>
                <w:rFonts w:eastAsia="Verdana" w:cs="Verdana"/>
                <w:lang w:val="fr-BE" w:bidi="en-GB"/>
              </w:rPr>
              <w:t xml:space="preserve">  48</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val="fr-BE" w:bidi="en-GB"/>
              </w:rPr>
            </w:pPr>
            <w:r>
              <w:rPr>
                <w:rFonts w:eastAsia="Verdana" w:cs="Verdana"/>
                <w:lang w:val="fr-BE" w:bidi="en-GB"/>
              </w:rPr>
              <w:t xml:space="preserve">  101</w:t>
            </w:r>
          </w:p>
        </w:tc>
      </w:tr>
      <w:tr w:rsidR="005D6812">
        <w:trPr>
          <w:cantSplit/>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val="fr-BE" w:bidi="en-GB"/>
              </w:rPr>
            </w:pPr>
            <w:r>
              <w:rPr>
                <w:rFonts w:eastAsia="Verdana" w:cs="Verdana"/>
                <w:lang w:val="fr-BE" w:bidi="en-GB"/>
              </w:rPr>
              <w:t>Total Revenue</w:t>
            </w: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val="fr-BE" w:bidi="en-GB"/>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val="fr-BE" w:bidi="en-GB"/>
              </w:rPr>
            </w:pPr>
            <w:r>
              <w:rPr>
                <w:rFonts w:eastAsia="Verdana" w:cs="Verdana"/>
                <w:lang w:val="fr-BE" w:bidi="en-GB"/>
              </w:rPr>
              <w:t xml:space="preserve"> 17 280</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val="fr-BE" w:bidi="en-GB"/>
              </w:rPr>
            </w:pPr>
            <w:r>
              <w:rPr>
                <w:rFonts w:eastAsia="Verdana" w:cs="Verdana"/>
                <w:lang w:val="fr-BE" w:bidi="en-GB"/>
              </w:rPr>
              <w:t xml:space="preserve"> 9 455</w:t>
            </w:r>
          </w:p>
        </w:tc>
      </w:tr>
      <w:tr w:rsidR="005D6812">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val="fr-BE" w:bidi="en-GB"/>
              </w:rPr>
            </w:pPr>
            <w:r>
              <w:rPr>
                <w:rFonts w:eastAsia="Verdana" w:cs="Verdana"/>
                <w:lang w:val="fr-BE" w:bidi="en-GB"/>
              </w:rPr>
              <w:t>EXPENSES</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lang w:val="fr-BE" w:bidi="en-GB"/>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val="fr-BE" w:bidi="en-GB"/>
              </w:rPr>
            </w:pP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val="fr-BE" w:bidi="en-GB"/>
              </w:rPr>
            </w:pP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val="fr-BE" w:bidi="en-GB"/>
              </w:rPr>
            </w:pPr>
            <w:r>
              <w:rPr>
                <w:rFonts w:eastAsia="Verdana" w:cs="Verdana"/>
                <w:lang w:val="fr-BE" w:bidi="en-GB"/>
              </w:rPr>
              <w:t>Operating expenses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val="fr-BE"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 xml:space="preserve"> (16 432)</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 xml:space="preserve"> (8 824)</w:t>
            </w:r>
          </w:p>
        </w:tc>
      </w:tr>
      <w:tr w:rsidR="005D6812">
        <w:trPr>
          <w:cantSplit/>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val="fr-BE" w:bidi="en-GB"/>
              </w:rPr>
            </w:pPr>
            <w:r>
              <w:rPr>
                <w:rFonts w:eastAsia="Verdana" w:cs="Verdana"/>
                <w:lang w:val="fr-BE" w:bidi="en-GB"/>
              </w:rPr>
              <w:t>Other expenses</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val="fr-BE" w:bidi="en-GB"/>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 xml:space="preserve">  (848)</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 xml:space="preserve">  (631)</w:t>
            </w:r>
          </w:p>
        </w:tc>
      </w:tr>
      <w:tr w:rsidR="005D6812">
        <w:trPr>
          <w:cantSplit/>
          <w:trHeight w:val="268"/>
        </w:trPr>
        <w:tc>
          <w:tcPr>
            <w:tcW w:w="5211"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val="fr-BE" w:bidi="en-GB"/>
              </w:rPr>
            </w:pPr>
            <w:r>
              <w:rPr>
                <w:rFonts w:eastAsia="Verdana" w:cs="Verdana"/>
                <w:lang w:val="fr-BE" w:bidi="en-GB"/>
              </w:rPr>
              <w:t>Total Expenses</w:t>
            </w:r>
          </w:p>
        </w:tc>
        <w:tc>
          <w:tcPr>
            <w:tcW w:w="851"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b/>
                <w:i w:val="0"/>
                <w:lang w:val="fr-BE" w:bidi="en-GB"/>
              </w:rPr>
            </w:pPr>
          </w:p>
        </w:tc>
        <w:tc>
          <w:tcPr>
            <w:tcW w:w="1842"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b/>
                <w:i w:val="0"/>
                <w:lang w:val="fr-BE" w:bidi="en-GB"/>
              </w:rPr>
            </w:pPr>
            <w:r>
              <w:rPr>
                <w:rFonts w:eastAsia="Verdana" w:cs="Verdana"/>
                <w:b/>
                <w:i w:val="0"/>
                <w:lang w:val="fr-BE" w:bidi="en-GB"/>
              </w:rPr>
              <w:t xml:space="preserve"> (17 280)</w:t>
            </w:r>
          </w:p>
        </w:tc>
        <w:tc>
          <w:tcPr>
            <w:tcW w:w="1843"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b/>
                <w:i w:val="0"/>
                <w:lang w:val="fr-BE" w:bidi="en-GB"/>
              </w:rPr>
            </w:pPr>
            <w:r>
              <w:rPr>
                <w:rFonts w:eastAsia="Verdana" w:cs="Verdana"/>
                <w:b/>
                <w:i w:val="0"/>
                <w:lang w:val="fr-BE" w:bidi="en-GB"/>
              </w:rPr>
              <w:t xml:space="preserve"> (9 455)</w:t>
            </w:r>
          </w:p>
        </w:tc>
      </w:tr>
      <w:tr w:rsidR="005D681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ECONOMIC RESULT OF THE YEAR</w:t>
            </w:r>
          </w:p>
        </w:tc>
        <w:tc>
          <w:tcPr>
            <w:tcW w:w="85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i w:val="0"/>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val="fr-BE" w:bidi="en-GB"/>
              </w:rPr>
            </w:pPr>
            <w:r>
              <w:rPr>
                <w:rFonts w:eastAsia="Verdana" w:cs="Verdana"/>
                <w:lang w:val="fr-BE" w:bidi="en-GB"/>
              </w:rPr>
              <w:t>–</w:t>
            </w:r>
          </w:p>
        </w:tc>
        <w:tc>
          <w:tcPr>
            <w:tcW w:w="184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val="fr-BE" w:bidi="en-GB"/>
              </w:rPr>
            </w:pPr>
            <w:r>
              <w:rPr>
                <w:rFonts w:eastAsia="Verdana" w:cs="Verdana"/>
                <w:lang w:val="fr-BE" w:bidi="en-GB"/>
              </w:rPr>
              <w:t>–</w:t>
            </w:r>
          </w:p>
        </w:tc>
      </w:tr>
    </w:tbl>
    <w:p w:rsidR="005D6812" w:rsidRDefault="00AB2A2B">
      <w:pPr>
        <w:pStyle w:val="Textstand-alone"/>
        <w:rPr>
          <w:lang w:val="fr-BE"/>
        </w:rPr>
        <w:sectPr w:rsidR="005D6812">
          <w:headerReference w:type="even" r:id="rId267"/>
          <w:headerReference w:type="default" r:id="rId268"/>
          <w:footerReference w:type="even" r:id="rId269"/>
          <w:footerReference w:type="default" r:id="rId270"/>
          <w:headerReference w:type="first" r:id="rId271"/>
          <w:footerReference w:type="first" r:id="rId272"/>
          <w:pgSz w:w="11906" w:h="16838"/>
          <w:pgMar w:top="1134" w:right="1134" w:bottom="1134" w:left="1134" w:header="708" w:footer="708" w:gutter="0"/>
          <w:cols w:space="708"/>
          <w:docGrid w:linePitch="360"/>
        </w:sectPr>
      </w:pPr>
      <w:r>
        <w:rPr>
          <w:lang w:val="fr-BE"/>
        </w:rPr>
        <w:t xml:space="preserve"> </w:t>
      </w:r>
      <w:bookmarkEnd w:id="318"/>
    </w:p>
    <w:p w:rsidR="005D6812" w:rsidRDefault="00AB2A2B">
      <w:pPr>
        <w:pStyle w:val="HEADERTITLE1"/>
      </w:pPr>
      <w:bookmarkStart w:id="320" w:name="_Toc484164244"/>
      <w:bookmarkStart w:id="321" w:name="_DMBM_10451"/>
      <w:r>
        <w:t>CASHFLOW STATEMENT</w:t>
      </w:r>
      <w:bookmarkEnd w:id="320"/>
      <w:r>
        <w:t xml:space="preserve"> OF THE BÊKOU EU TRUST FUND</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5D681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322" w:name="DOC_TBL00053_1_1"/>
            <w:bookmarkEnd w:id="322"/>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Heading10pNormalCentered"/>
              <w:rPr>
                <w:rFonts w:eastAsia="Verdana" w:cs="Verdana"/>
                <w:color w:val="auto"/>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val="fr-BE" w:bidi="en-GB"/>
              </w:rPr>
            </w:pPr>
            <w:r>
              <w:rPr>
                <w:rFonts w:eastAsia="Verdana" w:cs="Verdana"/>
                <w:lang w:val="fr-BE" w:bidi="en-GB"/>
              </w:rPr>
              <w:t>EUR '000</w:t>
            </w:r>
          </w:p>
        </w:tc>
      </w:tr>
      <w:tr w:rsidR="005D6812">
        <w:trPr>
          <w:cantSplit/>
        </w:trPr>
        <w:tc>
          <w:tcPr>
            <w:tcW w:w="5637"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Verdana" w:cs="Verdana"/>
                <w:lang w:val="fr-BE" w:bidi="en-GB"/>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val="fr-BE" w:bidi="en-GB"/>
              </w:rPr>
            </w:pPr>
            <w:r>
              <w:rPr>
                <w:rFonts w:eastAsia="Verdana" w:cs="Verdana"/>
                <w:lang w:val="fr-BE" w:bidi="en-GB"/>
              </w:rPr>
              <w:t>2016</w:t>
            </w:r>
          </w:p>
        </w:tc>
        <w:tc>
          <w:tcPr>
            <w:tcW w:w="1985"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val="fr-BE" w:bidi="en-GB"/>
              </w:rPr>
            </w:pPr>
            <w:r>
              <w:rPr>
                <w:rFonts w:eastAsia="Verdana" w:cs="Verdana"/>
                <w:lang w:val="fr-BE" w:bidi="en-GB"/>
              </w:rPr>
              <w:t>2015</w:t>
            </w:r>
          </w:p>
        </w:tc>
      </w:tr>
      <w:tr w:rsidR="005D681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Economic result of the year</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w:t>
            </w:r>
          </w:p>
        </w:tc>
      </w:tr>
      <w:tr w:rsidR="005D6812">
        <w:trPr>
          <w:cantSplit/>
        </w:trPr>
        <w:tc>
          <w:tcPr>
            <w:tcW w:w="563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val="fr-BE" w:bidi="en-GB"/>
              </w:rPr>
            </w:pPr>
            <w:r>
              <w:rPr>
                <w:rFonts w:eastAsia="Verdana" w:cs="Verdana"/>
                <w:lang w:val="fr-BE" w:bidi="en-GB"/>
              </w:rPr>
              <w:t>Operating activities</w:t>
            </w:r>
          </w:p>
        </w:tc>
        <w:tc>
          <w:tcPr>
            <w:tcW w:w="2126"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val="fr-BE" w:bidi="en-GB"/>
              </w:rPr>
            </w:pPr>
          </w:p>
        </w:tc>
        <w:tc>
          <w:tcPr>
            <w:tcW w:w="1985"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val="fr-BE" w:bidi="en-GB"/>
              </w:rPr>
            </w:pPr>
          </w:p>
        </w:tc>
      </w:tr>
      <w:tr w:rsidR="005D681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 xml:space="preserve">(Increase)/decrease in </w:t>
            </w:r>
            <w:r>
              <w:rPr>
                <w:rFonts w:eastAsia="Verdana" w:cs="Verdana"/>
                <w:lang w:bidi="en-GB"/>
              </w:rPr>
              <w:t>pre-financing</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(6 569)</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(9 493)</w:t>
            </w:r>
          </w:p>
        </w:tc>
      </w:tr>
      <w:tr w:rsidR="005D681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(Increase)/decrease in exchange receivables and non-exchange recoverables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bidi="en-GB"/>
              </w:rPr>
              <w:t xml:space="preserve"> </w:t>
            </w:r>
            <w:r>
              <w:rPr>
                <w:rFonts w:eastAsia="Verdana" w:cs="Verdana"/>
                <w:lang w:val="fr-BE" w:bidi="en-GB"/>
              </w:rPr>
              <w:t>(91)</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(1 364)</w:t>
            </w:r>
          </w:p>
        </w:tc>
      </w:tr>
      <w:tr w:rsidR="005D681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Increase/(decrease) in financial liabilities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(3 786)</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18 125</w:t>
            </w:r>
          </w:p>
        </w:tc>
      </w:tr>
      <w:tr w:rsidR="005D681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Increase/(decrease) in accrued charges and deferred income</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1 021</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 xml:space="preserve"> 193</w:t>
            </w:r>
          </w:p>
        </w:tc>
      </w:tr>
      <w:tr w:rsidR="005D681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val="fr-BE" w:bidi="en-GB"/>
              </w:rPr>
            </w:pP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val="fr-BE"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val="fr-BE" w:bidi="en-GB"/>
              </w:rPr>
            </w:pPr>
          </w:p>
        </w:tc>
      </w:tr>
      <w:tr w:rsidR="005D6812">
        <w:trPr>
          <w:cantSplit/>
        </w:trPr>
        <w:tc>
          <w:tcPr>
            <w:tcW w:w="563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val="fr-BE" w:bidi="en-GB"/>
              </w:rPr>
            </w:pPr>
            <w:r>
              <w:rPr>
                <w:rFonts w:eastAsia="Verdana" w:cs="Verdana"/>
                <w:lang w:val="fr-BE" w:bidi="en-GB"/>
              </w:rPr>
              <w:t>NET CASHFLOW</w:t>
            </w:r>
          </w:p>
        </w:tc>
        <w:tc>
          <w:tcPr>
            <w:tcW w:w="212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val="fr-BE" w:bidi="en-GB"/>
              </w:rPr>
            </w:pPr>
            <w:r>
              <w:rPr>
                <w:rFonts w:eastAsia="Verdana" w:cs="Verdana"/>
                <w:lang w:val="fr-BE" w:bidi="en-GB"/>
              </w:rPr>
              <w:t>(9 425)</w:t>
            </w:r>
          </w:p>
        </w:tc>
        <w:tc>
          <w:tcPr>
            <w:tcW w:w="198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val="fr-BE" w:bidi="en-GB"/>
              </w:rPr>
            </w:pPr>
            <w:r>
              <w:rPr>
                <w:rFonts w:eastAsia="Verdana" w:cs="Verdana"/>
                <w:lang w:val="fr-BE" w:bidi="en-GB"/>
              </w:rPr>
              <w:t>7 461</w:t>
            </w:r>
          </w:p>
        </w:tc>
      </w:tr>
      <w:tr w:rsidR="005D681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val="fr-BE" w:bidi="en-GB"/>
              </w:rPr>
            </w:pP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val="fr-BE"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val="fr-BE" w:bidi="en-GB"/>
              </w:rPr>
            </w:pPr>
          </w:p>
        </w:tc>
      </w:tr>
      <w:tr w:rsidR="005D681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Net increase/(decrease) in cash and cash equivalents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(9 425)</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7 461</w:t>
            </w:r>
          </w:p>
        </w:tc>
      </w:tr>
      <w:tr w:rsidR="005D681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Cash and cash equivalents at the beginning of the year</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bidi="en-GB"/>
              </w:rPr>
              <w:t xml:space="preserve"> </w:t>
            </w:r>
            <w:r>
              <w:rPr>
                <w:rFonts w:eastAsia="Verdana" w:cs="Verdana"/>
                <w:lang w:val="fr-BE" w:bidi="en-GB"/>
              </w:rPr>
              <w:t>52 461</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 xml:space="preserve"> 45 000</w:t>
            </w:r>
          </w:p>
        </w:tc>
      </w:tr>
      <w:tr w:rsidR="005D681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Cash and cash equivalents at year-end</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bidi="en-GB"/>
              </w:rPr>
              <w:t xml:space="preserve"> </w:t>
            </w:r>
            <w:r>
              <w:rPr>
                <w:rFonts w:eastAsia="Verdana" w:cs="Verdana"/>
                <w:lang w:val="fr-BE" w:bidi="en-GB"/>
              </w:rPr>
              <w:t>43 036</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 xml:space="preserve"> 52 461</w:t>
            </w:r>
          </w:p>
        </w:tc>
      </w:tr>
    </w:tbl>
    <w:p w:rsidR="005D6812" w:rsidRDefault="00AB2A2B">
      <w:pPr>
        <w:pStyle w:val="Textstand-alone"/>
        <w:rPr>
          <w:lang w:val="fr-BE"/>
        </w:rPr>
        <w:sectPr w:rsidR="005D6812">
          <w:headerReference w:type="even" r:id="rId273"/>
          <w:headerReference w:type="default" r:id="rId274"/>
          <w:footerReference w:type="even" r:id="rId275"/>
          <w:footerReference w:type="default" r:id="rId276"/>
          <w:headerReference w:type="first" r:id="rId277"/>
          <w:footerReference w:type="first" r:id="rId278"/>
          <w:pgSz w:w="11906" w:h="16838"/>
          <w:pgMar w:top="1134" w:right="1134" w:bottom="1134" w:left="1134" w:header="708" w:footer="708" w:gutter="0"/>
          <w:cols w:space="708"/>
          <w:docGrid w:linePitch="360"/>
        </w:sectPr>
      </w:pPr>
      <w:r>
        <w:rPr>
          <w:lang w:val="fr-BE"/>
        </w:rPr>
        <w:t xml:space="preserve"> </w:t>
      </w:r>
      <w:bookmarkEnd w:id="321"/>
    </w:p>
    <w:p w:rsidR="005D6812" w:rsidRDefault="00AB2A2B">
      <w:pPr>
        <w:pStyle w:val="HEADERTITLE1"/>
      </w:pPr>
      <w:bookmarkStart w:id="323" w:name="_Toc484164245"/>
      <w:bookmarkStart w:id="324" w:name="_DMBM_10452"/>
      <w:r>
        <w:t>STATEMENT OF CHANGES IN NET ASSETS</w:t>
      </w:r>
      <w:bookmarkEnd w:id="323"/>
      <w:r>
        <w:t xml:space="preserve"> OF THE BÊKOU EU TRUST FUND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551"/>
        <w:gridCol w:w="2552"/>
        <w:gridCol w:w="1417"/>
      </w:tblGrid>
      <w:tr w:rsidR="005D6812">
        <w:trPr>
          <w:cantSplit/>
        </w:trPr>
        <w:tc>
          <w:tcPr>
            <w:tcW w:w="322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325" w:name="DOC_TBL00054_1_1"/>
            <w:bookmarkEnd w:id="325"/>
          </w:p>
        </w:tc>
        <w:tc>
          <w:tcPr>
            <w:tcW w:w="2551" w:type="dxa"/>
            <w:tcBorders>
              <w:top w:val="nil"/>
              <w:left w:val="nil"/>
              <w:bottom w:val="nil"/>
              <w:right w:val="nil"/>
            </w:tcBorders>
            <w:shd w:val="clear" w:color="auto" w:fill="auto"/>
            <w:tcMar>
              <w:top w:w="0" w:type="dxa"/>
              <w:left w:w="108" w:type="dxa"/>
              <w:bottom w:w="0" w:type="dxa"/>
              <w:right w:w="108" w:type="dxa"/>
            </w:tcMar>
          </w:tcPr>
          <w:p w:rsidR="005D6812" w:rsidRDefault="005D6812">
            <w:pPr>
              <w:jc w:val="both"/>
              <w:rPr>
                <w:noProof/>
                <w:lang w:bidi="en-GB"/>
              </w:rPr>
            </w:pPr>
          </w:p>
        </w:tc>
        <w:tc>
          <w:tcPr>
            <w:tcW w:w="2552" w:type="dxa"/>
            <w:tcBorders>
              <w:top w:val="nil"/>
              <w:left w:val="nil"/>
              <w:bottom w:val="nil"/>
              <w:right w:val="nil"/>
            </w:tcBorders>
            <w:shd w:val="clear" w:color="auto" w:fill="auto"/>
            <w:tcMar>
              <w:top w:w="0" w:type="dxa"/>
              <w:left w:w="108" w:type="dxa"/>
              <w:bottom w:w="0" w:type="dxa"/>
              <w:right w:w="108" w:type="dxa"/>
            </w:tcMar>
          </w:tcPr>
          <w:p w:rsidR="005D6812" w:rsidRDefault="005D6812">
            <w:pPr>
              <w:jc w:val="both"/>
              <w:rPr>
                <w:noProof/>
                <w:lang w:bidi="en-GB"/>
              </w:rPr>
            </w:pP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bidi="en-GB"/>
              </w:rPr>
            </w:pPr>
            <w:r>
              <w:rPr>
                <w:rFonts w:eastAsia="Verdana" w:cs="Verdana"/>
                <w:lang w:bidi="en-GB"/>
              </w:rPr>
              <w:t>EUR '000</w:t>
            </w:r>
          </w:p>
        </w:tc>
      </w:tr>
      <w:tr w:rsidR="005D6812">
        <w:trPr>
          <w:cantSplit/>
        </w:trPr>
        <w:tc>
          <w:tcPr>
            <w:tcW w:w="3227"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Verdana" w:cs="Verdana"/>
                <w:lang w:bidi="en-GB"/>
              </w:rPr>
            </w:pPr>
          </w:p>
        </w:tc>
        <w:tc>
          <w:tcPr>
            <w:tcW w:w="2551"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Accumulated surplus/</w:t>
            </w:r>
          </w:p>
          <w:p w:rsidR="005D6812" w:rsidRDefault="00AB2A2B">
            <w:pPr>
              <w:pStyle w:val="Heading10pNormalRight025"/>
              <w:rPr>
                <w:rFonts w:eastAsia="Verdana" w:cs="Verdana"/>
                <w:lang w:bidi="en-GB"/>
              </w:rPr>
            </w:pPr>
            <w:r>
              <w:rPr>
                <w:rFonts w:eastAsia="Verdana" w:cs="Verdana"/>
                <w:lang w:bidi="en-GB"/>
              </w:rPr>
              <w:t>(deficit)</w:t>
            </w:r>
          </w:p>
        </w:tc>
        <w:tc>
          <w:tcPr>
            <w:tcW w:w="255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Economic result of the year</w:t>
            </w:r>
          </w:p>
        </w:tc>
        <w:tc>
          <w:tcPr>
            <w:tcW w:w="1417"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Net assets</w:t>
            </w:r>
          </w:p>
        </w:tc>
      </w:tr>
      <w:tr w:rsidR="005D6812">
        <w:trPr>
          <w:cantSplit/>
        </w:trPr>
        <w:tc>
          <w:tcPr>
            <w:tcW w:w="322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 xml:space="preserve">BALANCE AS AT </w:t>
            </w:r>
            <w:r>
              <w:rPr>
                <w:rFonts w:eastAsia="Verdana" w:cs="Verdana"/>
                <w:lang w:bidi="en-GB"/>
              </w:rPr>
              <w:t>31.12.2015</w:t>
            </w:r>
          </w:p>
        </w:tc>
        <w:tc>
          <w:tcPr>
            <w:tcW w:w="255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c>
          <w:tcPr>
            <w:tcW w:w="255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c>
          <w:tcPr>
            <w:tcW w:w="141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r>
      <w:tr w:rsidR="005D6812">
        <w:trPr>
          <w:cantSplit/>
        </w:trPr>
        <w:tc>
          <w:tcPr>
            <w:tcW w:w="322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Economic result of the year</w:t>
            </w:r>
          </w:p>
        </w:tc>
        <w:tc>
          <w:tcPr>
            <w:tcW w:w="255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255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rPr>
          <w:cantSplit/>
        </w:trPr>
        <w:tc>
          <w:tcPr>
            <w:tcW w:w="322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BALANCE AS AT 31.12.2016</w:t>
            </w:r>
          </w:p>
        </w:tc>
        <w:tc>
          <w:tcPr>
            <w:tcW w:w="255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c>
          <w:tcPr>
            <w:tcW w:w="255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c>
          <w:tcPr>
            <w:tcW w:w="141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r>
    </w:tbl>
    <w:p w:rsidR="005D6812" w:rsidRDefault="00AB2A2B">
      <w:pPr>
        <w:pStyle w:val="Textstand-alone"/>
        <w:sectPr w:rsidR="005D6812">
          <w:headerReference w:type="even" r:id="rId279"/>
          <w:headerReference w:type="default" r:id="rId280"/>
          <w:footerReference w:type="even" r:id="rId281"/>
          <w:footerReference w:type="default" r:id="rId282"/>
          <w:headerReference w:type="first" r:id="rId283"/>
          <w:footerReference w:type="first" r:id="rId284"/>
          <w:pgSz w:w="11906" w:h="16838"/>
          <w:pgMar w:top="1134" w:right="1133" w:bottom="1134" w:left="1134" w:header="709" w:footer="709" w:gutter="0"/>
          <w:cols w:space="708"/>
          <w:docGrid w:linePitch="360"/>
        </w:sectPr>
      </w:pPr>
      <w:r>
        <w:t xml:space="preserve"> </w:t>
      </w:r>
      <w:bookmarkEnd w:id="324"/>
    </w:p>
    <w:p w:rsidR="005D6812" w:rsidRDefault="005D6812">
      <w:pPr>
        <w:pStyle w:val="FinancialYear"/>
        <w:rPr>
          <w:noProof/>
        </w:rPr>
      </w:pPr>
      <w:bookmarkStart w:id="326" w:name="_DMBM_10453"/>
    </w:p>
    <w:p w:rsidR="005D6812" w:rsidRDefault="005D6812">
      <w:pPr>
        <w:pStyle w:val="FinancialYear"/>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AB2A2B">
      <w:pPr>
        <w:pStyle w:val="FIRSTCHAPTERPAGE1"/>
      </w:pPr>
      <w:bookmarkStart w:id="327" w:name="_Toc484164220"/>
      <w:bookmarkStart w:id="328" w:name="_Toc484164246"/>
      <w:r>
        <w:t>FINAL ANNUAL ACCOUNTS OF THE EUTF FOR AFRICA</w:t>
      </w:r>
      <w:bookmarkEnd w:id="327"/>
      <w:bookmarkEnd w:id="328"/>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AB2A2B">
      <w:pPr>
        <w:pStyle w:val="TOPHEADERNOTE"/>
        <w:rPr>
          <w:noProof/>
        </w:rPr>
      </w:pPr>
      <w:r>
        <w:rPr>
          <w:noProof/>
        </w:rPr>
        <w:t>It</w:t>
      </w:r>
      <w:r>
        <w:rPr>
          <w:noProof/>
        </w:rPr>
        <w:t xml:space="preserve"> should be noted that due to the rounding of figures into thousands of euros, some financial data in the tables may appear not to add-up.</w:t>
      </w:r>
    </w:p>
    <w:p w:rsidR="005D6812" w:rsidRDefault="00AB2A2B">
      <w:pPr>
        <w:pStyle w:val="TOPHEADERNOTE"/>
        <w:rPr>
          <w:noProof/>
        </w:rPr>
        <w:sectPr w:rsidR="005D6812">
          <w:headerReference w:type="even" r:id="rId285"/>
          <w:headerReference w:type="default" r:id="rId286"/>
          <w:footerReference w:type="even" r:id="rId287"/>
          <w:footerReference w:type="default" r:id="rId288"/>
          <w:headerReference w:type="first" r:id="rId289"/>
          <w:footerReference w:type="first" r:id="rId290"/>
          <w:pgSz w:w="11906" w:h="16838"/>
          <w:pgMar w:top="1134" w:right="1134" w:bottom="1134" w:left="1134" w:header="708" w:footer="708" w:gutter="0"/>
          <w:cols w:space="708"/>
          <w:docGrid w:linePitch="360"/>
        </w:sectPr>
      </w:pPr>
      <w:r>
        <w:rPr>
          <w:noProof/>
        </w:rPr>
        <w:t xml:space="preserve"> </w:t>
      </w:r>
      <w:bookmarkEnd w:id="326"/>
    </w:p>
    <w:p w:rsidR="005D6812" w:rsidRDefault="00AB2A2B">
      <w:pPr>
        <w:pStyle w:val="HEADERTITLE"/>
      </w:pPr>
      <w:bookmarkStart w:id="329" w:name="_Toc477366279"/>
      <w:bookmarkStart w:id="330" w:name="_Toc484164221"/>
      <w:bookmarkStart w:id="331" w:name="_Toc484164247"/>
      <w:bookmarkStart w:id="332" w:name="_DMBM_10454"/>
      <w:r>
        <w:t>BACKG</w:t>
      </w:r>
      <w:r>
        <w:t>ROUND INFORMATION ON THE EUTF FOR AFRICA</w:t>
      </w:r>
      <w:bookmarkEnd w:id="329"/>
      <w:bookmarkEnd w:id="330"/>
      <w:bookmarkEnd w:id="331"/>
    </w:p>
    <w:p w:rsidR="005D6812" w:rsidRDefault="00AB2A2B">
      <w:pPr>
        <w:pStyle w:val="Textstand-alone"/>
        <w:rPr>
          <w:b/>
          <w:color w:val="016794"/>
        </w:rPr>
      </w:pPr>
      <w:r>
        <w:rPr>
          <w:b/>
          <w:color w:val="016794"/>
        </w:rPr>
        <w:t>General background on Union Trust Funds</w:t>
      </w:r>
    </w:p>
    <w:p w:rsidR="005D6812" w:rsidRDefault="00AB2A2B">
      <w:pPr>
        <w:pStyle w:val="Textstand-alone"/>
      </w:pPr>
      <w:r>
        <w:t>A trust fund is a legal arrangement with a distinct financial structure that pools the funds of several donors to jointly finance an action on the basis of commonly agreed obj</w:t>
      </w:r>
      <w:r>
        <w:t>ectives and reporting formats.</w:t>
      </w:r>
    </w:p>
    <w:p w:rsidR="005D6812" w:rsidRDefault="00AB2A2B">
      <w:pPr>
        <w:pStyle w:val="Textstand-alone"/>
      </w:pPr>
      <w:r>
        <w:t>In accordance with Article 187(1) of the Financial Regulation applicable to the general budget of the Union (EU FR) and Article 42 of the Financial Regulation applicable to the 11th European Development Fund (EDF FR), the Com</w:t>
      </w:r>
      <w:r>
        <w:t>mission is authorised to create Union Trust Funds for external actions (EUTF). The EUTFs are created under an agreement concluded with other donors to respond to emergency, post­emergency or thematic actions. The establishment of an EUTF needs to be justif</w:t>
      </w:r>
      <w:r>
        <w:t>ied namely by EU added value (its objectives can be better met at EU than at national level), and complementarity (the trust fund should not duplicate already existing and similar instruments).</w:t>
      </w:r>
    </w:p>
    <w:p w:rsidR="005D6812" w:rsidRDefault="00AB2A2B">
      <w:pPr>
        <w:pStyle w:val="Textstand-alone"/>
      </w:pPr>
      <w:r>
        <w:t>EUTFs offer a number of advantages: they are EU led instrument</w:t>
      </w:r>
      <w:r>
        <w:t>s, offering better coordination with EU Member States; better control of operations by the Union and other donors and enhanced EU visibility. The EUTFs benefit from fast decision-making processes and from their capacity to pool larger sums from different s</w:t>
      </w:r>
      <w:r>
        <w:t>ources making them a flexible, proactive and adaptable tool.</w:t>
      </w:r>
    </w:p>
    <w:p w:rsidR="005D6812" w:rsidRDefault="00AB2A2B">
      <w:pPr>
        <w:pStyle w:val="Textstand-alone"/>
      </w:pPr>
      <w:r>
        <w:t>EUTFs are created for a limited duration, which is, together with its objectives, defined by the constitutive act of each trust fund. In accordance with Article 187 of the EU FR, the EUTF has spe</w:t>
      </w:r>
      <w:r>
        <w:t>cific governance arrangements and contributions are placed outside the EU budget.</w:t>
      </w:r>
      <w:bookmarkStart w:id="333" w:name="Legal_basis_and_framework_2"/>
      <w:bookmarkEnd w:id="333"/>
      <w:r>
        <w:t xml:space="preserve"> Each EUTF has a governing board ('trust fund board') chaired by the Commission with representation of the donors and the non-contributing Member States as observers. The trus</w:t>
      </w:r>
      <w:r>
        <w:t xml:space="preserve">t fund board decides upon the use of the funds of the EUTF. </w:t>
      </w:r>
    </w:p>
    <w:p w:rsidR="005D6812" w:rsidRDefault="00AB2A2B">
      <w:pPr>
        <w:pStyle w:val="Textstand-alone"/>
      </w:pPr>
      <w:r>
        <w:t>The work plan of the EUTF is approved by the Operational Board that is composed of the EU representative (the 'Chair'), founding Members ('Deputy Chairs') and representatives of other donors, who</w:t>
      </w:r>
      <w:r>
        <w:t xml:space="preserve"> contributed at least EUR 3 million ('Members') who also assesses the effectiveness of the activities financed by the EUTF. On the administrative level the Operational Board is amongst others resonsible for approval of the annual report, audited annual acc</w:t>
      </w:r>
      <w:r>
        <w:t>ounts, assessing the effectiveness of the internal control systems, follow up of observations by internal and external auditors, etc.</w:t>
      </w:r>
    </w:p>
    <w:p w:rsidR="005D6812" w:rsidRDefault="00AB2A2B">
      <w:pPr>
        <w:pStyle w:val="Textstand-alone"/>
      </w:pPr>
      <w:r>
        <w:t>EUTFs are managed by the Commission under the responsibility of the authorising officer by delegation who provides assuran</w:t>
      </w:r>
      <w:r>
        <w:t>ce on the use of the funds to the Commission and to third donors. The EUTF manager is the authorising officer by sub-delegation. As is the case for the European Development Fund, the accounting officer of a EUTF is the accounting officer of the Commission,</w:t>
      </w:r>
      <w:r>
        <w:t xml:space="preserve"> who is responsible for laying down accounting procedures and chart of accounts common to all EUTFs. </w:t>
      </w:r>
    </w:p>
    <w:p w:rsidR="005D6812" w:rsidRDefault="00AB2A2B">
      <w:pPr>
        <w:pStyle w:val="Textstand-alone"/>
        <w:rPr>
          <w:b/>
          <w:color w:val="016794"/>
        </w:rPr>
      </w:pPr>
      <w:r>
        <w:rPr>
          <w:b/>
          <w:color w:val="016794"/>
        </w:rPr>
        <w:t>The EUTF for Africa</w:t>
      </w:r>
    </w:p>
    <w:p w:rsidR="005D6812" w:rsidRDefault="00AB2A2B">
      <w:pPr>
        <w:pStyle w:val="Textstand-alone"/>
      </w:pPr>
      <w:r>
        <w:t xml:space="preserve">European Union Emergency Trust Fund for stability and addressing root causes of irregular migration and displaced persons in Africa ('EUTF for Africa') was launched on 12 November 2015 during the </w:t>
      </w:r>
      <w:hyperlink r:id="rId291" w:history="1">
        <w:r>
          <w:t>Valletta Summit on Migration</w:t>
        </w:r>
      </w:hyperlink>
      <w:r>
        <w:t>. The main objectives of this trust fund is to support all aspects of stability and contribute to better migration management as well as addressing the root causes of destabilisation, forced displacement and irregular</w:t>
      </w:r>
      <w:r>
        <w:t xml:space="preserve"> migration, in particular by promoting resilience, economic and equal opportunities, security and development and addressing human rights abuses. </w:t>
      </w:r>
    </w:p>
    <w:p w:rsidR="005D6812" w:rsidRDefault="00AB2A2B">
      <w:pPr>
        <w:pStyle w:val="Textstand-alone"/>
      </w:pPr>
      <w:r>
        <w:t>The trust fund operates in three main geographic areas, namely t</w:t>
      </w:r>
      <w:hyperlink r:id="rId292" w:history="1">
        <w:r>
          <w:t>he Sahel region and Lake Chad area</w:t>
        </w:r>
      </w:hyperlink>
      <w:r>
        <w:t xml:space="preserve">, </w:t>
      </w:r>
      <w:hyperlink r:id="rId293" w:history="1">
        <w:r>
          <w:t>the Horn of Africa</w:t>
        </w:r>
      </w:hyperlink>
      <w:r>
        <w:t xml:space="preserve"> and </w:t>
      </w:r>
      <w:hyperlink r:id="rId294" w:tgtFrame="_blank" w:history="1">
        <w:r>
          <w:t>the North of Africa</w:t>
        </w:r>
      </w:hyperlink>
      <w:r>
        <w:t xml:space="preserve"> but also the neighbouring countries of the eligible countries may benefit, on a case by case basis, from the Trust fund's project. The Trust Fund is established for a limited period, until 31 December 2020 </w:t>
      </w:r>
      <w:r>
        <w:t>in order to provide a short and medium-term response to the challenges of the regions. The trust fund is managed from Brussels.</w:t>
      </w:r>
    </w:p>
    <w:p w:rsidR="005D6812" w:rsidRDefault="00AB2A2B">
      <w:pPr>
        <w:pStyle w:val="Textstand-alone"/>
        <w:rPr>
          <w:b/>
          <w:color w:val="016794"/>
        </w:rPr>
      </w:pPr>
      <w:r>
        <w:rPr>
          <w:b/>
          <w:color w:val="016794"/>
        </w:rPr>
        <w:t>Annual accounts of the EUTF for Africa</w:t>
      </w:r>
    </w:p>
    <w:p w:rsidR="005D6812" w:rsidRDefault="00AB2A2B">
      <w:pPr>
        <w:pStyle w:val="Textstand-alone"/>
      </w:pPr>
      <w:r>
        <w:t>According to Article 7 of ' The agreement establishing the European Union emergency trust</w:t>
      </w:r>
      <w:r>
        <w:t xml:space="preserve"> fund for stability and addressing root causes of irregular migration and displaced persons in Africa and its internal rules' ('Constitutive agreement') the annual accounts comprise two parts: (1) The annual financial report prepared by the EUTF manager an</w:t>
      </w:r>
      <w:r>
        <w:t>d (2) The annual financial statements prepared by the EC Accounting Officer, who is, based on the same article also the Accounting Officer of the trust fund.</w:t>
      </w:r>
    </w:p>
    <w:p w:rsidR="005D6812" w:rsidRDefault="00AB2A2B">
      <w:pPr>
        <w:pStyle w:val="Textstand-alone"/>
      </w:pPr>
      <w:r>
        <w:t>According to Article 8 of the Constitutive agreement the financial statements shall be prepared in</w:t>
      </w:r>
      <w:r>
        <w:t xml:space="preserve"> accordance with the accounting rules adopted by the Commission's Accounting Officer (EU Accounting Rules, EAR) that are based on the International Public Sector Accounting Standards (IPSAS). </w:t>
      </w:r>
    </w:p>
    <w:p w:rsidR="005D6812" w:rsidRDefault="00AB2A2B">
      <w:pPr>
        <w:pStyle w:val="Textstand-alone"/>
      </w:pPr>
      <w:r>
        <w:t>The annual accounts are subject to independent external audit a</w:t>
      </w:r>
      <w:r>
        <w:t>nd the final annual accounts are submitted by the EUTF manager and the Accounting Officer to the operational board for approval (Article 8.3.4(c)).</w:t>
      </w:r>
    </w:p>
    <w:p w:rsidR="005D6812" w:rsidRDefault="00AB2A2B">
      <w:pPr>
        <w:pStyle w:val="Textstand-alone"/>
      </w:pPr>
      <w:r>
        <w:t>The 2016 is the first year in which the financial statements of the EUTF for Africa are issued. This is in a</w:t>
      </w:r>
      <w:r>
        <w:t>ccordance with Article 8.3.2 following which the obligation of the accounting officer to prepare financial statements only applies in respect of that first financial year if the trust fund existed for more than six months. The transactions of 2015 are refl</w:t>
      </w:r>
      <w:r>
        <w:t>ected in the comparative figures.</w:t>
      </w:r>
    </w:p>
    <w:p w:rsidR="005D6812" w:rsidRDefault="00AB2A2B">
      <w:pPr>
        <w:pStyle w:val="Textstand-alone"/>
      </w:pPr>
      <w:r>
        <w:rPr>
          <w:b/>
          <w:color w:val="016794"/>
        </w:rPr>
        <w:t>Highlights of the year</w:t>
      </w:r>
    </w:p>
    <w:p w:rsidR="005D6812" w:rsidRDefault="00AB2A2B">
      <w:pPr>
        <w:pStyle w:val="Textstand-alone"/>
      </w:pPr>
      <w:r>
        <w:t>At the end of 2016 the total pledged resources amounted to EUR 2 555 million. Total external contributions amounted to EUR 152 million and the contributions from the EU and EDF budgets amounted to EU</w:t>
      </w:r>
      <w:r>
        <w:t xml:space="preserve">R 2 403 million. </w:t>
      </w:r>
    </w:p>
    <w:p w:rsidR="005D6812" w:rsidRDefault="00AB2A2B">
      <w:pPr>
        <w:pStyle w:val="Textstand-alone"/>
        <w:sectPr w:rsidR="005D6812">
          <w:headerReference w:type="even" r:id="rId295"/>
          <w:headerReference w:type="default" r:id="rId296"/>
          <w:footerReference w:type="even" r:id="rId297"/>
          <w:footerReference w:type="default" r:id="rId298"/>
          <w:headerReference w:type="first" r:id="rId299"/>
          <w:footerReference w:type="first" r:id="rId300"/>
          <w:pgSz w:w="11906" w:h="16838"/>
          <w:pgMar w:top="1134" w:right="1134" w:bottom="1134" w:left="1134" w:header="708" w:footer="708" w:gutter="0"/>
          <w:cols w:space="708"/>
          <w:docGrid w:linePitch="360"/>
        </w:sectPr>
      </w:pPr>
      <w:r>
        <w:t xml:space="preserve">In just a year, a total of 106 projects worth EUR 1.589 million have been approved for the Sahel/Lake Chad, the Horn of Africa </w:t>
      </w:r>
      <w:r>
        <w:t>and the North of Africa regions. The projects can be split by a geographical window as follows: 65 programs in the Sahel/Lake Chad region for a total amount of EUR 918.5 million; 35 programs in the Horn of Africa region for a total amount of EUR 606 millio</w:t>
      </w:r>
      <w:r>
        <w:t>n, and 6 programs in the North of Africa region for a total amount of EUR 64.5 million. The projects cover the following priority areas: development benefits of migration (EUR 942 million); legal migration and mobility (EUR 68 million); protection and asyl</w:t>
      </w:r>
      <w:r>
        <w:t>um (EUR 233 million); prevention of and fight against irregular migration; migrant smuggling and trafficking in human beings (EUR 170 million); return, readmission and reintegration (EUR 163 million) and other (EUR 13 million). Out of the approved amount E</w:t>
      </w:r>
      <w:r>
        <w:t>UR 1 488 million has been committed and EUR 600 million has been contracted to implementing partners.</w:t>
      </w:r>
      <w:bookmarkEnd w:id="332"/>
    </w:p>
    <w:p w:rsidR="005D6812" w:rsidRDefault="00AB2A2B">
      <w:pPr>
        <w:pStyle w:val="HEADERTITLE1"/>
      </w:pPr>
      <w:bookmarkStart w:id="334" w:name="_Toc484164248"/>
      <w:bookmarkStart w:id="335" w:name="_DMBM_10456"/>
      <w:r>
        <w:t>BALANCE SHEET</w:t>
      </w:r>
      <w:bookmarkEnd w:id="334"/>
      <w:r>
        <w:t xml:space="preserve"> OF THE EUTF FOR AFRICA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336" w:name="DOC_TBL00055_1_1"/>
            <w:bookmarkEnd w:id="336"/>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bidi="en-GB"/>
              </w:rPr>
            </w:pPr>
            <w:r>
              <w:rPr>
                <w:rFonts w:eastAsia="Verdana" w:cs="Verdana"/>
                <w:lang w:bidi="en-GB"/>
              </w:rPr>
              <w:t xml:space="preserve"> EUR '000</w:t>
            </w:r>
          </w:p>
        </w:tc>
      </w:tr>
      <w:tr w:rsidR="005D6812">
        <w:trPr>
          <w:cantSplit/>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Verdana" w:cs="Verdana"/>
                <w:lang w:bidi="en-GB"/>
              </w:rPr>
            </w:pPr>
          </w:p>
        </w:tc>
        <w:tc>
          <w:tcPr>
            <w:tcW w:w="851"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Right025"/>
              <w:rPr>
                <w:rFonts w:eastAsia="Verdana" w:cs="Verdana"/>
                <w:lang w:bidi="en-GB"/>
              </w:rPr>
            </w:pPr>
          </w:p>
        </w:tc>
        <w:tc>
          <w:tcPr>
            <w:tcW w:w="184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31.12.2016</w:t>
            </w:r>
          </w:p>
        </w:tc>
        <w:tc>
          <w:tcPr>
            <w:tcW w:w="1843"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31.12.2015</w:t>
            </w:r>
          </w:p>
        </w:tc>
      </w:tr>
      <w:tr w:rsidR="005D681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NON-CURRENT ASSETS</w:t>
            </w:r>
          </w:p>
        </w:tc>
        <w:tc>
          <w:tcPr>
            <w:tcW w:w="85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c>
          <w:tcPr>
            <w:tcW w:w="1843"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rPr>
          <w:cantSplit/>
          <w:trHeight w:val="268"/>
        </w:trPr>
        <w:tc>
          <w:tcPr>
            <w:tcW w:w="5211"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Pre-financing</w:t>
            </w:r>
          </w:p>
        </w:tc>
        <w:tc>
          <w:tcPr>
            <w:tcW w:w="851"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44 854</w:t>
            </w:r>
          </w:p>
        </w:tc>
        <w:tc>
          <w:tcPr>
            <w:tcW w:w="1843"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rPr>
          <w:cantSplit/>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i w:val="0"/>
                <w:lang w:bidi="en-GB"/>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44 854</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r>
      <w:tr w:rsidR="005D6812">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CURRENT ASSETS</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Pre-financing</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70 731</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Exchange receivables and non-exchange recoverables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9 476</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rPr>
          <w:cantSplit/>
          <w:trHeight w:val="268"/>
        </w:trPr>
        <w:tc>
          <w:tcPr>
            <w:tcW w:w="5211"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 xml:space="preserve">Cash and cash equivalents </w:t>
            </w:r>
          </w:p>
        </w:tc>
        <w:tc>
          <w:tcPr>
            <w:tcW w:w="851"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14 879</w:t>
            </w:r>
          </w:p>
        </w:tc>
        <w:tc>
          <w:tcPr>
            <w:tcW w:w="1843"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32 642</w:t>
            </w:r>
          </w:p>
        </w:tc>
      </w:tr>
      <w:tr w:rsidR="005D6812">
        <w:trPr>
          <w:cantSplit/>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i w:val="0"/>
                <w:lang w:bidi="en-GB"/>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95 086</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32 642</w:t>
            </w:r>
          </w:p>
        </w:tc>
      </w:tr>
      <w:tr w:rsidR="005D6812">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Text9pItalicLeft"/>
              <w:rPr>
                <w:rFonts w:eastAsia="Verdana" w:cs="Verdana"/>
                <w:b/>
                <w:lang w:bidi="en-GB"/>
              </w:rPr>
            </w:pPr>
            <w:r>
              <w:rPr>
                <w:rFonts w:eastAsia="Verdana" w:cs="Verdana"/>
                <w:b/>
                <w:lang w:bidi="en-GB"/>
              </w:rPr>
              <w:t>TOTAL ASSETS</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b/>
                <w:lang w:bidi="en-GB"/>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9pItalicRight025"/>
              <w:rPr>
                <w:rFonts w:eastAsia="Verdana" w:cs="Verdana"/>
                <w:b/>
                <w:lang w:bidi="en-GB"/>
              </w:rPr>
            </w:pPr>
            <w:r>
              <w:rPr>
                <w:rFonts w:eastAsia="Verdana" w:cs="Verdana"/>
                <w:b/>
                <w:lang w:bidi="en-GB"/>
              </w:rPr>
              <w:t xml:space="preserve"> 139 941</w:t>
            </w: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9pItalicRight025"/>
              <w:rPr>
                <w:rFonts w:eastAsia="Verdana" w:cs="Verdana"/>
                <w:b/>
                <w:lang w:bidi="en-GB"/>
              </w:rPr>
            </w:pPr>
            <w:r>
              <w:rPr>
                <w:rFonts w:eastAsia="Verdana" w:cs="Verdana"/>
                <w:b/>
                <w:lang w:bidi="en-GB"/>
              </w:rPr>
              <w:t xml:space="preserve"> 32 642</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bidi="en-GB"/>
              </w:rPr>
            </w:pP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r>
      <w:tr w:rsidR="005D681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NON-CURRENT LIABILITIES</w:t>
            </w:r>
          </w:p>
        </w:tc>
        <w:tc>
          <w:tcPr>
            <w:tcW w:w="85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c>
          <w:tcPr>
            <w:tcW w:w="1843"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rPr>
          <w:cantSplit/>
          <w:trHeight w:val="268"/>
        </w:trPr>
        <w:tc>
          <w:tcPr>
            <w:tcW w:w="5211"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Financial liabilities</w:t>
            </w:r>
          </w:p>
        </w:tc>
        <w:tc>
          <w:tcPr>
            <w:tcW w:w="851"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(138 502)</w:t>
            </w:r>
          </w:p>
        </w:tc>
        <w:tc>
          <w:tcPr>
            <w:tcW w:w="1843"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(32 642)</w:t>
            </w:r>
          </w:p>
        </w:tc>
      </w:tr>
      <w:tr w:rsidR="005D6812">
        <w:trPr>
          <w:cantSplit/>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i w:val="0"/>
                <w:lang w:bidi="en-GB"/>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(138 502)</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(32 642)</w:t>
            </w:r>
          </w:p>
        </w:tc>
      </w:tr>
      <w:tr w:rsidR="005D6812">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CURRENT LIABILITIES</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Payables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(702)</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rPr>
          <w:cantSplit/>
          <w:trHeight w:val="268"/>
        </w:trPr>
        <w:tc>
          <w:tcPr>
            <w:tcW w:w="5211"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Accrued charges and deferred income</w:t>
            </w:r>
          </w:p>
        </w:tc>
        <w:tc>
          <w:tcPr>
            <w:tcW w:w="851"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(736)</w:t>
            </w:r>
          </w:p>
        </w:tc>
        <w:tc>
          <w:tcPr>
            <w:tcW w:w="1843" w:type="dxa"/>
            <w:tcBorders>
              <w:top w:val="nil"/>
              <w:left w:val="nil"/>
              <w:bottom w:val="single" w:sz="4" w:space="0" w:color="FFFFFF"/>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rPr>
          <w:cantSplit/>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i w:val="0"/>
                <w:lang w:bidi="en-GB"/>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(1 439)</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r>
      <w:tr w:rsidR="005D6812">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Text9pItalicLeft"/>
              <w:rPr>
                <w:rFonts w:eastAsia="Verdana" w:cs="Verdana"/>
                <w:b/>
                <w:lang w:bidi="en-GB"/>
              </w:rPr>
            </w:pPr>
            <w:r>
              <w:rPr>
                <w:rFonts w:eastAsia="Verdana" w:cs="Verdana"/>
                <w:b/>
                <w:lang w:bidi="en-GB"/>
              </w:rPr>
              <w:t>TOTAL LIABILITIES</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b/>
                <w:lang w:bidi="en-GB"/>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9pItalicRight025"/>
              <w:rPr>
                <w:rFonts w:eastAsia="Verdana" w:cs="Verdana"/>
                <w:b/>
                <w:lang w:bidi="en-GB"/>
              </w:rPr>
            </w:pPr>
            <w:r>
              <w:rPr>
                <w:rFonts w:eastAsia="Verdana" w:cs="Verdana"/>
                <w:b/>
                <w:lang w:bidi="en-GB"/>
              </w:rPr>
              <w:t xml:space="preserve"> (139 941)</w:t>
            </w: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9pItalicRight025"/>
              <w:rPr>
                <w:rFonts w:eastAsia="Verdana" w:cs="Verdana"/>
                <w:b/>
                <w:lang w:bidi="en-GB"/>
              </w:rPr>
            </w:pPr>
            <w:r>
              <w:rPr>
                <w:rFonts w:eastAsia="Verdana" w:cs="Verdana"/>
                <w:b/>
                <w:lang w:bidi="en-GB"/>
              </w:rPr>
              <w:t xml:space="preserve"> (32 642)</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bidi="en-GB"/>
              </w:rPr>
            </w:pP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r>
      <w:tr w:rsidR="005D681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NET ASSETS</w:t>
            </w:r>
          </w:p>
        </w:tc>
        <w:tc>
          <w:tcPr>
            <w:tcW w:w="85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c>
          <w:tcPr>
            <w:tcW w:w="184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bidi="en-GB"/>
              </w:rPr>
            </w:pP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r>
      <w:tr w:rsidR="005D681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FUNDS &amp; RESERVES</w:t>
            </w:r>
          </w:p>
        </w:tc>
        <w:tc>
          <w:tcPr>
            <w:tcW w:w="85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c>
          <w:tcPr>
            <w:tcW w:w="1843"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Accumulated surplus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Economic result of the year</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ItalicLeft"/>
              <w:rPr>
                <w:rFonts w:eastAsia="Verdana" w:cs="Verdana"/>
                <w:b/>
                <w:lang w:bidi="en-GB"/>
              </w:rPr>
            </w:pPr>
            <w:r>
              <w:rPr>
                <w:rFonts w:eastAsia="Verdana" w:cs="Verdana"/>
                <w:b/>
                <w:lang w:bidi="en-GB"/>
              </w:rPr>
              <w:t>NET ASSETS</w:t>
            </w:r>
          </w:p>
        </w:tc>
        <w:tc>
          <w:tcPr>
            <w:tcW w:w="85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b/>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ItalicRight025"/>
              <w:rPr>
                <w:rFonts w:eastAsia="Verdana" w:cs="Verdana"/>
                <w:b/>
                <w:lang w:bidi="en-GB"/>
              </w:rPr>
            </w:pPr>
            <w:r>
              <w:rPr>
                <w:rFonts w:eastAsia="Verdana" w:cs="Verdana"/>
                <w:b/>
                <w:lang w:bidi="en-GB"/>
              </w:rPr>
              <w:t>–</w:t>
            </w:r>
          </w:p>
        </w:tc>
        <w:tc>
          <w:tcPr>
            <w:tcW w:w="1843"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ItalicRight025"/>
              <w:rPr>
                <w:rFonts w:eastAsia="Verdana" w:cs="Verdana"/>
                <w:b/>
                <w:lang w:bidi="en-GB"/>
              </w:rPr>
            </w:pPr>
            <w:r>
              <w:rPr>
                <w:rFonts w:eastAsia="Verdana" w:cs="Verdana"/>
                <w:b/>
                <w:lang w:bidi="en-GB"/>
              </w:rPr>
              <w:t>–</w:t>
            </w:r>
          </w:p>
        </w:tc>
      </w:tr>
    </w:tbl>
    <w:p w:rsidR="005D6812" w:rsidRDefault="005D6812">
      <w:pPr>
        <w:pStyle w:val="Textstand-alone"/>
        <w:rPr>
          <w:lang w:bidi="en-GB"/>
        </w:rPr>
      </w:pPr>
    </w:p>
    <w:p w:rsidR="005D6812" w:rsidRDefault="00AB2A2B">
      <w:pPr>
        <w:pStyle w:val="Textstand-alone"/>
        <w:sectPr w:rsidR="005D6812">
          <w:headerReference w:type="even" r:id="rId301"/>
          <w:headerReference w:type="default" r:id="rId302"/>
          <w:footerReference w:type="even" r:id="rId303"/>
          <w:footerReference w:type="default" r:id="rId304"/>
          <w:headerReference w:type="first" r:id="rId305"/>
          <w:footerReference w:type="first" r:id="rId306"/>
          <w:pgSz w:w="11906" w:h="16838"/>
          <w:pgMar w:top="1134" w:right="1134" w:bottom="1134" w:left="1134" w:header="708" w:footer="708" w:gutter="0"/>
          <w:cols w:space="708"/>
          <w:docGrid w:linePitch="360"/>
        </w:sectPr>
      </w:pPr>
      <w:r>
        <w:rPr>
          <w:i/>
        </w:rPr>
        <w:t xml:space="preserve"> </w:t>
      </w:r>
      <w:bookmarkEnd w:id="335"/>
    </w:p>
    <w:p w:rsidR="005D6812" w:rsidRDefault="00AB2A2B">
      <w:pPr>
        <w:pStyle w:val="HEADERTITLE1"/>
      </w:pPr>
      <w:bookmarkStart w:id="337" w:name="_Toc484164249"/>
      <w:bookmarkStart w:id="338" w:name="_DMBM_10455"/>
      <w:r>
        <w:t>STATEMENT OF FINANCIAL PERFORMANCE</w:t>
      </w:r>
      <w:bookmarkEnd w:id="337"/>
      <w:r>
        <w:t xml:space="preserve"> OF THE EUTF FOR AFRICA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339" w:name="DOC_TBL00056_1_1"/>
            <w:bookmarkEnd w:id="339"/>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bidi="en-GB"/>
              </w:rPr>
            </w:pPr>
            <w:r>
              <w:rPr>
                <w:rFonts w:eastAsia="Verdana" w:cs="Verdana"/>
                <w:lang w:bidi="en-GB"/>
              </w:rPr>
              <w:t>EUR '000</w:t>
            </w:r>
          </w:p>
        </w:tc>
      </w:tr>
      <w:tr w:rsidR="005D6812">
        <w:trPr>
          <w:cantSplit/>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Verdana" w:cs="Verdana"/>
                <w:lang w:bidi="en-GB"/>
              </w:rPr>
            </w:pPr>
          </w:p>
        </w:tc>
        <w:tc>
          <w:tcPr>
            <w:tcW w:w="851"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Right025"/>
              <w:rPr>
                <w:rFonts w:eastAsia="Verdana" w:cs="Verdana"/>
                <w:lang w:bidi="en-GB"/>
              </w:rPr>
            </w:pPr>
          </w:p>
        </w:tc>
        <w:tc>
          <w:tcPr>
            <w:tcW w:w="184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2016</w:t>
            </w:r>
          </w:p>
        </w:tc>
        <w:tc>
          <w:tcPr>
            <w:tcW w:w="1843"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2015</w:t>
            </w:r>
          </w:p>
        </w:tc>
      </w:tr>
      <w:tr w:rsidR="005D6812">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REVENUE</w:t>
            </w:r>
          </w:p>
        </w:tc>
        <w:tc>
          <w:tcPr>
            <w:tcW w:w="851"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c>
          <w:tcPr>
            <w:tcW w:w="1843"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Revenue from non-exchange transactions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b/>
                <w:i w:val="0"/>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b/>
                <w:i w:val="0"/>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b/>
                <w:i w:val="0"/>
                <w:lang w:bidi="en-GB"/>
              </w:rPr>
            </w:pP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Revenue from donations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52 246</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BoldLeft"/>
              <w:rPr>
                <w:rFonts w:eastAsia="Verdana" w:cs="Verdana"/>
                <w:lang w:bidi="en-GB"/>
              </w:rPr>
            </w:pP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b/>
                <w:i w:val="0"/>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b/>
                <w:i w:val="0"/>
                <w:lang w:bidi="en-GB"/>
              </w:rPr>
            </w:pPr>
            <w:r>
              <w:rPr>
                <w:rFonts w:eastAsia="Verdana" w:cs="Verdana"/>
                <w:b/>
                <w:i w:val="0"/>
                <w:lang w:bidi="en-GB"/>
              </w:rPr>
              <w:t xml:space="preserve"> 52 246</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b/>
                <w:i w:val="0"/>
                <w:lang w:bidi="en-GB"/>
              </w:rPr>
            </w:pPr>
            <w:r>
              <w:rPr>
                <w:rFonts w:eastAsia="Verdana" w:cs="Verdana"/>
                <w:b/>
                <w:i w:val="0"/>
                <w:lang w:bidi="en-GB"/>
              </w:rPr>
              <w:t>–</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Revenue from exchange transactions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b/>
                <w:i w:val="0"/>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b/>
                <w:i w:val="0"/>
                <w:lang w:bidi="en-GB"/>
              </w:rPr>
            </w:pP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b/>
                <w:i w:val="0"/>
                <w:lang w:bidi="en-GB"/>
              </w:rPr>
            </w:pP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Financial income</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54</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Other exchange revenue</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43</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rPr>
          <w:cantSplit/>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Text9pBoldLeft"/>
              <w:rPr>
                <w:rFonts w:eastAsia="Verdana" w:cs="Verdana"/>
                <w:lang w:bidi="en-GB"/>
              </w:rPr>
            </w:pP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97</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r>
      <w:tr w:rsidR="005D6812">
        <w:trPr>
          <w:cantSplit/>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Total revenue</w:t>
            </w: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52 343</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r>
      <w:tr w:rsidR="005D6812">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EXPENSES</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Operating expenses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(49 042)</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Other expenses</w:t>
            </w:r>
          </w:p>
        </w:tc>
        <w:tc>
          <w:tcPr>
            <w:tcW w:w="85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Centered"/>
              <w:rPr>
                <w:rFonts w:eastAsia="Verdana" w:cs="Verdana"/>
                <w:lang w:bidi="en-GB"/>
              </w:rPr>
            </w:pPr>
          </w:p>
        </w:tc>
        <w:tc>
          <w:tcPr>
            <w:tcW w:w="184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(3 301)</w:t>
            </w:r>
          </w:p>
        </w:tc>
        <w:tc>
          <w:tcPr>
            <w:tcW w:w="1843"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rPr>
          <w:cantSplit/>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Total expenses</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(52 343)</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r>
      <w:tr w:rsidR="005D6812">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Text9pItalicLeft"/>
              <w:rPr>
                <w:rFonts w:eastAsia="Verdana" w:cs="Verdana"/>
                <w:b/>
                <w:lang w:bidi="en-GB"/>
              </w:rPr>
            </w:pPr>
            <w:r>
              <w:rPr>
                <w:rFonts w:eastAsia="Verdana" w:cs="Verdana"/>
                <w:b/>
                <w:lang w:bidi="en-GB"/>
              </w:rPr>
              <w:t>ECONOMIC RESULT OF THE YEAR</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5D6812">
            <w:pPr>
              <w:pStyle w:val="Text9pItalicCentered"/>
              <w:rPr>
                <w:rFonts w:eastAsia="Verdana" w:cs="Verdana"/>
                <w:b/>
                <w:lang w:bidi="en-GB"/>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9pItalicRight025"/>
              <w:rPr>
                <w:rFonts w:eastAsia="Verdana" w:cs="Verdana"/>
                <w:b/>
                <w:lang w:bidi="en-GB"/>
              </w:rPr>
            </w:pPr>
            <w:r>
              <w:rPr>
                <w:rFonts w:eastAsia="Verdana" w:cs="Verdana"/>
                <w:b/>
                <w:lang w:bidi="en-GB"/>
              </w:rPr>
              <w:t>–</w:t>
            </w: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rsidR="005D6812" w:rsidRDefault="00AB2A2B">
            <w:pPr>
              <w:pStyle w:val="Figures9pItalicRight025"/>
              <w:rPr>
                <w:rFonts w:eastAsia="Verdana" w:cs="Verdana"/>
                <w:b/>
                <w:lang w:bidi="en-GB"/>
              </w:rPr>
            </w:pPr>
            <w:r>
              <w:rPr>
                <w:rFonts w:eastAsia="Verdana" w:cs="Verdana"/>
                <w:b/>
                <w:lang w:bidi="en-GB"/>
              </w:rPr>
              <w:t>–</w:t>
            </w:r>
          </w:p>
        </w:tc>
      </w:tr>
    </w:tbl>
    <w:p w:rsidR="005D6812" w:rsidRDefault="005D6812">
      <w:pPr>
        <w:rPr>
          <w:noProof/>
          <w:lang w:bidi="en-GB"/>
        </w:rPr>
      </w:pPr>
    </w:p>
    <w:p w:rsidR="005D6812" w:rsidRDefault="00AB2A2B">
      <w:pPr>
        <w:pStyle w:val="Textstand-alone"/>
        <w:rPr>
          <w:lang w:val="fr-BE"/>
        </w:rPr>
        <w:sectPr w:rsidR="005D6812">
          <w:headerReference w:type="even" r:id="rId307"/>
          <w:headerReference w:type="default" r:id="rId308"/>
          <w:footerReference w:type="even" r:id="rId309"/>
          <w:footerReference w:type="default" r:id="rId310"/>
          <w:headerReference w:type="first" r:id="rId311"/>
          <w:footerReference w:type="first" r:id="rId312"/>
          <w:pgSz w:w="11906" w:h="16838"/>
          <w:pgMar w:top="1134" w:right="1134" w:bottom="1134" w:left="1134" w:header="708" w:footer="708" w:gutter="0"/>
          <w:cols w:space="708"/>
          <w:docGrid w:linePitch="360"/>
        </w:sectPr>
      </w:pPr>
      <w:r>
        <w:rPr>
          <w:lang w:val="fr-BE"/>
        </w:rPr>
        <w:t xml:space="preserve"> </w:t>
      </w:r>
      <w:bookmarkEnd w:id="338"/>
    </w:p>
    <w:p w:rsidR="005D6812" w:rsidRDefault="00AB2A2B">
      <w:pPr>
        <w:pStyle w:val="HEADERTITLE1"/>
      </w:pPr>
      <w:bookmarkStart w:id="340" w:name="_Toc484164250"/>
      <w:bookmarkStart w:id="341" w:name="_DMBM_10457"/>
      <w:r>
        <w:t>CASHFLOW STATEMENT</w:t>
      </w:r>
      <w:bookmarkEnd w:id="340"/>
      <w:r>
        <w:t xml:space="preserve"> OF THE EUTF FOR AFRICA</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5D681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342" w:name="DOC_TBL00057_1_1"/>
            <w:bookmarkEnd w:id="342"/>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Heading10pNormalCentered"/>
              <w:rPr>
                <w:rFonts w:eastAsia="Verdana" w:cs="Verdana"/>
                <w:color w:val="auto"/>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val="fr-BE" w:bidi="en-GB"/>
              </w:rPr>
            </w:pPr>
            <w:r>
              <w:rPr>
                <w:rFonts w:eastAsia="Verdana" w:cs="Verdana"/>
                <w:lang w:val="fr-BE" w:bidi="en-GB"/>
              </w:rPr>
              <w:t>EUR '000</w:t>
            </w:r>
          </w:p>
        </w:tc>
      </w:tr>
      <w:tr w:rsidR="005D6812">
        <w:trPr>
          <w:cantSplit/>
        </w:trPr>
        <w:tc>
          <w:tcPr>
            <w:tcW w:w="5637"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Verdana" w:cs="Verdana"/>
                <w:lang w:val="fr-BE" w:bidi="en-GB"/>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val="fr-BE" w:bidi="en-GB"/>
              </w:rPr>
            </w:pPr>
            <w:r>
              <w:rPr>
                <w:rFonts w:eastAsia="Verdana" w:cs="Verdana"/>
                <w:lang w:val="fr-BE" w:bidi="en-GB"/>
              </w:rPr>
              <w:t>2016</w:t>
            </w:r>
          </w:p>
        </w:tc>
        <w:tc>
          <w:tcPr>
            <w:tcW w:w="1985"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val="fr-BE" w:bidi="en-GB"/>
              </w:rPr>
            </w:pPr>
            <w:r>
              <w:rPr>
                <w:rFonts w:eastAsia="Verdana" w:cs="Verdana"/>
                <w:lang w:val="fr-BE" w:bidi="en-GB"/>
              </w:rPr>
              <w:t>2015</w:t>
            </w:r>
          </w:p>
        </w:tc>
      </w:tr>
      <w:tr w:rsidR="005D681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Economic result of the year</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w:t>
            </w:r>
          </w:p>
        </w:tc>
      </w:tr>
      <w:tr w:rsidR="005D6812">
        <w:trPr>
          <w:cantSplit/>
        </w:trPr>
        <w:tc>
          <w:tcPr>
            <w:tcW w:w="563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val="fr-BE" w:bidi="en-GB"/>
              </w:rPr>
            </w:pPr>
            <w:r>
              <w:rPr>
                <w:rFonts w:eastAsia="Verdana" w:cs="Verdana"/>
                <w:lang w:val="fr-BE" w:bidi="en-GB"/>
              </w:rPr>
              <w:t>Operating activities</w:t>
            </w:r>
          </w:p>
        </w:tc>
        <w:tc>
          <w:tcPr>
            <w:tcW w:w="2126"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val="fr-BE" w:bidi="en-GB"/>
              </w:rPr>
            </w:pPr>
          </w:p>
        </w:tc>
        <w:tc>
          <w:tcPr>
            <w:tcW w:w="1985"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val="fr-BE" w:bidi="en-GB"/>
              </w:rPr>
            </w:pPr>
          </w:p>
        </w:tc>
      </w:tr>
      <w:tr w:rsidR="005D681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(Increase)/decrease in pre-financing</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(115 585)</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w:t>
            </w:r>
          </w:p>
        </w:tc>
      </w:tr>
      <w:tr w:rsidR="005D681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(Increase)/decrease in exchange receivables and non-exchange recoverables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(9 476)</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w:t>
            </w:r>
          </w:p>
        </w:tc>
      </w:tr>
      <w:tr w:rsidR="005D681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Increase/(decrease) in financial liabilities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105 860</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32 642</w:t>
            </w:r>
          </w:p>
        </w:tc>
      </w:tr>
      <w:tr w:rsidR="005D681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val="fr-BE" w:bidi="en-GB"/>
              </w:rPr>
            </w:pPr>
            <w:r>
              <w:rPr>
                <w:rFonts w:eastAsia="Verdana" w:cs="Verdana"/>
                <w:lang w:val="fr-BE" w:bidi="en-GB"/>
              </w:rPr>
              <w:t>Increase/(decrease) in payables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 xml:space="preserve"> 702</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w:t>
            </w:r>
          </w:p>
        </w:tc>
      </w:tr>
      <w:tr w:rsidR="005D681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Increase/(decrease) in accrued charges and deferred income</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bidi="en-GB"/>
              </w:rPr>
              <w:t xml:space="preserve"> </w:t>
            </w:r>
            <w:r>
              <w:rPr>
                <w:rFonts w:eastAsia="Verdana" w:cs="Verdana"/>
                <w:lang w:val="fr-BE" w:bidi="en-GB"/>
              </w:rPr>
              <w:t>736</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w:t>
            </w:r>
          </w:p>
        </w:tc>
      </w:tr>
      <w:tr w:rsidR="005D681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val="fr-BE" w:bidi="en-GB"/>
              </w:rPr>
            </w:pP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val="fr-BE"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val="fr-BE" w:bidi="en-GB"/>
              </w:rPr>
            </w:pPr>
          </w:p>
        </w:tc>
      </w:tr>
      <w:tr w:rsidR="005D6812">
        <w:trPr>
          <w:cantSplit/>
        </w:trPr>
        <w:tc>
          <w:tcPr>
            <w:tcW w:w="563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val="fr-BE" w:bidi="en-GB"/>
              </w:rPr>
            </w:pPr>
            <w:r>
              <w:rPr>
                <w:rFonts w:eastAsia="Verdana" w:cs="Verdana"/>
                <w:lang w:val="fr-BE" w:bidi="en-GB"/>
              </w:rPr>
              <w:t>NET CASHFLOW</w:t>
            </w:r>
          </w:p>
        </w:tc>
        <w:tc>
          <w:tcPr>
            <w:tcW w:w="212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val="fr-BE" w:bidi="en-GB"/>
              </w:rPr>
            </w:pPr>
            <w:r>
              <w:rPr>
                <w:rFonts w:eastAsia="Verdana" w:cs="Verdana"/>
                <w:lang w:val="fr-BE" w:bidi="en-GB"/>
              </w:rPr>
              <w:t>(17 763)</w:t>
            </w:r>
          </w:p>
        </w:tc>
        <w:tc>
          <w:tcPr>
            <w:tcW w:w="198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val="fr-BE" w:bidi="en-GB"/>
              </w:rPr>
            </w:pPr>
            <w:r>
              <w:rPr>
                <w:rFonts w:eastAsia="Verdana" w:cs="Verdana"/>
                <w:lang w:val="fr-BE" w:bidi="en-GB"/>
              </w:rPr>
              <w:t>32 642</w:t>
            </w:r>
          </w:p>
        </w:tc>
      </w:tr>
      <w:tr w:rsidR="005D681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val="fr-BE" w:bidi="en-GB"/>
              </w:rPr>
            </w:pP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val="fr-BE"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val="fr-BE" w:bidi="en-GB"/>
              </w:rPr>
            </w:pPr>
          </w:p>
        </w:tc>
      </w:tr>
      <w:tr w:rsidR="005D681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 xml:space="preserve">Net increase/(decrease) in cash and cash </w:t>
            </w:r>
            <w:r>
              <w:rPr>
                <w:rFonts w:eastAsia="Verdana" w:cs="Verdana"/>
                <w:lang w:bidi="en-GB"/>
              </w:rPr>
              <w:t>equivalents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(17 763)</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32 642</w:t>
            </w:r>
          </w:p>
        </w:tc>
      </w:tr>
      <w:tr w:rsidR="005D681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Cash and cash equivalents at the beginning of the year</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bidi="en-GB"/>
              </w:rPr>
              <w:t xml:space="preserve"> </w:t>
            </w:r>
            <w:r>
              <w:rPr>
                <w:rFonts w:eastAsia="Verdana" w:cs="Verdana"/>
                <w:lang w:val="fr-BE" w:bidi="en-GB"/>
              </w:rPr>
              <w:t>32 642</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w:t>
            </w:r>
          </w:p>
        </w:tc>
      </w:tr>
      <w:tr w:rsidR="005D6812">
        <w:trPr>
          <w:cantSplit/>
        </w:trPr>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Cash and cash equivalents at year-end</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bidi="en-GB"/>
              </w:rPr>
              <w:t xml:space="preserve"> </w:t>
            </w:r>
            <w:r>
              <w:rPr>
                <w:rFonts w:eastAsia="Verdana" w:cs="Verdana"/>
                <w:lang w:val="fr-BE" w:bidi="en-GB"/>
              </w:rPr>
              <w:t>14 879</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val="fr-BE" w:bidi="en-GB"/>
              </w:rPr>
            </w:pPr>
            <w:r>
              <w:rPr>
                <w:rFonts w:eastAsia="Verdana" w:cs="Verdana"/>
                <w:lang w:val="fr-BE" w:bidi="en-GB"/>
              </w:rPr>
              <w:t xml:space="preserve"> 32 642</w:t>
            </w:r>
          </w:p>
        </w:tc>
      </w:tr>
    </w:tbl>
    <w:p w:rsidR="005D6812" w:rsidRDefault="00AB2A2B">
      <w:pPr>
        <w:pStyle w:val="Textstand-alone"/>
        <w:rPr>
          <w:lang w:val="fr-BE"/>
        </w:rPr>
        <w:sectPr w:rsidR="005D6812">
          <w:headerReference w:type="even" r:id="rId313"/>
          <w:headerReference w:type="default" r:id="rId314"/>
          <w:footerReference w:type="even" r:id="rId315"/>
          <w:footerReference w:type="default" r:id="rId316"/>
          <w:headerReference w:type="first" r:id="rId317"/>
          <w:footerReference w:type="first" r:id="rId318"/>
          <w:pgSz w:w="11906" w:h="16838"/>
          <w:pgMar w:top="1134" w:right="1134" w:bottom="1134" w:left="1134" w:header="708" w:footer="708" w:gutter="0"/>
          <w:cols w:space="708"/>
          <w:docGrid w:linePitch="360"/>
        </w:sectPr>
      </w:pPr>
      <w:r>
        <w:rPr>
          <w:lang w:val="fr-BE"/>
        </w:rPr>
        <w:t xml:space="preserve"> </w:t>
      </w:r>
      <w:bookmarkEnd w:id="341"/>
    </w:p>
    <w:p w:rsidR="005D6812" w:rsidRDefault="00AB2A2B">
      <w:pPr>
        <w:pStyle w:val="HEADERTITLE1"/>
      </w:pPr>
      <w:bookmarkStart w:id="343" w:name="_Toc484164251"/>
      <w:bookmarkStart w:id="344" w:name="_DMBM_10458"/>
      <w:r>
        <w:t>STATEMENT OF CHANGES IN NET ASSETS</w:t>
      </w:r>
      <w:bookmarkEnd w:id="343"/>
      <w:r>
        <w:t xml:space="preserve"> OF THE EUTF FOR AFRICA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551"/>
        <w:gridCol w:w="2552"/>
        <w:gridCol w:w="1417"/>
      </w:tblGrid>
      <w:tr w:rsidR="005D6812">
        <w:trPr>
          <w:cantSplit/>
        </w:trPr>
        <w:tc>
          <w:tcPr>
            <w:tcW w:w="322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345" w:name="DOC_TBL00058_1_1"/>
            <w:bookmarkEnd w:id="345"/>
          </w:p>
        </w:tc>
        <w:tc>
          <w:tcPr>
            <w:tcW w:w="2551" w:type="dxa"/>
            <w:tcBorders>
              <w:top w:val="nil"/>
              <w:left w:val="nil"/>
              <w:bottom w:val="nil"/>
              <w:right w:val="nil"/>
            </w:tcBorders>
            <w:shd w:val="clear" w:color="auto" w:fill="auto"/>
            <w:tcMar>
              <w:top w:w="0" w:type="dxa"/>
              <w:left w:w="108" w:type="dxa"/>
              <w:bottom w:w="0" w:type="dxa"/>
              <w:right w:w="108" w:type="dxa"/>
            </w:tcMar>
          </w:tcPr>
          <w:p w:rsidR="005D6812" w:rsidRDefault="005D6812">
            <w:pPr>
              <w:jc w:val="both"/>
              <w:rPr>
                <w:noProof/>
                <w:lang w:bidi="en-GB"/>
              </w:rPr>
            </w:pPr>
          </w:p>
        </w:tc>
        <w:tc>
          <w:tcPr>
            <w:tcW w:w="2552" w:type="dxa"/>
            <w:tcBorders>
              <w:top w:val="nil"/>
              <w:left w:val="nil"/>
              <w:bottom w:val="nil"/>
              <w:right w:val="nil"/>
            </w:tcBorders>
            <w:shd w:val="clear" w:color="auto" w:fill="auto"/>
            <w:tcMar>
              <w:top w:w="0" w:type="dxa"/>
              <w:left w:w="108" w:type="dxa"/>
              <w:bottom w:w="0" w:type="dxa"/>
              <w:right w:w="108" w:type="dxa"/>
            </w:tcMar>
          </w:tcPr>
          <w:p w:rsidR="005D6812" w:rsidRDefault="005D6812">
            <w:pPr>
              <w:jc w:val="both"/>
              <w:rPr>
                <w:noProof/>
                <w:lang w:bidi="en-GB"/>
              </w:rPr>
            </w:pP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bidi="en-GB"/>
              </w:rPr>
            </w:pPr>
            <w:r>
              <w:rPr>
                <w:rFonts w:eastAsia="Verdana" w:cs="Verdana"/>
                <w:lang w:bidi="en-GB"/>
              </w:rPr>
              <w:t>EUR '000</w:t>
            </w:r>
          </w:p>
        </w:tc>
      </w:tr>
      <w:tr w:rsidR="005D6812">
        <w:trPr>
          <w:cantSplit/>
        </w:trPr>
        <w:tc>
          <w:tcPr>
            <w:tcW w:w="3227"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Verdana" w:cs="Verdana"/>
                <w:lang w:bidi="en-GB"/>
              </w:rPr>
            </w:pPr>
          </w:p>
        </w:tc>
        <w:tc>
          <w:tcPr>
            <w:tcW w:w="2551"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Accumulated surplus/</w:t>
            </w:r>
          </w:p>
          <w:p w:rsidR="005D6812" w:rsidRDefault="00AB2A2B">
            <w:pPr>
              <w:pStyle w:val="Heading10pNormalRight025"/>
              <w:rPr>
                <w:rFonts w:eastAsia="Verdana" w:cs="Verdana"/>
                <w:lang w:bidi="en-GB"/>
              </w:rPr>
            </w:pPr>
            <w:r>
              <w:rPr>
                <w:rFonts w:eastAsia="Verdana" w:cs="Verdana"/>
                <w:lang w:bidi="en-GB"/>
              </w:rPr>
              <w:t>(deficit)</w:t>
            </w:r>
          </w:p>
        </w:tc>
        <w:tc>
          <w:tcPr>
            <w:tcW w:w="2552"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Economic result of the year</w:t>
            </w:r>
          </w:p>
        </w:tc>
        <w:tc>
          <w:tcPr>
            <w:tcW w:w="1417"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Net assets</w:t>
            </w:r>
          </w:p>
        </w:tc>
      </w:tr>
      <w:tr w:rsidR="005D6812">
        <w:trPr>
          <w:cantSplit/>
        </w:trPr>
        <w:tc>
          <w:tcPr>
            <w:tcW w:w="322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BALANCE AS AT 31.12.2015</w:t>
            </w:r>
          </w:p>
        </w:tc>
        <w:tc>
          <w:tcPr>
            <w:tcW w:w="255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c>
          <w:tcPr>
            <w:tcW w:w="255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c>
          <w:tcPr>
            <w:tcW w:w="141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r>
      <w:tr w:rsidR="005D6812">
        <w:trPr>
          <w:cantSplit/>
        </w:trPr>
        <w:tc>
          <w:tcPr>
            <w:tcW w:w="322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Economic result of the year</w:t>
            </w:r>
          </w:p>
        </w:tc>
        <w:tc>
          <w:tcPr>
            <w:tcW w:w="255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255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41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rPr>
          <w:cantSplit/>
        </w:trPr>
        <w:tc>
          <w:tcPr>
            <w:tcW w:w="322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 xml:space="preserve">BALANCE AS AT </w:t>
            </w:r>
            <w:r>
              <w:rPr>
                <w:rFonts w:eastAsia="Verdana" w:cs="Verdana"/>
                <w:lang w:bidi="en-GB"/>
              </w:rPr>
              <w:t>31.12.2016</w:t>
            </w:r>
          </w:p>
        </w:tc>
        <w:tc>
          <w:tcPr>
            <w:tcW w:w="255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c>
          <w:tcPr>
            <w:tcW w:w="255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c>
          <w:tcPr>
            <w:tcW w:w="141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w:t>
            </w:r>
          </w:p>
        </w:tc>
      </w:tr>
    </w:tbl>
    <w:p w:rsidR="005D6812" w:rsidRDefault="00AB2A2B">
      <w:pPr>
        <w:pStyle w:val="Textstand-alone"/>
        <w:sectPr w:rsidR="005D6812">
          <w:headerReference w:type="even" r:id="rId319"/>
          <w:headerReference w:type="default" r:id="rId320"/>
          <w:footerReference w:type="even" r:id="rId321"/>
          <w:footerReference w:type="default" r:id="rId322"/>
          <w:headerReference w:type="first" r:id="rId323"/>
          <w:footerReference w:type="first" r:id="rId324"/>
          <w:pgSz w:w="11906" w:h="16838"/>
          <w:pgMar w:top="1134" w:right="1418" w:bottom="1134" w:left="1418" w:header="709" w:footer="709" w:gutter="0"/>
          <w:cols w:space="708"/>
          <w:docGrid w:linePitch="360"/>
        </w:sectPr>
      </w:pPr>
      <w:r>
        <w:t xml:space="preserve"> </w:t>
      </w:r>
      <w:bookmarkEnd w:id="344"/>
    </w:p>
    <w:p w:rsidR="005D6812" w:rsidRDefault="005D6812">
      <w:pPr>
        <w:pStyle w:val="FinancialYear"/>
        <w:rPr>
          <w:noProof/>
        </w:rPr>
      </w:pPr>
      <w:bookmarkStart w:id="346" w:name="_DMBM_9497"/>
    </w:p>
    <w:p w:rsidR="005D6812" w:rsidRDefault="005D6812">
      <w:pPr>
        <w:pStyle w:val="FinancialYear"/>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AB2A2B">
      <w:pPr>
        <w:pStyle w:val="FIRSTCHAPTERPAGE1"/>
      </w:pPr>
      <w:bookmarkStart w:id="347" w:name="_Toc484164222"/>
      <w:bookmarkStart w:id="348" w:name="_Toc484164252"/>
      <w:r>
        <w:t>CONSOLIDATED FINANCIAL STATEMENTS OF THE EDF AND THE EU TRUST FUNDS</w:t>
      </w:r>
      <w:bookmarkEnd w:id="347"/>
      <w:bookmarkEnd w:id="348"/>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AB2A2B">
      <w:pPr>
        <w:pStyle w:val="TOPHEADERNOTE"/>
        <w:rPr>
          <w:noProof/>
        </w:rPr>
      </w:pPr>
      <w:r>
        <w:rPr>
          <w:noProof/>
        </w:rPr>
        <w:t>It should be noted that due to the rounding of</w:t>
      </w:r>
      <w:r>
        <w:rPr>
          <w:noProof/>
        </w:rPr>
        <w:t xml:space="preserve"> figures into millions of euros, some financial data in the tables may appear not to add-up.</w:t>
      </w:r>
    </w:p>
    <w:p w:rsidR="005D6812" w:rsidRDefault="00AB2A2B">
      <w:pPr>
        <w:pStyle w:val="TOPHEADERNOTE"/>
        <w:rPr>
          <w:noProof/>
        </w:rPr>
        <w:sectPr w:rsidR="005D6812">
          <w:headerReference w:type="even" r:id="rId325"/>
          <w:headerReference w:type="default" r:id="rId326"/>
          <w:footerReference w:type="even" r:id="rId327"/>
          <w:footerReference w:type="default" r:id="rId328"/>
          <w:headerReference w:type="first" r:id="rId329"/>
          <w:footerReference w:type="first" r:id="rId330"/>
          <w:pgSz w:w="11906" w:h="16838"/>
          <w:pgMar w:top="1134" w:right="1134" w:bottom="1134" w:left="1134" w:header="709" w:footer="709" w:gutter="0"/>
          <w:cols w:space="708"/>
          <w:docGrid w:linePitch="360"/>
        </w:sectPr>
      </w:pPr>
      <w:r>
        <w:rPr>
          <w:noProof/>
        </w:rPr>
        <w:t xml:space="preserve"> </w:t>
      </w:r>
      <w:bookmarkEnd w:id="346"/>
    </w:p>
    <w:p w:rsidR="005D6812" w:rsidRDefault="00AB2A2B">
      <w:pPr>
        <w:pStyle w:val="HEADERTITLE1"/>
        <w:rPr>
          <w:lang w:val="fr-BE"/>
        </w:rPr>
      </w:pPr>
      <w:bookmarkStart w:id="349" w:name="_Toc484164253"/>
      <w:bookmarkStart w:id="350" w:name="_DMBM_9522"/>
      <w:r>
        <w:rPr>
          <w:lang w:val="fr-BE"/>
        </w:rPr>
        <w:t>CONSOLIDATED BALANCE SHEET</w:t>
      </w:r>
      <w:bookmarkEnd w:id="349"/>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351" w:name="DOC_TBL00059_1_1"/>
            <w:bookmarkEnd w:id="351"/>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Heading10pNormalCentered"/>
              <w:rPr>
                <w:rFonts w:eastAsia="Verdana" w:cs="Verdana"/>
                <w:color w:val="auto"/>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bidi="en-GB"/>
              </w:rPr>
            </w:pPr>
            <w:r>
              <w:rPr>
                <w:rFonts w:eastAsia="Verdana" w:cs="Verdana"/>
                <w:lang w:bidi="en-GB"/>
              </w:rPr>
              <w:t xml:space="preserve"> EUR millions</w:t>
            </w:r>
          </w:p>
        </w:tc>
      </w:tr>
      <w:tr w:rsidR="005D6812">
        <w:tc>
          <w:tcPr>
            <w:tcW w:w="5637"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Verdana" w:cs="Verdana"/>
                <w:lang w:bidi="en-GB"/>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31.12.2016</w:t>
            </w:r>
          </w:p>
        </w:tc>
        <w:tc>
          <w:tcPr>
            <w:tcW w:w="1985"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31.12.2015</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NON-CURRENT ASSETS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Pre-financing</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457</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520</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Trust Fund contributions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Exchange receivables and non-exchange recoverables</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Text9pItalicBoldLeft"/>
              <w:rPr>
                <w:rFonts w:eastAsia="Verdana" w:cs="Verdana"/>
                <w:lang w:bidi="en-GB"/>
              </w:rPr>
            </w:pP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BoldRight025"/>
              <w:rPr>
                <w:rFonts w:eastAsia="Verdana" w:cs="Verdana"/>
                <w:lang w:bidi="en-GB"/>
              </w:rPr>
            </w:pPr>
            <w:r>
              <w:rPr>
                <w:rFonts w:eastAsia="Verdana" w:cs="Verdana"/>
                <w:lang w:bidi="en-GB"/>
              </w:rPr>
              <w:t>457</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BoldRight025"/>
              <w:rPr>
                <w:rFonts w:eastAsia="Verdana" w:cs="Verdana"/>
                <w:lang w:bidi="en-GB"/>
              </w:rPr>
            </w:pPr>
            <w:r>
              <w:rPr>
                <w:rFonts w:eastAsia="Verdana" w:cs="Verdana"/>
                <w:lang w:bidi="en-GB"/>
              </w:rPr>
              <w:t xml:space="preserve"> 520</w:t>
            </w:r>
          </w:p>
        </w:tc>
      </w:tr>
      <w:tr w:rsidR="005D6812">
        <w:tc>
          <w:tcPr>
            <w:tcW w:w="5637"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CURRENT ASSETS</w:t>
            </w: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c>
          <w:tcPr>
            <w:tcW w:w="1985"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Pre-financing</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1 455</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1 151</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 xml:space="preserve">Exchange receivables and non-exchange </w:t>
            </w:r>
            <w:r>
              <w:rPr>
                <w:rFonts w:eastAsia="Verdana" w:cs="Verdana"/>
                <w:lang w:bidi="en-GB"/>
              </w:rPr>
              <w:t>recoverables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143</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172</w:t>
            </w:r>
          </w:p>
        </w:tc>
      </w:tr>
      <w:tr w:rsidR="005D6812">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 xml:space="preserve">Cash and cash equivalents </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738</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589</w:t>
            </w:r>
          </w:p>
        </w:tc>
      </w:tr>
      <w:tr w:rsidR="005D6812">
        <w:tc>
          <w:tcPr>
            <w:tcW w:w="5637"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Text9pBoldLeft"/>
              <w:rPr>
                <w:rFonts w:eastAsia="Verdana" w:cs="Verdana"/>
                <w:lang w:bidi="en-GB"/>
              </w:rPr>
            </w:pP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2 336</w:t>
            </w:r>
          </w:p>
        </w:tc>
        <w:tc>
          <w:tcPr>
            <w:tcW w:w="1985"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1 912</w:t>
            </w:r>
          </w:p>
        </w:tc>
      </w:tr>
      <w:tr w:rsidR="005D6812">
        <w:tc>
          <w:tcPr>
            <w:tcW w:w="563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TOTAL ASSETS</w:t>
            </w:r>
          </w:p>
        </w:tc>
        <w:tc>
          <w:tcPr>
            <w:tcW w:w="212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2 794</w:t>
            </w:r>
          </w:p>
        </w:tc>
        <w:tc>
          <w:tcPr>
            <w:tcW w:w="198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2 432</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bidi="en-GB"/>
              </w:rPr>
            </w:pP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NON-CURRENT LIABILITIES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Provisions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(4)</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(4)</w:t>
            </w:r>
          </w:p>
        </w:tc>
      </w:tr>
      <w:tr w:rsidR="005D6812">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Financial liabilities</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(106)</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(72)</w:t>
            </w:r>
          </w:p>
        </w:tc>
      </w:tr>
      <w:tr w:rsidR="005D6812">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Text9pItalicBoldLeft"/>
              <w:rPr>
                <w:rFonts w:eastAsia="Verdana" w:cs="Verdana"/>
                <w:lang w:bidi="en-GB"/>
              </w:rPr>
            </w:pP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BoldRight025"/>
              <w:rPr>
                <w:rFonts w:eastAsia="Verdana" w:cs="Verdana"/>
                <w:lang w:bidi="en-GB"/>
              </w:rPr>
            </w:pPr>
            <w:r>
              <w:rPr>
                <w:rFonts w:eastAsia="Verdana" w:cs="Verdana"/>
                <w:lang w:bidi="en-GB"/>
              </w:rPr>
              <w:t xml:space="preserve"> (110)</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BoldRight025"/>
              <w:rPr>
                <w:rFonts w:eastAsia="Verdana" w:cs="Verdana"/>
                <w:lang w:bidi="en-GB"/>
              </w:rPr>
            </w:pPr>
            <w:r>
              <w:rPr>
                <w:rFonts w:eastAsia="Verdana" w:cs="Verdana"/>
                <w:lang w:bidi="en-GB"/>
              </w:rPr>
              <w:t xml:space="preserve"> (76)</w:t>
            </w:r>
          </w:p>
        </w:tc>
      </w:tr>
      <w:tr w:rsidR="005D6812">
        <w:tc>
          <w:tcPr>
            <w:tcW w:w="5637"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CURRENT LIABILITIES</w:t>
            </w: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c>
          <w:tcPr>
            <w:tcW w:w="1985"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Payables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(549)</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(520)</w:t>
            </w:r>
          </w:p>
        </w:tc>
      </w:tr>
      <w:tr w:rsidR="005D6812">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Accrued charges and deferred income</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(778)</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(855)</w:t>
            </w:r>
          </w:p>
        </w:tc>
      </w:tr>
      <w:tr w:rsidR="005D6812">
        <w:tc>
          <w:tcPr>
            <w:tcW w:w="5637"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Text9pBoldLeft"/>
              <w:rPr>
                <w:rFonts w:eastAsia="Verdana" w:cs="Verdana"/>
                <w:lang w:bidi="en-GB"/>
              </w:rPr>
            </w:pP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(1 327)</w:t>
            </w:r>
          </w:p>
        </w:tc>
        <w:tc>
          <w:tcPr>
            <w:tcW w:w="1985"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(1 376)</w:t>
            </w:r>
          </w:p>
        </w:tc>
      </w:tr>
      <w:tr w:rsidR="005D6812">
        <w:tc>
          <w:tcPr>
            <w:tcW w:w="563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TOTAL LIABILITIES</w:t>
            </w:r>
          </w:p>
        </w:tc>
        <w:tc>
          <w:tcPr>
            <w:tcW w:w="212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(1 437)</w:t>
            </w:r>
          </w:p>
        </w:tc>
        <w:tc>
          <w:tcPr>
            <w:tcW w:w="198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(1 451)</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bidi="en-GB"/>
              </w:rPr>
            </w:pP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p>
        </w:tc>
      </w:tr>
      <w:tr w:rsidR="005D6812">
        <w:tc>
          <w:tcPr>
            <w:tcW w:w="563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NET ASSETS</w:t>
            </w:r>
          </w:p>
        </w:tc>
        <w:tc>
          <w:tcPr>
            <w:tcW w:w="212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1 357</w:t>
            </w:r>
          </w:p>
        </w:tc>
        <w:tc>
          <w:tcPr>
            <w:tcW w:w="198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980</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bidi="en-GB"/>
              </w:rPr>
            </w:pP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FUNDS &amp; RESERVES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Called fund capital - active EDFs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42 323</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38 873</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Called fund capital from closed EDFs carried forward</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2 252</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2 252</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Called fund capital transfers between active EDFs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Economic result carried forward from previous years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(40 146)</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(36 994)</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Economic result of the year</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(3 073)</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(3 152)</w:t>
            </w:r>
          </w:p>
        </w:tc>
      </w:tr>
      <w:tr w:rsidR="005D6812">
        <w:tc>
          <w:tcPr>
            <w:tcW w:w="563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NET ASSETS</w:t>
            </w:r>
          </w:p>
        </w:tc>
        <w:tc>
          <w:tcPr>
            <w:tcW w:w="212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1 357</w:t>
            </w:r>
          </w:p>
        </w:tc>
        <w:tc>
          <w:tcPr>
            <w:tcW w:w="198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980</w:t>
            </w:r>
          </w:p>
        </w:tc>
      </w:tr>
    </w:tbl>
    <w:p w:rsidR="005D6812" w:rsidRDefault="00AB2A2B">
      <w:pPr>
        <w:pStyle w:val="Textstand-alone"/>
        <w:sectPr w:rsidR="005D6812">
          <w:headerReference w:type="even" r:id="rId331"/>
          <w:headerReference w:type="default" r:id="rId332"/>
          <w:footerReference w:type="even" r:id="rId333"/>
          <w:footerReference w:type="default" r:id="rId334"/>
          <w:headerReference w:type="first" r:id="rId335"/>
          <w:footerReference w:type="first" r:id="rId336"/>
          <w:pgSz w:w="11906" w:h="16838"/>
          <w:pgMar w:top="1134" w:right="1134" w:bottom="1134" w:left="1134" w:header="709" w:footer="709" w:gutter="0"/>
          <w:cols w:space="708"/>
          <w:docGrid w:linePitch="360"/>
        </w:sectPr>
      </w:pPr>
      <w:r>
        <w:t xml:space="preserve"> </w:t>
      </w:r>
      <w:bookmarkEnd w:id="350"/>
    </w:p>
    <w:p w:rsidR="005D6812" w:rsidRDefault="00AB2A2B">
      <w:pPr>
        <w:pStyle w:val="HEADERTITLE1"/>
        <w:rPr>
          <w:lang w:val="fr-BE"/>
        </w:rPr>
      </w:pPr>
      <w:bookmarkStart w:id="352" w:name="_Toc484164254"/>
      <w:bookmarkStart w:id="353" w:name="_DMBM_9460"/>
      <w:r>
        <w:rPr>
          <w:lang w:val="fr-BE"/>
        </w:rPr>
        <w:t>CONSOLIDATED STATEMENT OF FINANCIAL PERFORMANCE</w:t>
      </w:r>
      <w:bookmarkEnd w:id="352"/>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354" w:name="DOC_TBL00060_1_1"/>
            <w:bookmarkEnd w:id="354"/>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Heading10pNormalCentered"/>
              <w:rPr>
                <w:rFonts w:eastAsia="Verdana" w:cs="Verdana"/>
                <w:color w:val="auto"/>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bidi="en-GB"/>
              </w:rPr>
            </w:pPr>
            <w:r>
              <w:rPr>
                <w:rFonts w:eastAsia="Verdana" w:cs="Verdana"/>
                <w:lang w:bidi="en-GB"/>
              </w:rPr>
              <w:t>EUR millions</w:t>
            </w:r>
          </w:p>
        </w:tc>
      </w:tr>
      <w:tr w:rsidR="005D6812">
        <w:tc>
          <w:tcPr>
            <w:tcW w:w="5637"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Verdana" w:cs="Verdana"/>
                <w:lang w:bidi="en-GB"/>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2016</w:t>
            </w:r>
          </w:p>
        </w:tc>
        <w:tc>
          <w:tcPr>
            <w:tcW w:w="1985"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2015</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REVENUE</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Revenue from non-exchange transactions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Recovery of expenses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8</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90</w:t>
            </w:r>
          </w:p>
        </w:tc>
      </w:tr>
      <w:tr w:rsidR="005D6812">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 xml:space="preserve">Revenue from trust funds </w:t>
            </w:r>
            <w:r>
              <w:rPr>
                <w:rFonts w:eastAsia="Verdana" w:cs="Verdana"/>
                <w:lang w:bidi="en-GB"/>
              </w:rPr>
              <w:t>donations</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35</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4</w:t>
            </w:r>
          </w:p>
        </w:tc>
      </w:tr>
      <w:tr w:rsidR="005D6812">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Text9pItalicBoldLeft"/>
              <w:rPr>
                <w:rFonts w:eastAsia="Verdana" w:cs="Verdana"/>
                <w:lang w:bidi="en-GB"/>
              </w:rPr>
            </w:pP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BoldRight025"/>
              <w:rPr>
                <w:rFonts w:eastAsia="Verdana" w:cs="Verdana"/>
                <w:lang w:bidi="en-GB"/>
              </w:rPr>
            </w:pPr>
            <w:r>
              <w:rPr>
                <w:rFonts w:eastAsia="Verdana" w:cs="Verdana"/>
                <w:lang w:bidi="en-GB"/>
              </w:rPr>
              <w:t xml:space="preserve"> 43</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BoldRight025"/>
              <w:rPr>
                <w:rFonts w:eastAsia="Verdana" w:cs="Verdana"/>
                <w:lang w:bidi="en-GB"/>
              </w:rPr>
            </w:pPr>
            <w:r>
              <w:rPr>
                <w:rFonts w:eastAsia="Verdana" w:cs="Verdana"/>
                <w:lang w:bidi="en-GB"/>
              </w:rPr>
              <w:t xml:space="preserve"> 94</w:t>
            </w:r>
          </w:p>
        </w:tc>
      </w:tr>
      <w:tr w:rsidR="005D6812">
        <w:tc>
          <w:tcPr>
            <w:tcW w:w="5637"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Revenue from exchange transactions</w:t>
            </w: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c>
          <w:tcPr>
            <w:tcW w:w="1985"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Financial income</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4</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8</w:t>
            </w:r>
          </w:p>
        </w:tc>
      </w:tr>
      <w:tr w:rsidR="005D6812">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LeftIndented"/>
              <w:ind w:left="0"/>
              <w:rPr>
                <w:rFonts w:eastAsia="Verdana" w:cs="Verdana"/>
                <w:lang w:bidi="en-GB"/>
              </w:rPr>
            </w:pPr>
            <w:r>
              <w:rPr>
                <w:rFonts w:eastAsia="Verdana" w:cs="Verdana"/>
                <w:lang w:bidi="en-GB"/>
              </w:rPr>
              <w:t>Other income</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62</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42</w:t>
            </w:r>
          </w:p>
        </w:tc>
      </w:tr>
      <w:tr w:rsidR="005D6812">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5D6812">
            <w:pPr>
              <w:pStyle w:val="Text9pBoldLeft"/>
              <w:rPr>
                <w:rFonts w:eastAsia="Verdana" w:cs="Verdana"/>
                <w:lang w:bidi="en-GB"/>
              </w:rPr>
            </w:pP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b/>
                <w:i w:val="0"/>
                <w:lang w:bidi="en-GB"/>
              </w:rPr>
            </w:pPr>
            <w:r>
              <w:rPr>
                <w:rFonts w:eastAsia="Verdana" w:cs="Verdana"/>
                <w:b/>
                <w:i w:val="0"/>
                <w:lang w:bidi="en-GB"/>
              </w:rPr>
              <w:t xml:space="preserve"> 66</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b/>
                <w:i w:val="0"/>
                <w:lang w:bidi="en-GB"/>
              </w:rPr>
            </w:pPr>
            <w:r>
              <w:rPr>
                <w:rFonts w:eastAsia="Verdana" w:cs="Verdana"/>
                <w:b/>
                <w:i w:val="0"/>
                <w:lang w:bidi="en-GB"/>
              </w:rPr>
              <w:t xml:space="preserve"> 50</w:t>
            </w:r>
          </w:p>
        </w:tc>
      </w:tr>
      <w:tr w:rsidR="005D6812">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Total Revenue</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b/>
                <w:i w:val="0"/>
                <w:lang w:bidi="en-GB"/>
              </w:rPr>
            </w:pPr>
            <w:r>
              <w:rPr>
                <w:rFonts w:eastAsia="Verdana" w:cs="Verdana"/>
                <w:b/>
                <w:i w:val="0"/>
                <w:lang w:bidi="en-GB"/>
              </w:rPr>
              <w:t xml:space="preserve"> 108</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b/>
                <w:i w:val="0"/>
                <w:lang w:bidi="en-GB"/>
              </w:rPr>
            </w:pPr>
            <w:r>
              <w:rPr>
                <w:rFonts w:eastAsia="Verdana" w:cs="Verdana"/>
                <w:b/>
                <w:i w:val="0"/>
                <w:lang w:bidi="en-GB"/>
              </w:rPr>
              <w:t xml:space="preserve"> 144</w:t>
            </w:r>
          </w:p>
        </w:tc>
      </w:tr>
      <w:tr w:rsidR="005D6812">
        <w:tc>
          <w:tcPr>
            <w:tcW w:w="5637"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EXPENSES</w:t>
            </w: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c>
          <w:tcPr>
            <w:tcW w:w="1985"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Aid instruments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(2 935)</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(3 059)</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Co-financing expenses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15</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(69)</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Finance costs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4</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Expenses</w:t>
            </w:r>
            <w:r>
              <w:rPr>
                <w:rFonts w:eastAsia="Verdana" w:cs="Verdana"/>
                <w:lang w:bidi="en-GB"/>
              </w:rPr>
              <w:t xml:space="preserve"> implemented by trust funds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(65)</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(4)</w:t>
            </w:r>
          </w:p>
        </w:tc>
      </w:tr>
      <w:tr w:rsidR="005D6812">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Other expenses</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(200)</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(163)</w:t>
            </w:r>
          </w:p>
        </w:tc>
      </w:tr>
      <w:tr w:rsidR="005D6812">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Total Expenses</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b/>
                <w:i w:val="0"/>
                <w:lang w:bidi="en-GB"/>
              </w:rPr>
            </w:pPr>
            <w:r>
              <w:rPr>
                <w:rFonts w:eastAsia="Verdana" w:cs="Verdana"/>
                <w:b/>
                <w:i w:val="0"/>
                <w:lang w:bidi="en-GB"/>
              </w:rPr>
              <w:t>(3 181)</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b/>
                <w:i w:val="0"/>
                <w:lang w:bidi="en-GB"/>
              </w:rPr>
            </w:pPr>
            <w:r>
              <w:rPr>
                <w:rFonts w:eastAsia="Verdana" w:cs="Verdana"/>
                <w:b/>
                <w:i w:val="0"/>
                <w:lang w:bidi="en-GB"/>
              </w:rPr>
              <w:t>(3 296)</w:t>
            </w:r>
          </w:p>
        </w:tc>
      </w:tr>
      <w:tr w:rsidR="005D6812">
        <w:tc>
          <w:tcPr>
            <w:tcW w:w="5637"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bidi="en-GB"/>
              </w:rPr>
            </w:pP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p>
        </w:tc>
        <w:tc>
          <w:tcPr>
            <w:tcW w:w="1985" w:type="dxa"/>
            <w:tcBorders>
              <w:top w:val="single" w:sz="4" w:space="0" w:color="016794"/>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i w:val="0"/>
                <w:lang w:bidi="en-GB"/>
              </w:rPr>
            </w:pPr>
          </w:p>
        </w:tc>
      </w:tr>
      <w:tr w:rsidR="005D6812">
        <w:tc>
          <w:tcPr>
            <w:tcW w:w="563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ECONOMIC RESULT OF THE YEAR</w:t>
            </w:r>
          </w:p>
        </w:tc>
        <w:tc>
          <w:tcPr>
            <w:tcW w:w="212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(3 073)</w:t>
            </w:r>
          </w:p>
        </w:tc>
        <w:tc>
          <w:tcPr>
            <w:tcW w:w="198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(3 152)</w:t>
            </w:r>
          </w:p>
        </w:tc>
      </w:tr>
    </w:tbl>
    <w:p w:rsidR="005D6812" w:rsidRDefault="00AB2A2B">
      <w:pPr>
        <w:pStyle w:val="Textstand-alone"/>
        <w:sectPr w:rsidR="005D6812">
          <w:headerReference w:type="even" r:id="rId337"/>
          <w:headerReference w:type="default" r:id="rId338"/>
          <w:footerReference w:type="even" r:id="rId339"/>
          <w:footerReference w:type="default" r:id="rId340"/>
          <w:headerReference w:type="first" r:id="rId341"/>
          <w:footerReference w:type="first" r:id="rId342"/>
          <w:pgSz w:w="11906" w:h="16838"/>
          <w:pgMar w:top="1134" w:right="1134" w:bottom="1134" w:left="1134" w:header="709" w:footer="709" w:gutter="0"/>
          <w:cols w:space="708"/>
          <w:docGrid w:linePitch="360"/>
        </w:sectPr>
      </w:pPr>
      <w:r>
        <w:t xml:space="preserve"> </w:t>
      </w:r>
      <w:bookmarkEnd w:id="353"/>
    </w:p>
    <w:p w:rsidR="005D6812" w:rsidRDefault="00AB2A2B">
      <w:pPr>
        <w:pStyle w:val="HEADERTITLE1"/>
        <w:rPr>
          <w:lang w:val="fr-BE"/>
        </w:rPr>
      </w:pPr>
      <w:bookmarkStart w:id="355" w:name="_Toc484164255"/>
      <w:bookmarkStart w:id="356" w:name="_DMBM_9475"/>
      <w:r>
        <w:rPr>
          <w:lang w:val="fr-BE"/>
        </w:rPr>
        <w:t>CONSOLIDATED CASH FLOW STATEMENT</w:t>
      </w:r>
      <w:bookmarkEnd w:id="355"/>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357" w:name="DOC_TBL00061_1_1"/>
            <w:bookmarkEnd w:id="357"/>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Heading10pNormalCentered"/>
              <w:rPr>
                <w:rFonts w:eastAsia="Verdana" w:cs="Verdana"/>
                <w:color w:val="auto"/>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bidi="en-GB"/>
              </w:rPr>
            </w:pPr>
            <w:r>
              <w:rPr>
                <w:rFonts w:eastAsia="Verdana" w:cs="Verdana"/>
                <w:lang w:bidi="en-GB"/>
              </w:rPr>
              <w:t>EUR millions</w:t>
            </w:r>
          </w:p>
        </w:tc>
      </w:tr>
      <w:tr w:rsidR="005D6812">
        <w:tc>
          <w:tcPr>
            <w:tcW w:w="5637"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Verdana" w:cs="Verdana"/>
                <w:lang w:bidi="en-GB"/>
              </w:rPr>
            </w:pPr>
          </w:p>
        </w:tc>
        <w:tc>
          <w:tcPr>
            <w:tcW w:w="2126"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2016</w:t>
            </w:r>
          </w:p>
        </w:tc>
        <w:tc>
          <w:tcPr>
            <w:tcW w:w="1985"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2015</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Economic result of the year</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(3 073)</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(3 152)</w:t>
            </w:r>
          </w:p>
        </w:tc>
      </w:tr>
      <w:tr w:rsidR="005D6812">
        <w:tc>
          <w:tcPr>
            <w:tcW w:w="563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Operating activities</w:t>
            </w:r>
          </w:p>
        </w:tc>
        <w:tc>
          <w:tcPr>
            <w:tcW w:w="2126"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c>
          <w:tcPr>
            <w:tcW w:w="1985" w:type="dxa"/>
            <w:tcBorders>
              <w:top w:val="nil"/>
              <w:left w:val="nil"/>
              <w:bottom w:val="nil"/>
              <w:right w:val="nil"/>
            </w:tcBorders>
            <w:shd w:val="clear" w:color="auto" w:fill="CCE1EA"/>
            <w:tcMar>
              <w:top w:w="0" w:type="dxa"/>
              <w:left w:w="108" w:type="dxa"/>
              <w:bottom w:w="0" w:type="dxa"/>
              <w:right w:w="108" w:type="dxa"/>
            </w:tcMar>
          </w:tcPr>
          <w:p w:rsidR="005D6812" w:rsidRDefault="005D6812">
            <w:pPr>
              <w:pStyle w:val="Figures9pBoldRight025"/>
              <w:rPr>
                <w:rFonts w:eastAsia="Verdana" w:cs="Verdana"/>
                <w:lang w:bidi="en-GB"/>
              </w:rPr>
            </w:pP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Capital increase - contributions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3 450</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3 200</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(Increase)/decrease in trust funds contributions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(0)</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39</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(Increase)/decrease in pre-financing</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(242)</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204</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(Increase)/decrease in exchange receivables and non-exchange recoverables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29</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(43)</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Increase/(decrease) in provisions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4</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Increase/(decrease) in financial liabilities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34</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(7)</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 xml:space="preserve">Increase/(decrease) </w:t>
            </w:r>
            <w:r>
              <w:rPr>
                <w:rFonts w:eastAsia="Verdana" w:cs="Verdana"/>
                <w:lang w:bidi="en-GB"/>
              </w:rPr>
              <w:t>in payables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29</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(179)</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Increase/(decrease) in accrued charges and deferred income</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(78)</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132</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bidi="en-GB"/>
              </w:rPr>
            </w:pP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r>
      <w:tr w:rsidR="005D6812">
        <w:tc>
          <w:tcPr>
            <w:tcW w:w="5637"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BoldLeft"/>
              <w:rPr>
                <w:rFonts w:eastAsia="Verdana" w:cs="Verdana"/>
                <w:lang w:bidi="en-GB"/>
              </w:rPr>
            </w:pPr>
            <w:r>
              <w:rPr>
                <w:rFonts w:eastAsia="Verdana" w:cs="Verdana"/>
                <w:lang w:bidi="en-GB"/>
              </w:rPr>
              <w:t>NET CASHFLOW</w:t>
            </w:r>
          </w:p>
        </w:tc>
        <w:tc>
          <w:tcPr>
            <w:tcW w:w="212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149</w:t>
            </w:r>
          </w:p>
        </w:tc>
        <w:tc>
          <w:tcPr>
            <w:tcW w:w="198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198</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9pItalicLeft"/>
              <w:rPr>
                <w:rFonts w:eastAsia="Verdana" w:cs="Verdana"/>
                <w:lang w:bidi="en-GB"/>
              </w:rPr>
            </w:pP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Net increase/(decrease) in cash and cash equivalents</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149</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198</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Cash and cash equivalents at the beginning of the year</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589</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391</w:t>
            </w:r>
          </w:p>
        </w:tc>
      </w:tr>
      <w:tr w:rsidR="005D6812">
        <w:tc>
          <w:tcPr>
            <w:tcW w:w="5637"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Cash and cash equivalents at year-end</w:t>
            </w:r>
          </w:p>
        </w:tc>
        <w:tc>
          <w:tcPr>
            <w:tcW w:w="212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738</w:t>
            </w:r>
          </w:p>
        </w:tc>
        <w:tc>
          <w:tcPr>
            <w:tcW w:w="198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 xml:space="preserve">  589</w:t>
            </w:r>
          </w:p>
        </w:tc>
      </w:tr>
    </w:tbl>
    <w:p w:rsidR="005D6812" w:rsidRDefault="00AB2A2B">
      <w:pPr>
        <w:pStyle w:val="Textstand-alone"/>
        <w:sectPr w:rsidR="005D6812">
          <w:headerReference w:type="even" r:id="rId343"/>
          <w:headerReference w:type="default" r:id="rId344"/>
          <w:footerReference w:type="even" r:id="rId345"/>
          <w:footerReference w:type="default" r:id="rId346"/>
          <w:headerReference w:type="first" r:id="rId347"/>
          <w:footerReference w:type="first" r:id="rId348"/>
          <w:pgSz w:w="11906" w:h="16838"/>
          <w:pgMar w:top="1134" w:right="1134" w:bottom="1134" w:left="1134" w:header="708" w:footer="708" w:gutter="0"/>
          <w:cols w:space="708"/>
          <w:docGrid w:linePitch="360"/>
        </w:sectPr>
      </w:pPr>
      <w:r>
        <w:t xml:space="preserve"> </w:t>
      </w:r>
      <w:bookmarkEnd w:id="356"/>
    </w:p>
    <w:p w:rsidR="005D6812" w:rsidRDefault="00AB2A2B">
      <w:pPr>
        <w:pStyle w:val="HEADERTITLE1"/>
      </w:pPr>
      <w:bookmarkStart w:id="358" w:name="_Toc484164256"/>
      <w:bookmarkStart w:id="359" w:name="_DMBM_9482"/>
      <w:r>
        <w:t>CONSOLIDATED STATEMENT OF CHANGES IN NET ASSETS</w:t>
      </w:r>
      <w:bookmarkEnd w:id="358"/>
    </w:p>
    <w:p w:rsidR="005D6812" w:rsidRDefault="00AB2A2B">
      <w:pPr>
        <w:pStyle w:val="HEADERTABLE"/>
        <w:rPr>
          <w:noProof/>
        </w:rPr>
      </w:pPr>
      <w:r>
        <w:rPr>
          <w:noProof/>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701"/>
        <w:gridCol w:w="1701"/>
        <w:gridCol w:w="1701"/>
        <w:gridCol w:w="1701"/>
        <w:gridCol w:w="2055"/>
        <w:gridCol w:w="2056"/>
      </w:tblGrid>
      <w:tr w:rsidR="005D6812">
        <w:tc>
          <w:tcPr>
            <w:tcW w:w="3652"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Left"/>
              <w:rPr>
                <w:rFonts w:eastAsia="Verdana" w:cs="Verdana"/>
                <w:color w:val="FFFFFF"/>
                <w:lang w:bidi="en-GB"/>
              </w:rPr>
            </w:pPr>
            <w:bookmarkStart w:id="360" w:name="DOC_TBL00062_1_1"/>
            <w:bookmarkEnd w:id="360"/>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205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Text8pItalicRight025EUR"/>
              <w:rPr>
                <w:rFonts w:eastAsia="Verdana" w:cs="Verdana"/>
                <w:i w:val="0"/>
                <w:lang w:bidi="en-GB"/>
              </w:rPr>
            </w:pPr>
          </w:p>
        </w:tc>
        <w:tc>
          <w:tcPr>
            <w:tcW w:w="205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8pItalicRight025EUR"/>
              <w:rPr>
                <w:rFonts w:eastAsia="Verdana" w:cs="Verdana"/>
                <w:lang w:bidi="en-GB"/>
              </w:rPr>
            </w:pPr>
            <w:r>
              <w:rPr>
                <w:rFonts w:eastAsia="Verdana" w:cs="Verdana"/>
                <w:lang w:bidi="en-GB"/>
              </w:rPr>
              <w:t>EUR millions</w:t>
            </w:r>
          </w:p>
        </w:tc>
      </w:tr>
      <w:tr w:rsidR="005D6812" w:rsidRPr="00AB2A2B">
        <w:trPr>
          <w:trHeight w:val="437"/>
        </w:trPr>
        <w:tc>
          <w:tcPr>
            <w:tcW w:w="3652" w:type="dxa"/>
            <w:tcBorders>
              <w:top w:val="nil"/>
              <w:left w:val="nil"/>
              <w:bottom w:val="nil"/>
              <w:right w:val="nil"/>
            </w:tcBorders>
            <w:shd w:val="clear" w:color="auto" w:fill="016794"/>
            <w:tcMar>
              <w:top w:w="0" w:type="dxa"/>
              <w:left w:w="108" w:type="dxa"/>
              <w:bottom w:w="0" w:type="dxa"/>
              <w:right w:w="108" w:type="dxa"/>
            </w:tcMar>
          </w:tcPr>
          <w:p w:rsidR="005D6812" w:rsidRDefault="005D6812">
            <w:pPr>
              <w:pStyle w:val="Heading10pNormalLeft"/>
              <w:rPr>
                <w:rFonts w:eastAsia="Verdana" w:cs="Verdana"/>
                <w:lang w:bidi="en-GB"/>
              </w:rPr>
            </w:pPr>
          </w:p>
        </w:tc>
        <w:tc>
          <w:tcPr>
            <w:tcW w:w="1701"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Fund capital -</w:t>
            </w:r>
            <w:r>
              <w:rPr>
                <w:rFonts w:eastAsia="Verdana" w:cs="Verdana"/>
                <w:lang w:bidi="en-GB"/>
              </w:rPr>
              <w:t xml:space="preserve"> active EDFs (A)</w:t>
            </w:r>
          </w:p>
        </w:tc>
        <w:tc>
          <w:tcPr>
            <w:tcW w:w="1701"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Uncalled funds - active EDFs (B)</w:t>
            </w:r>
          </w:p>
        </w:tc>
        <w:tc>
          <w:tcPr>
            <w:tcW w:w="1701"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Called fund capital - active EDFs (C) = (A)-(B)</w:t>
            </w:r>
          </w:p>
        </w:tc>
        <w:tc>
          <w:tcPr>
            <w:tcW w:w="1701"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Cumulative Reserves (D)</w:t>
            </w:r>
          </w:p>
        </w:tc>
        <w:tc>
          <w:tcPr>
            <w:tcW w:w="2055"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bidi="en-GB"/>
              </w:rPr>
            </w:pPr>
            <w:r>
              <w:rPr>
                <w:rFonts w:eastAsia="Verdana" w:cs="Verdana"/>
                <w:lang w:bidi="en-GB"/>
              </w:rPr>
              <w:t>Called fund capital from closed EDFs carried forward (E)</w:t>
            </w:r>
          </w:p>
        </w:tc>
        <w:tc>
          <w:tcPr>
            <w:tcW w:w="2056" w:type="dxa"/>
            <w:tcBorders>
              <w:top w:val="nil"/>
              <w:left w:val="nil"/>
              <w:bottom w:val="nil"/>
              <w:right w:val="nil"/>
            </w:tcBorders>
            <w:shd w:val="clear" w:color="auto" w:fill="016794"/>
            <w:tcMar>
              <w:top w:w="0" w:type="dxa"/>
              <w:left w:w="108" w:type="dxa"/>
              <w:bottom w:w="0" w:type="dxa"/>
              <w:right w:w="108" w:type="dxa"/>
            </w:tcMar>
          </w:tcPr>
          <w:p w:rsidR="005D6812" w:rsidRDefault="00AB2A2B">
            <w:pPr>
              <w:pStyle w:val="Heading10pNormalRight025"/>
              <w:rPr>
                <w:rFonts w:eastAsia="Verdana" w:cs="Verdana"/>
                <w:lang w:val="fr-BE" w:bidi="en-GB"/>
              </w:rPr>
            </w:pPr>
            <w:r>
              <w:rPr>
                <w:rFonts w:eastAsia="Verdana" w:cs="Verdana"/>
                <w:lang w:val="fr-BE" w:bidi="en-GB"/>
              </w:rPr>
              <w:t>Total Net Assets (C)+(D)+(E)</w:t>
            </w:r>
          </w:p>
        </w:tc>
      </w:tr>
      <w:tr w:rsidR="005D6812">
        <w:tc>
          <w:tcPr>
            <w:tcW w:w="365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ItalicBoldLeft"/>
              <w:rPr>
                <w:rFonts w:eastAsia="Verdana" w:cs="Verdana"/>
                <w:lang w:bidi="en-GB"/>
              </w:rPr>
            </w:pPr>
            <w:r>
              <w:rPr>
                <w:rFonts w:eastAsia="Verdana" w:cs="Verdana"/>
                <w:lang w:bidi="en-GB"/>
              </w:rPr>
              <w:t>BALANCE AS AT 31.12.2014</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45 691</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10 018</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35 673</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(36 994)</w:t>
            </w:r>
          </w:p>
        </w:tc>
        <w:tc>
          <w:tcPr>
            <w:tcW w:w="205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2 252</w:t>
            </w:r>
          </w:p>
        </w:tc>
        <w:tc>
          <w:tcPr>
            <w:tcW w:w="205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932</w:t>
            </w:r>
          </w:p>
        </w:tc>
      </w:tr>
      <w:tr w:rsidR="005D6812">
        <w:tc>
          <w:tcPr>
            <w:tcW w:w="365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Capital increase -  contributions</w:t>
            </w: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(4 795)</w:t>
            </w: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4 795</w:t>
            </w: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205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205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4 795</w:t>
            </w:r>
          </w:p>
        </w:tc>
      </w:tr>
      <w:tr w:rsidR="005D6812">
        <w:tc>
          <w:tcPr>
            <w:tcW w:w="365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Capital decrease - funds committed under the Bridging Facility</w:t>
            </w: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(1 595)</w:t>
            </w: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(1 595)</w:t>
            </w: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205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205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(1 595)</w:t>
            </w:r>
          </w:p>
        </w:tc>
      </w:tr>
      <w:tr w:rsidR="005D6812">
        <w:tc>
          <w:tcPr>
            <w:tcW w:w="365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Recognition of the 11th EDF capital</w:t>
            </w: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29 367</w:t>
            </w: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29 367</w:t>
            </w: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205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205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r>
      <w:tr w:rsidR="005D6812">
        <w:tc>
          <w:tcPr>
            <w:tcW w:w="365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Economic result of the year</w:t>
            </w: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(3 152)</w:t>
            </w:r>
          </w:p>
        </w:tc>
        <w:tc>
          <w:tcPr>
            <w:tcW w:w="2055"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205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(3 152)</w:t>
            </w:r>
          </w:p>
        </w:tc>
      </w:tr>
      <w:tr w:rsidR="005D6812">
        <w:tc>
          <w:tcPr>
            <w:tcW w:w="365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ItalicBoldLeft"/>
              <w:rPr>
                <w:rFonts w:eastAsia="Verdana" w:cs="Verdana"/>
                <w:lang w:bidi="en-GB"/>
              </w:rPr>
            </w:pPr>
            <w:r>
              <w:rPr>
                <w:rFonts w:eastAsia="Verdana" w:cs="Verdana"/>
                <w:lang w:bidi="en-GB"/>
              </w:rPr>
              <w:t>BALANCE AS AT 31.12.2015</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73 464</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34 590</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38 874</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(40 146)</w:t>
            </w:r>
          </w:p>
        </w:tc>
        <w:tc>
          <w:tcPr>
            <w:tcW w:w="205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2 252</w:t>
            </w:r>
          </w:p>
        </w:tc>
        <w:tc>
          <w:tcPr>
            <w:tcW w:w="205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 xml:space="preserve"> 980</w:t>
            </w:r>
          </w:p>
        </w:tc>
      </w:tr>
      <w:tr w:rsidR="005D6812">
        <w:tc>
          <w:tcPr>
            <w:tcW w:w="365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Capital increase - contributions</w:t>
            </w: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(3 450)</w:t>
            </w: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3 450</w:t>
            </w: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205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205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3 450</w:t>
            </w:r>
          </w:p>
        </w:tc>
      </w:tr>
      <w:tr w:rsidR="005D6812">
        <w:tc>
          <w:tcPr>
            <w:tcW w:w="3652"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Text9pItalicLeft"/>
              <w:rPr>
                <w:rFonts w:eastAsia="Verdana" w:cs="Verdana"/>
                <w:lang w:bidi="en-GB"/>
              </w:rPr>
            </w:pPr>
            <w:r>
              <w:rPr>
                <w:rFonts w:eastAsia="Verdana" w:cs="Verdana"/>
                <w:lang w:bidi="en-GB"/>
              </w:rPr>
              <w:t>Economic result of the year</w:t>
            </w: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w:t>
            </w:r>
          </w:p>
        </w:tc>
        <w:tc>
          <w:tcPr>
            <w:tcW w:w="1701"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(3 073)</w:t>
            </w:r>
          </w:p>
        </w:tc>
        <w:tc>
          <w:tcPr>
            <w:tcW w:w="2055" w:type="dxa"/>
            <w:tcBorders>
              <w:top w:val="nil"/>
              <w:left w:val="nil"/>
              <w:bottom w:val="nil"/>
              <w:right w:val="nil"/>
            </w:tcBorders>
            <w:shd w:val="clear" w:color="auto" w:fill="auto"/>
            <w:tcMar>
              <w:top w:w="0" w:type="dxa"/>
              <w:left w:w="108" w:type="dxa"/>
              <w:bottom w:w="0" w:type="dxa"/>
              <w:right w:w="108" w:type="dxa"/>
            </w:tcMar>
          </w:tcPr>
          <w:p w:rsidR="005D6812" w:rsidRDefault="005D6812">
            <w:pPr>
              <w:pStyle w:val="Figures9pItalicRight025"/>
              <w:rPr>
                <w:rFonts w:eastAsia="Verdana" w:cs="Verdana"/>
                <w:lang w:bidi="en-GB"/>
              </w:rPr>
            </w:pPr>
          </w:p>
        </w:tc>
        <w:tc>
          <w:tcPr>
            <w:tcW w:w="2056" w:type="dxa"/>
            <w:tcBorders>
              <w:top w:val="nil"/>
              <w:left w:val="nil"/>
              <w:bottom w:val="nil"/>
              <w:right w:val="nil"/>
            </w:tcBorders>
            <w:shd w:val="clear" w:color="auto" w:fill="auto"/>
            <w:tcMar>
              <w:top w:w="0" w:type="dxa"/>
              <w:left w:w="108" w:type="dxa"/>
              <w:bottom w:w="0" w:type="dxa"/>
              <w:right w:w="108" w:type="dxa"/>
            </w:tcMar>
          </w:tcPr>
          <w:p w:rsidR="005D6812" w:rsidRDefault="00AB2A2B">
            <w:pPr>
              <w:pStyle w:val="Figures9pItalicRight025"/>
              <w:rPr>
                <w:rFonts w:eastAsia="Verdana" w:cs="Verdana"/>
                <w:lang w:bidi="en-GB"/>
              </w:rPr>
            </w:pPr>
            <w:r>
              <w:rPr>
                <w:rFonts w:eastAsia="Verdana" w:cs="Verdana"/>
                <w:lang w:bidi="en-GB"/>
              </w:rPr>
              <w:t>(3 073)</w:t>
            </w:r>
          </w:p>
        </w:tc>
      </w:tr>
      <w:tr w:rsidR="005D6812">
        <w:tc>
          <w:tcPr>
            <w:tcW w:w="3652"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Text9pItalicBoldLeft"/>
              <w:rPr>
                <w:rFonts w:eastAsia="Verdana" w:cs="Verdana"/>
                <w:lang w:bidi="en-GB"/>
              </w:rPr>
            </w:pPr>
            <w:r>
              <w:rPr>
                <w:rFonts w:eastAsia="Verdana" w:cs="Verdana"/>
                <w:lang w:bidi="en-GB"/>
              </w:rPr>
              <w:t>BALANCE AS AT 31.12.2016</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73 464</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31 140</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42 323</w:t>
            </w:r>
          </w:p>
        </w:tc>
        <w:tc>
          <w:tcPr>
            <w:tcW w:w="1701"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(43 219)</w:t>
            </w:r>
          </w:p>
        </w:tc>
        <w:tc>
          <w:tcPr>
            <w:tcW w:w="2055"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2</w:t>
            </w:r>
            <w:r>
              <w:rPr>
                <w:rFonts w:eastAsia="Verdana" w:cs="Verdana"/>
                <w:lang w:bidi="en-GB"/>
              </w:rPr>
              <w:t xml:space="preserve"> 252</w:t>
            </w:r>
          </w:p>
        </w:tc>
        <w:tc>
          <w:tcPr>
            <w:tcW w:w="2056" w:type="dxa"/>
            <w:tcBorders>
              <w:top w:val="nil"/>
              <w:left w:val="nil"/>
              <w:bottom w:val="nil"/>
              <w:right w:val="nil"/>
            </w:tcBorders>
            <w:shd w:val="clear" w:color="auto" w:fill="CCE1EA"/>
            <w:tcMar>
              <w:top w:w="0" w:type="dxa"/>
              <w:left w:w="108" w:type="dxa"/>
              <w:bottom w:w="0" w:type="dxa"/>
              <w:right w:w="108" w:type="dxa"/>
            </w:tcMar>
          </w:tcPr>
          <w:p w:rsidR="005D6812" w:rsidRDefault="00AB2A2B">
            <w:pPr>
              <w:pStyle w:val="Figures9pBoldRight025"/>
              <w:rPr>
                <w:rFonts w:eastAsia="Verdana" w:cs="Verdana"/>
                <w:lang w:bidi="en-GB"/>
              </w:rPr>
            </w:pPr>
            <w:r>
              <w:rPr>
                <w:rFonts w:eastAsia="Verdana" w:cs="Verdana"/>
                <w:lang w:bidi="en-GB"/>
              </w:rPr>
              <w:t>1 357</w:t>
            </w:r>
          </w:p>
        </w:tc>
      </w:tr>
    </w:tbl>
    <w:p w:rsidR="005D6812" w:rsidRDefault="00AB2A2B">
      <w:pPr>
        <w:pStyle w:val="Textstand-alone"/>
        <w:sectPr w:rsidR="005D6812">
          <w:headerReference w:type="even" r:id="rId349"/>
          <w:headerReference w:type="default" r:id="rId350"/>
          <w:footerReference w:type="even" r:id="rId351"/>
          <w:footerReference w:type="default" r:id="rId352"/>
          <w:headerReference w:type="first" r:id="rId353"/>
          <w:footerReference w:type="first" r:id="rId354"/>
          <w:pgSz w:w="16838" w:h="11906" w:orient="landscape"/>
          <w:pgMar w:top="1134" w:right="1134" w:bottom="1134" w:left="1134" w:header="708" w:footer="708" w:gutter="0"/>
          <w:cols w:space="708"/>
          <w:docGrid w:linePitch="360"/>
        </w:sectPr>
      </w:pPr>
      <w:r>
        <w:t xml:space="preserve"> </w:t>
      </w:r>
      <w:bookmarkEnd w:id="359"/>
    </w:p>
    <w:p w:rsidR="005D6812" w:rsidRDefault="005D6812">
      <w:pPr>
        <w:pStyle w:val="FinancialYear"/>
        <w:rPr>
          <w:noProof/>
          <w:lang w:val="fr-BE"/>
        </w:rPr>
      </w:pPr>
      <w:bookmarkStart w:id="361" w:name="_DMBM_9435"/>
    </w:p>
    <w:p w:rsidR="005D6812" w:rsidRDefault="005D6812">
      <w:pPr>
        <w:pStyle w:val="FinancialYear"/>
        <w:rPr>
          <w:noProof/>
          <w:lang w:val="fr-BE"/>
        </w:rPr>
      </w:pPr>
    </w:p>
    <w:p w:rsidR="005D6812" w:rsidRDefault="005D6812">
      <w:pPr>
        <w:pStyle w:val="FIRSTCHAPTERPAGE1"/>
        <w:rPr>
          <w:lang w:val="fr-BE"/>
        </w:rPr>
      </w:pPr>
    </w:p>
    <w:p w:rsidR="005D6812" w:rsidRDefault="005D6812">
      <w:pPr>
        <w:pStyle w:val="FIRSTCHAPTERPAGE1"/>
        <w:rPr>
          <w:lang w:val="fr-BE"/>
        </w:rPr>
      </w:pPr>
    </w:p>
    <w:p w:rsidR="005D6812" w:rsidRDefault="005D6812">
      <w:pPr>
        <w:pStyle w:val="FIRSTCHAPTERPAGE1"/>
        <w:rPr>
          <w:lang w:val="fr-BE"/>
        </w:rPr>
      </w:pPr>
    </w:p>
    <w:p w:rsidR="005D6812" w:rsidRDefault="005D6812">
      <w:pPr>
        <w:pStyle w:val="FIRSTCHAPTERPAGE1"/>
        <w:rPr>
          <w:lang w:val="fr-BE"/>
        </w:rPr>
      </w:pPr>
    </w:p>
    <w:p w:rsidR="005D6812" w:rsidRDefault="00AB2A2B">
      <w:pPr>
        <w:pStyle w:val="FIRSTCHAPTERPAGE1"/>
        <w:rPr>
          <w:lang w:val="fr-BE"/>
        </w:rPr>
      </w:pPr>
      <w:bookmarkStart w:id="362" w:name="_Toc484164223"/>
      <w:bookmarkStart w:id="363" w:name="_Toc484164257"/>
      <w:r>
        <w:rPr>
          <w:lang w:val="fr-BE"/>
        </w:rPr>
        <w:t>EDF REPORT ON FINANCIAL IMPLEMENTATION</w:t>
      </w:r>
      <w:bookmarkEnd w:id="362"/>
      <w:bookmarkEnd w:id="363"/>
    </w:p>
    <w:p w:rsidR="005D6812" w:rsidRDefault="005D6812">
      <w:pPr>
        <w:pStyle w:val="FIRSTCHAPTERPAGE1"/>
        <w:rPr>
          <w:lang w:val="fr-BE"/>
        </w:rPr>
      </w:pPr>
    </w:p>
    <w:p w:rsidR="005D6812" w:rsidRDefault="005D6812">
      <w:pPr>
        <w:pStyle w:val="FIRSTCHAPTERPAGE1"/>
        <w:rPr>
          <w:lang w:val="fr-BE"/>
        </w:rPr>
      </w:pPr>
    </w:p>
    <w:p w:rsidR="005D6812" w:rsidRDefault="005D6812">
      <w:pPr>
        <w:pStyle w:val="FIRSTCHAPTERPAGE1"/>
        <w:rPr>
          <w:lang w:val="fr-BE"/>
        </w:rPr>
      </w:pPr>
    </w:p>
    <w:p w:rsidR="005D6812" w:rsidRDefault="00AB2A2B">
      <w:pPr>
        <w:pStyle w:val="Textstand-alone"/>
        <w:sectPr w:rsidR="005D6812">
          <w:headerReference w:type="even" r:id="rId355"/>
          <w:headerReference w:type="default" r:id="rId356"/>
          <w:footerReference w:type="even" r:id="rId357"/>
          <w:footerReference w:type="default" r:id="rId358"/>
          <w:headerReference w:type="first" r:id="rId359"/>
          <w:footerReference w:type="first" r:id="rId360"/>
          <w:pgSz w:w="11906" w:h="16838"/>
          <w:pgMar w:top="1134" w:right="1134" w:bottom="1134" w:left="1134" w:header="709" w:footer="709" w:gutter="0"/>
          <w:cols w:space="708"/>
          <w:docGrid w:linePitch="360"/>
        </w:sectPr>
      </w:pPr>
      <w:r>
        <w:t xml:space="preserve"> </w:t>
      </w:r>
      <w:bookmarkEnd w:id="361"/>
    </w:p>
    <w:p w:rsidR="005D6812" w:rsidRDefault="00AB2A2B">
      <w:pPr>
        <w:keepNext/>
        <w:tabs>
          <w:tab w:val="left" w:pos="850"/>
        </w:tabs>
        <w:spacing w:before="360" w:after="120"/>
        <w:jc w:val="both"/>
        <w:outlineLvl w:val="0"/>
        <w:rPr>
          <w:rFonts w:ascii="Verdana" w:hAnsi="Verdana"/>
          <w:b/>
          <w:smallCaps/>
          <w:noProof/>
          <w:sz w:val="20"/>
          <w:szCs w:val="20"/>
        </w:rPr>
      </w:pPr>
      <w:bookmarkStart w:id="364" w:name="_DMBM_9512"/>
      <w:r>
        <w:rPr>
          <w:rFonts w:ascii="Verdana" w:hAnsi="Verdana"/>
          <w:b/>
          <w:smallCaps/>
          <w:noProof/>
          <w:sz w:val="20"/>
          <w:szCs w:val="20"/>
        </w:rPr>
        <w:t>REPORT ON FINANCIAL IMPLEMENTATION - 2016</w:t>
      </w:r>
    </w:p>
    <w:p w:rsidR="005D6812" w:rsidRDefault="00AB2A2B">
      <w:pPr>
        <w:rPr>
          <w:rFonts w:ascii="Verdana" w:hAnsi="Verdana"/>
          <w:noProof/>
          <w:sz w:val="20"/>
          <w:szCs w:val="20"/>
        </w:rPr>
      </w:pPr>
      <w:r>
        <w:rPr>
          <w:rFonts w:ascii="Verdana" w:hAnsi="Verdana"/>
          <w:b/>
          <w:noProof/>
          <w:sz w:val="20"/>
          <w:szCs w:val="20"/>
        </w:rPr>
        <w:t>INTRODUCTORY NOTE</w:t>
      </w:r>
    </w:p>
    <w:p w:rsidR="005D6812" w:rsidRDefault="00AB2A2B">
      <w:pPr>
        <w:rPr>
          <w:rFonts w:ascii="Verdana" w:hAnsi="Verdana"/>
          <w:b/>
          <w:noProof/>
          <w:sz w:val="18"/>
          <w:szCs w:val="18"/>
          <w:u w:val="single"/>
        </w:rPr>
      </w:pPr>
      <w:r>
        <w:rPr>
          <w:rFonts w:ascii="Verdana" w:hAnsi="Verdana"/>
          <w:b/>
          <w:noProof/>
          <w:sz w:val="18"/>
          <w:szCs w:val="18"/>
          <w:u w:val="single"/>
        </w:rPr>
        <w:t>Previous EDFs</w:t>
      </w:r>
    </w:p>
    <w:p w:rsidR="005D6812" w:rsidRDefault="00AB2A2B">
      <w:pPr>
        <w:numPr>
          <w:ilvl w:val="0"/>
          <w:numId w:val="21"/>
        </w:numPr>
        <w:tabs>
          <w:tab w:val="num" w:pos="566"/>
        </w:tabs>
        <w:spacing w:before="120" w:after="120"/>
        <w:ind w:left="568" w:hanging="284"/>
        <w:jc w:val="both"/>
        <w:rPr>
          <w:rFonts w:ascii="Verdana" w:hAnsi="Verdana"/>
          <w:noProof/>
          <w:sz w:val="18"/>
          <w:szCs w:val="18"/>
          <w:lang w:eastAsia="de-DE"/>
        </w:rPr>
      </w:pPr>
      <w:r>
        <w:rPr>
          <w:rFonts w:ascii="Verdana" w:hAnsi="Verdana"/>
          <w:noProof/>
          <w:sz w:val="18"/>
          <w:szCs w:val="18"/>
          <w:lang w:eastAsia="de-DE"/>
        </w:rPr>
        <w:t>As the Sixth</w:t>
      </w:r>
      <w:r>
        <w:rPr>
          <w:rFonts w:ascii="Verdana" w:hAnsi="Verdana"/>
          <w:b/>
          <w:noProof/>
          <w:sz w:val="18"/>
          <w:szCs w:val="18"/>
          <w:lang w:eastAsia="de-DE"/>
        </w:rPr>
        <w:t xml:space="preserve"> </w:t>
      </w:r>
      <w:r>
        <w:rPr>
          <w:rFonts w:ascii="Verdana" w:hAnsi="Verdana"/>
          <w:noProof/>
          <w:sz w:val="18"/>
          <w:szCs w:val="18"/>
          <w:lang w:eastAsia="de-DE"/>
        </w:rPr>
        <w:t>EDF was closed in 2006 and the Seventh EDF was closed in 2008, the annual accounts no longer contain implementation tables for these EDFs.</w:t>
      </w:r>
      <w:r>
        <w:rPr>
          <w:rFonts w:ascii="Verdana" w:hAnsi="Verdana"/>
          <w:noProof/>
          <w:sz w:val="18"/>
          <w:szCs w:val="18"/>
          <w:lang w:eastAsia="de-DE"/>
        </w:rPr>
        <w:t xml:space="preserve"> However, implementation of the transferred balances can be found in the Ninth EDF.</w:t>
      </w:r>
    </w:p>
    <w:p w:rsidR="005D6812" w:rsidRDefault="00AB2A2B">
      <w:pPr>
        <w:numPr>
          <w:ilvl w:val="0"/>
          <w:numId w:val="21"/>
        </w:numPr>
        <w:tabs>
          <w:tab w:val="num" w:pos="283"/>
        </w:tabs>
        <w:spacing w:before="120" w:after="120"/>
        <w:ind w:left="566"/>
        <w:jc w:val="both"/>
        <w:rPr>
          <w:rFonts w:ascii="Verdana" w:hAnsi="Verdana"/>
          <w:noProof/>
          <w:sz w:val="18"/>
          <w:szCs w:val="18"/>
          <w:lang w:eastAsia="de-DE"/>
        </w:rPr>
      </w:pPr>
      <w:r>
        <w:rPr>
          <w:rFonts w:ascii="Verdana" w:hAnsi="Verdana"/>
          <w:noProof/>
          <w:sz w:val="18"/>
          <w:szCs w:val="18"/>
          <w:lang w:eastAsia="de-DE"/>
        </w:rPr>
        <w:t>As in past years, to ensure transparency in the presentation of the accounts for 2016, the tables set out separately for the Eighth EDF the part used for Lomé Convention pr</w:t>
      </w:r>
      <w:r>
        <w:rPr>
          <w:rFonts w:ascii="Verdana" w:hAnsi="Verdana"/>
          <w:noProof/>
          <w:sz w:val="18"/>
          <w:szCs w:val="18"/>
          <w:lang w:eastAsia="de-DE"/>
        </w:rPr>
        <w:t>ogramming and the part used for programming under the Cotonou Agreement.</w:t>
      </w:r>
    </w:p>
    <w:p w:rsidR="005D6812" w:rsidRDefault="00AB2A2B">
      <w:pPr>
        <w:numPr>
          <w:ilvl w:val="0"/>
          <w:numId w:val="21"/>
        </w:numPr>
        <w:tabs>
          <w:tab w:val="num" w:pos="566"/>
        </w:tabs>
        <w:spacing w:before="120" w:after="120"/>
        <w:ind w:left="566"/>
        <w:jc w:val="both"/>
        <w:rPr>
          <w:rFonts w:ascii="Verdana" w:hAnsi="Verdana"/>
          <w:noProof/>
          <w:sz w:val="18"/>
          <w:szCs w:val="18"/>
          <w:lang w:eastAsia="de-DE"/>
        </w:rPr>
      </w:pPr>
      <w:r>
        <w:rPr>
          <w:rFonts w:ascii="Verdana" w:hAnsi="Verdana"/>
          <w:noProof/>
          <w:sz w:val="18"/>
          <w:szCs w:val="18"/>
          <w:lang w:eastAsia="de-DE"/>
        </w:rPr>
        <w:t>In accordance with Article 1(2)(b) of the Internal Agreement of the Ninth</w:t>
      </w:r>
      <w:r>
        <w:rPr>
          <w:rFonts w:ascii="Verdana" w:hAnsi="Verdana"/>
          <w:b/>
          <w:noProof/>
          <w:sz w:val="18"/>
          <w:szCs w:val="18"/>
          <w:lang w:eastAsia="de-DE"/>
        </w:rPr>
        <w:t xml:space="preserve"> </w:t>
      </w:r>
      <w:r>
        <w:rPr>
          <w:rFonts w:ascii="Verdana" w:hAnsi="Verdana"/>
          <w:noProof/>
          <w:sz w:val="18"/>
          <w:szCs w:val="18"/>
          <w:lang w:eastAsia="de-DE"/>
        </w:rPr>
        <w:t>EDF, balances and decommitments of previous EDFs have been transferred to the Ninth EDF, and, during the life</w:t>
      </w:r>
      <w:r>
        <w:rPr>
          <w:rFonts w:ascii="Verdana" w:hAnsi="Verdana"/>
          <w:noProof/>
          <w:sz w:val="18"/>
          <w:szCs w:val="18"/>
          <w:lang w:eastAsia="de-DE"/>
        </w:rPr>
        <w:t xml:space="preserve"> ot the Ninth EDF, have been committed as Ninth EDF funds.</w:t>
      </w:r>
    </w:p>
    <w:p w:rsidR="005D6812" w:rsidRDefault="005D6812">
      <w:pPr>
        <w:spacing w:before="120" w:after="120"/>
        <w:ind w:left="283"/>
        <w:jc w:val="both"/>
        <w:rPr>
          <w:rFonts w:ascii="Verdana" w:hAnsi="Verdana"/>
          <w:noProof/>
          <w:sz w:val="18"/>
          <w:szCs w:val="18"/>
          <w:lang w:eastAsia="de-DE"/>
        </w:rPr>
      </w:pPr>
    </w:p>
    <w:p w:rsidR="005D6812" w:rsidRDefault="00AB2A2B">
      <w:pPr>
        <w:rPr>
          <w:rFonts w:ascii="Verdana" w:hAnsi="Verdana"/>
          <w:b/>
          <w:noProof/>
          <w:sz w:val="18"/>
          <w:szCs w:val="18"/>
          <w:u w:val="single"/>
        </w:rPr>
      </w:pPr>
      <w:r>
        <w:rPr>
          <w:rFonts w:ascii="Verdana" w:hAnsi="Verdana"/>
          <w:b/>
          <w:noProof/>
          <w:sz w:val="18"/>
          <w:szCs w:val="18"/>
          <w:u w:val="single"/>
        </w:rPr>
        <w:t>10th EDF</w:t>
      </w:r>
    </w:p>
    <w:p w:rsidR="005D6812" w:rsidRDefault="00AB2A2B">
      <w:pPr>
        <w:spacing w:before="120" w:after="120"/>
        <w:jc w:val="both"/>
        <w:rPr>
          <w:rFonts w:ascii="Verdana" w:hAnsi="Verdana"/>
          <w:noProof/>
          <w:sz w:val="18"/>
          <w:szCs w:val="18"/>
        </w:rPr>
      </w:pPr>
      <w:r>
        <w:rPr>
          <w:rFonts w:ascii="Verdana" w:hAnsi="Verdana"/>
          <w:noProof/>
          <w:sz w:val="18"/>
          <w:szCs w:val="18"/>
        </w:rPr>
        <w:t>The ACP-EC Partnership Agreement signed on 23 June 2000 in Cotonou by the Member States of the European Community and the States of Africa, the Caribbean and the Pacific (ACP States) ente</w:t>
      </w:r>
      <w:r>
        <w:rPr>
          <w:rFonts w:ascii="Verdana" w:hAnsi="Verdana"/>
          <w:noProof/>
          <w:sz w:val="18"/>
          <w:szCs w:val="18"/>
        </w:rPr>
        <w:t>red into force on 1 April 2003. The Cotonou Agreement was amended twice, firstly by the agreement signed in Luxembourg on 25 June 2005, secondly by the agreement signed in Ouagadougou on 22 june 2010.</w:t>
      </w:r>
    </w:p>
    <w:p w:rsidR="005D6812" w:rsidRDefault="00AB2A2B">
      <w:pPr>
        <w:spacing w:before="120" w:after="120"/>
        <w:jc w:val="both"/>
        <w:rPr>
          <w:rFonts w:ascii="Verdana" w:hAnsi="Verdana"/>
          <w:noProof/>
          <w:sz w:val="18"/>
          <w:szCs w:val="18"/>
        </w:rPr>
      </w:pPr>
      <w:r>
        <w:rPr>
          <w:rFonts w:ascii="Verdana" w:hAnsi="Verdana"/>
          <w:noProof/>
          <w:sz w:val="18"/>
          <w:szCs w:val="18"/>
        </w:rPr>
        <w:t>The EU Council Decision of 27 November 2001 (2001/822/E</w:t>
      </w:r>
      <w:r>
        <w:rPr>
          <w:rFonts w:ascii="Verdana" w:hAnsi="Verdana"/>
          <w:noProof/>
          <w:sz w:val="18"/>
          <w:szCs w:val="18"/>
        </w:rPr>
        <w:t>C) on the association of the overseas countries and territories (OCT) with the European Union entered into force on 2 December 2001. This Decision was amended on 19 March 2007 (Decision 2007/249/EC).</w:t>
      </w:r>
    </w:p>
    <w:p w:rsidR="005D6812" w:rsidRDefault="00AB2A2B">
      <w:pPr>
        <w:spacing w:before="120" w:after="120"/>
        <w:jc w:val="both"/>
        <w:rPr>
          <w:rFonts w:ascii="Verdana" w:hAnsi="Verdana"/>
          <w:noProof/>
          <w:sz w:val="18"/>
          <w:szCs w:val="18"/>
        </w:rPr>
      </w:pPr>
      <w:r>
        <w:rPr>
          <w:rFonts w:ascii="Verdana" w:hAnsi="Verdana"/>
          <w:noProof/>
          <w:sz w:val="18"/>
          <w:szCs w:val="18"/>
        </w:rPr>
        <w:t>The Internal Agreement on the financing of Community aid</w:t>
      </w:r>
      <w:r>
        <w:rPr>
          <w:rFonts w:ascii="Verdana" w:hAnsi="Verdana"/>
          <w:noProof/>
          <w:sz w:val="18"/>
          <w:szCs w:val="18"/>
        </w:rPr>
        <w:t xml:space="preserve"> under the multiannual financial framework for the period 2008-2013 in accordance with the revised Cotonou Agreement, adopted by the Representatives of the Governments of the Member States of the European Community on 17 July 2006, entered into force on 1 </w:t>
      </w:r>
      <w:r>
        <w:rPr>
          <w:rFonts w:ascii="Verdana" w:hAnsi="Verdana"/>
          <w:noProof/>
          <w:sz w:val="18"/>
          <w:szCs w:val="18"/>
        </w:rPr>
        <w:t>July 2008.</w:t>
      </w:r>
    </w:p>
    <w:p w:rsidR="005D6812" w:rsidRDefault="00AB2A2B">
      <w:pPr>
        <w:spacing w:before="120" w:after="120"/>
        <w:jc w:val="both"/>
        <w:rPr>
          <w:rFonts w:ascii="Verdana" w:hAnsi="Verdana"/>
          <w:noProof/>
          <w:sz w:val="18"/>
          <w:szCs w:val="18"/>
        </w:rPr>
      </w:pPr>
      <w:r>
        <w:rPr>
          <w:rFonts w:ascii="Verdana" w:hAnsi="Verdana"/>
          <w:noProof/>
          <w:sz w:val="18"/>
          <w:szCs w:val="18"/>
        </w:rPr>
        <w:t>Under the Cotonou Agreement, the second period (2008-2013) of Community aid to the ACP States and OCTs is funded by the 10th EDF for an amount of EUR 22 682 million, of which:</w:t>
      </w:r>
    </w:p>
    <w:p w:rsidR="005D6812" w:rsidRDefault="00AB2A2B">
      <w:pPr>
        <w:numPr>
          <w:ilvl w:val="0"/>
          <w:numId w:val="21"/>
        </w:numPr>
        <w:tabs>
          <w:tab w:val="num" w:pos="566"/>
        </w:tabs>
        <w:spacing w:before="120" w:after="120"/>
        <w:ind w:left="566"/>
        <w:jc w:val="both"/>
        <w:rPr>
          <w:rFonts w:ascii="Verdana" w:hAnsi="Verdana"/>
          <w:noProof/>
          <w:sz w:val="18"/>
          <w:szCs w:val="18"/>
        </w:rPr>
      </w:pPr>
      <w:r>
        <w:rPr>
          <w:rFonts w:ascii="Verdana" w:hAnsi="Verdana"/>
          <w:noProof/>
          <w:sz w:val="18"/>
          <w:szCs w:val="18"/>
        </w:rPr>
        <w:t>EUR 21 966 million is allocated to the ACP countries in accordance wi</w:t>
      </w:r>
      <w:r>
        <w:rPr>
          <w:rFonts w:ascii="Verdana" w:hAnsi="Verdana"/>
          <w:noProof/>
          <w:sz w:val="18"/>
          <w:szCs w:val="18"/>
        </w:rPr>
        <w:t>th the multiannual financial framework set out in Annex Ib to the revised Cotonou Agreement, of which EUR 20 466 million is managed by the European Commission;</w:t>
      </w:r>
    </w:p>
    <w:p w:rsidR="005D6812" w:rsidRDefault="00AB2A2B">
      <w:pPr>
        <w:numPr>
          <w:ilvl w:val="0"/>
          <w:numId w:val="21"/>
        </w:numPr>
        <w:tabs>
          <w:tab w:val="num" w:pos="283"/>
        </w:tabs>
        <w:spacing w:before="120" w:after="120"/>
        <w:ind w:left="566"/>
        <w:jc w:val="both"/>
        <w:rPr>
          <w:rFonts w:ascii="Verdana" w:hAnsi="Verdana"/>
          <w:noProof/>
          <w:sz w:val="18"/>
          <w:szCs w:val="18"/>
        </w:rPr>
      </w:pPr>
      <w:r>
        <w:rPr>
          <w:rFonts w:ascii="Verdana" w:hAnsi="Verdana"/>
          <w:noProof/>
          <w:sz w:val="18"/>
          <w:szCs w:val="18"/>
        </w:rPr>
        <w:t>EUR 286 million is allocated to the OCTs in accordance with Annex IIAa of the revised Council De</w:t>
      </w:r>
      <w:r>
        <w:rPr>
          <w:rFonts w:ascii="Verdana" w:hAnsi="Verdana"/>
          <w:noProof/>
          <w:sz w:val="18"/>
          <w:szCs w:val="18"/>
        </w:rPr>
        <w:t>cision on the association of the OCTs with the European Community, of which 256 million is managed by the European Commission;</w:t>
      </w:r>
    </w:p>
    <w:p w:rsidR="005D6812" w:rsidRDefault="00AB2A2B">
      <w:pPr>
        <w:numPr>
          <w:ilvl w:val="0"/>
          <w:numId w:val="21"/>
        </w:numPr>
        <w:tabs>
          <w:tab w:val="num" w:pos="283"/>
        </w:tabs>
        <w:spacing w:before="120" w:after="120"/>
        <w:ind w:left="566"/>
        <w:jc w:val="both"/>
        <w:rPr>
          <w:rFonts w:ascii="Verdana" w:hAnsi="Verdana"/>
          <w:noProof/>
          <w:sz w:val="18"/>
          <w:szCs w:val="18"/>
        </w:rPr>
      </w:pPr>
      <w:r>
        <w:rPr>
          <w:rFonts w:ascii="Verdana" w:hAnsi="Verdana"/>
          <w:noProof/>
          <w:sz w:val="18"/>
          <w:szCs w:val="18"/>
        </w:rPr>
        <w:t>EUR 430 million is for the Commission to finance the costs arising from the programming and implementation of 10th EDF resources,</w:t>
      </w:r>
      <w:r>
        <w:rPr>
          <w:rFonts w:ascii="Verdana" w:hAnsi="Verdana"/>
          <w:noProof/>
          <w:sz w:val="18"/>
          <w:szCs w:val="18"/>
        </w:rPr>
        <w:t xml:space="preserve"> in accordance with Article 6 of the Internal Agreement.</w:t>
      </w:r>
    </w:p>
    <w:p w:rsidR="005D6812" w:rsidRDefault="00AB2A2B">
      <w:pPr>
        <w:spacing w:before="100" w:beforeAutospacing="1" w:after="100" w:afterAutospacing="1"/>
        <w:jc w:val="both"/>
        <w:rPr>
          <w:rFonts w:ascii="Verdana" w:hAnsi="Verdana"/>
          <w:noProof/>
          <w:sz w:val="18"/>
          <w:szCs w:val="18"/>
        </w:rPr>
      </w:pPr>
      <w:r>
        <w:rPr>
          <w:rFonts w:ascii="Verdana" w:hAnsi="Verdana"/>
          <w:noProof/>
          <w:sz w:val="18"/>
          <w:szCs w:val="18"/>
        </w:rPr>
        <w:t>According to the "</w:t>
      </w:r>
      <w:r>
        <w:rPr>
          <w:rFonts w:ascii="Verdana" w:hAnsi="Verdana"/>
          <w:b/>
          <w:noProof/>
          <w:sz w:val="18"/>
          <w:szCs w:val="18"/>
        </w:rPr>
        <w:t>Sunset clause</w:t>
      </w:r>
      <w:r>
        <w:rPr>
          <w:rFonts w:ascii="Verdana" w:hAnsi="Verdana"/>
          <w:noProof/>
          <w:sz w:val="18"/>
          <w:szCs w:val="18"/>
        </w:rPr>
        <w:t xml:space="preserve">" of the 10th EDF, (Articles 1(4) and 1(5) of the 10th EDF Internal Agreement) no funds could be committed after 31 December 2013. Uncommitted funds were transferred to the 11th EDF performance reserve. </w:t>
      </w:r>
    </w:p>
    <w:p w:rsidR="005D6812" w:rsidRDefault="005D6812">
      <w:pPr>
        <w:rPr>
          <w:rFonts w:ascii="Verdana" w:hAnsi="Verdana"/>
          <w:b/>
          <w:i/>
          <w:noProof/>
          <w:sz w:val="18"/>
          <w:szCs w:val="18"/>
          <w:lang w:eastAsia="de-DE"/>
        </w:rPr>
      </w:pPr>
    </w:p>
    <w:p w:rsidR="005D6812" w:rsidRDefault="00AB2A2B">
      <w:pPr>
        <w:rPr>
          <w:rFonts w:ascii="Verdana" w:hAnsi="Verdana"/>
          <w:b/>
          <w:noProof/>
          <w:sz w:val="18"/>
          <w:szCs w:val="18"/>
          <w:u w:val="single"/>
        </w:rPr>
      </w:pPr>
      <w:r>
        <w:rPr>
          <w:rFonts w:ascii="Verdana" w:hAnsi="Verdana"/>
          <w:b/>
          <w:noProof/>
          <w:sz w:val="18"/>
          <w:szCs w:val="18"/>
          <w:u w:val="single"/>
        </w:rPr>
        <w:br w:type="page"/>
        <w:t>11th EDF</w:t>
      </w:r>
    </w:p>
    <w:p w:rsidR="005D6812" w:rsidRDefault="00AB2A2B">
      <w:pPr>
        <w:spacing w:before="120" w:after="120"/>
        <w:jc w:val="both"/>
        <w:rPr>
          <w:rFonts w:ascii="Verdana" w:hAnsi="Verdana"/>
          <w:noProof/>
          <w:sz w:val="18"/>
          <w:szCs w:val="18"/>
        </w:rPr>
      </w:pPr>
      <w:r>
        <w:rPr>
          <w:rFonts w:ascii="Verdana" w:hAnsi="Verdana"/>
          <w:noProof/>
          <w:sz w:val="18"/>
          <w:szCs w:val="18"/>
        </w:rPr>
        <w:t xml:space="preserve">The ACP-EC Partnership Agreement signed </w:t>
      </w:r>
      <w:r>
        <w:rPr>
          <w:rFonts w:ascii="Verdana" w:hAnsi="Verdana"/>
          <w:noProof/>
          <w:sz w:val="18"/>
          <w:szCs w:val="18"/>
        </w:rPr>
        <w:t>on 23 June 2000 in Cotonou by the Member States of the European Community and the States of Africa, the Caribbean and the Pacific (ACP States) entered into force on 1 April 2003. The Cotonou Agreement was amended twice, firstly by the agreement signed in L</w:t>
      </w:r>
      <w:r>
        <w:rPr>
          <w:rFonts w:ascii="Verdana" w:hAnsi="Verdana"/>
          <w:noProof/>
          <w:sz w:val="18"/>
          <w:szCs w:val="18"/>
        </w:rPr>
        <w:t>uxembourg on 25 June 2005, secondly by the agreement signed in Ouagadougou on 22 june 2010.</w:t>
      </w:r>
    </w:p>
    <w:p w:rsidR="005D6812" w:rsidRDefault="00AB2A2B">
      <w:pPr>
        <w:spacing w:before="120" w:after="120"/>
        <w:jc w:val="both"/>
        <w:rPr>
          <w:rFonts w:ascii="Verdana" w:hAnsi="Verdana"/>
          <w:noProof/>
          <w:sz w:val="18"/>
          <w:szCs w:val="18"/>
        </w:rPr>
      </w:pPr>
      <w:r>
        <w:rPr>
          <w:rFonts w:ascii="Verdana" w:hAnsi="Verdana"/>
          <w:noProof/>
          <w:sz w:val="18"/>
          <w:szCs w:val="18"/>
        </w:rPr>
        <w:t>The EU Council Decision of 27 November 2001 (2001/822/EC) on the association of the overseas countries and territories (OCT) with the European Union entered into fo</w:t>
      </w:r>
      <w:r>
        <w:rPr>
          <w:rFonts w:ascii="Verdana" w:hAnsi="Verdana"/>
          <w:noProof/>
          <w:sz w:val="18"/>
          <w:szCs w:val="18"/>
        </w:rPr>
        <w:t>rce on 2 December 2001. This Decision was amended on 19 March 2007 (Decision 2007/249/EC).</w:t>
      </w:r>
    </w:p>
    <w:p w:rsidR="005D6812" w:rsidRDefault="00AB2A2B">
      <w:pPr>
        <w:spacing w:before="120" w:after="120"/>
        <w:jc w:val="both"/>
        <w:rPr>
          <w:rFonts w:ascii="Verdana" w:hAnsi="Verdana"/>
          <w:noProof/>
          <w:sz w:val="18"/>
          <w:szCs w:val="18"/>
        </w:rPr>
      </w:pPr>
      <w:r>
        <w:rPr>
          <w:rFonts w:ascii="Verdana" w:hAnsi="Verdana"/>
          <w:noProof/>
          <w:sz w:val="18"/>
          <w:szCs w:val="18"/>
        </w:rPr>
        <w:t>The Internal Agreement on the financing of Community aid under the multiannual financial framework for the period 2014-2020 in accordance with the revised Cotonou Ag</w:t>
      </w:r>
      <w:r>
        <w:rPr>
          <w:rFonts w:ascii="Verdana" w:hAnsi="Verdana"/>
          <w:noProof/>
          <w:sz w:val="18"/>
          <w:szCs w:val="18"/>
        </w:rPr>
        <w:t>reement, adopted by the Representatives of the Governments of the Member States of the European Community on August 2013, entered into force on March 2015.</w:t>
      </w:r>
    </w:p>
    <w:p w:rsidR="005D6812" w:rsidRDefault="00AB2A2B">
      <w:pPr>
        <w:spacing w:before="120" w:after="120"/>
        <w:jc w:val="both"/>
        <w:rPr>
          <w:rFonts w:ascii="Verdana" w:hAnsi="Verdana"/>
          <w:noProof/>
          <w:sz w:val="18"/>
          <w:szCs w:val="18"/>
        </w:rPr>
      </w:pPr>
      <w:r>
        <w:rPr>
          <w:rFonts w:ascii="Verdana" w:hAnsi="Verdana"/>
          <w:noProof/>
          <w:sz w:val="18"/>
          <w:szCs w:val="18"/>
        </w:rPr>
        <w:t>Under the Cotonou Agreement, the third period (2014-2020) of Community aid to the ACP States and OCT</w:t>
      </w:r>
      <w:r>
        <w:rPr>
          <w:rFonts w:ascii="Verdana" w:hAnsi="Verdana"/>
          <w:noProof/>
          <w:sz w:val="18"/>
          <w:szCs w:val="18"/>
        </w:rPr>
        <w:t>s is funded by the 11th EDF for an amount of EUR 30 506 million, of which:</w:t>
      </w:r>
    </w:p>
    <w:p w:rsidR="005D6812" w:rsidRDefault="00AB2A2B">
      <w:pPr>
        <w:numPr>
          <w:ilvl w:val="0"/>
          <w:numId w:val="21"/>
        </w:numPr>
        <w:tabs>
          <w:tab w:val="num" w:pos="566"/>
        </w:tabs>
        <w:spacing w:before="120" w:after="120"/>
        <w:ind w:left="566"/>
        <w:jc w:val="both"/>
        <w:rPr>
          <w:rFonts w:ascii="Verdana" w:hAnsi="Verdana"/>
          <w:noProof/>
          <w:sz w:val="18"/>
          <w:szCs w:val="18"/>
        </w:rPr>
      </w:pPr>
      <w:r>
        <w:rPr>
          <w:rFonts w:ascii="Verdana" w:hAnsi="Verdana"/>
          <w:noProof/>
          <w:sz w:val="18"/>
          <w:szCs w:val="18"/>
        </w:rPr>
        <w:t>EUR 29 089 million is allocated to the ACP countries in accordance with Article 1(2)(a) and Article 2(d) of the Internal Agreement, of which EUR 27 955 million is managed by the Eur</w:t>
      </w:r>
      <w:r>
        <w:rPr>
          <w:rFonts w:ascii="Verdana" w:hAnsi="Verdana"/>
          <w:noProof/>
          <w:sz w:val="18"/>
          <w:szCs w:val="18"/>
        </w:rPr>
        <w:t>opean Commission;</w:t>
      </w:r>
    </w:p>
    <w:p w:rsidR="005D6812" w:rsidRDefault="00AB2A2B">
      <w:pPr>
        <w:numPr>
          <w:ilvl w:val="0"/>
          <w:numId w:val="21"/>
        </w:numPr>
        <w:tabs>
          <w:tab w:val="num" w:pos="283"/>
        </w:tabs>
        <w:spacing w:before="120" w:after="120"/>
        <w:ind w:left="566"/>
        <w:jc w:val="both"/>
        <w:rPr>
          <w:rFonts w:ascii="Verdana" w:hAnsi="Verdana"/>
          <w:noProof/>
          <w:sz w:val="18"/>
          <w:szCs w:val="18"/>
        </w:rPr>
      </w:pPr>
      <w:r>
        <w:rPr>
          <w:rFonts w:ascii="Verdana" w:hAnsi="Verdana"/>
          <w:noProof/>
          <w:sz w:val="18"/>
          <w:szCs w:val="18"/>
        </w:rPr>
        <w:t>EUR 364.5 million is allocated to the OCTs in accordance with Article 1(2)(a) and Article 3(1) of the Internal Agreement, of which 359.5 million is managed by the European Commission;</w:t>
      </w:r>
    </w:p>
    <w:p w:rsidR="005D6812" w:rsidRDefault="00AB2A2B">
      <w:pPr>
        <w:numPr>
          <w:ilvl w:val="0"/>
          <w:numId w:val="21"/>
        </w:numPr>
        <w:tabs>
          <w:tab w:val="num" w:pos="283"/>
        </w:tabs>
        <w:spacing w:before="120" w:after="120"/>
        <w:ind w:left="566"/>
        <w:jc w:val="both"/>
        <w:rPr>
          <w:rFonts w:ascii="Verdana" w:hAnsi="Verdana"/>
          <w:noProof/>
          <w:sz w:val="18"/>
          <w:szCs w:val="18"/>
        </w:rPr>
      </w:pPr>
      <w:r>
        <w:rPr>
          <w:rFonts w:ascii="Verdana" w:hAnsi="Verdana"/>
          <w:noProof/>
          <w:sz w:val="18"/>
          <w:szCs w:val="18"/>
        </w:rPr>
        <w:t>EUR 1 052.5 million is for the Commission to finance t</w:t>
      </w:r>
      <w:r>
        <w:rPr>
          <w:rFonts w:ascii="Verdana" w:hAnsi="Verdana"/>
          <w:noProof/>
          <w:sz w:val="18"/>
          <w:szCs w:val="18"/>
        </w:rPr>
        <w:t>he costs arising from the programming and implementation of 11th EDF resources, in accordance with Article 1(2)(a) of the Internal Agreement.</w:t>
      </w:r>
    </w:p>
    <w:p w:rsidR="005D6812" w:rsidRDefault="005D6812">
      <w:pPr>
        <w:spacing w:before="120" w:after="120"/>
        <w:jc w:val="both"/>
        <w:rPr>
          <w:noProof/>
          <w:lang w:val="en-US"/>
        </w:rPr>
      </w:pPr>
    </w:p>
    <w:p w:rsidR="005D6812" w:rsidRDefault="00AB2A2B">
      <w:pPr>
        <w:tabs>
          <w:tab w:val="left" w:pos="720"/>
        </w:tabs>
        <w:spacing w:before="120" w:after="120"/>
        <w:jc w:val="both"/>
        <w:rPr>
          <w:rFonts w:ascii="Verdana" w:hAnsi="Verdana"/>
          <w:b/>
          <w:i/>
          <w:noProof/>
          <w:sz w:val="18"/>
          <w:szCs w:val="18"/>
          <w:lang w:eastAsia="de-DE"/>
        </w:rPr>
      </w:pPr>
      <w:r>
        <w:rPr>
          <w:rFonts w:ascii="Verdana" w:hAnsi="Verdana"/>
          <w:b/>
          <w:i/>
          <w:noProof/>
          <w:sz w:val="18"/>
          <w:szCs w:val="18"/>
          <w:lang w:eastAsia="de-DE"/>
        </w:rPr>
        <w:t>- Remaining funds on non-mobilisable performance reserves at 31/12/2016</w:t>
      </w:r>
    </w:p>
    <w:p w:rsidR="005D6812" w:rsidRDefault="00AB2A2B">
      <w:pPr>
        <w:spacing w:before="120" w:after="120"/>
        <w:jc w:val="both"/>
        <w:rPr>
          <w:rFonts w:ascii="Verdana" w:hAnsi="Verdana"/>
          <w:noProof/>
          <w:sz w:val="18"/>
          <w:szCs w:val="18"/>
        </w:rPr>
      </w:pPr>
      <w:r>
        <w:rPr>
          <w:rFonts w:ascii="Verdana" w:hAnsi="Verdana"/>
          <w:noProof/>
          <w:sz w:val="18"/>
          <w:szCs w:val="18"/>
        </w:rPr>
        <w:t>The amounts decommitted from projects und</w:t>
      </w:r>
      <w:r>
        <w:rPr>
          <w:rFonts w:ascii="Verdana" w:hAnsi="Verdana"/>
          <w:noProof/>
          <w:sz w:val="18"/>
          <w:szCs w:val="18"/>
        </w:rPr>
        <w:t>er the Ninth and previous EDFs are transferred to the performance reserve of the 10th EDF, with the exception of Stabex funds.</w:t>
      </w:r>
    </w:p>
    <w:p w:rsidR="005D6812" w:rsidRDefault="00AB2A2B">
      <w:pPr>
        <w:spacing w:before="120" w:after="120"/>
        <w:jc w:val="both"/>
        <w:rPr>
          <w:rFonts w:ascii="Verdana" w:hAnsi="Verdana"/>
          <w:noProof/>
          <w:sz w:val="18"/>
          <w:szCs w:val="18"/>
        </w:rPr>
      </w:pPr>
      <w:r>
        <w:rPr>
          <w:rFonts w:ascii="Verdana" w:hAnsi="Verdana"/>
          <w:noProof/>
          <w:sz w:val="18"/>
          <w:szCs w:val="18"/>
        </w:rPr>
        <w:t>The decommited funds from projects under the 10th EDF are transferred to the performance reserve of the 11th EDF.</w:t>
      </w:r>
    </w:p>
    <w:p w:rsidR="005D6812" w:rsidRDefault="00AB2A2B">
      <w:pPr>
        <w:spacing w:before="120" w:after="120"/>
        <w:jc w:val="both"/>
        <w:rPr>
          <w:rFonts w:ascii="Verdana" w:hAnsi="Verdana"/>
          <w:noProof/>
          <w:sz w:val="18"/>
          <w:szCs w:val="18"/>
        </w:rPr>
      </w:pPr>
      <w:r>
        <w:rPr>
          <w:rFonts w:ascii="Verdana" w:hAnsi="Verdana"/>
          <w:noProof/>
          <w:sz w:val="18"/>
          <w:szCs w:val="18"/>
        </w:rPr>
        <w:t>During 2016, al</w:t>
      </w:r>
      <w:r>
        <w:rPr>
          <w:rFonts w:ascii="Verdana" w:hAnsi="Verdana"/>
          <w:noProof/>
          <w:sz w:val="18"/>
          <w:szCs w:val="18"/>
        </w:rPr>
        <w:t xml:space="preserve">l decommitted funds from previous EDFs were transferred to the respective reserves. </w:t>
      </w:r>
    </w:p>
    <w:p w:rsidR="005D6812" w:rsidRDefault="00AB2A2B">
      <w:pPr>
        <w:spacing w:before="120" w:after="120"/>
        <w:jc w:val="both"/>
        <w:rPr>
          <w:rFonts w:ascii="Verdana" w:hAnsi="Verdana"/>
          <w:noProof/>
          <w:sz w:val="18"/>
          <w:szCs w:val="18"/>
          <w:lang w:val="en-US"/>
        </w:rPr>
      </w:pPr>
      <w:r>
        <w:rPr>
          <w:rFonts w:ascii="Verdana" w:hAnsi="Verdana"/>
          <w:noProof/>
          <w:sz w:val="18"/>
          <w:szCs w:val="18"/>
          <w:lang w:val="en-US"/>
        </w:rPr>
        <w:t xml:space="preserve">In accordance with article 1(4) of the 11th EDF Internal Agreement and the Council Decision of 2 August 2016 (2016/1337), an amount of decommitted funds from the 10th EDF </w:t>
      </w:r>
      <w:r>
        <w:rPr>
          <w:rFonts w:ascii="Verdana" w:hAnsi="Verdana"/>
          <w:noProof/>
          <w:sz w:val="18"/>
          <w:szCs w:val="18"/>
          <w:lang w:val="en-US"/>
        </w:rPr>
        <w:t xml:space="preserve">was transferred for the purpose of replenishing the African Peace Facility for the period 2016-2018 up to a maximum of EUR 491 million and up to EUR 16 million for support of expenditure. </w:t>
      </w:r>
    </w:p>
    <w:p w:rsidR="005D6812" w:rsidRDefault="00AB2A2B">
      <w:pPr>
        <w:ind w:left="6946" w:right="140"/>
        <w:jc w:val="center"/>
        <w:rPr>
          <w:rFonts w:ascii="Verdana" w:hAnsi="Verdana"/>
          <w:noProof/>
          <w:sz w:val="18"/>
          <w:szCs w:val="18"/>
        </w:rPr>
      </w:pPr>
      <w:r>
        <w:rPr>
          <w:rFonts w:ascii="Verdana" w:hAnsi="Verdana" w:cs="Arial"/>
          <w:noProof/>
          <w:sz w:val="18"/>
          <w:szCs w:val="18"/>
        </w:rPr>
        <w:t>EUR millions</w:t>
      </w:r>
    </w:p>
    <w:tbl>
      <w:tblPr>
        <w:tblW w:w="8895" w:type="dxa"/>
        <w:tblInd w:w="93" w:type="dxa"/>
        <w:tblLook w:val="04A0" w:firstRow="1" w:lastRow="0" w:firstColumn="1" w:lastColumn="0" w:noHBand="0" w:noVBand="1"/>
      </w:tblPr>
      <w:tblGrid>
        <w:gridCol w:w="7335"/>
        <w:gridCol w:w="1560"/>
      </w:tblGrid>
      <w:tr w:rsidR="005D6812">
        <w:trPr>
          <w:trHeight w:val="255"/>
        </w:trPr>
        <w:tc>
          <w:tcPr>
            <w:tcW w:w="7335" w:type="dxa"/>
            <w:tcBorders>
              <w:top w:val="single" w:sz="4" w:space="0" w:color="auto"/>
              <w:left w:val="single" w:sz="4" w:space="0" w:color="auto"/>
              <w:bottom w:val="single" w:sz="4" w:space="0" w:color="auto"/>
              <w:right w:val="single" w:sz="4" w:space="0" w:color="auto"/>
            </w:tcBorders>
            <w:noWrap/>
            <w:vAlign w:val="bottom"/>
          </w:tcPr>
          <w:p w:rsidR="005D6812" w:rsidRDefault="00AB2A2B">
            <w:pPr>
              <w:spacing w:after="120"/>
              <w:rPr>
                <w:rFonts w:ascii="Verdana" w:hAnsi="Verdana" w:cs="Arial"/>
                <w:noProof/>
                <w:sz w:val="18"/>
                <w:szCs w:val="18"/>
                <w:lang w:val="fr-BE"/>
              </w:rPr>
            </w:pPr>
            <w:r>
              <w:rPr>
                <w:rFonts w:ascii="Verdana" w:hAnsi="Verdana" w:cs="Arial"/>
                <w:noProof/>
                <w:sz w:val="18"/>
                <w:szCs w:val="18"/>
                <w:lang w:val="fr-BE"/>
              </w:rPr>
              <w:t xml:space="preserve">Total available on non-mobilisable performance </w:t>
            </w:r>
            <w:r>
              <w:rPr>
                <w:rFonts w:ascii="Verdana" w:hAnsi="Verdana" w:cs="Arial"/>
                <w:noProof/>
                <w:sz w:val="18"/>
                <w:szCs w:val="18"/>
                <w:lang w:val="fr-BE"/>
              </w:rPr>
              <w:t>reserves at 31/12/2015</w:t>
            </w:r>
          </w:p>
        </w:tc>
        <w:tc>
          <w:tcPr>
            <w:tcW w:w="1560" w:type="dxa"/>
            <w:tcBorders>
              <w:top w:val="single" w:sz="4" w:space="0" w:color="auto"/>
              <w:left w:val="nil"/>
              <w:bottom w:val="single" w:sz="4" w:space="0" w:color="auto"/>
              <w:right w:val="single" w:sz="4" w:space="0" w:color="auto"/>
            </w:tcBorders>
            <w:noWrap/>
            <w:vAlign w:val="bottom"/>
          </w:tcPr>
          <w:p w:rsidR="005D6812" w:rsidRDefault="00AB2A2B">
            <w:pPr>
              <w:spacing w:after="120"/>
              <w:jc w:val="right"/>
              <w:rPr>
                <w:rFonts w:ascii="Verdana" w:hAnsi="Verdana" w:cs="Arial"/>
                <w:noProof/>
                <w:sz w:val="18"/>
                <w:szCs w:val="18"/>
                <w:lang w:val="fr-BE"/>
              </w:rPr>
            </w:pPr>
            <w:r>
              <w:rPr>
                <w:rFonts w:ascii="Verdana" w:hAnsi="Verdana" w:cs="Arial"/>
                <w:noProof/>
                <w:sz w:val="18"/>
                <w:szCs w:val="18"/>
                <w:lang w:val="fr-BE"/>
              </w:rPr>
              <w:t>151</w:t>
            </w:r>
          </w:p>
        </w:tc>
      </w:tr>
      <w:tr w:rsidR="005D6812">
        <w:trPr>
          <w:trHeight w:val="255"/>
        </w:trPr>
        <w:tc>
          <w:tcPr>
            <w:tcW w:w="7335" w:type="dxa"/>
            <w:tcBorders>
              <w:top w:val="single" w:sz="4" w:space="0" w:color="auto"/>
              <w:left w:val="single" w:sz="4" w:space="0" w:color="auto"/>
              <w:bottom w:val="single" w:sz="4" w:space="0" w:color="auto"/>
              <w:right w:val="single" w:sz="4" w:space="0" w:color="auto"/>
            </w:tcBorders>
            <w:noWrap/>
            <w:vAlign w:val="bottom"/>
          </w:tcPr>
          <w:p w:rsidR="005D6812" w:rsidRDefault="00AB2A2B">
            <w:pPr>
              <w:spacing w:after="120"/>
              <w:rPr>
                <w:rFonts w:ascii="Verdana" w:hAnsi="Verdana" w:cs="Arial"/>
                <w:noProof/>
                <w:sz w:val="18"/>
                <w:szCs w:val="18"/>
                <w:lang w:val="fr-BE"/>
              </w:rPr>
            </w:pPr>
            <w:r>
              <w:rPr>
                <w:rFonts w:ascii="Verdana" w:hAnsi="Verdana" w:cs="Arial"/>
                <w:noProof/>
                <w:sz w:val="18"/>
                <w:szCs w:val="18"/>
                <w:lang w:val="fr-BE"/>
              </w:rPr>
              <w:t>Total made available on non-mobilisable performance reserves during 2016</w:t>
            </w:r>
          </w:p>
        </w:tc>
        <w:tc>
          <w:tcPr>
            <w:tcW w:w="1560" w:type="dxa"/>
            <w:tcBorders>
              <w:top w:val="single" w:sz="4" w:space="0" w:color="auto"/>
              <w:left w:val="nil"/>
              <w:bottom w:val="single" w:sz="4" w:space="0" w:color="auto"/>
              <w:right w:val="single" w:sz="4" w:space="0" w:color="auto"/>
            </w:tcBorders>
            <w:noWrap/>
            <w:vAlign w:val="bottom"/>
          </w:tcPr>
          <w:p w:rsidR="005D6812" w:rsidRDefault="00AB2A2B">
            <w:pPr>
              <w:spacing w:after="120"/>
              <w:jc w:val="right"/>
              <w:rPr>
                <w:rFonts w:ascii="Verdana" w:hAnsi="Verdana" w:cs="Arial"/>
                <w:noProof/>
                <w:sz w:val="18"/>
                <w:szCs w:val="18"/>
                <w:lang w:val="fr-BE"/>
              </w:rPr>
            </w:pPr>
            <w:r>
              <w:rPr>
                <w:rFonts w:ascii="Verdana" w:hAnsi="Verdana" w:cs="Arial"/>
                <w:noProof/>
                <w:sz w:val="18"/>
                <w:szCs w:val="18"/>
                <w:lang w:val="fr-BE"/>
              </w:rPr>
              <w:t>534</w:t>
            </w:r>
          </w:p>
        </w:tc>
      </w:tr>
      <w:tr w:rsidR="005D6812">
        <w:trPr>
          <w:trHeight w:val="255"/>
        </w:trPr>
        <w:tc>
          <w:tcPr>
            <w:tcW w:w="7335" w:type="dxa"/>
            <w:tcBorders>
              <w:top w:val="single" w:sz="4" w:space="0" w:color="auto"/>
              <w:left w:val="single" w:sz="4" w:space="0" w:color="auto"/>
              <w:bottom w:val="single" w:sz="4" w:space="0" w:color="auto"/>
              <w:right w:val="single" w:sz="4" w:space="0" w:color="auto"/>
            </w:tcBorders>
            <w:noWrap/>
            <w:vAlign w:val="bottom"/>
          </w:tcPr>
          <w:p w:rsidR="005D6812" w:rsidRDefault="00AB2A2B">
            <w:pPr>
              <w:spacing w:after="120"/>
              <w:rPr>
                <w:rFonts w:ascii="Verdana" w:hAnsi="Verdana" w:cs="Arial"/>
                <w:noProof/>
                <w:sz w:val="18"/>
                <w:szCs w:val="18"/>
              </w:rPr>
            </w:pPr>
            <w:r>
              <w:rPr>
                <w:rFonts w:ascii="Verdana" w:hAnsi="Verdana" w:cs="Arial"/>
                <w:noProof/>
                <w:sz w:val="18"/>
                <w:szCs w:val="18"/>
              </w:rPr>
              <w:t>Less amount transferred for replenishing the African Peace Facility at 31/12/2016</w:t>
            </w:r>
          </w:p>
        </w:tc>
        <w:tc>
          <w:tcPr>
            <w:tcW w:w="1560" w:type="dxa"/>
            <w:tcBorders>
              <w:top w:val="single" w:sz="4" w:space="0" w:color="auto"/>
              <w:left w:val="nil"/>
              <w:bottom w:val="single" w:sz="4" w:space="0" w:color="auto"/>
              <w:right w:val="single" w:sz="4" w:space="0" w:color="auto"/>
            </w:tcBorders>
            <w:noWrap/>
            <w:vAlign w:val="bottom"/>
          </w:tcPr>
          <w:p w:rsidR="005D6812" w:rsidRDefault="00AB2A2B">
            <w:pPr>
              <w:spacing w:after="120"/>
              <w:jc w:val="right"/>
              <w:rPr>
                <w:rFonts w:ascii="Verdana" w:hAnsi="Verdana" w:cs="Arial"/>
                <w:noProof/>
                <w:sz w:val="18"/>
                <w:szCs w:val="18"/>
              </w:rPr>
            </w:pPr>
            <w:r>
              <w:rPr>
                <w:rFonts w:ascii="Verdana" w:hAnsi="Verdana" w:cs="Arial"/>
                <w:noProof/>
                <w:sz w:val="18"/>
                <w:szCs w:val="18"/>
              </w:rPr>
              <w:t>(386)</w:t>
            </w:r>
          </w:p>
        </w:tc>
      </w:tr>
      <w:tr w:rsidR="005D6812">
        <w:trPr>
          <w:trHeight w:val="255"/>
        </w:trPr>
        <w:tc>
          <w:tcPr>
            <w:tcW w:w="7335" w:type="dxa"/>
            <w:tcBorders>
              <w:top w:val="single" w:sz="4" w:space="0" w:color="auto"/>
              <w:left w:val="single" w:sz="4" w:space="0" w:color="auto"/>
              <w:bottom w:val="single" w:sz="4" w:space="0" w:color="auto"/>
              <w:right w:val="single" w:sz="4" w:space="0" w:color="auto"/>
            </w:tcBorders>
            <w:noWrap/>
            <w:vAlign w:val="bottom"/>
          </w:tcPr>
          <w:p w:rsidR="005D6812" w:rsidRDefault="00AB2A2B">
            <w:pPr>
              <w:rPr>
                <w:rFonts w:ascii="Verdana" w:hAnsi="Verdana" w:cs="Arial"/>
                <w:noProof/>
                <w:sz w:val="18"/>
                <w:szCs w:val="18"/>
              </w:rPr>
            </w:pPr>
            <w:r>
              <w:rPr>
                <w:rFonts w:ascii="Verdana" w:hAnsi="Verdana" w:cs="Arial"/>
                <w:noProof/>
                <w:sz w:val="18"/>
                <w:szCs w:val="18"/>
              </w:rPr>
              <w:t xml:space="preserve">Balance of non-mobilisable reserve (from decommitted funds under the Eighth, Ninth and 10th EDF) at 31/12/2016 </w:t>
            </w:r>
          </w:p>
        </w:tc>
        <w:tc>
          <w:tcPr>
            <w:tcW w:w="1560" w:type="dxa"/>
            <w:tcBorders>
              <w:top w:val="single" w:sz="4" w:space="0" w:color="auto"/>
              <w:left w:val="nil"/>
              <w:bottom w:val="single" w:sz="4" w:space="0" w:color="auto"/>
              <w:right w:val="single" w:sz="4" w:space="0" w:color="auto"/>
            </w:tcBorders>
            <w:noWrap/>
            <w:vAlign w:val="bottom"/>
          </w:tcPr>
          <w:p w:rsidR="005D6812" w:rsidRDefault="00AB2A2B">
            <w:pPr>
              <w:jc w:val="right"/>
              <w:rPr>
                <w:rFonts w:ascii="Verdana" w:hAnsi="Verdana" w:cs="Arial"/>
                <w:noProof/>
                <w:sz w:val="18"/>
                <w:szCs w:val="18"/>
              </w:rPr>
            </w:pPr>
            <w:r>
              <w:rPr>
                <w:rFonts w:ascii="Verdana" w:hAnsi="Verdana" w:cs="Arial"/>
                <w:noProof/>
                <w:sz w:val="18"/>
                <w:szCs w:val="18"/>
              </w:rPr>
              <w:t>299</w:t>
            </w:r>
          </w:p>
        </w:tc>
      </w:tr>
    </w:tbl>
    <w:p w:rsidR="005D6812" w:rsidRDefault="005D6812">
      <w:pPr>
        <w:spacing w:before="120" w:after="120"/>
        <w:rPr>
          <w:noProof/>
          <w:lang w:val="en-US"/>
        </w:rPr>
      </w:pPr>
    </w:p>
    <w:p w:rsidR="005D6812" w:rsidRDefault="00AB2A2B">
      <w:pPr>
        <w:rPr>
          <w:rFonts w:ascii="Verdana" w:hAnsi="Verdana"/>
          <w:b/>
          <w:i/>
          <w:noProof/>
          <w:sz w:val="18"/>
          <w:szCs w:val="18"/>
        </w:rPr>
      </w:pPr>
      <w:r>
        <w:rPr>
          <w:rFonts w:ascii="Verdana" w:hAnsi="Verdana"/>
          <w:b/>
          <w:i/>
          <w:noProof/>
          <w:sz w:val="18"/>
          <w:szCs w:val="18"/>
        </w:rPr>
        <w:t>- 11th EDF Stabex reserve</w:t>
      </w:r>
    </w:p>
    <w:p w:rsidR="005D6812" w:rsidRDefault="00AB2A2B">
      <w:pPr>
        <w:jc w:val="both"/>
        <w:rPr>
          <w:rFonts w:ascii="Verdana" w:hAnsi="Verdana"/>
          <w:noProof/>
          <w:sz w:val="18"/>
          <w:szCs w:val="18"/>
        </w:rPr>
      </w:pPr>
      <w:r>
        <w:rPr>
          <w:rFonts w:ascii="Verdana" w:hAnsi="Verdana"/>
          <w:noProof/>
          <w:sz w:val="18"/>
          <w:szCs w:val="18"/>
        </w:rPr>
        <w:t xml:space="preserve">Following the closure of Stabex accounts, unused/decommitted funds are transferred to the 11th EDF Stabex A </w:t>
      </w:r>
      <w:r>
        <w:rPr>
          <w:rFonts w:ascii="Verdana" w:hAnsi="Verdana"/>
          <w:noProof/>
          <w:sz w:val="18"/>
          <w:szCs w:val="18"/>
        </w:rPr>
        <w:t>Envelope reserve (10th EDF Internal Agreement Art. 1(4)) and then to the national indicative programmes of the countries concerned.</w:t>
      </w:r>
    </w:p>
    <w:p w:rsidR="005D6812" w:rsidRDefault="00AB2A2B">
      <w:pPr>
        <w:rPr>
          <w:rFonts w:ascii="Verdana" w:hAnsi="Verdana"/>
          <w:noProof/>
          <w:sz w:val="18"/>
          <w:szCs w:val="18"/>
        </w:rPr>
      </w:pPr>
      <w:r>
        <w:rPr>
          <w:rFonts w:ascii="Verdana" w:hAnsi="Verdana"/>
          <w:noProof/>
          <w:sz w:val="18"/>
          <w:szCs w:val="18"/>
        </w:rPr>
        <w:br w:type="page"/>
      </w:r>
    </w:p>
    <w:p w:rsidR="005D6812" w:rsidRDefault="00AB2A2B">
      <w:pPr>
        <w:rPr>
          <w:rFonts w:ascii="Verdana" w:hAnsi="Verdana"/>
          <w:b/>
          <w:i/>
          <w:noProof/>
          <w:sz w:val="18"/>
          <w:szCs w:val="18"/>
        </w:rPr>
      </w:pPr>
      <w:r>
        <w:rPr>
          <w:rFonts w:ascii="Verdana" w:hAnsi="Verdana"/>
          <w:b/>
          <w:i/>
          <w:noProof/>
          <w:sz w:val="18"/>
          <w:szCs w:val="18"/>
        </w:rPr>
        <w:t>- EDF Co-financings</w:t>
      </w:r>
    </w:p>
    <w:p w:rsidR="005D6812" w:rsidRDefault="00AB2A2B">
      <w:pPr>
        <w:jc w:val="both"/>
        <w:rPr>
          <w:rFonts w:ascii="Verdana" w:hAnsi="Verdana"/>
          <w:noProof/>
          <w:sz w:val="18"/>
          <w:szCs w:val="18"/>
        </w:rPr>
      </w:pPr>
      <w:r>
        <w:rPr>
          <w:rFonts w:ascii="Verdana" w:hAnsi="Verdana"/>
          <w:noProof/>
          <w:sz w:val="18"/>
          <w:szCs w:val="18"/>
        </w:rPr>
        <w:t>Under the 10th and 11th EDF, transfer agreements for co-financings from Member States were signed, and</w:t>
      </w:r>
      <w:r>
        <w:rPr>
          <w:rFonts w:ascii="Verdana" w:hAnsi="Verdana"/>
          <w:noProof/>
          <w:sz w:val="18"/>
          <w:szCs w:val="18"/>
        </w:rPr>
        <w:t xml:space="preserve"> commitment appropriations were opened for a total amount of EUR 209 million, while payment appropriations were opened for the cashed amounts totalling EUR 190 million. </w:t>
      </w:r>
    </w:p>
    <w:p w:rsidR="005D6812" w:rsidRDefault="00AB2A2B">
      <w:pPr>
        <w:rPr>
          <w:rFonts w:ascii="Verdana" w:hAnsi="Verdana"/>
          <w:noProof/>
          <w:sz w:val="18"/>
          <w:szCs w:val="18"/>
        </w:rPr>
      </w:pPr>
      <w:r>
        <w:rPr>
          <w:rFonts w:ascii="Verdana" w:hAnsi="Verdana"/>
          <w:noProof/>
          <w:sz w:val="18"/>
          <w:szCs w:val="18"/>
        </w:rPr>
        <w:t>The situation of co-financing appropriations at 31/12/2016 is shown in the table below</w:t>
      </w:r>
      <w:r>
        <w:rPr>
          <w:rFonts w:ascii="Verdana" w:hAnsi="Verdana"/>
          <w:noProof/>
          <w:sz w:val="18"/>
          <w:szCs w:val="18"/>
        </w:rPr>
        <w:t xml:space="preserve"> : </w:t>
      </w:r>
    </w:p>
    <w:p w:rsidR="005D6812" w:rsidRDefault="00AB2A2B">
      <w:pPr>
        <w:ind w:left="6349" w:right="424" w:firstLine="907"/>
        <w:jc w:val="center"/>
        <w:rPr>
          <w:rFonts w:ascii="Verdana" w:hAnsi="Verdana"/>
          <w:noProof/>
          <w:sz w:val="18"/>
          <w:szCs w:val="18"/>
        </w:rPr>
      </w:pPr>
      <w:r>
        <w:rPr>
          <w:rFonts w:ascii="Verdana" w:hAnsi="Verdana" w:cs="Arial"/>
          <w:noProof/>
          <w:sz w:val="18"/>
          <w:szCs w:val="18"/>
        </w:rPr>
        <w:t>EUR millions</w:t>
      </w:r>
    </w:p>
    <w:tbl>
      <w:tblPr>
        <w:tblW w:w="8804" w:type="dxa"/>
        <w:tblInd w:w="93" w:type="dxa"/>
        <w:tblLook w:val="04A0" w:firstRow="1" w:lastRow="0" w:firstColumn="1" w:lastColumn="0" w:noHBand="0" w:noVBand="1"/>
      </w:tblPr>
      <w:tblGrid>
        <w:gridCol w:w="3540"/>
        <w:gridCol w:w="2854"/>
        <w:gridCol w:w="2410"/>
      </w:tblGrid>
      <w:tr w:rsidR="005D6812">
        <w:trPr>
          <w:trHeight w:val="510"/>
        </w:trPr>
        <w:tc>
          <w:tcPr>
            <w:tcW w:w="3540" w:type="dxa"/>
            <w:tcBorders>
              <w:top w:val="single" w:sz="8" w:space="0" w:color="auto"/>
              <w:left w:val="single" w:sz="4" w:space="0" w:color="000000"/>
              <w:bottom w:val="single" w:sz="4" w:space="0" w:color="000000"/>
              <w:right w:val="single" w:sz="4" w:space="0" w:color="000000"/>
            </w:tcBorders>
            <w:vAlign w:val="center"/>
          </w:tcPr>
          <w:p w:rsidR="005D6812" w:rsidRDefault="005D6812">
            <w:pPr>
              <w:rPr>
                <w:rFonts w:ascii="Verdana" w:hAnsi="Verdana" w:cs="Arial"/>
                <w:noProof/>
                <w:sz w:val="18"/>
                <w:szCs w:val="18"/>
              </w:rPr>
            </w:pPr>
          </w:p>
        </w:tc>
        <w:tc>
          <w:tcPr>
            <w:tcW w:w="2854" w:type="dxa"/>
            <w:tcBorders>
              <w:top w:val="single" w:sz="8" w:space="0" w:color="auto"/>
              <w:left w:val="nil"/>
              <w:bottom w:val="single" w:sz="4" w:space="0" w:color="000000"/>
              <w:right w:val="single" w:sz="4" w:space="0" w:color="000000"/>
            </w:tcBorders>
            <w:vAlign w:val="center"/>
            <w:hideMark/>
          </w:tcPr>
          <w:p w:rsidR="005D6812" w:rsidRDefault="00AB2A2B">
            <w:pPr>
              <w:rPr>
                <w:rFonts w:ascii="Verdana" w:hAnsi="Verdana" w:cs="Arial"/>
                <w:noProof/>
                <w:sz w:val="18"/>
                <w:szCs w:val="18"/>
              </w:rPr>
            </w:pPr>
            <w:r>
              <w:rPr>
                <w:rFonts w:ascii="Verdana" w:hAnsi="Verdana" w:cs="Arial"/>
                <w:noProof/>
                <w:sz w:val="18"/>
                <w:szCs w:val="18"/>
              </w:rPr>
              <w:t>Commitments appropriations</w:t>
            </w:r>
          </w:p>
        </w:tc>
        <w:tc>
          <w:tcPr>
            <w:tcW w:w="2410" w:type="dxa"/>
            <w:tcBorders>
              <w:top w:val="single" w:sz="8" w:space="0" w:color="auto"/>
              <w:left w:val="nil"/>
              <w:bottom w:val="single" w:sz="4" w:space="0" w:color="000000"/>
              <w:right w:val="single" w:sz="8" w:space="0" w:color="auto"/>
            </w:tcBorders>
            <w:vAlign w:val="center"/>
            <w:hideMark/>
          </w:tcPr>
          <w:p w:rsidR="005D6812" w:rsidRDefault="00AB2A2B">
            <w:pPr>
              <w:rPr>
                <w:rFonts w:ascii="Verdana" w:hAnsi="Verdana" w:cs="Arial"/>
                <w:noProof/>
                <w:sz w:val="18"/>
                <w:szCs w:val="18"/>
              </w:rPr>
            </w:pPr>
            <w:r>
              <w:rPr>
                <w:rFonts w:ascii="Verdana" w:hAnsi="Verdana" w:cs="Arial"/>
                <w:noProof/>
                <w:sz w:val="18"/>
                <w:szCs w:val="18"/>
              </w:rPr>
              <w:t>Payment appropriations</w:t>
            </w:r>
          </w:p>
        </w:tc>
      </w:tr>
      <w:tr w:rsidR="005D6812">
        <w:trPr>
          <w:trHeight w:val="255"/>
        </w:trPr>
        <w:tc>
          <w:tcPr>
            <w:tcW w:w="3540" w:type="dxa"/>
            <w:tcBorders>
              <w:top w:val="nil"/>
              <w:left w:val="single" w:sz="4" w:space="0" w:color="000000"/>
              <w:bottom w:val="single" w:sz="4" w:space="0" w:color="000000"/>
              <w:right w:val="single" w:sz="4" w:space="0" w:color="000000"/>
            </w:tcBorders>
            <w:noWrap/>
            <w:vAlign w:val="center"/>
            <w:hideMark/>
          </w:tcPr>
          <w:p w:rsidR="005D6812" w:rsidRDefault="00AB2A2B">
            <w:pPr>
              <w:rPr>
                <w:rFonts w:ascii="Verdana" w:hAnsi="Verdana" w:cs="Arial"/>
                <w:noProof/>
                <w:sz w:val="18"/>
                <w:szCs w:val="18"/>
              </w:rPr>
            </w:pPr>
            <w:r>
              <w:rPr>
                <w:rFonts w:ascii="Verdana" w:hAnsi="Verdana" w:cs="Arial"/>
                <w:noProof/>
                <w:sz w:val="18"/>
                <w:szCs w:val="18"/>
              </w:rPr>
              <w:t>Co-financing - A Envelope</w:t>
            </w:r>
          </w:p>
        </w:tc>
        <w:tc>
          <w:tcPr>
            <w:tcW w:w="2854" w:type="dxa"/>
            <w:tcBorders>
              <w:top w:val="nil"/>
              <w:left w:val="nil"/>
              <w:bottom w:val="single" w:sz="4" w:space="0" w:color="000000"/>
              <w:right w:val="single" w:sz="4" w:space="0" w:color="000000"/>
            </w:tcBorders>
            <w:noWrap/>
            <w:vAlign w:val="center"/>
            <w:hideMark/>
          </w:tcPr>
          <w:p w:rsidR="005D6812" w:rsidRDefault="00AB2A2B">
            <w:pPr>
              <w:jc w:val="right"/>
              <w:rPr>
                <w:rFonts w:ascii="Verdana" w:hAnsi="Verdana" w:cs="Arial"/>
                <w:noProof/>
                <w:sz w:val="18"/>
                <w:szCs w:val="18"/>
              </w:rPr>
            </w:pPr>
            <w:r>
              <w:rPr>
                <w:rFonts w:ascii="Verdana" w:hAnsi="Verdana" w:cs="Arial"/>
                <w:noProof/>
                <w:sz w:val="18"/>
                <w:szCs w:val="18"/>
              </w:rPr>
              <w:t>190.0</w:t>
            </w:r>
          </w:p>
        </w:tc>
        <w:tc>
          <w:tcPr>
            <w:tcW w:w="2410" w:type="dxa"/>
            <w:tcBorders>
              <w:top w:val="nil"/>
              <w:left w:val="nil"/>
              <w:bottom w:val="single" w:sz="4" w:space="0" w:color="000000"/>
              <w:right w:val="single" w:sz="8" w:space="0" w:color="auto"/>
            </w:tcBorders>
            <w:noWrap/>
            <w:vAlign w:val="center"/>
            <w:hideMark/>
          </w:tcPr>
          <w:p w:rsidR="005D6812" w:rsidRDefault="00AB2A2B">
            <w:pPr>
              <w:jc w:val="right"/>
              <w:rPr>
                <w:rFonts w:ascii="Verdana" w:hAnsi="Verdana" w:cs="Arial"/>
                <w:noProof/>
                <w:sz w:val="18"/>
                <w:szCs w:val="18"/>
              </w:rPr>
            </w:pPr>
            <w:r>
              <w:rPr>
                <w:rFonts w:ascii="Verdana" w:hAnsi="Verdana" w:cs="Arial"/>
                <w:noProof/>
                <w:sz w:val="18"/>
                <w:szCs w:val="18"/>
              </w:rPr>
              <w:t>171.3</w:t>
            </w:r>
          </w:p>
        </w:tc>
      </w:tr>
      <w:tr w:rsidR="005D6812">
        <w:trPr>
          <w:trHeight w:val="255"/>
        </w:trPr>
        <w:tc>
          <w:tcPr>
            <w:tcW w:w="3540" w:type="dxa"/>
            <w:tcBorders>
              <w:top w:val="nil"/>
              <w:left w:val="single" w:sz="4" w:space="0" w:color="000000"/>
              <w:bottom w:val="single" w:sz="4" w:space="0" w:color="000000"/>
              <w:right w:val="single" w:sz="4" w:space="0" w:color="000000"/>
            </w:tcBorders>
            <w:noWrap/>
            <w:vAlign w:val="center"/>
            <w:hideMark/>
          </w:tcPr>
          <w:p w:rsidR="005D6812" w:rsidRDefault="00AB2A2B">
            <w:pPr>
              <w:rPr>
                <w:rFonts w:ascii="Verdana" w:hAnsi="Verdana" w:cs="Arial"/>
                <w:noProof/>
                <w:sz w:val="18"/>
                <w:szCs w:val="18"/>
              </w:rPr>
            </w:pPr>
            <w:r>
              <w:rPr>
                <w:rFonts w:ascii="Verdana" w:hAnsi="Verdana" w:cs="Arial"/>
                <w:noProof/>
                <w:sz w:val="18"/>
                <w:szCs w:val="18"/>
              </w:rPr>
              <w:t>Co-financing - Intra ACP</w:t>
            </w:r>
          </w:p>
        </w:tc>
        <w:tc>
          <w:tcPr>
            <w:tcW w:w="2854" w:type="dxa"/>
            <w:tcBorders>
              <w:top w:val="nil"/>
              <w:left w:val="nil"/>
              <w:bottom w:val="single" w:sz="4" w:space="0" w:color="000000"/>
              <w:right w:val="single" w:sz="4" w:space="0" w:color="000000"/>
            </w:tcBorders>
            <w:noWrap/>
            <w:vAlign w:val="center"/>
            <w:hideMark/>
          </w:tcPr>
          <w:p w:rsidR="005D6812" w:rsidRDefault="00AB2A2B">
            <w:pPr>
              <w:jc w:val="right"/>
              <w:rPr>
                <w:rFonts w:ascii="Verdana" w:hAnsi="Verdana" w:cs="Arial"/>
                <w:noProof/>
                <w:sz w:val="18"/>
                <w:szCs w:val="18"/>
              </w:rPr>
            </w:pPr>
            <w:r>
              <w:rPr>
                <w:rFonts w:ascii="Verdana" w:hAnsi="Verdana" w:cs="Arial"/>
                <w:noProof/>
                <w:sz w:val="18"/>
                <w:szCs w:val="18"/>
              </w:rPr>
              <w:t>13.4</w:t>
            </w:r>
          </w:p>
        </w:tc>
        <w:tc>
          <w:tcPr>
            <w:tcW w:w="2410" w:type="dxa"/>
            <w:tcBorders>
              <w:top w:val="nil"/>
              <w:left w:val="nil"/>
              <w:bottom w:val="single" w:sz="4" w:space="0" w:color="000000"/>
              <w:right w:val="single" w:sz="8" w:space="0" w:color="auto"/>
            </w:tcBorders>
            <w:noWrap/>
            <w:vAlign w:val="center"/>
            <w:hideMark/>
          </w:tcPr>
          <w:p w:rsidR="005D6812" w:rsidRDefault="00AB2A2B">
            <w:pPr>
              <w:jc w:val="right"/>
              <w:rPr>
                <w:rFonts w:ascii="Verdana" w:hAnsi="Verdana" w:cs="Arial"/>
                <w:noProof/>
                <w:sz w:val="18"/>
                <w:szCs w:val="18"/>
              </w:rPr>
            </w:pPr>
            <w:r>
              <w:rPr>
                <w:rFonts w:ascii="Verdana" w:hAnsi="Verdana" w:cs="Arial"/>
                <w:noProof/>
                <w:sz w:val="18"/>
                <w:szCs w:val="18"/>
              </w:rPr>
              <w:t>13.4</w:t>
            </w:r>
          </w:p>
        </w:tc>
      </w:tr>
      <w:tr w:rsidR="005D6812">
        <w:trPr>
          <w:trHeight w:val="270"/>
        </w:trPr>
        <w:tc>
          <w:tcPr>
            <w:tcW w:w="3540" w:type="dxa"/>
            <w:tcBorders>
              <w:top w:val="nil"/>
              <w:left w:val="single" w:sz="4" w:space="0" w:color="000000"/>
              <w:bottom w:val="single" w:sz="8" w:space="0" w:color="auto"/>
              <w:right w:val="single" w:sz="4" w:space="0" w:color="000000"/>
            </w:tcBorders>
            <w:noWrap/>
            <w:vAlign w:val="center"/>
            <w:hideMark/>
          </w:tcPr>
          <w:p w:rsidR="005D6812" w:rsidRDefault="00AB2A2B">
            <w:pPr>
              <w:rPr>
                <w:rFonts w:ascii="Verdana" w:hAnsi="Verdana" w:cs="Arial"/>
                <w:noProof/>
                <w:sz w:val="18"/>
                <w:szCs w:val="18"/>
              </w:rPr>
            </w:pPr>
            <w:r>
              <w:rPr>
                <w:rFonts w:ascii="Verdana" w:hAnsi="Verdana" w:cs="Arial"/>
                <w:noProof/>
                <w:sz w:val="18"/>
                <w:szCs w:val="18"/>
              </w:rPr>
              <w:t>Co-financing – Administrative expenses</w:t>
            </w:r>
          </w:p>
        </w:tc>
        <w:tc>
          <w:tcPr>
            <w:tcW w:w="2854" w:type="dxa"/>
            <w:tcBorders>
              <w:top w:val="nil"/>
              <w:left w:val="nil"/>
              <w:bottom w:val="single" w:sz="8" w:space="0" w:color="auto"/>
              <w:right w:val="single" w:sz="4" w:space="0" w:color="000000"/>
            </w:tcBorders>
            <w:noWrap/>
            <w:vAlign w:val="center"/>
            <w:hideMark/>
          </w:tcPr>
          <w:p w:rsidR="005D6812" w:rsidRDefault="00AB2A2B">
            <w:pPr>
              <w:jc w:val="right"/>
              <w:rPr>
                <w:rFonts w:ascii="Verdana" w:hAnsi="Verdana" w:cs="Arial"/>
                <w:noProof/>
                <w:sz w:val="18"/>
                <w:szCs w:val="18"/>
              </w:rPr>
            </w:pPr>
            <w:r>
              <w:rPr>
                <w:rFonts w:ascii="Verdana" w:hAnsi="Verdana" w:cs="Arial"/>
                <w:noProof/>
                <w:sz w:val="18"/>
                <w:szCs w:val="18"/>
              </w:rPr>
              <w:t>5.5</w:t>
            </w:r>
          </w:p>
        </w:tc>
        <w:tc>
          <w:tcPr>
            <w:tcW w:w="2410" w:type="dxa"/>
            <w:tcBorders>
              <w:top w:val="nil"/>
              <w:left w:val="nil"/>
              <w:bottom w:val="single" w:sz="8" w:space="0" w:color="auto"/>
              <w:right w:val="single" w:sz="8" w:space="0" w:color="auto"/>
            </w:tcBorders>
            <w:noWrap/>
            <w:vAlign w:val="center"/>
            <w:hideMark/>
          </w:tcPr>
          <w:p w:rsidR="005D6812" w:rsidRDefault="00AB2A2B">
            <w:pPr>
              <w:jc w:val="right"/>
              <w:rPr>
                <w:rFonts w:ascii="Verdana" w:hAnsi="Verdana" w:cs="Arial"/>
                <w:noProof/>
                <w:sz w:val="18"/>
                <w:szCs w:val="18"/>
              </w:rPr>
            </w:pPr>
            <w:r>
              <w:rPr>
                <w:rFonts w:ascii="Verdana" w:hAnsi="Verdana" w:cs="Arial"/>
                <w:noProof/>
                <w:sz w:val="18"/>
                <w:szCs w:val="18"/>
              </w:rPr>
              <w:t>5.4</w:t>
            </w:r>
          </w:p>
        </w:tc>
      </w:tr>
      <w:tr w:rsidR="005D6812">
        <w:trPr>
          <w:trHeight w:val="270"/>
        </w:trPr>
        <w:tc>
          <w:tcPr>
            <w:tcW w:w="3540" w:type="dxa"/>
            <w:noWrap/>
            <w:vAlign w:val="bottom"/>
          </w:tcPr>
          <w:p w:rsidR="005D6812" w:rsidRDefault="005D6812">
            <w:pPr>
              <w:rPr>
                <w:rFonts w:ascii="Verdana" w:hAnsi="Verdana" w:cs="Arial"/>
                <w:noProof/>
                <w:sz w:val="18"/>
                <w:szCs w:val="18"/>
              </w:rPr>
            </w:pPr>
          </w:p>
        </w:tc>
        <w:tc>
          <w:tcPr>
            <w:tcW w:w="2854" w:type="dxa"/>
            <w:tcBorders>
              <w:top w:val="nil"/>
              <w:left w:val="single" w:sz="8" w:space="0" w:color="auto"/>
              <w:bottom w:val="single" w:sz="8" w:space="0" w:color="auto"/>
              <w:right w:val="single" w:sz="4" w:space="0" w:color="auto"/>
            </w:tcBorders>
            <w:noWrap/>
            <w:vAlign w:val="bottom"/>
            <w:hideMark/>
          </w:tcPr>
          <w:p w:rsidR="005D6812" w:rsidRDefault="00AB2A2B">
            <w:pPr>
              <w:jc w:val="right"/>
              <w:rPr>
                <w:rFonts w:ascii="Verdana" w:hAnsi="Verdana" w:cs="Arial"/>
                <w:b/>
                <w:bCs/>
                <w:noProof/>
                <w:sz w:val="18"/>
                <w:szCs w:val="18"/>
              </w:rPr>
            </w:pPr>
            <w:r>
              <w:rPr>
                <w:rFonts w:ascii="Verdana" w:hAnsi="Verdana" w:cs="Arial"/>
                <w:b/>
                <w:bCs/>
                <w:noProof/>
                <w:sz w:val="18"/>
                <w:szCs w:val="18"/>
              </w:rPr>
              <w:t>209.4</w:t>
            </w:r>
          </w:p>
        </w:tc>
        <w:tc>
          <w:tcPr>
            <w:tcW w:w="2410" w:type="dxa"/>
            <w:tcBorders>
              <w:top w:val="nil"/>
              <w:left w:val="nil"/>
              <w:bottom w:val="single" w:sz="8" w:space="0" w:color="auto"/>
              <w:right w:val="single" w:sz="8" w:space="0" w:color="auto"/>
            </w:tcBorders>
            <w:noWrap/>
            <w:vAlign w:val="bottom"/>
            <w:hideMark/>
          </w:tcPr>
          <w:p w:rsidR="005D6812" w:rsidRDefault="00AB2A2B">
            <w:pPr>
              <w:jc w:val="right"/>
              <w:rPr>
                <w:rFonts w:ascii="Verdana" w:hAnsi="Verdana" w:cs="Arial"/>
                <w:b/>
                <w:bCs/>
                <w:noProof/>
                <w:sz w:val="18"/>
                <w:szCs w:val="18"/>
              </w:rPr>
            </w:pPr>
            <w:r>
              <w:rPr>
                <w:rFonts w:ascii="Verdana" w:hAnsi="Verdana" w:cs="Arial"/>
                <w:b/>
                <w:bCs/>
                <w:noProof/>
                <w:sz w:val="18"/>
                <w:szCs w:val="18"/>
              </w:rPr>
              <w:t>190.1</w:t>
            </w:r>
          </w:p>
        </w:tc>
      </w:tr>
    </w:tbl>
    <w:p w:rsidR="005D6812" w:rsidRDefault="005D6812">
      <w:pPr>
        <w:rPr>
          <w:rFonts w:ascii="Verdana" w:hAnsi="Verdana"/>
          <w:noProof/>
          <w:sz w:val="18"/>
          <w:szCs w:val="18"/>
        </w:rPr>
      </w:pPr>
    </w:p>
    <w:p w:rsidR="005D6812" w:rsidRDefault="00AB2A2B">
      <w:pPr>
        <w:rPr>
          <w:rFonts w:ascii="Verdana" w:hAnsi="Verdana"/>
          <w:b/>
          <w:noProof/>
          <w:sz w:val="18"/>
          <w:szCs w:val="18"/>
          <w:u w:val="single"/>
        </w:rPr>
      </w:pPr>
      <w:r>
        <w:rPr>
          <w:rFonts w:ascii="Verdana" w:hAnsi="Verdana"/>
          <w:noProof/>
          <w:sz w:val="18"/>
          <w:szCs w:val="18"/>
        </w:rPr>
        <w:t xml:space="preserve">The following tables, concerning the amounts </w:t>
      </w:r>
      <w:r>
        <w:rPr>
          <w:rFonts w:ascii="Verdana" w:hAnsi="Verdana"/>
          <w:noProof/>
          <w:sz w:val="18"/>
          <w:szCs w:val="18"/>
        </w:rPr>
        <w:t>decided, contracted and paid, show net figures.</w:t>
      </w:r>
      <w:r>
        <w:rPr>
          <w:rFonts w:ascii="Verdana" w:hAnsi="Verdana"/>
          <w:noProof/>
          <w:sz w:val="18"/>
          <w:szCs w:val="18"/>
          <w:u w:val="single"/>
        </w:rPr>
        <w:t xml:space="preserve"> </w:t>
      </w:r>
      <w:r>
        <w:rPr>
          <w:rFonts w:ascii="Verdana" w:hAnsi="Verdana"/>
          <w:noProof/>
          <w:sz w:val="18"/>
          <w:szCs w:val="18"/>
          <w:u w:val="single"/>
        </w:rPr>
        <w:br/>
      </w:r>
      <w:r>
        <w:rPr>
          <w:rFonts w:ascii="Verdana" w:hAnsi="Verdana"/>
          <w:noProof/>
          <w:sz w:val="18"/>
          <w:szCs w:val="18"/>
        </w:rPr>
        <w:t>The tables presenting the situation by instrument are annexed.</w:t>
      </w:r>
    </w:p>
    <w:p w:rsidR="005D6812" w:rsidRDefault="00AB2A2B">
      <w:pPr>
        <w:rPr>
          <w:rFonts w:ascii="Verdana" w:hAnsi="Verdana"/>
          <w:noProof/>
          <w:lang w:val="en-US"/>
        </w:rPr>
      </w:pPr>
      <w:r>
        <w:rPr>
          <w:rFonts w:ascii="Verdana" w:hAnsi="Verdana"/>
          <w:noProof/>
          <w:lang w:val="en-US"/>
        </w:rPr>
        <w:br w:type="page"/>
      </w:r>
    </w:p>
    <w:p w:rsidR="005D6812" w:rsidRDefault="00AB2A2B">
      <w:pPr>
        <w:spacing w:before="120" w:after="120"/>
        <w:rPr>
          <w:rFonts w:ascii="Verdana" w:hAnsi="Verdana"/>
          <w:noProof/>
          <w:lang w:val="en-US"/>
        </w:rPr>
      </w:pPr>
      <w:r>
        <w:rPr>
          <w:noProof/>
        </w:rPr>
        <w:drawing>
          <wp:inline distT="0" distB="0" distL="0" distR="0" wp14:anchorId="06B27EF4" wp14:editId="08BCFAFC">
            <wp:extent cx="6120130" cy="69965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6120130" cy="6996571"/>
                    </a:xfrm>
                    <a:prstGeom prst="rect">
                      <a:avLst/>
                    </a:prstGeom>
                    <a:noFill/>
                    <a:ln>
                      <a:noFill/>
                    </a:ln>
                  </pic:spPr>
                </pic:pic>
              </a:graphicData>
            </a:graphic>
          </wp:inline>
        </w:drawing>
      </w:r>
    </w:p>
    <w:p w:rsidR="005D6812" w:rsidRDefault="005D6812">
      <w:pPr>
        <w:spacing w:before="120" w:after="120"/>
        <w:rPr>
          <w:rFonts w:ascii="Verdana" w:hAnsi="Verdana"/>
          <w:noProof/>
          <w:lang w:val="en-US"/>
        </w:rPr>
      </w:pPr>
    </w:p>
    <w:bookmarkEnd w:id="364"/>
    <w:p w:rsidR="005D6812" w:rsidRDefault="005D6812">
      <w:pPr>
        <w:rPr>
          <w:noProof/>
        </w:rPr>
        <w:sectPr w:rsidR="005D6812">
          <w:headerReference w:type="even" r:id="rId362"/>
          <w:headerReference w:type="default" r:id="rId363"/>
          <w:footerReference w:type="even" r:id="rId364"/>
          <w:footerReference w:type="default" r:id="rId365"/>
          <w:headerReference w:type="first" r:id="rId366"/>
          <w:footerReference w:type="first" r:id="rId367"/>
          <w:pgSz w:w="11907" w:h="16840"/>
          <w:pgMar w:top="1134" w:right="1134" w:bottom="1134" w:left="1134" w:header="709" w:footer="709" w:gutter="0"/>
          <w:cols w:space="708"/>
          <w:docGrid w:linePitch="360"/>
        </w:sectPr>
      </w:pPr>
    </w:p>
    <w:p w:rsidR="005D6812" w:rsidRDefault="00AB2A2B">
      <w:pPr>
        <w:rPr>
          <w:rFonts w:ascii="Verdana" w:hAnsi="Verdana"/>
          <w:b/>
          <w:noProof/>
          <w:color w:val="016794"/>
          <w:sz w:val="40"/>
          <w:szCs w:val="40"/>
        </w:rPr>
      </w:pPr>
      <w:bookmarkStart w:id="365" w:name="_DMBM_9521"/>
      <w:r>
        <w:rPr>
          <w:noProof/>
        </w:rPr>
        <w:drawing>
          <wp:inline distT="0" distB="0" distL="0" distR="0" wp14:anchorId="54F54CB1" wp14:editId="618C1683">
            <wp:extent cx="6120130" cy="80082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6120130" cy="8008217"/>
                    </a:xfrm>
                    <a:prstGeom prst="rect">
                      <a:avLst/>
                    </a:prstGeom>
                    <a:noFill/>
                    <a:ln>
                      <a:noFill/>
                    </a:ln>
                  </pic:spPr>
                </pic:pic>
              </a:graphicData>
            </a:graphic>
          </wp:inline>
        </w:drawing>
      </w:r>
    </w:p>
    <w:p w:rsidR="005D6812" w:rsidRDefault="00AB2A2B">
      <w:pPr>
        <w:rPr>
          <w:rFonts w:ascii="Verdana" w:hAnsi="Verdana"/>
          <w:b/>
          <w:noProof/>
          <w:color w:val="016794"/>
          <w:sz w:val="40"/>
          <w:szCs w:val="40"/>
        </w:rPr>
      </w:pPr>
      <w:r>
        <w:rPr>
          <w:rFonts w:ascii="Verdana" w:hAnsi="Verdana"/>
          <w:b/>
          <w:noProof/>
          <w:color w:val="016794"/>
          <w:sz w:val="40"/>
          <w:szCs w:val="40"/>
        </w:rPr>
        <w:br w:type="page"/>
      </w:r>
    </w:p>
    <w:p w:rsidR="005D6812" w:rsidRDefault="00AB2A2B">
      <w:pPr>
        <w:rPr>
          <w:rFonts w:ascii="Verdana" w:hAnsi="Verdana"/>
          <w:b/>
          <w:noProof/>
          <w:color w:val="016794"/>
          <w:sz w:val="40"/>
          <w:szCs w:val="40"/>
        </w:rPr>
      </w:pPr>
      <w:r>
        <w:rPr>
          <w:noProof/>
        </w:rPr>
        <w:drawing>
          <wp:inline distT="0" distB="0" distL="0" distR="0" wp14:anchorId="5648953A" wp14:editId="3991B2A7">
            <wp:extent cx="6120130" cy="8832012"/>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6120130" cy="8832012"/>
                    </a:xfrm>
                    <a:prstGeom prst="rect">
                      <a:avLst/>
                    </a:prstGeom>
                    <a:noFill/>
                    <a:ln>
                      <a:noFill/>
                    </a:ln>
                  </pic:spPr>
                </pic:pic>
              </a:graphicData>
            </a:graphic>
          </wp:inline>
        </w:drawing>
      </w:r>
    </w:p>
    <w:p w:rsidR="005D6812" w:rsidRDefault="00AB2A2B">
      <w:pPr>
        <w:rPr>
          <w:rFonts w:ascii="Verdana" w:hAnsi="Verdana"/>
          <w:b/>
          <w:noProof/>
          <w:color w:val="016794"/>
          <w:sz w:val="40"/>
          <w:szCs w:val="40"/>
        </w:rPr>
      </w:pPr>
      <w:r>
        <w:rPr>
          <w:rFonts w:ascii="Verdana" w:hAnsi="Verdana"/>
          <w:b/>
          <w:noProof/>
          <w:color w:val="016794"/>
          <w:sz w:val="40"/>
          <w:szCs w:val="40"/>
        </w:rPr>
        <w:br w:type="page"/>
      </w:r>
    </w:p>
    <w:p w:rsidR="005D6812" w:rsidRDefault="00AB2A2B">
      <w:pPr>
        <w:rPr>
          <w:rFonts w:ascii="Verdana" w:hAnsi="Verdana"/>
          <w:b/>
          <w:noProof/>
          <w:color w:val="016794"/>
          <w:sz w:val="40"/>
          <w:szCs w:val="40"/>
        </w:rPr>
      </w:pPr>
      <w:r>
        <w:rPr>
          <w:noProof/>
        </w:rPr>
        <w:drawing>
          <wp:inline distT="0" distB="0" distL="0" distR="0" wp14:anchorId="257F8FAE" wp14:editId="29B7C5FA">
            <wp:extent cx="6120130" cy="7348942"/>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6120130" cy="7348942"/>
                    </a:xfrm>
                    <a:prstGeom prst="rect">
                      <a:avLst/>
                    </a:prstGeom>
                    <a:noFill/>
                    <a:ln>
                      <a:noFill/>
                    </a:ln>
                  </pic:spPr>
                </pic:pic>
              </a:graphicData>
            </a:graphic>
          </wp:inline>
        </w:drawing>
      </w:r>
    </w:p>
    <w:p w:rsidR="005D6812" w:rsidRDefault="00AB2A2B">
      <w:pPr>
        <w:rPr>
          <w:rFonts w:ascii="Verdana" w:hAnsi="Verdana"/>
          <w:b/>
          <w:noProof/>
          <w:color w:val="016794"/>
          <w:sz w:val="40"/>
          <w:szCs w:val="40"/>
        </w:rPr>
      </w:pPr>
      <w:r>
        <w:rPr>
          <w:rFonts w:ascii="Verdana" w:hAnsi="Verdana"/>
          <w:b/>
          <w:noProof/>
          <w:color w:val="016794"/>
          <w:sz w:val="40"/>
          <w:szCs w:val="40"/>
        </w:rPr>
        <w:br w:type="page"/>
      </w:r>
    </w:p>
    <w:p w:rsidR="005D6812" w:rsidRDefault="005D6812">
      <w:pPr>
        <w:rPr>
          <w:rFonts w:ascii="Verdana" w:hAnsi="Verdana"/>
          <w:b/>
          <w:noProof/>
          <w:color w:val="016794"/>
          <w:sz w:val="40"/>
          <w:szCs w:val="40"/>
        </w:rPr>
        <w:sectPr w:rsidR="005D6812">
          <w:headerReference w:type="even" r:id="rId371"/>
          <w:headerReference w:type="default" r:id="rId372"/>
          <w:footerReference w:type="even" r:id="rId373"/>
          <w:footerReference w:type="default" r:id="rId374"/>
          <w:headerReference w:type="first" r:id="rId375"/>
          <w:footerReference w:type="first" r:id="rId376"/>
          <w:pgSz w:w="11906" w:h="16838"/>
          <w:pgMar w:top="1134" w:right="1134" w:bottom="1134" w:left="1134" w:header="709" w:footer="709" w:gutter="0"/>
          <w:cols w:space="708"/>
          <w:docGrid w:linePitch="360"/>
        </w:sectPr>
      </w:pPr>
    </w:p>
    <w:p w:rsidR="005D6812" w:rsidRDefault="00AB2A2B">
      <w:pPr>
        <w:rPr>
          <w:rFonts w:ascii="Verdana" w:hAnsi="Verdana"/>
          <w:b/>
          <w:noProof/>
          <w:color w:val="016794"/>
          <w:sz w:val="40"/>
          <w:szCs w:val="40"/>
        </w:rPr>
        <w:sectPr w:rsidR="005D6812">
          <w:headerReference w:type="even" r:id="rId377"/>
          <w:headerReference w:type="default" r:id="rId378"/>
          <w:footerReference w:type="even" r:id="rId379"/>
          <w:footerReference w:type="default" r:id="rId380"/>
          <w:headerReference w:type="first" r:id="rId381"/>
          <w:footerReference w:type="first" r:id="rId382"/>
          <w:pgSz w:w="16838" w:h="11906" w:orient="landscape" w:code="9"/>
          <w:pgMar w:top="1134" w:right="1134" w:bottom="1134" w:left="1134" w:header="709" w:footer="709" w:gutter="0"/>
          <w:lnNumType w:countBy="1"/>
          <w:cols w:space="708"/>
          <w:docGrid w:linePitch="360"/>
        </w:sectPr>
      </w:pPr>
      <w:r>
        <w:rPr>
          <w:noProof/>
        </w:rPr>
        <w:drawing>
          <wp:inline distT="0" distB="0" distL="0" distR="0" wp14:anchorId="0A32D167" wp14:editId="5A981E21">
            <wp:extent cx="7084612" cy="6092766"/>
            <wp:effectExtent l="0" t="0" r="254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7083854" cy="6092114"/>
                    </a:xfrm>
                    <a:prstGeom prst="rect">
                      <a:avLst/>
                    </a:prstGeom>
                    <a:noFill/>
                    <a:ln>
                      <a:noFill/>
                    </a:ln>
                  </pic:spPr>
                </pic:pic>
              </a:graphicData>
            </a:graphic>
          </wp:inline>
        </w:drawing>
      </w:r>
    </w:p>
    <w:p w:rsidR="005D6812" w:rsidRDefault="00AB2A2B">
      <w:pPr>
        <w:rPr>
          <w:rFonts w:ascii="Verdana" w:hAnsi="Verdana"/>
          <w:b/>
          <w:noProof/>
          <w:color w:val="016794"/>
          <w:sz w:val="40"/>
          <w:szCs w:val="40"/>
        </w:rPr>
      </w:pPr>
      <w:r>
        <w:rPr>
          <w:noProof/>
        </w:rPr>
        <w:drawing>
          <wp:inline distT="0" distB="0" distL="0" distR="0" wp14:anchorId="18C8BD4B" wp14:editId="6812AFE6">
            <wp:extent cx="5812112" cy="878619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5812155" cy="8786256"/>
                    </a:xfrm>
                    <a:prstGeom prst="rect">
                      <a:avLst/>
                    </a:prstGeom>
                    <a:noFill/>
                    <a:ln>
                      <a:noFill/>
                    </a:ln>
                  </pic:spPr>
                </pic:pic>
              </a:graphicData>
            </a:graphic>
          </wp:inline>
        </w:drawing>
      </w:r>
      <w:r>
        <w:rPr>
          <w:noProof/>
        </w:rPr>
        <w:drawing>
          <wp:inline distT="0" distB="0" distL="0" distR="0" wp14:anchorId="2FF2F99A" wp14:editId="175E43C4">
            <wp:extent cx="6120130" cy="726157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6120130" cy="7261576"/>
                    </a:xfrm>
                    <a:prstGeom prst="rect">
                      <a:avLst/>
                    </a:prstGeom>
                    <a:noFill/>
                    <a:ln>
                      <a:noFill/>
                    </a:ln>
                  </pic:spPr>
                </pic:pic>
              </a:graphicData>
            </a:graphic>
          </wp:inline>
        </w:drawing>
      </w:r>
    </w:p>
    <w:p w:rsidR="005D6812" w:rsidRDefault="00AB2A2B">
      <w:pPr>
        <w:rPr>
          <w:rFonts w:ascii="Verdana" w:hAnsi="Verdana"/>
          <w:b/>
          <w:noProof/>
          <w:color w:val="016794"/>
          <w:sz w:val="40"/>
          <w:szCs w:val="40"/>
        </w:rPr>
      </w:pPr>
      <w:r>
        <w:rPr>
          <w:rFonts w:ascii="Verdana" w:hAnsi="Verdana"/>
          <w:b/>
          <w:noProof/>
          <w:color w:val="016794"/>
          <w:sz w:val="40"/>
          <w:szCs w:val="40"/>
        </w:rPr>
        <w:br w:type="page"/>
      </w:r>
    </w:p>
    <w:p w:rsidR="005D6812" w:rsidRDefault="00AB2A2B">
      <w:pPr>
        <w:rPr>
          <w:rFonts w:ascii="Verdana" w:hAnsi="Verdana"/>
          <w:b/>
          <w:noProof/>
          <w:color w:val="016794"/>
          <w:sz w:val="40"/>
          <w:szCs w:val="40"/>
        </w:rPr>
      </w:pPr>
      <w:r>
        <w:rPr>
          <w:noProof/>
        </w:rPr>
        <w:drawing>
          <wp:inline distT="0" distB="0" distL="0" distR="0" wp14:anchorId="165A803C" wp14:editId="28F642F5">
            <wp:extent cx="6120130" cy="8708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6120130" cy="8708875"/>
                    </a:xfrm>
                    <a:prstGeom prst="rect">
                      <a:avLst/>
                    </a:prstGeom>
                    <a:noFill/>
                    <a:ln>
                      <a:noFill/>
                    </a:ln>
                  </pic:spPr>
                </pic:pic>
              </a:graphicData>
            </a:graphic>
          </wp:inline>
        </w:drawing>
      </w:r>
    </w:p>
    <w:p w:rsidR="005D6812" w:rsidRDefault="00AB2A2B">
      <w:pPr>
        <w:rPr>
          <w:rFonts w:ascii="Verdana" w:hAnsi="Verdana"/>
          <w:b/>
          <w:noProof/>
          <w:color w:val="016794"/>
          <w:sz w:val="40"/>
          <w:szCs w:val="40"/>
        </w:rPr>
      </w:pPr>
      <w:r>
        <w:rPr>
          <w:rFonts w:ascii="Verdana" w:hAnsi="Verdana"/>
          <w:b/>
          <w:noProof/>
          <w:color w:val="016794"/>
          <w:sz w:val="40"/>
          <w:szCs w:val="40"/>
        </w:rPr>
        <w:br w:type="page"/>
      </w:r>
    </w:p>
    <w:p w:rsidR="005D6812" w:rsidRDefault="00AB2A2B">
      <w:pPr>
        <w:rPr>
          <w:rFonts w:ascii="Verdana" w:hAnsi="Verdana"/>
          <w:b/>
          <w:noProof/>
          <w:color w:val="016794"/>
          <w:sz w:val="40"/>
          <w:szCs w:val="40"/>
        </w:rPr>
      </w:pPr>
      <w:r>
        <w:rPr>
          <w:noProof/>
        </w:rPr>
        <w:drawing>
          <wp:inline distT="0" distB="0" distL="0" distR="0" wp14:anchorId="0A737D96" wp14:editId="0BA58909">
            <wp:extent cx="6120110" cy="889750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6120130" cy="8897539"/>
                    </a:xfrm>
                    <a:prstGeom prst="rect">
                      <a:avLst/>
                    </a:prstGeom>
                    <a:noFill/>
                    <a:ln>
                      <a:noFill/>
                    </a:ln>
                  </pic:spPr>
                </pic:pic>
              </a:graphicData>
            </a:graphic>
          </wp:inline>
        </w:drawing>
      </w:r>
    </w:p>
    <w:p w:rsidR="005D6812" w:rsidRDefault="00AB2A2B">
      <w:pPr>
        <w:pStyle w:val="Textstand-alone"/>
        <w:sectPr w:rsidR="005D6812">
          <w:headerReference w:type="even" r:id="rId388"/>
          <w:headerReference w:type="default" r:id="rId389"/>
          <w:footerReference w:type="even" r:id="rId390"/>
          <w:footerReference w:type="default" r:id="rId391"/>
          <w:headerReference w:type="first" r:id="rId392"/>
          <w:footerReference w:type="first" r:id="rId393"/>
          <w:pgSz w:w="11906" w:h="16838" w:code="9"/>
          <w:pgMar w:top="1134" w:right="1134" w:bottom="1134" w:left="1134" w:header="708" w:footer="708" w:gutter="0"/>
          <w:cols w:space="708"/>
          <w:docGrid w:linePitch="360"/>
        </w:sectPr>
      </w:pPr>
      <w:r>
        <w:rPr>
          <w:lang w:eastAsia="en-GB"/>
        </w:rPr>
        <w:drawing>
          <wp:inline distT="0" distB="0" distL="0" distR="0" wp14:anchorId="6886D1D1" wp14:editId="172C3DEF">
            <wp:extent cx="6118317" cy="8992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6120130" cy="8995589"/>
                    </a:xfrm>
                    <a:prstGeom prst="rect">
                      <a:avLst/>
                    </a:prstGeom>
                    <a:noFill/>
                    <a:ln>
                      <a:noFill/>
                    </a:ln>
                  </pic:spPr>
                </pic:pic>
              </a:graphicData>
            </a:graphic>
          </wp:inline>
        </w:drawing>
      </w:r>
    </w:p>
    <w:p w:rsidR="005D6812" w:rsidRDefault="005D6812">
      <w:pPr>
        <w:ind w:right="-397"/>
        <w:rPr>
          <w:rFonts w:ascii="Verdana" w:hAnsi="Verdana"/>
          <w:noProof/>
        </w:rPr>
      </w:pPr>
      <w:bookmarkStart w:id="366" w:name="_DMBM_9545"/>
      <w:bookmarkEnd w:id="365"/>
    </w:p>
    <w:p w:rsidR="005D6812" w:rsidRDefault="005D6812">
      <w:pPr>
        <w:pStyle w:val="FinancialYear"/>
        <w:rPr>
          <w:noProof/>
        </w:rPr>
      </w:pPr>
      <w:bookmarkStart w:id="367" w:name="_DMBM_9456"/>
      <w:bookmarkEnd w:id="366"/>
    </w:p>
    <w:p w:rsidR="005D6812" w:rsidRDefault="005D6812">
      <w:pPr>
        <w:pStyle w:val="FinancialYear"/>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AB2A2B">
      <w:pPr>
        <w:pStyle w:val="FIRSTCHAPTERPAGE"/>
        <w:rPr>
          <w:noProof/>
        </w:rPr>
      </w:pPr>
      <w:bookmarkStart w:id="368" w:name="_Toc478631948"/>
      <w:bookmarkStart w:id="369" w:name="_Toc484164224"/>
      <w:bookmarkStart w:id="370" w:name="_Toc484164258"/>
      <w:bookmarkStart w:id="371" w:name="_GoBack"/>
      <w:bookmarkEnd w:id="371"/>
      <w:r>
        <w:rPr>
          <w:noProof/>
        </w:rPr>
        <w:t xml:space="preserve">ANNUAL REPORT ON IMPLEMENTATION - </w:t>
      </w:r>
      <w:bookmarkStart w:id="372" w:name="_Toc478054614"/>
      <w:r>
        <w:rPr>
          <w:noProof/>
        </w:rPr>
        <w:t>FUNDS MANAGED BY THE EUROPEAN INVESTMENT BANK</w:t>
      </w:r>
      <w:bookmarkEnd w:id="368"/>
      <w:bookmarkEnd w:id="369"/>
      <w:bookmarkEnd w:id="370"/>
      <w:bookmarkEnd w:id="372"/>
    </w:p>
    <w:p w:rsidR="005D6812" w:rsidRDefault="005D6812">
      <w:pPr>
        <w:pStyle w:val="FIRSTCHAPTERPAGE"/>
        <w:rPr>
          <w:noProof/>
        </w:rPr>
      </w:pPr>
    </w:p>
    <w:p w:rsidR="005D6812" w:rsidRDefault="005D6812">
      <w:pPr>
        <w:pStyle w:val="FIRSTCHAPTERPAGE"/>
        <w:rPr>
          <w:noProof/>
        </w:rPr>
      </w:pPr>
    </w:p>
    <w:p w:rsidR="005D6812" w:rsidRDefault="005D6812">
      <w:pPr>
        <w:pStyle w:val="FIRSTCHAPTERPAGE"/>
        <w:rPr>
          <w:noProof/>
        </w:rPr>
      </w:pPr>
    </w:p>
    <w:p w:rsidR="005D6812" w:rsidRDefault="00AB2A2B">
      <w:pPr>
        <w:pStyle w:val="Textstand-alone"/>
        <w:sectPr w:rsidR="005D6812">
          <w:headerReference w:type="even" r:id="rId395"/>
          <w:headerReference w:type="default" r:id="rId396"/>
          <w:footerReference w:type="even" r:id="rId397"/>
          <w:footerReference w:type="default" r:id="rId398"/>
          <w:headerReference w:type="first" r:id="rId399"/>
          <w:footerReference w:type="first" r:id="rId400"/>
          <w:pgSz w:w="11906" w:h="16838"/>
          <w:pgMar w:top="1134" w:right="1134" w:bottom="1134" w:left="1134" w:header="709" w:footer="709" w:gutter="0"/>
          <w:cols w:space="708"/>
          <w:docGrid w:linePitch="360"/>
        </w:sectPr>
      </w:pPr>
      <w:r>
        <w:t xml:space="preserve"> </w:t>
      </w:r>
      <w:bookmarkEnd w:id="367"/>
    </w:p>
    <w:tbl>
      <w:tblPr>
        <w:tblW w:w="0" w:type="auto"/>
        <w:tblLayout w:type="fixed"/>
        <w:tblLook w:val="0000" w:firstRow="0" w:lastRow="0" w:firstColumn="0" w:lastColumn="0" w:noHBand="0" w:noVBand="0"/>
      </w:tblPr>
      <w:tblGrid>
        <w:gridCol w:w="2627"/>
        <w:gridCol w:w="2336"/>
        <w:gridCol w:w="1263"/>
        <w:gridCol w:w="1395"/>
        <w:gridCol w:w="2233"/>
      </w:tblGrid>
      <w:tr w:rsidR="005D6812">
        <w:tc>
          <w:tcPr>
            <w:tcW w:w="6226" w:type="dxa"/>
            <w:gridSpan w:val="3"/>
            <w:shd w:val="clear" w:color="auto" w:fill="auto"/>
          </w:tcPr>
          <w:p w:rsidR="005D6812" w:rsidRDefault="00AB2A2B">
            <w:pPr>
              <w:pageBreakBefore/>
              <w:snapToGrid w:val="0"/>
              <w:spacing w:before="60" w:after="60"/>
              <w:rPr>
                <w:rFonts w:ascii="Arial" w:hAnsi="Arial"/>
                <w:b/>
                <w:noProof/>
                <w:sz w:val="20"/>
                <w:szCs w:val="20"/>
                <w:u w:val="single"/>
              </w:rPr>
            </w:pPr>
            <w:bookmarkStart w:id="373" w:name="_DMBM_9481"/>
            <w:r>
              <w:rPr>
                <w:rFonts w:ascii="Arial" w:hAnsi="Arial"/>
                <w:b/>
                <w:noProof/>
                <w:sz w:val="20"/>
                <w:szCs w:val="20"/>
                <w:u w:val="single"/>
              </w:rPr>
              <w:t>EUROPEAN INVESTMENT BANK</w:t>
            </w:r>
          </w:p>
        </w:tc>
        <w:tc>
          <w:tcPr>
            <w:tcW w:w="3628" w:type="dxa"/>
            <w:gridSpan w:val="2"/>
            <w:shd w:val="clear" w:color="auto" w:fill="auto"/>
          </w:tcPr>
          <w:p w:rsidR="005D6812" w:rsidRDefault="00AB2A2B">
            <w:pPr>
              <w:snapToGrid w:val="0"/>
              <w:spacing w:before="60" w:after="60"/>
              <w:rPr>
                <w:rFonts w:ascii="Arial" w:hAnsi="Arial"/>
                <w:b/>
                <w:noProof/>
                <w:sz w:val="20"/>
                <w:szCs w:val="20"/>
                <w:u w:val="single"/>
              </w:rPr>
            </w:pPr>
            <w:r>
              <w:rPr>
                <w:rFonts w:ascii="Arial" w:hAnsi="Arial"/>
                <w:b/>
                <w:noProof/>
                <w:sz w:val="20"/>
                <w:szCs w:val="20"/>
                <w:u w:val="single"/>
              </w:rPr>
              <w:t>CA/501/17</w:t>
            </w:r>
          </w:p>
        </w:tc>
      </w:tr>
      <w:tr w:rsidR="005D6812">
        <w:tc>
          <w:tcPr>
            <w:tcW w:w="6226" w:type="dxa"/>
            <w:gridSpan w:val="3"/>
            <w:shd w:val="clear" w:color="auto" w:fill="auto"/>
          </w:tcPr>
          <w:p w:rsidR="005D6812" w:rsidRDefault="005D6812">
            <w:pPr>
              <w:snapToGrid w:val="0"/>
              <w:spacing w:before="60" w:after="60"/>
              <w:rPr>
                <w:rFonts w:ascii="Arial" w:hAnsi="Arial"/>
                <w:noProof/>
                <w:sz w:val="20"/>
                <w:szCs w:val="20"/>
              </w:rPr>
            </w:pPr>
          </w:p>
        </w:tc>
        <w:tc>
          <w:tcPr>
            <w:tcW w:w="3628" w:type="dxa"/>
            <w:gridSpan w:val="2"/>
            <w:shd w:val="clear" w:color="auto" w:fill="auto"/>
          </w:tcPr>
          <w:p w:rsidR="005D6812" w:rsidRDefault="00AB2A2B">
            <w:pPr>
              <w:snapToGrid w:val="0"/>
              <w:spacing w:before="60" w:after="60"/>
              <w:rPr>
                <w:rFonts w:ascii="Arial" w:hAnsi="Arial"/>
                <w:b/>
                <w:noProof/>
                <w:sz w:val="20"/>
                <w:szCs w:val="20"/>
              </w:rPr>
            </w:pPr>
            <w:r>
              <w:rPr>
                <w:rFonts w:ascii="Arial" w:hAnsi="Arial"/>
                <w:noProof/>
                <w:sz w:val="20"/>
                <w:szCs w:val="20"/>
              </w:rPr>
              <w:t>9 March 2017</w:t>
            </w:r>
          </w:p>
        </w:tc>
      </w:tr>
      <w:tr w:rsidR="005D6812">
        <w:tc>
          <w:tcPr>
            <w:tcW w:w="6226" w:type="dxa"/>
            <w:gridSpan w:val="3"/>
            <w:shd w:val="clear" w:color="auto" w:fill="auto"/>
          </w:tcPr>
          <w:p w:rsidR="005D6812" w:rsidRDefault="005D6812">
            <w:pPr>
              <w:snapToGrid w:val="0"/>
              <w:spacing w:before="360" w:after="240"/>
              <w:rPr>
                <w:rFonts w:ascii="Arial" w:hAnsi="Arial"/>
                <w:noProof/>
                <w:sz w:val="20"/>
                <w:szCs w:val="20"/>
              </w:rPr>
            </w:pPr>
          </w:p>
        </w:tc>
        <w:tc>
          <w:tcPr>
            <w:tcW w:w="3628" w:type="dxa"/>
            <w:gridSpan w:val="2"/>
            <w:shd w:val="clear" w:color="auto" w:fill="auto"/>
          </w:tcPr>
          <w:p w:rsidR="005D6812" w:rsidRDefault="00AB2A2B">
            <w:pPr>
              <w:snapToGrid w:val="0"/>
              <w:spacing w:before="360" w:after="240"/>
              <w:rPr>
                <w:rFonts w:ascii="Arial" w:hAnsi="Arial"/>
                <w:b/>
                <w:noProof/>
                <w:sz w:val="20"/>
                <w:szCs w:val="20"/>
                <w:u w:val="single"/>
              </w:rPr>
            </w:pPr>
            <w:r>
              <w:rPr>
                <w:rFonts w:ascii="Arial" w:hAnsi="Arial"/>
                <w:noProof/>
                <w:sz w:val="20"/>
                <w:szCs w:val="20"/>
                <w:u w:val="single"/>
              </w:rPr>
              <w:t>Document 17/098</w:t>
            </w:r>
          </w:p>
        </w:tc>
      </w:tr>
      <w:tr w:rsidR="005D6812">
        <w:tc>
          <w:tcPr>
            <w:tcW w:w="6226" w:type="dxa"/>
            <w:gridSpan w:val="3"/>
            <w:shd w:val="clear" w:color="auto" w:fill="auto"/>
          </w:tcPr>
          <w:p w:rsidR="005D6812" w:rsidRDefault="005D6812">
            <w:pPr>
              <w:snapToGrid w:val="0"/>
              <w:spacing w:before="60" w:after="60"/>
              <w:rPr>
                <w:rFonts w:ascii="Arial" w:hAnsi="Arial"/>
                <w:noProof/>
                <w:sz w:val="20"/>
                <w:szCs w:val="20"/>
              </w:rPr>
            </w:pPr>
          </w:p>
        </w:tc>
        <w:tc>
          <w:tcPr>
            <w:tcW w:w="3628" w:type="dxa"/>
            <w:gridSpan w:val="2"/>
            <w:shd w:val="clear" w:color="auto" w:fill="auto"/>
          </w:tcPr>
          <w:p w:rsidR="005D6812" w:rsidRDefault="005D6812">
            <w:pPr>
              <w:snapToGrid w:val="0"/>
              <w:spacing w:before="60" w:after="60"/>
              <w:rPr>
                <w:rFonts w:ascii="Arial" w:hAnsi="Arial"/>
                <w:noProof/>
                <w:sz w:val="20"/>
                <w:szCs w:val="20"/>
              </w:rPr>
            </w:pPr>
          </w:p>
        </w:tc>
      </w:tr>
      <w:tr w:rsidR="005D6812">
        <w:tc>
          <w:tcPr>
            <w:tcW w:w="6226" w:type="dxa"/>
            <w:gridSpan w:val="3"/>
            <w:shd w:val="clear" w:color="auto" w:fill="auto"/>
          </w:tcPr>
          <w:p w:rsidR="005D6812" w:rsidRDefault="005D6812">
            <w:pPr>
              <w:snapToGrid w:val="0"/>
              <w:spacing w:before="60" w:after="60"/>
              <w:rPr>
                <w:rFonts w:ascii="Arial" w:hAnsi="Arial"/>
                <w:noProof/>
                <w:sz w:val="20"/>
                <w:szCs w:val="20"/>
              </w:rPr>
            </w:pPr>
          </w:p>
        </w:tc>
        <w:tc>
          <w:tcPr>
            <w:tcW w:w="3628" w:type="dxa"/>
            <w:gridSpan w:val="2"/>
            <w:shd w:val="clear" w:color="auto" w:fill="auto"/>
          </w:tcPr>
          <w:p w:rsidR="005D6812" w:rsidRDefault="005D6812">
            <w:pPr>
              <w:snapToGrid w:val="0"/>
              <w:spacing w:before="60" w:after="60"/>
              <w:rPr>
                <w:rFonts w:ascii="Arial" w:hAnsi="Arial"/>
                <w:noProof/>
                <w:sz w:val="20"/>
                <w:szCs w:val="20"/>
              </w:rPr>
            </w:pPr>
          </w:p>
        </w:tc>
      </w:tr>
      <w:tr w:rsidR="005D6812">
        <w:trPr>
          <w:trHeight w:val="3026"/>
        </w:trPr>
        <w:tc>
          <w:tcPr>
            <w:tcW w:w="9854" w:type="dxa"/>
            <w:gridSpan w:val="5"/>
            <w:shd w:val="clear" w:color="auto" w:fill="auto"/>
            <w:vAlign w:val="center"/>
          </w:tcPr>
          <w:p w:rsidR="005D6812" w:rsidRDefault="00AB2A2B">
            <w:pPr>
              <w:snapToGrid w:val="0"/>
              <w:spacing w:before="2760" w:after="360"/>
              <w:jc w:val="center"/>
              <w:rPr>
                <w:rFonts w:ascii="Arial" w:hAnsi="Arial"/>
                <w:caps/>
                <w:noProof/>
                <w:spacing w:val="80"/>
                <w:sz w:val="20"/>
                <w:szCs w:val="20"/>
                <w:u w:val="single"/>
              </w:rPr>
            </w:pPr>
            <w:r>
              <w:rPr>
                <w:rFonts w:ascii="Arial" w:hAnsi="Arial"/>
                <w:caps/>
                <w:noProof/>
                <w:spacing w:val="80"/>
                <w:sz w:val="20"/>
                <w:szCs w:val="20"/>
                <w:u w:val="single"/>
              </w:rPr>
              <w:t>BOARD OF DIRECTORS</w:t>
            </w:r>
          </w:p>
        </w:tc>
      </w:tr>
      <w:tr w:rsidR="005D6812">
        <w:tc>
          <w:tcPr>
            <w:tcW w:w="9854" w:type="dxa"/>
            <w:gridSpan w:val="5"/>
            <w:shd w:val="clear" w:color="auto" w:fill="auto"/>
            <w:vAlign w:val="center"/>
          </w:tcPr>
          <w:p w:rsidR="005D6812" w:rsidRDefault="00AB2A2B">
            <w:pPr>
              <w:snapToGrid w:val="0"/>
              <w:spacing w:before="240" w:after="120"/>
              <w:jc w:val="center"/>
              <w:rPr>
                <w:rFonts w:ascii="Arial" w:hAnsi="Arial"/>
                <w:b/>
                <w:caps/>
                <w:noProof/>
                <w:spacing w:val="20"/>
                <w:sz w:val="20"/>
                <w:szCs w:val="20"/>
              </w:rPr>
            </w:pPr>
            <w:r>
              <w:rPr>
                <w:rFonts w:ascii="Arial" w:hAnsi="Arial"/>
                <w:b/>
                <w:caps/>
                <w:noProof/>
                <w:spacing w:val="20"/>
                <w:sz w:val="20"/>
                <w:szCs w:val="20"/>
              </w:rPr>
              <w:t>Investment Facility</w:t>
            </w:r>
          </w:p>
        </w:tc>
      </w:tr>
      <w:tr w:rsidR="005D6812">
        <w:tc>
          <w:tcPr>
            <w:tcW w:w="9854" w:type="dxa"/>
            <w:gridSpan w:val="5"/>
            <w:shd w:val="clear" w:color="auto" w:fill="auto"/>
            <w:vAlign w:val="center"/>
          </w:tcPr>
          <w:p w:rsidR="005D6812" w:rsidRDefault="00AB2A2B">
            <w:pPr>
              <w:snapToGrid w:val="0"/>
              <w:spacing w:before="60" w:after="60"/>
              <w:jc w:val="center"/>
              <w:rPr>
                <w:rFonts w:ascii="Arial" w:hAnsi="Arial"/>
                <w:b/>
                <w:caps/>
                <w:noProof/>
                <w:sz w:val="20"/>
                <w:szCs w:val="20"/>
              </w:rPr>
            </w:pPr>
            <w:r>
              <w:rPr>
                <w:rFonts w:ascii="Arial" w:hAnsi="Arial"/>
                <w:b/>
                <w:caps/>
                <w:noProof/>
                <w:sz w:val="20"/>
                <w:szCs w:val="20"/>
              </w:rPr>
              <w:t>financial statements</w:t>
            </w:r>
          </w:p>
        </w:tc>
      </w:tr>
      <w:tr w:rsidR="005D6812">
        <w:tc>
          <w:tcPr>
            <w:tcW w:w="9854" w:type="dxa"/>
            <w:gridSpan w:val="5"/>
            <w:shd w:val="clear" w:color="auto" w:fill="auto"/>
            <w:vAlign w:val="center"/>
          </w:tcPr>
          <w:p w:rsidR="005D6812" w:rsidRDefault="00AB2A2B">
            <w:pPr>
              <w:snapToGrid w:val="0"/>
              <w:spacing w:before="60" w:after="60"/>
              <w:jc w:val="center"/>
              <w:rPr>
                <w:rFonts w:ascii="Arial" w:hAnsi="Arial"/>
                <w:b/>
                <w:caps/>
                <w:noProof/>
                <w:sz w:val="20"/>
                <w:szCs w:val="20"/>
              </w:rPr>
            </w:pPr>
            <w:r>
              <w:rPr>
                <w:rFonts w:ascii="Arial" w:hAnsi="Arial"/>
                <w:b/>
                <w:caps/>
                <w:noProof/>
                <w:sz w:val="20"/>
                <w:szCs w:val="20"/>
              </w:rPr>
              <w:t>as at 31 december 2016</w:t>
            </w:r>
          </w:p>
        </w:tc>
      </w:tr>
      <w:tr w:rsidR="005D6812">
        <w:trPr>
          <w:trHeight w:val="786"/>
        </w:trPr>
        <w:tc>
          <w:tcPr>
            <w:tcW w:w="2627" w:type="dxa"/>
            <w:shd w:val="clear" w:color="auto" w:fill="auto"/>
            <w:vAlign w:val="center"/>
          </w:tcPr>
          <w:p w:rsidR="005D6812" w:rsidRDefault="005D6812">
            <w:pPr>
              <w:snapToGrid w:val="0"/>
              <w:spacing w:before="360" w:after="480"/>
              <w:jc w:val="center"/>
              <w:rPr>
                <w:rFonts w:ascii="Arial" w:hAnsi="Arial"/>
                <w:noProof/>
                <w:sz w:val="20"/>
                <w:szCs w:val="20"/>
              </w:rPr>
            </w:pPr>
          </w:p>
        </w:tc>
        <w:tc>
          <w:tcPr>
            <w:tcW w:w="4994" w:type="dxa"/>
            <w:gridSpan w:val="3"/>
            <w:tcBorders>
              <w:top w:val="single" w:sz="4" w:space="0" w:color="000000"/>
            </w:tcBorders>
            <w:shd w:val="clear" w:color="auto" w:fill="auto"/>
            <w:vAlign w:val="center"/>
          </w:tcPr>
          <w:p w:rsidR="005D6812" w:rsidRDefault="005D6812">
            <w:pPr>
              <w:snapToGrid w:val="0"/>
              <w:spacing w:before="360" w:after="480"/>
              <w:jc w:val="center"/>
              <w:rPr>
                <w:rFonts w:ascii="Arial" w:hAnsi="Arial"/>
                <w:noProof/>
                <w:sz w:val="20"/>
                <w:szCs w:val="20"/>
              </w:rPr>
            </w:pPr>
          </w:p>
        </w:tc>
        <w:tc>
          <w:tcPr>
            <w:tcW w:w="2233" w:type="dxa"/>
            <w:shd w:val="clear" w:color="auto" w:fill="auto"/>
            <w:vAlign w:val="center"/>
          </w:tcPr>
          <w:p w:rsidR="005D6812" w:rsidRDefault="005D6812">
            <w:pPr>
              <w:snapToGrid w:val="0"/>
              <w:spacing w:before="360" w:after="480"/>
              <w:jc w:val="center"/>
              <w:rPr>
                <w:rFonts w:ascii="Arial" w:hAnsi="Arial"/>
                <w:noProof/>
                <w:sz w:val="20"/>
                <w:szCs w:val="20"/>
              </w:rPr>
            </w:pPr>
          </w:p>
        </w:tc>
      </w:tr>
      <w:tr w:rsidR="005D6812">
        <w:trPr>
          <w:trHeight w:val="3816"/>
        </w:trPr>
        <w:tc>
          <w:tcPr>
            <w:tcW w:w="2627" w:type="dxa"/>
            <w:shd w:val="clear" w:color="auto" w:fill="auto"/>
            <w:vAlign w:val="center"/>
          </w:tcPr>
          <w:p w:rsidR="005D6812" w:rsidRDefault="005D6812">
            <w:pPr>
              <w:snapToGrid w:val="0"/>
              <w:spacing w:before="120" w:after="120"/>
              <w:jc w:val="center"/>
              <w:rPr>
                <w:rFonts w:ascii="Arial" w:hAnsi="Arial"/>
                <w:noProof/>
                <w:sz w:val="20"/>
                <w:szCs w:val="20"/>
              </w:rPr>
            </w:pPr>
          </w:p>
        </w:tc>
        <w:tc>
          <w:tcPr>
            <w:tcW w:w="4994" w:type="dxa"/>
            <w:gridSpan w:val="3"/>
            <w:shd w:val="clear" w:color="auto" w:fill="auto"/>
            <w:vAlign w:val="center"/>
          </w:tcPr>
          <w:p w:rsidR="005D6812" w:rsidRDefault="00AB2A2B">
            <w:pPr>
              <w:numPr>
                <w:ilvl w:val="0"/>
                <w:numId w:val="22"/>
              </w:numPr>
              <w:tabs>
                <w:tab w:val="left" w:pos="432"/>
              </w:tabs>
              <w:snapToGrid w:val="0"/>
              <w:spacing w:before="120" w:after="120"/>
              <w:ind w:left="432"/>
              <w:rPr>
                <w:rFonts w:ascii="Arial" w:hAnsi="Arial"/>
                <w:noProof/>
                <w:sz w:val="20"/>
                <w:szCs w:val="20"/>
              </w:rPr>
            </w:pPr>
            <w:r>
              <w:rPr>
                <w:rFonts w:ascii="Arial" w:hAnsi="Arial"/>
                <w:noProof/>
                <w:sz w:val="20"/>
                <w:szCs w:val="20"/>
              </w:rPr>
              <w:t xml:space="preserve">Statement of </w:t>
            </w:r>
            <w:r>
              <w:rPr>
                <w:rFonts w:ascii="Arial" w:hAnsi="Arial"/>
                <w:noProof/>
                <w:sz w:val="20"/>
                <w:szCs w:val="20"/>
              </w:rPr>
              <w:t>financial position</w:t>
            </w:r>
          </w:p>
          <w:p w:rsidR="005D6812" w:rsidRDefault="00AB2A2B">
            <w:pPr>
              <w:numPr>
                <w:ilvl w:val="0"/>
                <w:numId w:val="22"/>
              </w:numPr>
              <w:tabs>
                <w:tab w:val="left" w:pos="432"/>
              </w:tabs>
              <w:spacing w:before="120" w:after="120"/>
              <w:ind w:left="432"/>
              <w:rPr>
                <w:rFonts w:ascii="Arial" w:hAnsi="Arial"/>
                <w:noProof/>
                <w:sz w:val="20"/>
                <w:szCs w:val="20"/>
              </w:rPr>
            </w:pPr>
            <w:r>
              <w:rPr>
                <w:rFonts w:ascii="Arial" w:hAnsi="Arial"/>
                <w:noProof/>
                <w:sz w:val="20"/>
                <w:szCs w:val="20"/>
              </w:rPr>
              <w:t>Statement of profit or loss and other comprehensive income</w:t>
            </w:r>
          </w:p>
          <w:p w:rsidR="005D6812" w:rsidRDefault="00AB2A2B">
            <w:pPr>
              <w:numPr>
                <w:ilvl w:val="0"/>
                <w:numId w:val="22"/>
              </w:numPr>
              <w:tabs>
                <w:tab w:val="left" w:pos="432"/>
              </w:tabs>
              <w:spacing w:before="120" w:after="120"/>
              <w:ind w:left="432"/>
              <w:rPr>
                <w:rFonts w:ascii="Arial" w:hAnsi="Arial"/>
                <w:noProof/>
                <w:sz w:val="20"/>
                <w:szCs w:val="20"/>
              </w:rPr>
            </w:pPr>
            <w:r>
              <w:rPr>
                <w:rFonts w:ascii="Arial" w:hAnsi="Arial"/>
                <w:noProof/>
                <w:sz w:val="20"/>
                <w:szCs w:val="20"/>
              </w:rPr>
              <w:t>Statement of changes in contributors’ resources</w:t>
            </w:r>
          </w:p>
          <w:p w:rsidR="005D6812" w:rsidRDefault="00AB2A2B">
            <w:pPr>
              <w:numPr>
                <w:ilvl w:val="0"/>
                <w:numId w:val="22"/>
              </w:numPr>
              <w:tabs>
                <w:tab w:val="left" w:pos="432"/>
              </w:tabs>
              <w:spacing w:before="120" w:after="120"/>
              <w:ind w:left="432"/>
              <w:rPr>
                <w:rFonts w:ascii="Arial" w:hAnsi="Arial"/>
                <w:noProof/>
                <w:sz w:val="20"/>
                <w:szCs w:val="20"/>
              </w:rPr>
            </w:pPr>
            <w:r>
              <w:rPr>
                <w:rFonts w:ascii="Arial" w:hAnsi="Arial"/>
                <w:noProof/>
                <w:sz w:val="20"/>
                <w:szCs w:val="20"/>
              </w:rPr>
              <w:t>Statement of cash flows</w:t>
            </w:r>
          </w:p>
          <w:p w:rsidR="005D6812" w:rsidRDefault="00AB2A2B">
            <w:pPr>
              <w:numPr>
                <w:ilvl w:val="0"/>
                <w:numId w:val="22"/>
              </w:numPr>
              <w:tabs>
                <w:tab w:val="left" w:pos="432"/>
              </w:tabs>
              <w:spacing w:before="120" w:after="120"/>
              <w:ind w:left="432"/>
              <w:rPr>
                <w:rFonts w:ascii="Arial" w:hAnsi="Arial"/>
                <w:noProof/>
                <w:sz w:val="20"/>
                <w:szCs w:val="20"/>
              </w:rPr>
            </w:pPr>
            <w:r>
              <w:rPr>
                <w:rFonts w:ascii="Arial" w:hAnsi="Arial"/>
                <w:noProof/>
                <w:sz w:val="20"/>
                <w:szCs w:val="20"/>
              </w:rPr>
              <w:t>Notes to the financial statements</w:t>
            </w:r>
          </w:p>
          <w:p w:rsidR="005D6812" w:rsidRDefault="00AB2A2B">
            <w:pPr>
              <w:numPr>
                <w:ilvl w:val="0"/>
                <w:numId w:val="22"/>
              </w:numPr>
              <w:tabs>
                <w:tab w:val="left" w:pos="432"/>
              </w:tabs>
              <w:spacing w:before="120" w:after="120"/>
              <w:ind w:left="432"/>
              <w:rPr>
                <w:rFonts w:ascii="Arial" w:hAnsi="Arial"/>
                <w:noProof/>
                <w:sz w:val="20"/>
                <w:szCs w:val="20"/>
              </w:rPr>
            </w:pPr>
            <w:r>
              <w:rPr>
                <w:rFonts w:ascii="Arial" w:hAnsi="Arial"/>
                <w:noProof/>
                <w:sz w:val="20"/>
                <w:szCs w:val="20"/>
              </w:rPr>
              <w:t>Independent auditor’s report</w:t>
            </w:r>
          </w:p>
        </w:tc>
        <w:tc>
          <w:tcPr>
            <w:tcW w:w="2233" w:type="dxa"/>
            <w:shd w:val="clear" w:color="auto" w:fill="auto"/>
            <w:vAlign w:val="center"/>
          </w:tcPr>
          <w:p w:rsidR="005D6812" w:rsidRDefault="005D6812">
            <w:pPr>
              <w:snapToGrid w:val="0"/>
              <w:spacing w:before="120" w:after="120"/>
              <w:jc w:val="center"/>
              <w:rPr>
                <w:rFonts w:ascii="Arial" w:hAnsi="Arial"/>
                <w:noProof/>
                <w:sz w:val="20"/>
                <w:szCs w:val="20"/>
              </w:rPr>
            </w:pPr>
          </w:p>
        </w:tc>
      </w:tr>
      <w:tr w:rsidR="005D6812">
        <w:tc>
          <w:tcPr>
            <w:tcW w:w="4963" w:type="dxa"/>
            <w:gridSpan w:val="2"/>
            <w:shd w:val="clear" w:color="auto" w:fill="auto"/>
          </w:tcPr>
          <w:p w:rsidR="005D6812" w:rsidRDefault="005D6812">
            <w:pPr>
              <w:snapToGrid w:val="0"/>
              <w:spacing w:before="60" w:after="60"/>
              <w:rPr>
                <w:rFonts w:ascii="Arial" w:hAnsi="Arial"/>
                <w:noProof/>
                <w:sz w:val="20"/>
                <w:szCs w:val="20"/>
              </w:rPr>
            </w:pPr>
          </w:p>
        </w:tc>
        <w:tc>
          <w:tcPr>
            <w:tcW w:w="4891" w:type="dxa"/>
            <w:gridSpan w:val="3"/>
            <w:shd w:val="clear" w:color="auto" w:fill="auto"/>
            <w:vAlign w:val="center"/>
          </w:tcPr>
          <w:p w:rsidR="005D6812" w:rsidRDefault="005D6812">
            <w:pPr>
              <w:snapToGrid w:val="0"/>
              <w:spacing w:before="60" w:after="60"/>
              <w:jc w:val="right"/>
              <w:rPr>
                <w:rFonts w:ascii="Arial" w:hAnsi="Arial"/>
                <w:noProof/>
                <w:sz w:val="20"/>
                <w:szCs w:val="20"/>
                <w:u w:val="single"/>
              </w:rPr>
            </w:pPr>
          </w:p>
        </w:tc>
      </w:tr>
      <w:tr w:rsidR="005D6812">
        <w:tc>
          <w:tcPr>
            <w:tcW w:w="4963" w:type="dxa"/>
            <w:gridSpan w:val="2"/>
            <w:shd w:val="clear" w:color="auto" w:fill="auto"/>
          </w:tcPr>
          <w:p w:rsidR="005D6812" w:rsidRDefault="005D6812">
            <w:pPr>
              <w:snapToGrid w:val="0"/>
              <w:spacing w:before="60" w:after="60"/>
              <w:rPr>
                <w:rFonts w:ascii="Arial" w:hAnsi="Arial"/>
                <w:noProof/>
                <w:sz w:val="20"/>
                <w:szCs w:val="20"/>
              </w:rPr>
            </w:pPr>
          </w:p>
        </w:tc>
        <w:tc>
          <w:tcPr>
            <w:tcW w:w="4891" w:type="dxa"/>
            <w:gridSpan w:val="3"/>
            <w:shd w:val="clear" w:color="auto" w:fill="auto"/>
            <w:vAlign w:val="center"/>
          </w:tcPr>
          <w:p w:rsidR="005D6812" w:rsidRDefault="005D6812">
            <w:pPr>
              <w:snapToGrid w:val="0"/>
              <w:spacing w:before="60" w:after="60"/>
              <w:jc w:val="right"/>
              <w:rPr>
                <w:rFonts w:ascii="Arial" w:hAnsi="Arial"/>
                <w:noProof/>
                <w:sz w:val="20"/>
                <w:szCs w:val="20"/>
                <w:u w:val="single"/>
              </w:rPr>
            </w:pPr>
          </w:p>
        </w:tc>
      </w:tr>
      <w:tr w:rsidR="005D6812">
        <w:tc>
          <w:tcPr>
            <w:tcW w:w="4963" w:type="dxa"/>
            <w:gridSpan w:val="2"/>
            <w:shd w:val="clear" w:color="auto" w:fill="auto"/>
          </w:tcPr>
          <w:p w:rsidR="005D6812" w:rsidRDefault="005D6812">
            <w:pPr>
              <w:snapToGrid w:val="0"/>
              <w:spacing w:before="60" w:after="60"/>
              <w:rPr>
                <w:rFonts w:ascii="Arial" w:hAnsi="Arial"/>
                <w:noProof/>
                <w:sz w:val="20"/>
                <w:szCs w:val="20"/>
              </w:rPr>
            </w:pPr>
          </w:p>
        </w:tc>
        <w:tc>
          <w:tcPr>
            <w:tcW w:w="4891" w:type="dxa"/>
            <w:gridSpan w:val="3"/>
            <w:shd w:val="clear" w:color="auto" w:fill="auto"/>
            <w:vAlign w:val="center"/>
          </w:tcPr>
          <w:p w:rsidR="005D6812" w:rsidRDefault="005D6812">
            <w:pPr>
              <w:snapToGrid w:val="0"/>
              <w:spacing w:before="60" w:after="60"/>
              <w:jc w:val="right"/>
              <w:rPr>
                <w:rFonts w:ascii="Arial" w:hAnsi="Arial"/>
                <w:noProof/>
                <w:sz w:val="20"/>
                <w:szCs w:val="20"/>
                <w:u w:val="single"/>
              </w:rPr>
            </w:pPr>
          </w:p>
        </w:tc>
      </w:tr>
      <w:tr w:rsidR="005D6812">
        <w:tc>
          <w:tcPr>
            <w:tcW w:w="4963" w:type="dxa"/>
            <w:gridSpan w:val="2"/>
            <w:shd w:val="clear" w:color="auto" w:fill="auto"/>
          </w:tcPr>
          <w:p w:rsidR="005D6812" w:rsidRDefault="00AB2A2B">
            <w:pPr>
              <w:snapToGrid w:val="0"/>
              <w:spacing w:before="60" w:after="60"/>
              <w:rPr>
                <w:rFonts w:ascii="Arial" w:hAnsi="Arial"/>
                <w:noProof/>
                <w:sz w:val="20"/>
                <w:szCs w:val="20"/>
              </w:rPr>
            </w:pPr>
            <w:r>
              <w:rPr>
                <w:rFonts w:ascii="Arial" w:hAnsi="Arial"/>
                <w:noProof/>
                <w:sz w:val="20"/>
                <w:szCs w:val="20"/>
              </w:rPr>
              <w:t>ORG.: E</w:t>
            </w:r>
          </w:p>
        </w:tc>
        <w:tc>
          <w:tcPr>
            <w:tcW w:w="4891" w:type="dxa"/>
            <w:gridSpan w:val="3"/>
            <w:shd w:val="clear" w:color="auto" w:fill="auto"/>
            <w:vAlign w:val="center"/>
          </w:tcPr>
          <w:p w:rsidR="005D6812" w:rsidRDefault="00AB2A2B">
            <w:pPr>
              <w:snapToGrid w:val="0"/>
              <w:spacing w:before="60" w:after="60"/>
              <w:jc w:val="right"/>
              <w:rPr>
                <w:rFonts w:ascii="Arial" w:hAnsi="Arial"/>
                <w:noProof/>
                <w:sz w:val="20"/>
                <w:szCs w:val="20"/>
                <w:u w:val="single"/>
              </w:rPr>
            </w:pPr>
            <w:r>
              <w:rPr>
                <w:rFonts w:ascii="Arial" w:hAnsi="Arial"/>
                <w:noProof/>
                <w:sz w:val="20"/>
                <w:szCs w:val="20"/>
                <w:u w:val="single"/>
              </w:rPr>
              <w:t>CONFIDENTIAL</w:t>
            </w:r>
          </w:p>
        </w:tc>
      </w:tr>
    </w:tbl>
    <w:p w:rsidR="005D6812" w:rsidRDefault="005D6812">
      <w:pPr>
        <w:snapToGrid w:val="0"/>
        <w:spacing w:before="60" w:after="60"/>
        <w:rPr>
          <w:rFonts w:ascii="Arial" w:hAnsi="Arial"/>
          <w:noProof/>
          <w:sz w:val="16"/>
          <w:szCs w:val="16"/>
        </w:rPr>
        <w:sectPr w:rsidR="005D6812">
          <w:headerReference w:type="even" r:id="rId401"/>
          <w:headerReference w:type="default" r:id="rId402"/>
          <w:footerReference w:type="even" r:id="rId403"/>
          <w:footerReference w:type="default" r:id="rId404"/>
          <w:headerReference w:type="first" r:id="rId405"/>
          <w:footerReference w:type="first" r:id="rId406"/>
          <w:pgSz w:w="12240" w:h="15840" w:code="1"/>
          <w:pgMar w:top="1134" w:right="1134" w:bottom="1134" w:left="1134" w:header="709" w:footer="709" w:gutter="0"/>
          <w:pgBorders>
            <w:top w:val="nil"/>
            <w:left w:val="nil"/>
            <w:bottom w:val="nil"/>
            <w:right w:val="nil"/>
          </w:pgBorders>
          <w:cols w:space="720"/>
          <w:docGrid w:linePitch="360"/>
        </w:sectPr>
      </w:pPr>
    </w:p>
    <w:p w:rsidR="005D6812" w:rsidRDefault="00AB2A2B">
      <w:pPr>
        <w:pageBreakBefore/>
        <w:pBdr>
          <w:top w:val="nil"/>
          <w:left w:val="nil"/>
          <w:bottom w:val="nil"/>
          <w:right w:val="nil"/>
          <w:between w:val="nil"/>
          <w:bar w:val="nil"/>
        </w:pBdr>
        <w:jc w:val="center"/>
        <w:rPr>
          <w:rFonts w:ascii="Arial" w:hAnsi="Arial"/>
          <w:b/>
          <w:noProof/>
          <w:sz w:val="20"/>
          <w:szCs w:val="16"/>
          <w:bdr w:val="nil"/>
        </w:rPr>
      </w:pPr>
      <w:r>
        <w:rPr>
          <w:rFonts w:ascii="Arial" w:hAnsi="Arial"/>
          <w:b/>
          <w:noProof/>
          <w:sz w:val="20"/>
          <w:szCs w:val="16"/>
          <w:bdr w:val="nil"/>
        </w:rPr>
        <w:t>STATEMENT OF FINANCIAL POSITION</w:t>
      </w:r>
    </w:p>
    <w:p w:rsidR="005D6812" w:rsidRDefault="00AB2A2B">
      <w:pPr>
        <w:pBdr>
          <w:top w:val="nil"/>
          <w:left w:val="nil"/>
          <w:bottom w:val="nil"/>
          <w:right w:val="nil"/>
          <w:between w:val="nil"/>
          <w:bar w:val="nil"/>
        </w:pBdr>
        <w:jc w:val="center"/>
        <w:rPr>
          <w:rFonts w:ascii="Arial" w:hAnsi="Arial"/>
          <w:b/>
          <w:noProof/>
          <w:sz w:val="20"/>
          <w:szCs w:val="16"/>
          <w:bdr w:val="nil"/>
        </w:rPr>
      </w:pPr>
      <w:r>
        <w:rPr>
          <w:rFonts w:ascii="Arial" w:hAnsi="Arial"/>
          <w:b/>
          <w:caps/>
          <w:noProof/>
          <w:sz w:val="20"/>
          <w:szCs w:val="20"/>
          <w:bdr w:val="nil"/>
        </w:rPr>
        <w:t xml:space="preserve">as at 31 december </w:t>
      </w:r>
      <w:r>
        <w:rPr>
          <w:rFonts w:ascii="Arial" w:hAnsi="Arial"/>
          <w:b/>
          <w:noProof/>
          <w:sz w:val="20"/>
          <w:szCs w:val="16"/>
          <w:bdr w:val="nil"/>
        </w:rPr>
        <w:t>2016</w:t>
      </w:r>
    </w:p>
    <w:p w:rsidR="005D6812" w:rsidRDefault="00AB2A2B">
      <w:pPr>
        <w:pBdr>
          <w:top w:val="nil"/>
          <w:left w:val="nil"/>
          <w:bottom w:val="nil"/>
          <w:right w:val="nil"/>
          <w:between w:val="nil"/>
          <w:bar w:val="nil"/>
        </w:pBdr>
        <w:jc w:val="center"/>
        <w:rPr>
          <w:rFonts w:ascii="Arial" w:hAnsi="Arial"/>
          <w:noProof/>
          <w:sz w:val="16"/>
          <w:szCs w:val="16"/>
          <w:bdr w:val="nil"/>
        </w:rPr>
      </w:pPr>
      <w:r>
        <w:rPr>
          <w:rFonts w:ascii="Arial" w:hAnsi="Arial"/>
          <w:noProof/>
          <w:sz w:val="16"/>
          <w:szCs w:val="16"/>
          <w:bdr w:val="nil"/>
        </w:rPr>
        <w:t>(In EUR’000)</w:t>
      </w:r>
    </w:p>
    <w:p w:rsidR="005D6812" w:rsidRDefault="005D6812">
      <w:pPr>
        <w:pBdr>
          <w:top w:val="nil"/>
          <w:left w:val="nil"/>
          <w:bottom w:val="nil"/>
          <w:right w:val="nil"/>
          <w:between w:val="nil"/>
          <w:bar w:val="nil"/>
        </w:pBdr>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000"/>
        <w:gridCol w:w="975"/>
        <w:gridCol w:w="1500"/>
        <w:gridCol w:w="1500"/>
      </w:tblGrid>
      <w:tr w:rsidR="005D6812">
        <w:trPr>
          <w:trHeight w:val="255"/>
        </w:trPr>
        <w:tc>
          <w:tcPr>
            <w:tcW w:w="60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Notes</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31.12.2015</w:t>
            </w:r>
          </w:p>
        </w:tc>
      </w:tr>
      <w:tr w:rsidR="005D6812">
        <w:trPr>
          <w:trHeight w:val="255"/>
        </w:trPr>
        <w:tc>
          <w:tcPr>
            <w:tcW w:w="60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ASSETS</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Cash </w:t>
            </w:r>
            <w:r>
              <w:rPr>
                <w:rFonts w:ascii="Arial" w:eastAsia="Arial" w:hAnsi="Arial" w:cs="Arial"/>
                <w:noProof/>
                <w:color w:val="000000"/>
                <w:sz w:val="16"/>
              </w:rPr>
              <w:t>and cash equivalents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360,817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448,995</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Amounts receivable from contributors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9/16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86,395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Held-to-maturity financial assets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169,398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228,521</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Derivative financial instruments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6,920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311</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Loans and receivables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1,729,380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1,460,057</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Available-for-sale </w:t>
            </w:r>
            <w:r>
              <w:rPr>
                <w:rFonts w:ascii="Arial" w:eastAsia="Arial" w:hAnsi="Arial" w:cs="Arial"/>
                <w:noProof/>
                <w:color w:val="000000"/>
                <w:sz w:val="16"/>
              </w:rPr>
              <w:t>financial assets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516,884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419,353</w:t>
            </w:r>
          </w:p>
        </w:tc>
      </w:tr>
      <w:tr w:rsidR="005D6812">
        <w:trPr>
          <w:trHeight w:val="28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Other assets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345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27</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60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assets</w:t>
            </w:r>
          </w:p>
        </w:tc>
        <w:tc>
          <w:tcPr>
            <w:tcW w:w="975" w:type="dxa"/>
            <w:tcBorders>
              <w:top w:val="nil"/>
              <w:left w:val="nil"/>
              <w:bottom w:val="nil"/>
              <w:right w:val="nil"/>
              <w:tl2br w:val="nil"/>
              <w:tr2bl w:val="nil"/>
            </w:tcBorders>
            <w:shd w:val="clear" w:color="FFFFFF" w:fill="C0C0C0"/>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 xml:space="preserve"> </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2,870,139</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2,557,264</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LIABILITIES AND CONTRIBUTORS' RESOURCES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jc w:val="cente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jc w:val="cente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LIABILITIES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jc w:val="cente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Derivative financial instruments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25,189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8,219</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Deferred income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26,283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29,325</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Provisions for guarantees issued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625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Amounts owed to third parties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116,114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101,202</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Other liabilities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2,546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2,364</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liabilities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jc w:val="cente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170,757</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141,110</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CONTRIBUTORS' RESOURCES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jc w:val="cente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Member States Contribution called</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2,377,000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2,157,000</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Fair value reserve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142,884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163,993</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Retained earnings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179,498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95,161</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contributors' resources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jc w:val="cente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2,699,382</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2,416,154</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60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liabilities and contributors' resources</w:t>
            </w:r>
          </w:p>
        </w:tc>
        <w:tc>
          <w:tcPr>
            <w:tcW w:w="975" w:type="dxa"/>
            <w:tcBorders>
              <w:top w:val="nil"/>
              <w:left w:val="nil"/>
              <w:bottom w:val="nil"/>
              <w:right w:val="nil"/>
              <w:tl2br w:val="nil"/>
              <w:tr2bl w:val="nil"/>
            </w:tcBorders>
            <w:shd w:val="clear" w:color="FFFFFF" w:fill="C0C0C0"/>
            <w:tcMar>
              <w:left w:w="40" w:type="dxa"/>
              <w:right w:w="40" w:type="dxa"/>
            </w:tcMar>
            <w:vAlign w:val="center"/>
          </w:tcPr>
          <w:p w:rsidR="005D6812" w:rsidRDefault="005D6812">
            <w:pPr>
              <w:jc w:val="cente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2,870,139</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2,557,264</w:t>
            </w:r>
          </w:p>
        </w:tc>
      </w:tr>
    </w:tbl>
    <w:p w:rsidR="005D6812" w:rsidRDefault="00AB2A2B">
      <w:pPr>
        <w:pageBreakBefore/>
        <w:pBdr>
          <w:top w:val="nil"/>
          <w:left w:val="nil"/>
          <w:bottom w:val="nil"/>
          <w:right w:val="nil"/>
          <w:between w:val="nil"/>
          <w:bar w:val="nil"/>
        </w:pBdr>
        <w:spacing w:before="60" w:after="60"/>
        <w:jc w:val="center"/>
        <w:rPr>
          <w:rFonts w:ascii="Arial" w:hAnsi="Arial"/>
          <w:b/>
          <w:caps/>
          <w:noProof/>
          <w:sz w:val="20"/>
          <w:szCs w:val="20"/>
          <w:bdr w:val="nil"/>
        </w:rPr>
      </w:pPr>
      <w:r>
        <w:rPr>
          <w:rFonts w:ascii="Arial" w:hAnsi="Arial"/>
          <w:b/>
          <w:caps/>
          <w:noProof/>
          <w:sz w:val="20"/>
          <w:szCs w:val="20"/>
          <w:bdr w:val="nil"/>
        </w:rPr>
        <w:t xml:space="preserve">STATEMENT OF profit or loss and other COMPREHENSIVE INCOME </w:t>
      </w:r>
    </w:p>
    <w:p w:rsidR="005D6812" w:rsidRDefault="00AB2A2B">
      <w:pPr>
        <w:pBdr>
          <w:top w:val="nil"/>
          <w:left w:val="nil"/>
          <w:bottom w:val="nil"/>
          <w:right w:val="nil"/>
          <w:between w:val="nil"/>
          <w:bar w:val="nil"/>
        </w:pBdr>
        <w:spacing w:before="60" w:after="60"/>
        <w:jc w:val="center"/>
        <w:rPr>
          <w:rFonts w:ascii="Arial" w:hAnsi="Arial"/>
          <w:b/>
          <w:caps/>
          <w:noProof/>
          <w:sz w:val="20"/>
          <w:szCs w:val="20"/>
          <w:bdr w:val="nil"/>
        </w:rPr>
      </w:pPr>
      <w:r>
        <w:rPr>
          <w:rFonts w:ascii="Arial" w:hAnsi="Arial"/>
          <w:b/>
          <w:caps/>
          <w:noProof/>
          <w:sz w:val="20"/>
          <w:szCs w:val="20"/>
          <w:bdr w:val="nil"/>
        </w:rPr>
        <w:t>for the year ENDED 31 DECEMBER 2016</w:t>
      </w:r>
    </w:p>
    <w:p w:rsidR="005D6812" w:rsidRDefault="00AB2A2B">
      <w:pPr>
        <w:pBdr>
          <w:top w:val="nil"/>
          <w:left w:val="nil"/>
          <w:bottom w:val="nil"/>
          <w:right w:val="nil"/>
          <w:between w:val="nil"/>
          <w:bar w:val="nil"/>
        </w:pBdr>
        <w:spacing w:before="60" w:after="60"/>
        <w:jc w:val="center"/>
        <w:rPr>
          <w:rFonts w:ascii="Arial" w:hAnsi="Arial"/>
          <w:noProof/>
          <w:sz w:val="16"/>
          <w:szCs w:val="16"/>
          <w:bdr w:val="nil"/>
        </w:rPr>
      </w:pPr>
      <w:r>
        <w:rPr>
          <w:rFonts w:ascii="Arial" w:hAnsi="Arial"/>
          <w:noProof/>
          <w:sz w:val="16"/>
          <w:szCs w:val="16"/>
          <w:bdr w:val="nil"/>
        </w:rPr>
        <w:t>(In EUR’000)</w:t>
      </w:r>
    </w:p>
    <w:p w:rsidR="005D6812" w:rsidRDefault="005D6812">
      <w:pPr>
        <w:pBdr>
          <w:top w:val="nil"/>
          <w:left w:val="nil"/>
          <w:bottom w:val="nil"/>
          <w:right w:val="nil"/>
          <w:between w:val="nil"/>
          <w:bar w:val="nil"/>
        </w:pBdr>
        <w:spacing w:before="60" w:after="60"/>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000"/>
        <w:gridCol w:w="975"/>
        <w:gridCol w:w="1500"/>
        <w:gridCol w:w="1500"/>
      </w:tblGrid>
      <w:tr w:rsidR="005D6812">
        <w:trPr>
          <w:trHeight w:val="255"/>
        </w:trPr>
        <w:tc>
          <w:tcPr>
            <w:tcW w:w="60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975"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Notes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From 01.01.2016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From 01.01.2015</w:t>
            </w:r>
          </w:p>
        </w:tc>
      </w:tr>
      <w:tr w:rsidR="005D6812">
        <w:trPr>
          <w:trHeight w:val="255"/>
        </w:trPr>
        <w:tc>
          <w:tcPr>
            <w:tcW w:w="60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975"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b/>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 31.12.2016</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 31.12.2015</w:t>
            </w:r>
          </w:p>
        </w:tc>
      </w:tr>
      <w:tr w:rsidR="005D6812">
        <w:trPr>
          <w:trHeight w:val="255"/>
        </w:trPr>
        <w:tc>
          <w:tcPr>
            <w:tcW w:w="60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9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Interest and similar income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106,698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90,385</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Interest and similar </w:t>
            </w:r>
            <w:r>
              <w:rPr>
                <w:rFonts w:ascii="Arial" w:eastAsia="Arial" w:hAnsi="Arial" w:cs="Arial"/>
                <w:noProof/>
                <w:color w:val="000000"/>
                <w:sz w:val="16"/>
              </w:rPr>
              <w:t>expenses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-2,307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-1,556</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Net interest and similar income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104,391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88,829</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Fee and commission income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699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932</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Fee and commission expenses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-63</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Net fee and commission income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651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869</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Fair value change of derivative financial instruments </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-10,361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6,276</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Net realised gains on available-for-sale financial assets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20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6,504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33,878</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Net foreign exchange loss</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-14,995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-52,483</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Net result on financial operations</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-18,852</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-12,329</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Change in impairment on loans and receivables, net of reversal</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44,365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-33,988</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Change in provisions for guarantees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-242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Impairment on available-for-sale financial assets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-2,493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-3,646</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General administrative expenses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21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-43,483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-43,045</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r w:rsidR="005D6812">
        <w:trPr>
          <w:trHeight w:val="255"/>
        </w:trPr>
        <w:tc>
          <w:tcPr>
            <w:tcW w:w="60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Profit/loss for the year</w:t>
            </w:r>
          </w:p>
        </w:tc>
        <w:tc>
          <w:tcPr>
            <w:tcW w:w="975" w:type="dxa"/>
            <w:tcBorders>
              <w:top w:val="nil"/>
              <w:left w:val="nil"/>
              <w:bottom w:val="nil"/>
              <w:right w:val="nil"/>
              <w:tl2br w:val="nil"/>
              <w:tr2bl w:val="nil"/>
            </w:tcBorders>
            <w:shd w:val="clear" w:color="FFFFFF" w:fill="C0C0C0"/>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84,337</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-3,310</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Other comprehensive income:</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both"/>
              <w:rPr>
                <w:rFonts w:ascii="Arial" w:eastAsia="Arial" w:hAnsi="Arial" w:cs="Arial"/>
                <w:i/>
                <w:noProof/>
                <w:color w:val="000000"/>
                <w:sz w:val="16"/>
              </w:rPr>
            </w:pPr>
            <w:r>
              <w:rPr>
                <w:rFonts w:ascii="Arial" w:eastAsia="Arial" w:hAnsi="Arial" w:cs="Arial"/>
                <w:i/>
                <w:noProof/>
                <w:color w:val="000000"/>
                <w:sz w:val="16"/>
              </w:rPr>
              <w:t>Items that are or may be reclassified to profit or loss:</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Available-for-sale financial assets – Fair value reserve  </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1. Net change in fair value of available-for-sale financial assets  </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-14,624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43,394</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2. Net amount transferred to profit or loss</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-6,485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-35,523</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available-for-sale financial assets</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-21,109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7,871</w:t>
            </w:r>
          </w:p>
        </w:tc>
      </w:tr>
      <w:tr w:rsidR="005D6812">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val="255"/>
        </w:trPr>
        <w:tc>
          <w:tcPr>
            <w:tcW w:w="6000" w:type="dxa"/>
            <w:tcBorders>
              <w:top w:val="nil"/>
              <w:left w:val="nil"/>
              <w:bottom w:val="nil"/>
              <w:right w:val="nil"/>
              <w:tl2br w:val="nil"/>
              <w:tr2bl w:val="nil"/>
            </w:tcBorders>
            <w:shd w:val="clear" w:color="auto" w:fill="auto"/>
            <w:noWrap/>
            <w:tcMar>
              <w:left w:w="40" w:type="dxa"/>
              <w:right w:w="40" w:type="dxa"/>
            </w:tcMar>
            <w:vAlign w:val="bottom"/>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other comprehensive income</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-21,109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7,871</w:t>
            </w:r>
          </w:p>
        </w:tc>
      </w:tr>
      <w:tr w:rsidR="005D6812">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val="255"/>
        </w:trPr>
        <w:tc>
          <w:tcPr>
            <w:tcW w:w="60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comprehensive income for the year</w:t>
            </w:r>
          </w:p>
        </w:tc>
        <w:tc>
          <w:tcPr>
            <w:tcW w:w="975" w:type="dxa"/>
            <w:tcBorders>
              <w:top w:val="nil"/>
              <w:left w:val="nil"/>
              <w:bottom w:val="nil"/>
              <w:right w:val="nil"/>
              <w:tl2br w:val="nil"/>
              <w:tr2bl w:val="nil"/>
            </w:tcBorders>
            <w:shd w:val="clear" w:color="FFFFFF" w:fill="C0C0C0"/>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63,228</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4,561</w:t>
            </w:r>
          </w:p>
        </w:tc>
      </w:tr>
    </w:tbl>
    <w:p w:rsidR="005D6812" w:rsidRDefault="00AB2A2B">
      <w:pPr>
        <w:pageBreakBefore/>
        <w:pBdr>
          <w:top w:val="nil"/>
          <w:left w:val="nil"/>
          <w:bottom w:val="nil"/>
          <w:right w:val="nil"/>
          <w:between w:val="nil"/>
          <w:bar w:val="nil"/>
        </w:pBdr>
        <w:spacing w:before="60" w:after="60"/>
        <w:jc w:val="center"/>
        <w:rPr>
          <w:rFonts w:ascii="Arial" w:hAnsi="Arial"/>
          <w:b/>
          <w:caps/>
          <w:noProof/>
          <w:sz w:val="20"/>
          <w:szCs w:val="20"/>
          <w:bdr w:val="nil"/>
        </w:rPr>
      </w:pPr>
      <w:r>
        <w:rPr>
          <w:rFonts w:ascii="Arial" w:hAnsi="Arial"/>
          <w:b/>
          <w:caps/>
          <w:noProof/>
          <w:sz w:val="20"/>
          <w:szCs w:val="20"/>
          <w:bdr w:val="nil"/>
        </w:rPr>
        <w:t>STATEMENT OF CHANGES IN CONTRIBUTORS’ RESOURCES</w:t>
      </w:r>
    </w:p>
    <w:p w:rsidR="005D6812" w:rsidRDefault="00AB2A2B">
      <w:pPr>
        <w:pBdr>
          <w:top w:val="nil"/>
          <w:left w:val="nil"/>
          <w:bottom w:val="nil"/>
          <w:right w:val="nil"/>
          <w:between w:val="nil"/>
          <w:bar w:val="nil"/>
        </w:pBdr>
        <w:spacing w:before="60" w:after="60"/>
        <w:jc w:val="center"/>
        <w:rPr>
          <w:rFonts w:ascii="Arial" w:hAnsi="Arial"/>
          <w:b/>
          <w:caps/>
          <w:noProof/>
          <w:sz w:val="20"/>
          <w:szCs w:val="20"/>
          <w:bdr w:val="nil"/>
        </w:rPr>
      </w:pPr>
      <w:r>
        <w:rPr>
          <w:rFonts w:ascii="Arial" w:hAnsi="Arial"/>
          <w:b/>
          <w:caps/>
          <w:noProof/>
          <w:sz w:val="20"/>
          <w:szCs w:val="20"/>
          <w:bdr w:val="nil"/>
        </w:rPr>
        <w:t>FOR THE YEAR ENDED 31 december 2016</w:t>
      </w:r>
    </w:p>
    <w:p w:rsidR="005D6812" w:rsidRDefault="00AB2A2B">
      <w:pPr>
        <w:pStyle w:val="Header"/>
        <w:pBdr>
          <w:top w:val="nil"/>
          <w:left w:val="nil"/>
          <w:bottom w:val="nil"/>
          <w:right w:val="nil"/>
          <w:between w:val="nil"/>
          <w:bar w:val="nil"/>
        </w:pBdr>
        <w:spacing w:before="60" w:after="60"/>
        <w:jc w:val="center"/>
        <w:rPr>
          <w:rFonts w:ascii="Arial" w:hAnsi="Arial"/>
          <w:noProof/>
          <w:sz w:val="16"/>
          <w:szCs w:val="16"/>
          <w:bdr w:val="nil"/>
        </w:rPr>
      </w:pPr>
      <w:r>
        <w:rPr>
          <w:rFonts w:ascii="Arial" w:hAnsi="Arial"/>
          <w:noProof/>
          <w:sz w:val="16"/>
          <w:szCs w:val="16"/>
          <w:bdr w:val="nil"/>
        </w:rPr>
        <w:t>(In EUR’000)</w:t>
      </w:r>
    </w:p>
    <w:p w:rsidR="005D6812" w:rsidRDefault="005D6812">
      <w:pPr>
        <w:pBdr>
          <w:top w:val="nil"/>
          <w:left w:val="nil"/>
          <w:bottom w:val="nil"/>
          <w:right w:val="nil"/>
          <w:between w:val="nil"/>
          <w:bar w:val="nil"/>
        </w:pBdr>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50"/>
        <w:gridCol w:w="1125"/>
        <w:gridCol w:w="1125"/>
        <w:gridCol w:w="1125"/>
        <w:gridCol w:w="1125"/>
        <w:gridCol w:w="1125"/>
      </w:tblGrid>
      <w:tr w:rsidR="005D6812">
        <w:trPr>
          <w:trHeight w:val="450"/>
        </w:trPr>
        <w:tc>
          <w:tcPr>
            <w:tcW w:w="435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Contribution called</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Fair value reserve </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Retained earnings </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Total </w:t>
            </w:r>
          </w:p>
        </w:tc>
      </w:tr>
      <w:tr w:rsidR="005D6812">
        <w:trPr>
          <w:trHeight w:val="255"/>
        </w:trPr>
        <w:tc>
          <w:tcPr>
            <w:tcW w:w="435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At 1 January 2016</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Notes</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2,157,000</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163,993</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95,161</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2,416,154</w:t>
            </w:r>
          </w:p>
        </w:tc>
      </w:tr>
      <w:tr w:rsidR="005D6812">
        <w:trPr>
          <w:trHeight w:val="255"/>
        </w:trPr>
        <w:tc>
          <w:tcPr>
            <w:tcW w:w="435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4350" w:type="dxa"/>
            <w:tcBorders>
              <w:top w:val="nil"/>
              <w:left w:val="nil"/>
              <w:bottom w:val="nil"/>
              <w:right w:val="nil"/>
              <w:tl2br w:val="nil"/>
              <w:tr2bl w:val="nil"/>
            </w:tcBorders>
            <w:shd w:val="clear" w:color="auto" w:fill="auto"/>
            <w:tcMar>
              <w:left w:w="40" w:type="dxa"/>
              <w:right w:w="40" w:type="dxa"/>
            </w:tcMar>
            <w:vAlign w:val="bottom"/>
          </w:tcPr>
          <w:p w:rsidR="005D6812" w:rsidRDefault="00AB2A2B">
            <w:pPr>
              <w:rPr>
                <w:rFonts w:ascii="Arial" w:eastAsia="Arial" w:hAnsi="Arial" w:cs="Arial"/>
                <w:noProof/>
                <w:color w:val="000000"/>
                <w:sz w:val="16"/>
              </w:rPr>
            </w:pPr>
            <w:r>
              <w:rPr>
                <w:rFonts w:ascii="Arial" w:eastAsia="Arial" w:hAnsi="Arial" w:cs="Arial"/>
                <w:noProof/>
                <w:color w:val="000000"/>
                <w:sz w:val="16"/>
              </w:rPr>
              <w:t>Member States contribution called during the year</w:t>
            </w:r>
          </w:p>
        </w:tc>
        <w:tc>
          <w:tcPr>
            <w:tcW w:w="1125" w:type="dxa"/>
            <w:tcBorders>
              <w:top w:val="nil"/>
              <w:left w:val="nil"/>
              <w:bottom w:val="nil"/>
              <w:right w:val="nil"/>
              <w:tl2br w:val="nil"/>
              <w:tr2bl w:val="nil"/>
            </w:tcBorders>
            <w:shd w:val="clear" w:color="auto" w:fill="auto"/>
            <w:tcMar>
              <w:left w:w="40" w:type="dxa"/>
              <w:right w:w="40" w:type="dxa"/>
            </w:tcMar>
            <w:vAlign w:val="bottom"/>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16</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220,000</w:t>
            </w:r>
          </w:p>
        </w:tc>
        <w:tc>
          <w:tcPr>
            <w:tcW w:w="1125" w:type="dxa"/>
            <w:tcBorders>
              <w:top w:val="nil"/>
              <w:left w:val="nil"/>
              <w:bottom w:val="nil"/>
              <w:right w:val="nil"/>
              <w:tl2br w:val="nil"/>
              <w:tr2bl w:val="nil"/>
            </w:tcBorders>
            <w:shd w:val="clear" w:color="auto" w:fill="auto"/>
            <w:tcMar>
              <w:left w:w="40" w:type="dxa"/>
              <w:right w:w="40" w:type="dxa"/>
            </w:tcMar>
            <w:vAlign w:val="bottom"/>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bottom"/>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bottom"/>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220,000</w:t>
            </w:r>
          </w:p>
        </w:tc>
      </w:tr>
      <w:tr w:rsidR="005D6812">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Profit for the year 2016</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84,337</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84,337</w:t>
            </w:r>
          </w:p>
        </w:tc>
      </w:tr>
      <w:tr w:rsidR="005D6812">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Total other comprehensive income for the year</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-21,109</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-21,109</w:t>
            </w:r>
          </w:p>
        </w:tc>
      </w:tr>
      <w:tr w:rsidR="005D6812">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Changes in contributors’ resources</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b/>
                <w:noProof/>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220,000</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-21,109</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84,337</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283,228</w:t>
            </w:r>
          </w:p>
        </w:tc>
      </w:tr>
      <w:tr w:rsidR="005D6812">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435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At 31 December 2016</w:t>
            </w:r>
          </w:p>
        </w:tc>
        <w:tc>
          <w:tcPr>
            <w:tcW w:w="1125" w:type="dxa"/>
            <w:tcBorders>
              <w:top w:val="nil"/>
              <w:left w:val="nil"/>
              <w:bottom w:val="nil"/>
              <w:right w:val="nil"/>
              <w:tl2br w:val="nil"/>
              <w:tr2bl w:val="nil"/>
            </w:tcBorders>
            <w:shd w:val="clear" w:color="FFFFFF" w:fill="BFBFBF"/>
            <w:tcMar>
              <w:left w:w="40" w:type="dxa"/>
              <w:right w:w="40" w:type="dxa"/>
            </w:tcMar>
            <w:vAlign w:val="center"/>
          </w:tcPr>
          <w:p w:rsidR="005D6812" w:rsidRDefault="005D6812">
            <w:pPr>
              <w:jc w:val="center"/>
              <w:rPr>
                <w:rFonts w:ascii="Arial" w:eastAsia="Arial" w:hAnsi="Arial" w:cs="Arial"/>
                <w:b/>
                <w:noProof/>
                <w:color w:val="000000"/>
                <w:sz w:val="16"/>
              </w:rPr>
            </w:pPr>
          </w:p>
        </w:tc>
        <w:tc>
          <w:tcPr>
            <w:tcW w:w="112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2,377,000</w:t>
            </w:r>
          </w:p>
        </w:tc>
        <w:tc>
          <w:tcPr>
            <w:tcW w:w="112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142,884</w:t>
            </w:r>
          </w:p>
        </w:tc>
        <w:tc>
          <w:tcPr>
            <w:tcW w:w="112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179,498</w:t>
            </w:r>
          </w:p>
        </w:tc>
        <w:tc>
          <w:tcPr>
            <w:tcW w:w="112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2,699,382</w:t>
            </w:r>
          </w:p>
        </w:tc>
      </w:tr>
      <w:tr w:rsidR="005D6812">
        <w:trPr>
          <w:trHeight w:val="255"/>
        </w:trPr>
        <w:tc>
          <w:tcPr>
            <w:tcW w:w="435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b/>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450"/>
        </w:trPr>
        <w:tc>
          <w:tcPr>
            <w:tcW w:w="435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b/>
                <w:noProof/>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Contribution called</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Fair value reserve </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Retained earnings </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Total </w:t>
            </w:r>
          </w:p>
        </w:tc>
      </w:tr>
      <w:tr w:rsidR="005D6812">
        <w:trPr>
          <w:trHeight w:val="255"/>
        </w:trPr>
        <w:tc>
          <w:tcPr>
            <w:tcW w:w="435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At 1 January 2015</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b/>
                <w:noProof/>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2,057,000</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156,122</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98,471</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2,311,593</w:t>
            </w:r>
          </w:p>
        </w:tc>
      </w:tr>
      <w:tr w:rsidR="005D6812">
        <w:trPr>
          <w:trHeight w:val="255"/>
        </w:trPr>
        <w:tc>
          <w:tcPr>
            <w:tcW w:w="435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Member States contribution called during the year</w:t>
            </w:r>
          </w:p>
        </w:tc>
        <w:tc>
          <w:tcPr>
            <w:tcW w:w="1125" w:type="dxa"/>
            <w:tcBorders>
              <w:top w:val="nil"/>
              <w:left w:val="nil"/>
              <w:bottom w:val="nil"/>
              <w:right w:val="nil"/>
              <w:tl2br w:val="nil"/>
              <w:tr2bl w:val="nil"/>
            </w:tcBorders>
            <w:shd w:val="clear" w:color="auto" w:fill="auto"/>
            <w:tcMar>
              <w:left w:w="40" w:type="dxa"/>
              <w:right w:w="40" w:type="dxa"/>
            </w:tcMar>
            <w:vAlign w:val="bottom"/>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16</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100,000</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100,000</w:t>
            </w:r>
          </w:p>
        </w:tc>
      </w:tr>
      <w:tr w:rsidR="005D6812">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Loss for the year 2015</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-3,310</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-3,310</w:t>
            </w:r>
          </w:p>
        </w:tc>
      </w:tr>
      <w:tr w:rsidR="005D6812">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Total other comprehensive income for the year</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7,871</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7,871</w:t>
            </w:r>
          </w:p>
        </w:tc>
      </w:tr>
      <w:tr w:rsidR="005D6812">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Changes in contributors’ resources</w:t>
            </w: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b/>
                <w:noProof/>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100,000</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7,871</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-3,310</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104,561</w:t>
            </w:r>
          </w:p>
        </w:tc>
      </w:tr>
      <w:tr w:rsidR="005D6812">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255"/>
        </w:trPr>
        <w:tc>
          <w:tcPr>
            <w:tcW w:w="435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At 31 December 2015</w:t>
            </w:r>
          </w:p>
        </w:tc>
        <w:tc>
          <w:tcPr>
            <w:tcW w:w="1125" w:type="dxa"/>
            <w:tcBorders>
              <w:top w:val="nil"/>
              <w:left w:val="nil"/>
              <w:bottom w:val="nil"/>
              <w:right w:val="nil"/>
              <w:tl2br w:val="nil"/>
              <w:tr2bl w:val="nil"/>
            </w:tcBorders>
            <w:shd w:val="clear" w:color="FFFFFF" w:fill="BFBFBF"/>
            <w:tcMar>
              <w:left w:w="40" w:type="dxa"/>
              <w:right w:w="40" w:type="dxa"/>
            </w:tcMar>
            <w:vAlign w:val="center"/>
          </w:tcPr>
          <w:p w:rsidR="005D6812" w:rsidRDefault="005D6812">
            <w:pPr>
              <w:jc w:val="center"/>
              <w:rPr>
                <w:rFonts w:ascii="Arial" w:eastAsia="Arial" w:hAnsi="Arial" w:cs="Arial"/>
                <w:b/>
                <w:noProof/>
                <w:color w:val="000000"/>
                <w:sz w:val="16"/>
              </w:rPr>
            </w:pPr>
          </w:p>
        </w:tc>
        <w:tc>
          <w:tcPr>
            <w:tcW w:w="112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2,157,000</w:t>
            </w:r>
          </w:p>
        </w:tc>
        <w:tc>
          <w:tcPr>
            <w:tcW w:w="112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163,993</w:t>
            </w:r>
          </w:p>
        </w:tc>
        <w:tc>
          <w:tcPr>
            <w:tcW w:w="112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95,161</w:t>
            </w:r>
          </w:p>
        </w:tc>
        <w:tc>
          <w:tcPr>
            <w:tcW w:w="112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2,416,154</w:t>
            </w:r>
          </w:p>
        </w:tc>
      </w:tr>
    </w:tbl>
    <w:p w:rsidR="005D6812" w:rsidRDefault="00AB2A2B">
      <w:pPr>
        <w:pageBreakBefore/>
        <w:pBdr>
          <w:top w:val="nil"/>
          <w:left w:val="nil"/>
          <w:bottom w:val="nil"/>
          <w:right w:val="nil"/>
          <w:between w:val="nil"/>
          <w:bar w:val="nil"/>
        </w:pBdr>
        <w:spacing w:before="60" w:after="60"/>
        <w:jc w:val="center"/>
        <w:rPr>
          <w:rFonts w:ascii="Arial" w:hAnsi="Arial"/>
          <w:b/>
          <w:caps/>
          <w:noProof/>
          <w:sz w:val="20"/>
          <w:szCs w:val="20"/>
          <w:bdr w:val="nil"/>
        </w:rPr>
      </w:pPr>
      <w:r>
        <w:rPr>
          <w:rFonts w:ascii="Arial" w:hAnsi="Arial"/>
          <w:b/>
          <w:caps/>
          <w:noProof/>
          <w:sz w:val="20"/>
          <w:szCs w:val="20"/>
          <w:bdr w:val="nil"/>
        </w:rPr>
        <w:t>STATEMENT OF Cash FlowS</w:t>
      </w:r>
    </w:p>
    <w:p w:rsidR="005D6812" w:rsidRDefault="00AB2A2B">
      <w:pPr>
        <w:pBdr>
          <w:top w:val="nil"/>
          <w:left w:val="nil"/>
          <w:bottom w:val="nil"/>
          <w:right w:val="nil"/>
          <w:between w:val="nil"/>
          <w:bar w:val="nil"/>
        </w:pBdr>
        <w:spacing w:before="60" w:after="60"/>
        <w:jc w:val="center"/>
        <w:rPr>
          <w:rFonts w:ascii="Arial" w:hAnsi="Arial"/>
          <w:b/>
          <w:caps/>
          <w:noProof/>
          <w:sz w:val="20"/>
          <w:szCs w:val="20"/>
          <w:bdr w:val="nil"/>
        </w:rPr>
      </w:pPr>
      <w:r>
        <w:rPr>
          <w:rFonts w:ascii="Arial" w:hAnsi="Arial"/>
          <w:b/>
          <w:caps/>
          <w:noProof/>
          <w:sz w:val="20"/>
          <w:szCs w:val="20"/>
          <w:bdr w:val="nil"/>
        </w:rPr>
        <w:t>FOR THE YEAR ENDED 31 december 2016</w:t>
      </w:r>
    </w:p>
    <w:p w:rsidR="005D6812" w:rsidRDefault="00AB2A2B">
      <w:pPr>
        <w:pStyle w:val="Header"/>
        <w:pBdr>
          <w:top w:val="nil"/>
          <w:left w:val="nil"/>
          <w:bottom w:val="nil"/>
          <w:right w:val="nil"/>
          <w:between w:val="nil"/>
          <w:bar w:val="nil"/>
        </w:pBdr>
        <w:spacing w:before="60" w:after="60"/>
        <w:jc w:val="center"/>
        <w:rPr>
          <w:rFonts w:ascii="Arial" w:hAnsi="Arial"/>
          <w:noProof/>
          <w:sz w:val="16"/>
          <w:szCs w:val="16"/>
          <w:bdr w:val="nil"/>
        </w:rPr>
      </w:pPr>
      <w:r>
        <w:rPr>
          <w:rFonts w:ascii="Arial" w:hAnsi="Arial"/>
          <w:noProof/>
          <w:sz w:val="16"/>
          <w:szCs w:val="16"/>
          <w:bdr w:val="nil"/>
        </w:rPr>
        <w:t>(In EUR’000)</w:t>
      </w:r>
    </w:p>
    <w:p w:rsidR="005D6812" w:rsidRDefault="005D6812">
      <w:pPr>
        <w:pBdr>
          <w:top w:val="nil"/>
          <w:left w:val="nil"/>
          <w:bottom w:val="nil"/>
          <w:right w:val="nil"/>
          <w:between w:val="nil"/>
          <w:bar w:val="nil"/>
        </w:pBdr>
        <w:jc w:val="center"/>
        <w:rPr>
          <w:rFonts w:ascii="Arial" w:hAnsi="Arial"/>
          <w:noProof/>
          <w:sz w:val="16"/>
          <w:szCs w:val="16"/>
          <w:bdr w:val="nil"/>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00"/>
        <w:gridCol w:w="600"/>
        <w:gridCol w:w="1500"/>
        <w:gridCol w:w="1500"/>
      </w:tblGrid>
      <w:tr w:rsidR="005D6812">
        <w:trPr>
          <w:trHeight w:val="450"/>
        </w:trPr>
        <w:tc>
          <w:tcPr>
            <w:tcW w:w="66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6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Notes</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From 01.01.2016 to 31.12.2016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From 01.01.2015 to 31.12.2015</w:t>
            </w:r>
          </w:p>
        </w:tc>
      </w:tr>
      <w:tr w:rsidR="005D6812">
        <w:trPr>
          <w:trHeight w:val="255"/>
        </w:trPr>
        <w:tc>
          <w:tcPr>
            <w:tcW w:w="66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OPERATING ACTIVITIES</w:t>
            </w:r>
          </w:p>
        </w:tc>
        <w:tc>
          <w:tcPr>
            <w:tcW w:w="6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240"/>
        </w:trPr>
        <w:tc>
          <w:tcPr>
            <w:tcW w:w="66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Profit/(loss) for the financial year</w:t>
            </w:r>
          </w:p>
        </w:tc>
        <w:tc>
          <w:tcPr>
            <w:tcW w:w="6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84,337</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-3,310</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Adjustments made for:</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Impairment on available-for-sale financial assets  </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2,493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3,646</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Net change in impairment on loans and receivables   </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-44,365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33,988</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Interest capitalised on loans and receivables </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-7,183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-13,262</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Change in accrued interest and amortised cost on loans and receivables</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-5,843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1,594</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Net change in provisions for guarantees issued</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625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Change in accrued interest and amortised cost on</w:t>
            </w:r>
            <w:r>
              <w:rPr>
                <w:rFonts w:ascii="Arial" w:eastAsia="Arial" w:hAnsi="Arial" w:cs="Arial"/>
                <w:noProof/>
                <w:color w:val="000000"/>
                <w:sz w:val="16"/>
              </w:rPr>
              <w:t xml:space="preserve"> held-to-maturity financial assets</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-1,126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Change in deferred income</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-3,042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-1,985</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Effect of exchange rate changes on loans  </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-35,025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-73,447</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Effect of exchange rate changes on available-for-sale financial assets </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-5,125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-9,385</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Effect of exchange rate changes on cash held </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-1,106</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-12,216</w:t>
            </w:r>
          </w:p>
        </w:tc>
      </w:tr>
      <w:tr w:rsidR="005D6812">
        <w:trPr>
          <w:trHeight w:val="27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Loss on operating activities before changes in operating assets and liabilities</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-15,360</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-74,365</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Loan disbursements</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-528,376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-282,784</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Repayments of loans</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351,468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205,772</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Change in </w:t>
            </w:r>
            <w:r>
              <w:rPr>
                <w:rFonts w:ascii="Arial" w:eastAsia="Arial" w:hAnsi="Arial" w:cs="Arial"/>
                <w:noProof/>
                <w:color w:val="000000"/>
                <w:sz w:val="16"/>
              </w:rPr>
              <w:t>accrued interest on cash and cash equivalent</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Fair value changes on derivatives </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10,361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-6,276</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Increase in held-to-maturity financial assets</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-1,159,704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-1,545,550</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Maturities of held-to-maturity financial assets</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1,219,953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1,417,005</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Increase </w:t>
            </w:r>
            <w:r>
              <w:rPr>
                <w:rFonts w:ascii="Arial" w:eastAsia="Arial" w:hAnsi="Arial" w:cs="Arial"/>
                <w:noProof/>
                <w:color w:val="000000"/>
                <w:sz w:val="16"/>
              </w:rPr>
              <w:t>in available-for-sale financial assets</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-153,986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-67,449</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Repayments/sales of available-for-sale financial assets  </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37,978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64,791</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(Increase)/decrease in other assets</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-318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5,495</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Increase/(decrease) in other liabilities</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182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-227</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Increase in amounts </w:t>
            </w:r>
            <w:r>
              <w:rPr>
                <w:rFonts w:ascii="Arial" w:eastAsia="Arial" w:hAnsi="Arial" w:cs="Arial"/>
                <w:noProof/>
                <w:color w:val="000000"/>
                <w:sz w:val="16"/>
              </w:rPr>
              <w:t>payable to the European Investment Bank</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423</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4,668</w:t>
            </w:r>
          </w:p>
        </w:tc>
      </w:tr>
      <w:tr w:rsidR="005D6812">
        <w:trPr>
          <w:trHeight w:val="240"/>
        </w:trPr>
        <w:tc>
          <w:tcPr>
            <w:tcW w:w="66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Net cash flows used in operating activities</w:t>
            </w:r>
          </w:p>
        </w:tc>
        <w:tc>
          <w:tcPr>
            <w:tcW w:w="6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-237,377</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-278,916</w:t>
            </w:r>
          </w:p>
        </w:tc>
      </w:tr>
      <w:tr w:rsidR="005D6812">
        <w:trPr>
          <w:trHeight w:val="240"/>
        </w:trPr>
        <w:tc>
          <w:tcPr>
            <w:tcW w:w="66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FINANCING ACTIVITIES</w:t>
            </w:r>
          </w:p>
        </w:tc>
        <w:tc>
          <w:tcPr>
            <w:tcW w:w="6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240"/>
        </w:trPr>
        <w:tc>
          <w:tcPr>
            <w:tcW w:w="66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Contribution received from Member States </w:t>
            </w:r>
          </w:p>
        </w:tc>
        <w:tc>
          <w:tcPr>
            <w:tcW w:w="600" w:type="dxa"/>
            <w:tcBorders>
              <w:top w:val="single" w:sz="8" w:space="0" w:color="auto"/>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133,605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100,000</w:t>
            </w:r>
          </w:p>
        </w:tc>
      </w:tr>
      <w:tr w:rsidR="005D6812">
        <w:trPr>
          <w:trHeight w:val="45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Amounts received from Member States with regard to </w:t>
            </w:r>
            <w:r>
              <w:rPr>
                <w:rFonts w:ascii="Arial" w:eastAsia="Arial" w:hAnsi="Arial" w:cs="Arial"/>
                <w:noProof/>
                <w:color w:val="000000"/>
                <w:sz w:val="16"/>
              </w:rPr>
              <w:t>interest subsidies and technical assistance</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30,000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92,590</w:t>
            </w:r>
          </w:p>
        </w:tc>
      </w:tr>
      <w:tr w:rsidR="005D6812">
        <w:trPr>
          <w:trHeight w:val="45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Amounts paid on behalf of Member States with regard to interest subsidies and technical assistance</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-15,510</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-22,290</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Net cash flows from financing activities</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148,095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170,300</w:t>
            </w:r>
          </w:p>
        </w:tc>
      </w:tr>
      <w:tr w:rsidR="005D6812">
        <w:trPr>
          <w:trHeight w:val="240"/>
        </w:trPr>
        <w:tc>
          <w:tcPr>
            <w:tcW w:w="66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Net decrease in cash</w:t>
            </w:r>
            <w:r>
              <w:rPr>
                <w:rFonts w:ascii="Arial" w:eastAsia="Arial" w:hAnsi="Arial" w:cs="Arial"/>
                <w:b/>
                <w:noProof/>
                <w:color w:val="000000"/>
                <w:sz w:val="16"/>
              </w:rPr>
              <w:t xml:space="preserve"> and cash equivalents</w:t>
            </w:r>
          </w:p>
        </w:tc>
        <w:tc>
          <w:tcPr>
            <w:tcW w:w="600" w:type="dxa"/>
            <w:tcBorders>
              <w:top w:val="nil"/>
              <w:left w:val="nil"/>
              <w:bottom w:val="nil"/>
              <w:right w:val="nil"/>
              <w:tl2br w:val="nil"/>
              <w:tr2bl w:val="nil"/>
            </w:tcBorders>
            <w:shd w:val="clear" w:color="FFFFFF" w:fill="C0C0C0"/>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-89,282</w:t>
            </w:r>
          </w:p>
        </w:tc>
        <w:tc>
          <w:tcPr>
            <w:tcW w:w="1500" w:type="dxa"/>
            <w:tcBorders>
              <w:top w:val="single" w:sz="8" w:space="0" w:color="auto"/>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-108,616</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6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Summary statement of cash flows:</w:t>
            </w:r>
          </w:p>
        </w:tc>
        <w:tc>
          <w:tcPr>
            <w:tcW w:w="6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Cash and cash equivalents at the beginning of financial year</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448,998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545,398</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Net cash from:</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Operating activities</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-237,377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-278,916</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Financing activities</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148,095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170,300</w:t>
            </w:r>
          </w:p>
        </w:tc>
      </w:tr>
      <w:tr w:rsidR="005D6812">
        <w:trPr>
          <w:trHeight w:val="240"/>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Effects of exchange rate changes on cash and cash equivalents</w:t>
            </w:r>
          </w:p>
        </w:tc>
        <w:tc>
          <w:tcPr>
            <w:tcW w:w="6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1,106</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12,216</w:t>
            </w:r>
          </w:p>
        </w:tc>
      </w:tr>
      <w:tr w:rsidR="005D6812">
        <w:trPr>
          <w:trHeight w:val="255"/>
        </w:trPr>
        <w:tc>
          <w:tcPr>
            <w:tcW w:w="66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Cash and cash equivalents at the end of financial year</w:t>
            </w:r>
          </w:p>
        </w:tc>
        <w:tc>
          <w:tcPr>
            <w:tcW w:w="600" w:type="dxa"/>
            <w:tcBorders>
              <w:top w:val="nil"/>
              <w:left w:val="nil"/>
              <w:bottom w:val="nil"/>
              <w:right w:val="nil"/>
              <w:tl2br w:val="nil"/>
              <w:tr2bl w:val="nil"/>
            </w:tcBorders>
            <w:shd w:val="clear" w:color="FFFFFF" w:fill="C0C0C0"/>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360,822</w:t>
            </w:r>
          </w:p>
        </w:tc>
        <w:tc>
          <w:tcPr>
            <w:tcW w:w="150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448,998</w:t>
            </w:r>
          </w:p>
        </w:tc>
      </w:tr>
      <w:tr w:rsidR="005D6812">
        <w:trPr>
          <w:trHeight w:val="255"/>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both"/>
              <w:rPr>
                <w:rFonts w:ascii="Arial" w:eastAsia="Arial" w:hAnsi="Arial" w:cs="Arial"/>
                <w:b/>
                <w:noProof/>
                <w:color w:val="000000"/>
                <w:sz w:val="16"/>
              </w:rPr>
            </w:pPr>
            <w:r>
              <w:rPr>
                <w:rFonts w:ascii="Arial" w:eastAsia="Arial" w:hAnsi="Arial" w:cs="Arial"/>
                <w:b/>
                <w:noProof/>
                <w:color w:val="000000"/>
                <w:sz w:val="16"/>
              </w:rPr>
              <w:t>Cash and cash equivalents are composed of:</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both"/>
              <w:rPr>
                <w:rFonts w:ascii="Arial" w:eastAsia="Arial" w:hAnsi="Arial" w:cs="Arial"/>
                <w:noProof/>
                <w:color w:val="000000"/>
                <w:sz w:val="16"/>
              </w:rPr>
            </w:pPr>
            <w:r>
              <w:rPr>
                <w:rFonts w:ascii="Arial" w:eastAsia="Arial" w:hAnsi="Arial" w:cs="Arial"/>
                <w:noProof/>
                <w:color w:val="000000"/>
                <w:sz w:val="16"/>
              </w:rPr>
              <w:t xml:space="preserve">Cash in hand </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5</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51,462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71,405</w:t>
            </w:r>
          </w:p>
        </w:tc>
      </w:tr>
      <w:tr w:rsidR="005D6812">
        <w:trPr>
          <w:trHeight w:val="255"/>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Term deposits </w:t>
            </w:r>
            <w:r>
              <w:rPr>
                <w:rFonts w:ascii="Arial" w:eastAsia="Arial" w:hAnsi="Arial" w:cs="Arial"/>
                <w:noProof/>
                <w:color w:val="000000"/>
                <w:sz w:val="16"/>
              </w:rPr>
              <w:t>(excluding accrued interest)</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259,342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290,576</w:t>
            </w:r>
          </w:p>
        </w:tc>
      </w:tr>
      <w:tr w:rsidR="005D6812">
        <w:trPr>
          <w:trHeight w:val="255"/>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Commercial papers</w:t>
            </w:r>
          </w:p>
        </w:tc>
        <w:tc>
          <w:tcPr>
            <w:tcW w:w="6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5</w:t>
            </w: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50,018</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87,017</w:t>
            </w:r>
          </w:p>
        </w:tc>
      </w:tr>
      <w:tr w:rsidR="005D6812">
        <w:trPr>
          <w:trHeight w:val="255"/>
        </w:trPr>
        <w:tc>
          <w:tcPr>
            <w:tcW w:w="66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6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noProof/>
                <w:color w:val="000000"/>
                <w:sz w:val="20"/>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360,822</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448,998</w:t>
            </w:r>
          </w:p>
        </w:tc>
      </w:tr>
    </w:tbl>
    <w:p w:rsidR="005D6812" w:rsidRDefault="005D6812">
      <w:pPr>
        <w:rPr>
          <w:noProof/>
        </w:rPr>
        <w:sectPr w:rsidR="005D6812">
          <w:headerReference w:type="even" r:id="rId407"/>
          <w:headerReference w:type="default" r:id="rId408"/>
          <w:footerReference w:type="even" r:id="rId409"/>
          <w:footerReference w:type="default" r:id="rId410"/>
          <w:headerReference w:type="first" r:id="rId411"/>
          <w:footerReference w:type="first" r:id="rId412"/>
          <w:type w:val="continuous"/>
          <w:pgSz w:w="12240" w:h="15840" w:code="1"/>
          <w:pgMar w:top="765" w:right="1134" w:bottom="765" w:left="1134" w:header="709" w:footer="709" w:gutter="0"/>
          <w:pgBorders>
            <w:top w:val="nil"/>
            <w:left w:val="nil"/>
            <w:bottom w:val="nil"/>
            <w:right w:val="nil"/>
          </w:pgBorders>
          <w:cols w:space="720"/>
          <w:docGrid w:linePitch="360"/>
        </w:sectPr>
      </w:pPr>
    </w:p>
    <w:p w:rsidR="005D6812" w:rsidRDefault="00AB2A2B">
      <w:pPr>
        <w:pStyle w:val="Notes0"/>
        <w:pageBreakBefore/>
        <w:numPr>
          <w:ilvl w:val="0"/>
          <w:numId w:val="0"/>
        </w:numPr>
        <w:tabs>
          <w:tab w:val="clear" w:pos="4320"/>
          <w:tab w:val="clear" w:pos="8640"/>
        </w:tabs>
        <w:spacing w:before="140" w:after="320"/>
        <w:rPr>
          <w:noProof/>
          <w:sz w:val="24"/>
          <w:lang w:val="en-GB"/>
        </w:rPr>
      </w:pPr>
      <w:r>
        <w:rPr>
          <w:noProof/>
          <w:sz w:val="24"/>
          <w:lang w:val="en-GB"/>
        </w:rPr>
        <w:t>Notes to the financial statements as at 31 December 2016</w:t>
      </w:r>
    </w:p>
    <w:p w:rsidR="005D6812" w:rsidRDefault="00AB2A2B">
      <w:pPr>
        <w:pStyle w:val="Title10"/>
        <w:numPr>
          <w:ilvl w:val="0"/>
          <w:numId w:val="0"/>
        </w:numPr>
        <w:ind w:left="432" w:hanging="432"/>
        <w:rPr>
          <w:noProof/>
        </w:rPr>
      </w:pPr>
      <w:r>
        <w:rPr>
          <w:noProof/>
        </w:rPr>
        <w:t>1</w:t>
      </w:r>
      <w:r>
        <w:rPr>
          <w:noProof/>
        </w:rPr>
        <w:tab/>
        <w:t>General information</w:t>
      </w:r>
    </w:p>
    <w:p w:rsidR="005D6812" w:rsidRDefault="005D6812">
      <w:pPr>
        <w:pStyle w:val="Normal0"/>
        <w:spacing w:before="60" w:after="60"/>
        <w:jc w:val="both"/>
        <w:rPr>
          <w:rFonts w:ascii="Arial" w:hAnsi="Arial"/>
          <w:noProof/>
          <w:sz w:val="16"/>
          <w:szCs w:val="16"/>
        </w:rPr>
      </w:pPr>
    </w:p>
    <w:p w:rsidR="005D6812" w:rsidRDefault="00AB2A2B">
      <w:pPr>
        <w:pStyle w:val="Normal0"/>
        <w:spacing w:before="60" w:after="60"/>
        <w:jc w:val="both"/>
        <w:rPr>
          <w:rFonts w:ascii="Arial" w:hAnsi="Arial"/>
          <w:noProof/>
          <w:sz w:val="16"/>
          <w:szCs w:val="16"/>
        </w:rPr>
      </w:pPr>
      <w:r>
        <w:rPr>
          <w:rFonts w:ascii="Arial" w:hAnsi="Arial"/>
          <w:noProof/>
          <w:sz w:val="16"/>
          <w:szCs w:val="16"/>
        </w:rPr>
        <w:t xml:space="preserve">The Investment Facility (“the Facility” or </w:t>
      </w:r>
      <w:r>
        <w:rPr>
          <w:rFonts w:ascii="Arial" w:hAnsi="Arial"/>
          <w:noProof/>
          <w:sz w:val="16"/>
          <w:szCs w:val="16"/>
        </w:rPr>
        <w:t>“IF”) has been established within the framework of the Cotonou Agreement (the “Agreement”) on co-operation and development assistance negotiated between the African, Caribbean and Pacific Group of States (the “ACP States”) and the European Union and its Me</w:t>
      </w:r>
      <w:r>
        <w:rPr>
          <w:rFonts w:ascii="Arial" w:hAnsi="Arial"/>
          <w:noProof/>
          <w:sz w:val="16"/>
          <w:szCs w:val="16"/>
        </w:rPr>
        <w:t>mber States on 23 June 2000, revised on 25 June 2005 and 22 June 2010.</w:t>
      </w:r>
    </w:p>
    <w:p w:rsidR="005D6812" w:rsidRDefault="005D6812">
      <w:pPr>
        <w:pStyle w:val="Normal0"/>
        <w:spacing w:before="60" w:after="60"/>
        <w:jc w:val="both"/>
        <w:rPr>
          <w:rFonts w:ascii="Arial" w:hAnsi="Arial"/>
          <w:noProof/>
          <w:sz w:val="16"/>
          <w:szCs w:val="16"/>
        </w:rPr>
      </w:pPr>
    </w:p>
    <w:p w:rsidR="005D6812" w:rsidRDefault="00AB2A2B">
      <w:pPr>
        <w:pStyle w:val="Normal0"/>
        <w:spacing w:before="60" w:after="60"/>
        <w:jc w:val="both"/>
        <w:rPr>
          <w:rFonts w:ascii="Arial" w:hAnsi="Arial"/>
          <w:noProof/>
          <w:sz w:val="16"/>
          <w:szCs w:val="16"/>
        </w:rPr>
      </w:pPr>
      <w:r>
        <w:rPr>
          <w:rFonts w:ascii="Arial" w:hAnsi="Arial"/>
          <w:noProof/>
          <w:sz w:val="16"/>
          <w:szCs w:val="16"/>
        </w:rPr>
        <w:t>The Facility is not a separate legal entity and the European Investment Bank (“EIB” or “the Bank”) manages the contributions on behalf of the Member States (“Donors”) in accordance wit</w:t>
      </w:r>
      <w:r>
        <w:rPr>
          <w:rFonts w:ascii="Arial" w:hAnsi="Arial"/>
          <w:noProof/>
          <w:sz w:val="16"/>
          <w:szCs w:val="16"/>
        </w:rPr>
        <w:t>h the terms of the Agreement and acts as an administrator of the Facility.</w:t>
      </w:r>
    </w:p>
    <w:p w:rsidR="005D6812" w:rsidRDefault="005D6812">
      <w:pPr>
        <w:pStyle w:val="Normal0"/>
        <w:tabs>
          <w:tab w:val="left" w:pos="1800"/>
        </w:tabs>
        <w:spacing w:before="60" w:after="60"/>
        <w:jc w:val="both"/>
        <w:rPr>
          <w:rFonts w:ascii="Arial" w:hAnsi="Arial"/>
          <w:noProof/>
          <w:sz w:val="16"/>
          <w:szCs w:val="16"/>
        </w:rPr>
      </w:pPr>
    </w:p>
    <w:p w:rsidR="005D6812" w:rsidRDefault="00AB2A2B">
      <w:pPr>
        <w:pStyle w:val="Normal0"/>
        <w:tabs>
          <w:tab w:val="left" w:pos="1800"/>
        </w:tabs>
        <w:spacing w:before="60" w:after="60"/>
        <w:jc w:val="both"/>
        <w:rPr>
          <w:rFonts w:ascii="Arial" w:hAnsi="Arial"/>
          <w:noProof/>
          <w:sz w:val="16"/>
          <w:szCs w:val="16"/>
        </w:rPr>
      </w:pPr>
      <w:r>
        <w:rPr>
          <w:rFonts w:ascii="Arial" w:hAnsi="Arial"/>
          <w:noProof/>
          <w:sz w:val="16"/>
          <w:szCs w:val="16"/>
        </w:rPr>
        <w:t xml:space="preserve">Financing under the Agreement is provided from EU Member States’ budgets. EU Member States contribute  with the amounts allocated to finance the IF and grants for the financing of </w:t>
      </w:r>
      <w:r>
        <w:rPr>
          <w:rFonts w:ascii="Arial" w:hAnsi="Arial"/>
          <w:noProof/>
          <w:sz w:val="16"/>
          <w:szCs w:val="16"/>
        </w:rPr>
        <w:t>the interest subsidies as provided for under the multi-annual financial frameworks (First Financial Protocol covering the period 2000 - 2007 and referred to as the 9</w:t>
      </w:r>
      <w:r>
        <w:rPr>
          <w:rFonts w:ascii="Arial" w:hAnsi="Arial"/>
          <w:noProof/>
          <w:sz w:val="16"/>
          <w:szCs w:val="16"/>
          <w:vertAlign w:val="superscript"/>
        </w:rPr>
        <w:t>th</w:t>
      </w:r>
      <w:r>
        <w:rPr>
          <w:rFonts w:ascii="Arial" w:hAnsi="Arial"/>
          <w:noProof/>
          <w:sz w:val="16"/>
          <w:szCs w:val="16"/>
        </w:rPr>
        <w:t xml:space="preserve"> European Development Fund (EDF), Second Financial Protocol covering the period 2008 - 20</w:t>
      </w:r>
      <w:r>
        <w:rPr>
          <w:rFonts w:ascii="Arial" w:hAnsi="Arial"/>
          <w:noProof/>
          <w:sz w:val="16"/>
          <w:szCs w:val="16"/>
        </w:rPr>
        <w:t>13 and referred to as the 10</w:t>
      </w:r>
      <w:r>
        <w:rPr>
          <w:rFonts w:ascii="Arial" w:hAnsi="Arial"/>
          <w:noProof/>
          <w:sz w:val="16"/>
          <w:szCs w:val="16"/>
          <w:vertAlign w:val="superscript"/>
        </w:rPr>
        <w:t>th</w:t>
      </w:r>
      <w:r>
        <w:rPr>
          <w:rFonts w:ascii="Arial" w:hAnsi="Arial"/>
          <w:noProof/>
          <w:sz w:val="16"/>
          <w:szCs w:val="16"/>
        </w:rPr>
        <w:t xml:space="preserve"> EDF and the Third Financial Protocol covering the period 2014 - 2020 referred to as the 11</w:t>
      </w:r>
      <w:r>
        <w:rPr>
          <w:rFonts w:ascii="Arial" w:hAnsi="Arial"/>
          <w:noProof/>
          <w:sz w:val="16"/>
          <w:szCs w:val="16"/>
          <w:vertAlign w:val="superscript"/>
        </w:rPr>
        <w:t>th</w:t>
      </w:r>
      <w:r>
        <w:rPr>
          <w:rFonts w:ascii="Arial" w:hAnsi="Arial"/>
          <w:noProof/>
          <w:sz w:val="16"/>
          <w:szCs w:val="16"/>
        </w:rPr>
        <w:t xml:space="preserve"> EDF). The EIB is entrusted with the management of:</w:t>
      </w:r>
    </w:p>
    <w:p w:rsidR="005D6812" w:rsidRDefault="005D6812">
      <w:pPr>
        <w:pStyle w:val="Normal0"/>
        <w:tabs>
          <w:tab w:val="left" w:pos="1800"/>
        </w:tabs>
        <w:spacing w:before="60" w:after="60"/>
        <w:jc w:val="both"/>
        <w:rPr>
          <w:rFonts w:ascii="Arial" w:hAnsi="Arial"/>
          <w:noProof/>
          <w:sz w:val="16"/>
          <w:szCs w:val="16"/>
        </w:rPr>
      </w:pPr>
    </w:p>
    <w:p w:rsidR="005D6812" w:rsidRDefault="00AB2A2B">
      <w:pPr>
        <w:pStyle w:val="Normal0"/>
        <w:numPr>
          <w:ilvl w:val="0"/>
          <w:numId w:val="24"/>
        </w:numPr>
        <w:tabs>
          <w:tab w:val="left" w:pos="1800"/>
        </w:tabs>
        <w:spacing w:before="60" w:after="60"/>
        <w:ind w:left="714" w:hanging="357"/>
        <w:jc w:val="both"/>
        <w:rPr>
          <w:rFonts w:ascii="Arial" w:hAnsi="Arial"/>
          <w:noProof/>
          <w:sz w:val="16"/>
          <w:szCs w:val="16"/>
        </w:rPr>
      </w:pPr>
      <w:r>
        <w:rPr>
          <w:rFonts w:ascii="Arial" w:hAnsi="Arial"/>
          <w:noProof/>
          <w:sz w:val="16"/>
          <w:szCs w:val="16"/>
        </w:rPr>
        <w:t>the Facility, a EUR 3,685.5 million  risk-bearing revolving fund geared to foste</w:t>
      </w:r>
      <w:r>
        <w:rPr>
          <w:rFonts w:ascii="Arial" w:hAnsi="Arial"/>
          <w:noProof/>
          <w:sz w:val="16"/>
          <w:szCs w:val="16"/>
        </w:rPr>
        <w:t>ring private sector investment in ACP countries of which EUR 48.5 million are allocated to Overseas Countries and territories (“OCT countries”);</w:t>
      </w:r>
    </w:p>
    <w:p w:rsidR="005D6812" w:rsidRDefault="00AB2A2B">
      <w:pPr>
        <w:pStyle w:val="Normal0"/>
        <w:numPr>
          <w:ilvl w:val="0"/>
          <w:numId w:val="25"/>
        </w:numPr>
        <w:tabs>
          <w:tab w:val="left" w:pos="1800"/>
        </w:tabs>
        <w:spacing w:before="60" w:after="60"/>
        <w:ind w:left="714" w:hanging="357"/>
        <w:jc w:val="both"/>
        <w:rPr>
          <w:rFonts w:ascii="Arial" w:hAnsi="Arial"/>
          <w:noProof/>
          <w:sz w:val="16"/>
          <w:szCs w:val="16"/>
        </w:rPr>
      </w:pPr>
      <w:r>
        <w:rPr>
          <w:rFonts w:ascii="Arial" w:hAnsi="Arial"/>
          <w:noProof/>
          <w:sz w:val="16"/>
          <w:szCs w:val="16"/>
        </w:rPr>
        <w:t>grants for the financing of interest  subsidies  worth max. EUR 1,220.85 million for ACP countries and max. EUR</w:t>
      </w:r>
      <w:r>
        <w:rPr>
          <w:rFonts w:ascii="Arial" w:hAnsi="Arial"/>
          <w:noProof/>
          <w:sz w:val="16"/>
          <w:szCs w:val="16"/>
        </w:rPr>
        <w:t xml:space="preserve"> 8.5 million for OCT countries. Up to 15% of these subsidies can be used to fund project-related technical assistance (“TA”).</w:t>
      </w:r>
    </w:p>
    <w:p w:rsidR="005D6812" w:rsidRDefault="005D6812">
      <w:pPr>
        <w:pStyle w:val="Normal0"/>
        <w:tabs>
          <w:tab w:val="left" w:pos="1800"/>
        </w:tabs>
        <w:spacing w:before="60" w:after="60"/>
        <w:jc w:val="both"/>
        <w:rPr>
          <w:rFonts w:ascii="Arial" w:hAnsi="Arial"/>
          <w:noProof/>
          <w:sz w:val="16"/>
          <w:szCs w:val="16"/>
        </w:rPr>
      </w:pPr>
    </w:p>
    <w:p w:rsidR="005D6812" w:rsidRDefault="00AB2A2B">
      <w:pPr>
        <w:pStyle w:val="Normal0"/>
        <w:tabs>
          <w:tab w:val="left" w:pos="1800"/>
        </w:tabs>
        <w:spacing w:before="60" w:after="60"/>
        <w:jc w:val="both"/>
        <w:rPr>
          <w:rFonts w:ascii="Arial" w:hAnsi="Arial"/>
          <w:noProof/>
          <w:sz w:val="16"/>
          <w:szCs w:val="16"/>
        </w:rPr>
      </w:pPr>
      <w:r>
        <w:rPr>
          <w:rFonts w:ascii="Arial" w:hAnsi="Arial"/>
          <w:noProof/>
          <w:sz w:val="16"/>
          <w:szCs w:val="16"/>
        </w:rPr>
        <w:t>The present financial statements cover the period from 1 January 2016 to 31 December 2016.</w:t>
      </w:r>
    </w:p>
    <w:p w:rsidR="005D6812" w:rsidRDefault="00AB2A2B">
      <w:pPr>
        <w:pStyle w:val="Normal0"/>
        <w:tabs>
          <w:tab w:val="left" w:pos="1800"/>
        </w:tabs>
        <w:spacing w:before="60" w:after="60"/>
        <w:jc w:val="both"/>
        <w:rPr>
          <w:rFonts w:ascii="Arial" w:hAnsi="Arial"/>
          <w:noProof/>
          <w:sz w:val="16"/>
          <w:szCs w:val="16"/>
        </w:rPr>
      </w:pPr>
      <w:r>
        <w:rPr>
          <w:rFonts w:ascii="Arial" w:hAnsi="Arial"/>
          <w:noProof/>
          <w:sz w:val="16"/>
          <w:szCs w:val="16"/>
        </w:rPr>
        <w:t xml:space="preserve"> </w:t>
      </w:r>
    </w:p>
    <w:p w:rsidR="005D6812" w:rsidRDefault="00AB2A2B">
      <w:pPr>
        <w:pStyle w:val="Normal0"/>
        <w:spacing w:before="60" w:after="60"/>
        <w:jc w:val="both"/>
        <w:rPr>
          <w:rFonts w:ascii="Arial" w:hAnsi="Arial"/>
          <w:noProof/>
          <w:sz w:val="16"/>
          <w:szCs w:val="16"/>
        </w:rPr>
      </w:pPr>
      <w:r>
        <w:rPr>
          <w:rFonts w:ascii="Arial" w:hAnsi="Arial"/>
          <w:noProof/>
          <w:sz w:val="16"/>
          <w:szCs w:val="16"/>
        </w:rPr>
        <w:t>On a proposal from the Management Co</w:t>
      </w:r>
      <w:r>
        <w:rPr>
          <w:rFonts w:ascii="Arial" w:hAnsi="Arial"/>
          <w:noProof/>
          <w:sz w:val="16"/>
          <w:szCs w:val="16"/>
        </w:rPr>
        <w:t>mmittee of EIB, the Board of Directors of EIB adopted the Financial Statements on 9</w:t>
      </w:r>
      <w:r>
        <w:rPr>
          <w:noProof/>
          <w:sz w:val="22"/>
          <w:szCs w:val="22"/>
        </w:rPr>
        <w:t> </w:t>
      </w:r>
      <w:r>
        <w:rPr>
          <w:rFonts w:ascii="Arial" w:hAnsi="Arial"/>
          <w:noProof/>
          <w:sz w:val="16"/>
          <w:szCs w:val="16"/>
        </w:rPr>
        <w:t>March</w:t>
      </w:r>
      <w:r>
        <w:rPr>
          <w:noProof/>
          <w:sz w:val="22"/>
          <w:szCs w:val="22"/>
        </w:rPr>
        <w:t> </w:t>
      </w:r>
      <w:r>
        <w:rPr>
          <w:rFonts w:ascii="Arial" w:hAnsi="Arial"/>
          <w:noProof/>
          <w:sz w:val="16"/>
          <w:szCs w:val="16"/>
        </w:rPr>
        <w:t>2017, and authorised their submission to the Board of Governors for approval by 25 April 2017.</w:t>
      </w:r>
    </w:p>
    <w:p w:rsidR="005D6812" w:rsidRDefault="005D6812">
      <w:pPr>
        <w:pStyle w:val="Normal0"/>
        <w:spacing w:before="60" w:after="60"/>
        <w:jc w:val="both"/>
        <w:rPr>
          <w:rFonts w:ascii="Arial" w:hAnsi="Arial"/>
          <w:noProof/>
          <w:sz w:val="16"/>
          <w:szCs w:val="16"/>
        </w:rPr>
      </w:pPr>
    </w:p>
    <w:p w:rsidR="005D6812" w:rsidRDefault="00AB2A2B">
      <w:pPr>
        <w:pStyle w:val="Notes1"/>
        <w:numPr>
          <w:ilvl w:val="0"/>
          <w:numId w:val="0"/>
        </w:numPr>
        <w:ind w:left="432" w:hanging="432"/>
        <w:rPr>
          <w:noProof/>
        </w:rPr>
      </w:pPr>
      <w:r>
        <w:rPr>
          <w:noProof/>
        </w:rPr>
        <w:t>2</w:t>
      </w:r>
      <w:r>
        <w:rPr>
          <w:noProof/>
        </w:rPr>
        <w:tab/>
        <w:t>Significant accounting policies</w:t>
      </w:r>
    </w:p>
    <w:p w:rsidR="005D6812" w:rsidRDefault="005D6812">
      <w:pPr>
        <w:pStyle w:val="Title11a"/>
        <w:numPr>
          <w:ilvl w:val="0"/>
          <w:numId w:val="0"/>
        </w:numPr>
        <w:rPr>
          <w:noProof/>
          <w:sz w:val="16"/>
          <w:szCs w:val="16"/>
        </w:rPr>
      </w:pPr>
    </w:p>
    <w:p w:rsidR="005D6812" w:rsidRDefault="00AB2A2B">
      <w:pPr>
        <w:pStyle w:val="Title111"/>
        <w:rPr>
          <w:noProof/>
          <w:sz w:val="16"/>
          <w:szCs w:val="16"/>
        </w:rPr>
      </w:pPr>
      <w:r>
        <w:rPr>
          <w:noProof/>
          <w:sz w:val="16"/>
          <w:szCs w:val="16"/>
        </w:rPr>
        <w:t>Basis of preparation – Statement of</w:t>
      </w:r>
      <w:r>
        <w:rPr>
          <w:noProof/>
          <w:sz w:val="16"/>
          <w:szCs w:val="16"/>
        </w:rPr>
        <w:t xml:space="preserve"> compliance</w:t>
      </w:r>
    </w:p>
    <w:p w:rsidR="005D6812" w:rsidRDefault="005D6812">
      <w:pPr>
        <w:pStyle w:val="Title111"/>
        <w:numPr>
          <w:ilvl w:val="0"/>
          <w:numId w:val="0"/>
        </w:numPr>
        <w:spacing w:before="60" w:after="60"/>
        <w:rPr>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 xml:space="preserve">The Facility’s financial statements have been prepared in accordance with International Financial Reporting Standards (IFRS) as adopted by the European Union. </w:t>
      </w:r>
    </w:p>
    <w:p w:rsidR="005D6812" w:rsidRDefault="005D6812">
      <w:pPr>
        <w:pStyle w:val="Title111"/>
        <w:numPr>
          <w:ilvl w:val="0"/>
          <w:numId w:val="0"/>
        </w:numPr>
        <w:spacing w:before="60" w:after="60"/>
        <w:ind w:left="431"/>
        <w:rPr>
          <w:noProof/>
          <w:sz w:val="16"/>
          <w:szCs w:val="16"/>
        </w:rPr>
      </w:pPr>
    </w:p>
    <w:p w:rsidR="005D6812" w:rsidRDefault="00AB2A2B">
      <w:pPr>
        <w:pStyle w:val="Title111"/>
        <w:numPr>
          <w:ilvl w:val="1"/>
          <w:numId w:val="27"/>
        </w:numPr>
        <w:rPr>
          <w:noProof/>
          <w:sz w:val="16"/>
          <w:szCs w:val="16"/>
        </w:rPr>
      </w:pPr>
      <w:r>
        <w:rPr>
          <w:noProof/>
          <w:sz w:val="16"/>
          <w:szCs w:val="16"/>
        </w:rPr>
        <w:t>Significant accounting judgments and estimates</w:t>
      </w:r>
    </w:p>
    <w:p w:rsidR="005D6812" w:rsidRDefault="005D6812">
      <w:pPr>
        <w:pStyle w:val="Title111"/>
        <w:numPr>
          <w:ilvl w:val="0"/>
          <w:numId w:val="0"/>
        </w:numPr>
        <w:spacing w:before="60" w:after="60"/>
        <w:rPr>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The preparation of financial state</w:t>
      </w:r>
      <w:r>
        <w:rPr>
          <w:rFonts w:ascii="Arial" w:hAnsi="Arial"/>
          <w:noProof/>
          <w:sz w:val="16"/>
          <w:szCs w:val="16"/>
        </w:rPr>
        <w:t>ments requires the use of accounting estimates. It also requires the European Investment Bank’s Management to exercise its judgment in the process of applying the Investment Facility’s accounting policies. The areas involving a higher degree of judgment or</w:t>
      </w:r>
      <w:r>
        <w:rPr>
          <w:rFonts w:ascii="Arial" w:hAnsi="Arial"/>
          <w:noProof/>
          <w:sz w:val="16"/>
          <w:szCs w:val="16"/>
        </w:rPr>
        <w:t xml:space="preserve"> complexity, or areas where assumptions and estimates are significant to the financial statements are disclosed hereafter.</w:t>
      </w:r>
    </w:p>
    <w:p w:rsidR="005D6812" w:rsidRDefault="00AB2A2B">
      <w:pPr>
        <w:pStyle w:val="NotesText0"/>
        <w:spacing w:before="60" w:line="240" w:lineRule="auto"/>
        <w:rPr>
          <w:rFonts w:cs="Times New Roman"/>
          <w:noProof/>
          <w:sz w:val="16"/>
          <w:szCs w:val="16"/>
        </w:rPr>
      </w:pPr>
      <w:r>
        <w:rPr>
          <w:rFonts w:cs="Times New Roman"/>
          <w:noProof/>
          <w:sz w:val="16"/>
          <w:szCs w:val="16"/>
        </w:rPr>
        <w:t>The most significant use of judgments and estimates are as follows:</w:t>
      </w:r>
    </w:p>
    <w:p w:rsidR="005D6812" w:rsidRDefault="005D6812">
      <w:pPr>
        <w:pStyle w:val="NotesText0"/>
        <w:spacing w:before="60" w:line="240" w:lineRule="auto"/>
        <w:rPr>
          <w:rFonts w:cs="Times New Roman"/>
          <w:noProof/>
          <w:sz w:val="16"/>
          <w:szCs w:val="16"/>
        </w:rPr>
      </w:pPr>
    </w:p>
    <w:p w:rsidR="005D6812" w:rsidRDefault="00AB2A2B">
      <w:pPr>
        <w:pStyle w:val="Normal2"/>
        <w:numPr>
          <w:ilvl w:val="0"/>
          <w:numId w:val="28"/>
        </w:numPr>
        <w:spacing w:before="60" w:after="60"/>
        <w:jc w:val="both"/>
        <w:rPr>
          <w:rFonts w:ascii="Arial" w:hAnsi="Arial"/>
          <w:b/>
          <w:noProof/>
          <w:sz w:val="16"/>
          <w:szCs w:val="16"/>
        </w:rPr>
      </w:pPr>
      <w:r>
        <w:rPr>
          <w:rFonts w:ascii="Arial" w:hAnsi="Arial"/>
          <w:b/>
          <w:noProof/>
          <w:sz w:val="16"/>
          <w:szCs w:val="16"/>
        </w:rPr>
        <w:t>Measurement of fair values of financial instruments</w:t>
      </w:r>
    </w:p>
    <w:p w:rsidR="005D6812" w:rsidRDefault="005D6812">
      <w:pPr>
        <w:pStyle w:val="Normal2"/>
        <w:widowControl w:val="0"/>
        <w:autoSpaceDE w:val="0"/>
        <w:spacing w:before="60" w:after="60"/>
        <w:jc w:val="both"/>
        <w:rPr>
          <w:rFonts w:ascii="Arial" w:hAnsi="Arial"/>
          <w:noProof/>
          <w:sz w:val="16"/>
          <w:szCs w:val="16"/>
        </w:rPr>
      </w:pPr>
    </w:p>
    <w:p w:rsidR="005D6812" w:rsidRDefault="00AB2A2B">
      <w:pPr>
        <w:pStyle w:val="Normal2"/>
        <w:widowControl w:val="0"/>
        <w:autoSpaceDE w:val="0"/>
        <w:spacing w:before="60" w:after="60"/>
        <w:jc w:val="both"/>
        <w:rPr>
          <w:rFonts w:ascii="Arial" w:hAnsi="Arial"/>
          <w:noProof/>
          <w:sz w:val="16"/>
          <w:szCs w:val="16"/>
        </w:rPr>
      </w:pPr>
      <w:r>
        <w:rPr>
          <w:rFonts w:ascii="Arial" w:hAnsi="Arial"/>
          <w:noProof/>
          <w:sz w:val="16"/>
          <w:szCs w:val="16"/>
        </w:rPr>
        <w:t>Fair values</w:t>
      </w:r>
      <w:r>
        <w:rPr>
          <w:rFonts w:ascii="Arial" w:hAnsi="Arial"/>
          <w:noProof/>
          <w:sz w:val="16"/>
          <w:szCs w:val="16"/>
        </w:rPr>
        <w:t xml:space="preserve"> of financial assets and financial liabilities that are traded in active markets are based on quoted market prices or broker price quotations. Where the fair values cannot be derived from active markets, they are determined using a variety of valuation tec</w:t>
      </w:r>
      <w:r>
        <w:rPr>
          <w:rFonts w:ascii="Arial" w:hAnsi="Arial"/>
          <w:noProof/>
          <w:sz w:val="16"/>
          <w:szCs w:val="16"/>
        </w:rPr>
        <w:t>hniques that include the use of mathematical models. The input to these models is taken from observable markets where possible, but where this is not feasible, a degree of judgement is required in establishing fair values. The valuations are categorised in</w:t>
      </w:r>
      <w:r>
        <w:rPr>
          <w:rFonts w:ascii="Arial" w:hAnsi="Arial"/>
          <w:noProof/>
          <w:sz w:val="16"/>
          <w:szCs w:val="16"/>
        </w:rPr>
        <w:t>to different levels in the fair value hierarchy based on the inputs used in the valuation techniques as described and disclosed in Notes 2.4.3 and 4.</w:t>
      </w:r>
    </w:p>
    <w:p w:rsidR="005D6812" w:rsidRDefault="005D6812">
      <w:pPr>
        <w:pStyle w:val="Normal2"/>
        <w:widowControl w:val="0"/>
        <w:autoSpaceDE w:val="0"/>
        <w:spacing w:before="60" w:after="60"/>
        <w:jc w:val="both"/>
        <w:rPr>
          <w:rFonts w:ascii="Arial" w:hAnsi="Arial"/>
          <w:noProof/>
          <w:sz w:val="16"/>
          <w:szCs w:val="16"/>
        </w:rPr>
      </w:pPr>
    </w:p>
    <w:p w:rsidR="005D6812" w:rsidRDefault="00AB2A2B">
      <w:pPr>
        <w:pStyle w:val="Normal2"/>
        <w:widowControl w:val="0"/>
        <w:autoSpaceDE w:val="0"/>
        <w:spacing w:before="60" w:after="60"/>
        <w:jc w:val="both"/>
        <w:rPr>
          <w:rFonts w:ascii="Arial" w:hAnsi="Arial"/>
          <w:noProof/>
          <w:sz w:val="16"/>
          <w:szCs w:val="16"/>
        </w:rPr>
      </w:pPr>
      <w:r>
        <w:rPr>
          <w:rFonts w:ascii="Arial" w:hAnsi="Arial"/>
          <w:noProof/>
          <w:sz w:val="16"/>
          <w:szCs w:val="16"/>
        </w:rPr>
        <w:t>These valuation techniques may include net present value and discounted cash flow models, comparison to s</w:t>
      </w:r>
      <w:r>
        <w:rPr>
          <w:rFonts w:ascii="Arial" w:hAnsi="Arial"/>
          <w:noProof/>
          <w:sz w:val="16"/>
          <w:szCs w:val="16"/>
        </w:rPr>
        <w:t>imilar instruments for which market observable prices exist, Black-Scholes and polynomial option pricing models and other valuation models. Assumptions and inputs used in valuation techniques include risk-free and benchmark interest rates, credit spreads u</w:t>
      </w:r>
      <w:r>
        <w:rPr>
          <w:rFonts w:ascii="Arial" w:hAnsi="Arial"/>
          <w:noProof/>
          <w:sz w:val="16"/>
          <w:szCs w:val="16"/>
        </w:rPr>
        <w:t>sed in estimating discount rates, bond and equity prices, foreign currency exchange rates, equity and equity index prices and expected price volatilities and correlations.</w:t>
      </w:r>
    </w:p>
    <w:p w:rsidR="005D6812" w:rsidRDefault="005D6812">
      <w:pPr>
        <w:pStyle w:val="Normal2"/>
        <w:widowControl w:val="0"/>
        <w:autoSpaceDE w:val="0"/>
        <w:spacing w:before="60" w:after="60"/>
        <w:jc w:val="both"/>
        <w:rPr>
          <w:rFonts w:ascii="Arial" w:hAnsi="Arial"/>
          <w:noProof/>
          <w:sz w:val="16"/>
          <w:szCs w:val="16"/>
        </w:rPr>
      </w:pPr>
    </w:p>
    <w:p w:rsidR="005D6812" w:rsidRDefault="00AB2A2B">
      <w:pPr>
        <w:pStyle w:val="Normal2"/>
        <w:widowControl w:val="0"/>
        <w:autoSpaceDE w:val="0"/>
        <w:spacing w:before="60" w:after="60"/>
        <w:jc w:val="both"/>
        <w:rPr>
          <w:rFonts w:ascii="Arial" w:hAnsi="Arial"/>
          <w:noProof/>
          <w:sz w:val="16"/>
          <w:szCs w:val="16"/>
        </w:rPr>
      </w:pPr>
      <w:r>
        <w:rPr>
          <w:rFonts w:ascii="Arial" w:hAnsi="Arial"/>
          <w:noProof/>
          <w:sz w:val="16"/>
          <w:szCs w:val="16"/>
        </w:rPr>
        <w:t>The objective of valuation techniques is to arrive at a fair value measurement that</w:t>
      </w:r>
      <w:r>
        <w:rPr>
          <w:rFonts w:ascii="Arial" w:hAnsi="Arial"/>
          <w:noProof/>
          <w:sz w:val="16"/>
          <w:szCs w:val="16"/>
        </w:rPr>
        <w:t xml:space="preserve"> reflects the price that would be received to sell the asset or paid to transfer the liability in an orderly transaction between market participants at the measurement date.</w:t>
      </w:r>
    </w:p>
    <w:p w:rsidR="005D6812" w:rsidRDefault="005D6812">
      <w:pPr>
        <w:pStyle w:val="Normal2"/>
        <w:widowControl w:val="0"/>
        <w:autoSpaceDE w:val="0"/>
        <w:spacing w:before="60" w:after="60"/>
        <w:jc w:val="both"/>
        <w:rPr>
          <w:rFonts w:ascii="Arial" w:hAnsi="Arial"/>
          <w:noProof/>
          <w:sz w:val="16"/>
          <w:szCs w:val="16"/>
        </w:rPr>
      </w:pPr>
    </w:p>
    <w:p w:rsidR="005D6812" w:rsidRDefault="00AB2A2B">
      <w:pPr>
        <w:pStyle w:val="Normal2"/>
        <w:widowControl w:val="0"/>
        <w:autoSpaceDE w:val="0"/>
        <w:spacing w:before="60" w:after="60"/>
        <w:jc w:val="both"/>
        <w:rPr>
          <w:rFonts w:ascii="Arial" w:hAnsi="Arial"/>
          <w:noProof/>
          <w:sz w:val="16"/>
          <w:szCs w:val="16"/>
        </w:rPr>
      </w:pPr>
      <w:r>
        <w:rPr>
          <w:rFonts w:ascii="Arial" w:hAnsi="Arial"/>
          <w:noProof/>
          <w:sz w:val="16"/>
          <w:szCs w:val="16"/>
        </w:rPr>
        <w:t xml:space="preserve">The Facility uses widely recognised valuation models for determining the fair </w:t>
      </w:r>
      <w:r>
        <w:rPr>
          <w:rFonts w:ascii="Arial" w:hAnsi="Arial"/>
          <w:noProof/>
          <w:sz w:val="16"/>
          <w:szCs w:val="16"/>
        </w:rPr>
        <w:t>value of common and more simple financial instruments, like interest rate and currency swaps that use only observable market data and require limited management judgement and estimation. Observable prices and model inputs are usually available in the marke</w:t>
      </w:r>
      <w:r>
        <w:rPr>
          <w:rFonts w:ascii="Arial" w:hAnsi="Arial"/>
          <w:noProof/>
          <w:sz w:val="16"/>
          <w:szCs w:val="16"/>
        </w:rPr>
        <w:t>t for listed debt and equity securities, exchange traded derivatives and simple over the counter derivatives like interest rate swaps. Availability of observable market prices and model inputs reduces the need for management judgement and estimation and al</w:t>
      </w:r>
      <w:r>
        <w:rPr>
          <w:rFonts w:ascii="Arial" w:hAnsi="Arial"/>
          <w:noProof/>
          <w:sz w:val="16"/>
          <w:szCs w:val="16"/>
        </w:rPr>
        <w:t>so reduces the uncertainty associated with determination of fair values. Availability of observable market prices and inputs varies depending on the products and markets and is prone to changes based on specific events and general conditions in the financi</w:t>
      </w:r>
      <w:r>
        <w:rPr>
          <w:rFonts w:ascii="Arial" w:hAnsi="Arial"/>
          <w:noProof/>
          <w:sz w:val="16"/>
          <w:szCs w:val="16"/>
        </w:rPr>
        <w:t>al markets.</w:t>
      </w:r>
    </w:p>
    <w:p w:rsidR="005D6812" w:rsidRDefault="005D6812">
      <w:pPr>
        <w:pStyle w:val="Normal2"/>
        <w:widowControl w:val="0"/>
        <w:autoSpaceDE w:val="0"/>
        <w:spacing w:before="60" w:after="60"/>
        <w:jc w:val="both"/>
        <w:rPr>
          <w:rFonts w:ascii="Arial" w:hAnsi="Arial"/>
          <w:noProof/>
          <w:sz w:val="16"/>
          <w:szCs w:val="16"/>
        </w:rPr>
      </w:pPr>
    </w:p>
    <w:p w:rsidR="005D6812" w:rsidRDefault="00AB2A2B">
      <w:pPr>
        <w:pStyle w:val="Normal2"/>
        <w:widowControl w:val="0"/>
        <w:autoSpaceDE w:val="0"/>
        <w:spacing w:before="60" w:after="60"/>
        <w:jc w:val="both"/>
        <w:rPr>
          <w:rFonts w:ascii="Arial" w:hAnsi="Arial"/>
          <w:noProof/>
          <w:sz w:val="16"/>
          <w:szCs w:val="16"/>
        </w:rPr>
      </w:pPr>
      <w:r>
        <w:rPr>
          <w:rFonts w:ascii="Arial" w:hAnsi="Arial"/>
          <w:noProof/>
          <w:sz w:val="16"/>
          <w:szCs w:val="16"/>
        </w:rPr>
        <w:t>For more complex instruments, the Facility uses own valuation models, which are developed from recognised valuation models. Some or all of the significant inputs into these models may not be observable in the market, and are derived from marke</w:t>
      </w:r>
      <w:r>
        <w:rPr>
          <w:rFonts w:ascii="Arial" w:hAnsi="Arial"/>
          <w:noProof/>
          <w:sz w:val="16"/>
          <w:szCs w:val="16"/>
        </w:rPr>
        <w:t>t prices or rates or are estimated based on assumptions. Example of instruments involving significant unobservable inputs includes certain loans and guarantees for which there is no active market. Valuation models that employ significant unobservable input</w:t>
      </w:r>
      <w:r>
        <w:rPr>
          <w:rFonts w:ascii="Arial" w:hAnsi="Arial"/>
          <w:noProof/>
          <w:sz w:val="16"/>
          <w:szCs w:val="16"/>
        </w:rPr>
        <w:t>s require a higher degree of management judgement and estimation in the determination of fair value. Management judgement and estimation are usually required for selection of the appropriate valuation model to be used, determination of expected future cash</w:t>
      </w:r>
      <w:r>
        <w:rPr>
          <w:rFonts w:ascii="Arial" w:hAnsi="Arial"/>
          <w:noProof/>
          <w:sz w:val="16"/>
          <w:szCs w:val="16"/>
        </w:rPr>
        <w:t xml:space="preserve"> flows on the financial instrument being valued, determination of probability or counterparty default and prepayments and selection of appropriate discount rates.</w:t>
      </w:r>
    </w:p>
    <w:p w:rsidR="005D6812" w:rsidRDefault="005D6812">
      <w:pPr>
        <w:pStyle w:val="Normal2"/>
        <w:widowControl w:val="0"/>
        <w:autoSpaceDE w:val="0"/>
        <w:spacing w:before="60" w:after="60"/>
        <w:jc w:val="both"/>
        <w:rPr>
          <w:rFonts w:ascii="Arial" w:hAnsi="Arial"/>
          <w:noProof/>
          <w:sz w:val="16"/>
          <w:szCs w:val="16"/>
        </w:rPr>
      </w:pPr>
    </w:p>
    <w:p w:rsidR="005D6812" w:rsidRDefault="00AB2A2B">
      <w:pPr>
        <w:pStyle w:val="Normal2"/>
        <w:widowControl w:val="0"/>
        <w:autoSpaceDE w:val="0"/>
        <w:spacing w:before="60" w:after="60"/>
        <w:jc w:val="both"/>
        <w:rPr>
          <w:rFonts w:ascii="Arial" w:hAnsi="Arial"/>
          <w:noProof/>
          <w:sz w:val="16"/>
          <w:szCs w:val="16"/>
        </w:rPr>
      </w:pPr>
      <w:r>
        <w:rPr>
          <w:rFonts w:ascii="Arial" w:hAnsi="Arial"/>
          <w:noProof/>
          <w:sz w:val="16"/>
          <w:szCs w:val="16"/>
        </w:rPr>
        <w:t>The Facility has an established control framework with respect to the measurement of fair va</w:t>
      </w:r>
      <w:r>
        <w:rPr>
          <w:rFonts w:ascii="Arial" w:hAnsi="Arial"/>
          <w:noProof/>
          <w:sz w:val="16"/>
          <w:szCs w:val="16"/>
        </w:rPr>
        <w:t>lues. This framework includes the EIB’s Investment Bank’s Risk Management and Market Data Management functions. These functions are independent of front office management and are responsible for verifying significant fair value measurements. Specific contr</w:t>
      </w:r>
      <w:r>
        <w:rPr>
          <w:rFonts w:ascii="Arial" w:hAnsi="Arial"/>
          <w:noProof/>
          <w:sz w:val="16"/>
          <w:szCs w:val="16"/>
        </w:rPr>
        <w:t>ols include:</w:t>
      </w:r>
    </w:p>
    <w:p w:rsidR="005D6812" w:rsidRDefault="005D6812">
      <w:pPr>
        <w:pStyle w:val="Normal2"/>
        <w:widowControl w:val="0"/>
        <w:autoSpaceDE w:val="0"/>
        <w:spacing w:before="60" w:after="60"/>
        <w:jc w:val="both"/>
        <w:rPr>
          <w:rFonts w:ascii="Arial" w:hAnsi="Arial"/>
          <w:noProof/>
          <w:sz w:val="16"/>
          <w:szCs w:val="16"/>
        </w:rPr>
      </w:pPr>
    </w:p>
    <w:p w:rsidR="005D6812" w:rsidRDefault="00AB2A2B">
      <w:pPr>
        <w:pStyle w:val="Normal2"/>
        <w:widowControl w:val="0"/>
        <w:numPr>
          <w:ilvl w:val="0"/>
          <w:numId w:val="29"/>
        </w:numPr>
        <w:autoSpaceDE w:val="0"/>
        <w:spacing w:before="60" w:after="60"/>
        <w:jc w:val="both"/>
        <w:rPr>
          <w:rFonts w:ascii="Arial" w:hAnsi="Arial"/>
          <w:noProof/>
          <w:sz w:val="16"/>
          <w:szCs w:val="16"/>
        </w:rPr>
      </w:pPr>
      <w:r>
        <w:rPr>
          <w:rFonts w:ascii="Arial" w:hAnsi="Arial"/>
          <w:noProof/>
          <w:sz w:val="16"/>
          <w:szCs w:val="16"/>
        </w:rPr>
        <w:t>Verification of observable pricing;</w:t>
      </w:r>
    </w:p>
    <w:p w:rsidR="005D6812" w:rsidRDefault="00AB2A2B">
      <w:pPr>
        <w:pStyle w:val="Normal2"/>
        <w:widowControl w:val="0"/>
        <w:numPr>
          <w:ilvl w:val="0"/>
          <w:numId w:val="29"/>
        </w:numPr>
        <w:autoSpaceDE w:val="0"/>
        <w:spacing w:before="60" w:after="60"/>
        <w:jc w:val="both"/>
        <w:rPr>
          <w:rFonts w:ascii="Arial" w:hAnsi="Arial"/>
          <w:noProof/>
          <w:sz w:val="16"/>
          <w:szCs w:val="16"/>
        </w:rPr>
      </w:pPr>
      <w:r>
        <w:rPr>
          <w:rFonts w:ascii="Arial" w:hAnsi="Arial"/>
          <w:noProof/>
          <w:sz w:val="16"/>
          <w:szCs w:val="16"/>
        </w:rPr>
        <w:t>A review and approval process for new valuation models and changes to existing models;</w:t>
      </w:r>
    </w:p>
    <w:p w:rsidR="005D6812" w:rsidRDefault="00AB2A2B">
      <w:pPr>
        <w:pStyle w:val="Normal2"/>
        <w:widowControl w:val="0"/>
        <w:numPr>
          <w:ilvl w:val="0"/>
          <w:numId w:val="29"/>
        </w:numPr>
        <w:autoSpaceDE w:val="0"/>
        <w:spacing w:before="60" w:after="60"/>
        <w:jc w:val="both"/>
        <w:rPr>
          <w:rFonts w:ascii="Arial" w:hAnsi="Arial"/>
          <w:noProof/>
          <w:sz w:val="16"/>
          <w:szCs w:val="16"/>
        </w:rPr>
      </w:pPr>
      <w:r>
        <w:rPr>
          <w:rFonts w:ascii="Arial" w:hAnsi="Arial"/>
          <w:noProof/>
          <w:sz w:val="16"/>
          <w:szCs w:val="16"/>
        </w:rPr>
        <w:t>Calibration and back testing of models against observed market transactions;</w:t>
      </w:r>
    </w:p>
    <w:p w:rsidR="005D6812" w:rsidRDefault="00AB2A2B">
      <w:pPr>
        <w:pStyle w:val="Normal2"/>
        <w:widowControl w:val="0"/>
        <w:numPr>
          <w:ilvl w:val="0"/>
          <w:numId w:val="29"/>
        </w:numPr>
        <w:autoSpaceDE w:val="0"/>
        <w:spacing w:before="60" w:after="60"/>
        <w:jc w:val="both"/>
        <w:rPr>
          <w:rFonts w:ascii="Arial" w:hAnsi="Arial"/>
          <w:noProof/>
          <w:sz w:val="16"/>
          <w:szCs w:val="16"/>
        </w:rPr>
      </w:pPr>
      <w:r>
        <w:rPr>
          <w:rFonts w:ascii="Arial" w:hAnsi="Arial"/>
          <w:noProof/>
          <w:sz w:val="16"/>
          <w:szCs w:val="16"/>
        </w:rPr>
        <w:t xml:space="preserve">Analysis and investigation of significant </w:t>
      </w:r>
      <w:r>
        <w:rPr>
          <w:rFonts w:ascii="Arial" w:hAnsi="Arial"/>
          <w:noProof/>
          <w:sz w:val="16"/>
          <w:szCs w:val="16"/>
        </w:rPr>
        <w:t>valuation movements;</w:t>
      </w:r>
    </w:p>
    <w:p w:rsidR="005D6812" w:rsidRDefault="00AB2A2B">
      <w:pPr>
        <w:pStyle w:val="Normal2"/>
        <w:widowControl w:val="0"/>
        <w:numPr>
          <w:ilvl w:val="0"/>
          <w:numId w:val="29"/>
        </w:numPr>
        <w:autoSpaceDE w:val="0"/>
        <w:spacing w:before="60" w:after="60"/>
        <w:jc w:val="both"/>
        <w:rPr>
          <w:rFonts w:ascii="Arial" w:hAnsi="Arial"/>
          <w:noProof/>
          <w:sz w:val="16"/>
          <w:szCs w:val="16"/>
        </w:rPr>
      </w:pPr>
      <w:r>
        <w:rPr>
          <w:rFonts w:ascii="Arial" w:hAnsi="Arial"/>
          <w:noProof/>
          <w:sz w:val="16"/>
          <w:szCs w:val="16"/>
        </w:rPr>
        <w:t>Review of significant unobservable inputs and valuation adjustments.</w:t>
      </w:r>
    </w:p>
    <w:p w:rsidR="005D6812" w:rsidRDefault="005D6812">
      <w:pPr>
        <w:pStyle w:val="Normal2"/>
        <w:widowControl w:val="0"/>
        <w:autoSpaceDE w:val="0"/>
        <w:spacing w:before="60" w:after="60"/>
        <w:jc w:val="both"/>
        <w:rPr>
          <w:rFonts w:ascii="Arial" w:hAnsi="Arial"/>
          <w:noProof/>
          <w:sz w:val="16"/>
          <w:szCs w:val="16"/>
        </w:rPr>
      </w:pPr>
    </w:p>
    <w:p w:rsidR="005D6812" w:rsidRDefault="00AB2A2B">
      <w:pPr>
        <w:pStyle w:val="Normal2"/>
        <w:widowControl w:val="0"/>
        <w:autoSpaceDE w:val="0"/>
        <w:spacing w:before="60" w:after="60"/>
        <w:jc w:val="both"/>
        <w:rPr>
          <w:rFonts w:ascii="Arial" w:hAnsi="Arial"/>
          <w:noProof/>
          <w:sz w:val="16"/>
          <w:szCs w:val="16"/>
        </w:rPr>
      </w:pPr>
      <w:r>
        <w:rPr>
          <w:rFonts w:ascii="Arial" w:hAnsi="Arial"/>
          <w:noProof/>
          <w:sz w:val="16"/>
          <w:szCs w:val="16"/>
        </w:rPr>
        <w:t>Where third-party information such as broker quotes or pricing services are used to measure fair value, the Facility verifies that such valuations meet the requireme</w:t>
      </w:r>
      <w:r>
        <w:rPr>
          <w:rFonts w:ascii="Arial" w:hAnsi="Arial"/>
          <w:noProof/>
          <w:sz w:val="16"/>
          <w:szCs w:val="16"/>
        </w:rPr>
        <w:t>nts of IFRS. This includes the following:</w:t>
      </w:r>
    </w:p>
    <w:p w:rsidR="005D6812" w:rsidRDefault="005D6812">
      <w:pPr>
        <w:pStyle w:val="Normal2"/>
        <w:widowControl w:val="0"/>
        <w:autoSpaceDE w:val="0"/>
        <w:spacing w:before="60" w:after="60"/>
        <w:jc w:val="both"/>
        <w:rPr>
          <w:rFonts w:ascii="Arial" w:hAnsi="Arial"/>
          <w:noProof/>
          <w:sz w:val="16"/>
          <w:szCs w:val="16"/>
        </w:rPr>
      </w:pPr>
    </w:p>
    <w:p w:rsidR="005D6812" w:rsidRDefault="00AB2A2B">
      <w:pPr>
        <w:pStyle w:val="Normal2"/>
        <w:widowControl w:val="0"/>
        <w:numPr>
          <w:ilvl w:val="0"/>
          <w:numId w:val="30"/>
        </w:numPr>
        <w:autoSpaceDE w:val="0"/>
        <w:spacing w:before="60" w:after="60"/>
        <w:jc w:val="both"/>
        <w:rPr>
          <w:rFonts w:ascii="Arial" w:hAnsi="Arial"/>
          <w:noProof/>
          <w:sz w:val="16"/>
          <w:szCs w:val="16"/>
        </w:rPr>
      </w:pPr>
      <w:r>
        <w:rPr>
          <w:rFonts w:ascii="Arial" w:hAnsi="Arial"/>
          <w:noProof/>
          <w:sz w:val="16"/>
          <w:szCs w:val="16"/>
        </w:rPr>
        <w:t>Determining where broker quote or pricing service pricing is appropriate;</w:t>
      </w:r>
    </w:p>
    <w:p w:rsidR="005D6812" w:rsidRDefault="00AB2A2B">
      <w:pPr>
        <w:pStyle w:val="Normal2"/>
        <w:widowControl w:val="0"/>
        <w:numPr>
          <w:ilvl w:val="0"/>
          <w:numId w:val="30"/>
        </w:numPr>
        <w:autoSpaceDE w:val="0"/>
        <w:spacing w:before="60" w:after="60"/>
        <w:jc w:val="both"/>
        <w:rPr>
          <w:rFonts w:ascii="Arial" w:hAnsi="Arial"/>
          <w:noProof/>
          <w:sz w:val="16"/>
          <w:szCs w:val="16"/>
        </w:rPr>
      </w:pPr>
      <w:r>
        <w:rPr>
          <w:rFonts w:ascii="Arial" w:hAnsi="Arial"/>
          <w:noProof/>
          <w:sz w:val="16"/>
          <w:szCs w:val="16"/>
        </w:rPr>
        <w:t>Assessing whether a particular broker quote or pricing service is reliable;</w:t>
      </w:r>
    </w:p>
    <w:p w:rsidR="005D6812" w:rsidRDefault="00AB2A2B">
      <w:pPr>
        <w:pStyle w:val="Normal2"/>
        <w:widowControl w:val="0"/>
        <w:numPr>
          <w:ilvl w:val="0"/>
          <w:numId w:val="30"/>
        </w:numPr>
        <w:autoSpaceDE w:val="0"/>
        <w:spacing w:before="60" w:after="60"/>
        <w:jc w:val="both"/>
        <w:rPr>
          <w:rFonts w:ascii="Arial" w:hAnsi="Arial"/>
          <w:noProof/>
          <w:sz w:val="16"/>
          <w:szCs w:val="16"/>
        </w:rPr>
      </w:pPr>
      <w:r>
        <w:rPr>
          <w:rFonts w:ascii="Arial" w:hAnsi="Arial"/>
          <w:noProof/>
          <w:sz w:val="16"/>
          <w:szCs w:val="16"/>
        </w:rPr>
        <w:t xml:space="preserve">Understanding how the fair value has been arrived at and the </w:t>
      </w:r>
      <w:r>
        <w:rPr>
          <w:rFonts w:ascii="Arial" w:hAnsi="Arial"/>
          <w:noProof/>
          <w:sz w:val="16"/>
          <w:szCs w:val="16"/>
        </w:rPr>
        <w:t>extent to which it represents actual market transactions;</w:t>
      </w:r>
    </w:p>
    <w:p w:rsidR="005D6812" w:rsidRDefault="00AB2A2B">
      <w:pPr>
        <w:pStyle w:val="Normal2"/>
        <w:widowControl w:val="0"/>
        <w:numPr>
          <w:ilvl w:val="0"/>
          <w:numId w:val="30"/>
        </w:numPr>
        <w:autoSpaceDE w:val="0"/>
        <w:spacing w:before="60" w:after="60"/>
        <w:jc w:val="both"/>
        <w:rPr>
          <w:rFonts w:ascii="Arial" w:hAnsi="Arial"/>
          <w:noProof/>
          <w:sz w:val="16"/>
          <w:szCs w:val="16"/>
        </w:rPr>
      </w:pPr>
      <w:r>
        <w:rPr>
          <w:rFonts w:ascii="Arial" w:hAnsi="Arial"/>
          <w:noProof/>
          <w:sz w:val="16"/>
          <w:szCs w:val="16"/>
        </w:rPr>
        <w:t>When prices for similar instruments are used to measure fair value, how these prices have been adjusted to reflect the characteristics of the instrument subject to measurement.</w:t>
      </w:r>
    </w:p>
    <w:p w:rsidR="005D6812" w:rsidRDefault="005D6812">
      <w:pPr>
        <w:pStyle w:val="Normal2"/>
        <w:widowControl w:val="0"/>
        <w:autoSpaceDE w:val="0"/>
        <w:spacing w:before="60" w:after="60"/>
        <w:jc w:val="both"/>
        <w:rPr>
          <w:rFonts w:ascii="Arial" w:hAnsi="Arial"/>
          <w:noProof/>
          <w:sz w:val="16"/>
          <w:szCs w:val="16"/>
        </w:rPr>
      </w:pPr>
    </w:p>
    <w:p w:rsidR="005D6812" w:rsidRDefault="00AB2A2B">
      <w:pPr>
        <w:pStyle w:val="Normal2"/>
        <w:numPr>
          <w:ilvl w:val="0"/>
          <w:numId w:val="28"/>
        </w:numPr>
        <w:spacing w:before="60" w:after="60"/>
        <w:jc w:val="both"/>
        <w:rPr>
          <w:rFonts w:ascii="Arial" w:hAnsi="Arial"/>
          <w:b/>
          <w:noProof/>
          <w:sz w:val="16"/>
          <w:szCs w:val="16"/>
        </w:rPr>
      </w:pPr>
      <w:r>
        <w:rPr>
          <w:rFonts w:ascii="Arial" w:hAnsi="Arial"/>
          <w:b/>
          <w:noProof/>
          <w:sz w:val="16"/>
          <w:szCs w:val="16"/>
        </w:rPr>
        <w:t>Impairment losses on</w:t>
      </w:r>
      <w:r>
        <w:rPr>
          <w:rFonts w:ascii="Arial" w:hAnsi="Arial"/>
          <w:b/>
          <w:noProof/>
          <w:sz w:val="16"/>
          <w:szCs w:val="16"/>
        </w:rPr>
        <w:t xml:space="preserve"> loans and receivables</w:t>
      </w:r>
    </w:p>
    <w:p w:rsidR="005D6812" w:rsidRDefault="005D6812">
      <w:pPr>
        <w:pStyle w:val="Normal2"/>
        <w:widowControl w:val="0"/>
        <w:autoSpaceDE w:val="0"/>
        <w:spacing w:before="60" w:after="60"/>
        <w:jc w:val="both"/>
        <w:rPr>
          <w:rFonts w:ascii="Arial" w:hAnsi="Arial"/>
          <w:noProof/>
          <w:sz w:val="16"/>
          <w:szCs w:val="16"/>
        </w:rPr>
      </w:pPr>
    </w:p>
    <w:p w:rsidR="005D6812" w:rsidRDefault="00AB2A2B">
      <w:pPr>
        <w:pStyle w:val="Normal2"/>
        <w:widowControl w:val="0"/>
        <w:autoSpaceDE w:val="0"/>
        <w:spacing w:before="60" w:after="60"/>
        <w:jc w:val="both"/>
        <w:rPr>
          <w:rFonts w:ascii="Arial" w:hAnsi="Arial"/>
          <w:noProof/>
          <w:sz w:val="16"/>
          <w:szCs w:val="16"/>
        </w:rPr>
      </w:pPr>
      <w:r>
        <w:rPr>
          <w:rFonts w:ascii="Arial" w:hAnsi="Arial"/>
          <w:noProof/>
          <w:sz w:val="16"/>
          <w:szCs w:val="16"/>
        </w:rPr>
        <w:t>The Facility reviews its loans and receivables at each reporting date to assess whether an allowance for impairment should be recorded in the statement of profit or loss and other comprehensive income. In particular, judgment by the</w:t>
      </w:r>
      <w:r>
        <w:rPr>
          <w:rFonts w:ascii="Arial" w:hAnsi="Arial"/>
          <w:noProof/>
          <w:sz w:val="16"/>
          <w:szCs w:val="16"/>
        </w:rPr>
        <w:t xml:space="preserve"> European Investment Bank’s Management is required in the estimation of the amount and timing of future cash flows when determining the level of allowance required. Such estimates are based on assumptions about a number of factors and actual results may di</w:t>
      </w:r>
      <w:r>
        <w:rPr>
          <w:rFonts w:ascii="Arial" w:hAnsi="Arial"/>
          <w:noProof/>
          <w:sz w:val="16"/>
          <w:szCs w:val="16"/>
        </w:rPr>
        <w:t>ffer, resulting in future changes to the allowance. In addition to specific allowances against individually significant loans and receivables, the Facility may also book a collective impairment allowance against exposures which have not been individually i</w:t>
      </w:r>
      <w:r>
        <w:rPr>
          <w:rFonts w:ascii="Arial" w:hAnsi="Arial"/>
          <w:noProof/>
          <w:sz w:val="16"/>
          <w:szCs w:val="16"/>
        </w:rPr>
        <w:t>dentified as impaired and have a greater risk of default than when originally granted.</w:t>
      </w:r>
    </w:p>
    <w:p w:rsidR="005D6812" w:rsidRDefault="005D6812">
      <w:pPr>
        <w:pStyle w:val="Normal2"/>
        <w:widowControl w:val="0"/>
        <w:autoSpaceDE w:val="0"/>
        <w:spacing w:before="60" w:after="60"/>
        <w:jc w:val="both"/>
        <w:rPr>
          <w:rFonts w:ascii="Arial" w:hAnsi="Arial"/>
          <w:noProof/>
          <w:sz w:val="16"/>
          <w:szCs w:val="16"/>
        </w:rPr>
      </w:pPr>
    </w:p>
    <w:p w:rsidR="005D6812" w:rsidRDefault="00AB2A2B">
      <w:pPr>
        <w:pStyle w:val="Normal2"/>
        <w:widowControl w:val="0"/>
        <w:autoSpaceDE w:val="0"/>
        <w:spacing w:before="60" w:after="60"/>
        <w:jc w:val="both"/>
        <w:rPr>
          <w:rFonts w:ascii="Arial" w:hAnsi="Arial"/>
          <w:b/>
          <w:noProof/>
          <w:sz w:val="16"/>
          <w:szCs w:val="16"/>
        </w:rPr>
      </w:pPr>
      <w:r>
        <w:rPr>
          <w:rFonts w:ascii="Arial" w:hAnsi="Arial"/>
          <w:noProof/>
          <w:sz w:val="16"/>
          <w:szCs w:val="16"/>
        </w:rPr>
        <w:t xml:space="preserve">In principle, a loan is considered as impaired when payment of interest and principal are past due by 90 days or more and, at the same time, the European Investment </w:t>
      </w:r>
      <w:r>
        <w:rPr>
          <w:rFonts w:ascii="Arial" w:hAnsi="Arial"/>
          <w:noProof/>
          <w:sz w:val="16"/>
          <w:szCs w:val="16"/>
        </w:rPr>
        <w:t>Bank’s Management considers that there is an objective indication of impairment.</w:t>
      </w:r>
    </w:p>
    <w:p w:rsidR="005D6812" w:rsidRDefault="005D6812">
      <w:pPr>
        <w:pStyle w:val="Normal2"/>
        <w:widowControl w:val="0"/>
        <w:autoSpaceDE w:val="0"/>
        <w:spacing w:before="60" w:after="60"/>
        <w:jc w:val="both"/>
        <w:rPr>
          <w:rFonts w:ascii="Arial" w:hAnsi="Arial"/>
          <w:b/>
          <w:noProof/>
          <w:sz w:val="16"/>
          <w:szCs w:val="16"/>
        </w:rPr>
      </w:pPr>
    </w:p>
    <w:p w:rsidR="005D6812" w:rsidRDefault="00AB2A2B">
      <w:pPr>
        <w:pStyle w:val="Normal2"/>
        <w:numPr>
          <w:ilvl w:val="0"/>
          <w:numId w:val="28"/>
        </w:numPr>
        <w:spacing w:before="60" w:after="60"/>
        <w:jc w:val="both"/>
        <w:rPr>
          <w:rFonts w:ascii="Arial" w:hAnsi="Arial"/>
          <w:b/>
          <w:noProof/>
          <w:sz w:val="16"/>
          <w:szCs w:val="16"/>
        </w:rPr>
      </w:pPr>
      <w:r>
        <w:rPr>
          <w:rFonts w:ascii="Arial" w:hAnsi="Arial"/>
          <w:b/>
          <w:noProof/>
          <w:sz w:val="16"/>
          <w:szCs w:val="16"/>
        </w:rPr>
        <w:t>Provisions on financial guarantees</w:t>
      </w:r>
    </w:p>
    <w:p w:rsidR="005D6812" w:rsidRDefault="005D6812">
      <w:pPr>
        <w:pStyle w:val="Normal2"/>
        <w:widowControl w:val="0"/>
        <w:autoSpaceDE w:val="0"/>
        <w:spacing w:before="60" w:after="60"/>
        <w:jc w:val="both"/>
        <w:rPr>
          <w:rFonts w:ascii="Arial" w:hAnsi="Arial"/>
          <w:noProof/>
          <w:sz w:val="16"/>
          <w:szCs w:val="16"/>
        </w:rPr>
      </w:pPr>
    </w:p>
    <w:p w:rsidR="005D6812" w:rsidRDefault="00AB2A2B">
      <w:pPr>
        <w:pStyle w:val="Normal2"/>
        <w:widowControl w:val="0"/>
        <w:autoSpaceDE w:val="0"/>
        <w:spacing w:before="60" w:after="60"/>
        <w:jc w:val="both"/>
        <w:rPr>
          <w:rFonts w:ascii="Arial" w:hAnsi="Arial"/>
          <w:noProof/>
          <w:sz w:val="16"/>
          <w:szCs w:val="16"/>
        </w:rPr>
      </w:pPr>
      <w:r>
        <w:rPr>
          <w:rFonts w:ascii="Arial" w:hAnsi="Arial"/>
          <w:noProof/>
          <w:sz w:val="16"/>
          <w:szCs w:val="16"/>
        </w:rPr>
        <w:t>The Facility reviews its guarantee contracts at each reporting date to assess whether a provision should be recorded in the statement of p</w:t>
      </w:r>
      <w:r>
        <w:rPr>
          <w:rFonts w:ascii="Arial" w:hAnsi="Arial"/>
          <w:noProof/>
          <w:sz w:val="16"/>
          <w:szCs w:val="16"/>
        </w:rPr>
        <w:t>rofit or loss and other comprehensive income. For determining the provision particular judgement is required in making estimates and assumptions about a number of factors, such as:</w:t>
      </w:r>
    </w:p>
    <w:p w:rsidR="005D6812" w:rsidRDefault="00AB2A2B">
      <w:pPr>
        <w:pStyle w:val="Normal2"/>
        <w:widowControl w:val="0"/>
        <w:numPr>
          <w:ilvl w:val="0"/>
          <w:numId w:val="30"/>
        </w:numPr>
        <w:autoSpaceDE w:val="0"/>
        <w:spacing w:before="60" w:after="60"/>
        <w:jc w:val="both"/>
        <w:rPr>
          <w:rFonts w:ascii="Arial" w:hAnsi="Arial"/>
          <w:noProof/>
          <w:sz w:val="16"/>
          <w:szCs w:val="16"/>
        </w:rPr>
      </w:pPr>
      <w:r>
        <w:rPr>
          <w:rFonts w:ascii="Arial" w:hAnsi="Arial"/>
          <w:noProof/>
          <w:sz w:val="16"/>
          <w:szCs w:val="16"/>
        </w:rPr>
        <w:t>amount and timing of future cash flows;</w:t>
      </w:r>
    </w:p>
    <w:p w:rsidR="005D6812" w:rsidRDefault="00AB2A2B">
      <w:pPr>
        <w:pStyle w:val="Normal2"/>
        <w:widowControl w:val="0"/>
        <w:numPr>
          <w:ilvl w:val="0"/>
          <w:numId w:val="30"/>
        </w:numPr>
        <w:autoSpaceDE w:val="0"/>
        <w:spacing w:before="60" w:after="60"/>
        <w:jc w:val="both"/>
        <w:rPr>
          <w:rFonts w:ascii="Arial" w:hAnsi="Arial"/>
          <w:noProof/>
          <w:sz w:val="16"/>
          <w:szCs w:val="16"/>
        </w:rPr>
      </w:pPr>
      <w:r>
        <w:rPr>
          <w:rFonts w:ascii="Arial" w:hAnsi="Arial"/>
          <w:noProof/>
          <w:sz w:val="16"/>
          <w:szCs w:val="16"/>
        </w:rPr>
        <w:t>utilisation level of the guarantees</w:t>
      </w:r>
      <w:r>
        <w:rPr>
          <w:rFonts w:ascii="Arial" w:hAnsi="Arial"/>
          <w:noProof/>
          <w:sz w:val="16"/>
          <w:szCs w:val="16"/>
        </w:rPr>
        <w:t>;</w:t>
      </w:r>
    </w:p>
    <w:p w:rsidR="005D6812" w:rsidRDefault="00AB2A2B">
      <w:pPr>
        <w:pStyle w:val="Normal2"/>
        <w:widowControl w:val="0"/>
        <w:numPr>
          <w:ilvl w:val="0"/>
          <w:numId w:val="30"/>
        </w:numPr>
        <w:autoSpaceDE w:val="0"/>
        <w:spacing w:before="60" w:after="60"/>
        <w:jc w:val="both"/>
        <w:rPr>
          <w:rFonts w:ascii="Arial" w:hAnsi="Arial"/>
          <w:noProof/>
          <w:sz w:val="16"/>
          <w:szCs w:val="16"/>
        </w:rPr>
      </w:pPr>
      <w:r>
        <w:rPr>
          <w:rFonts w:ascii="Arial" w:hAnsi="Arial"/>
          <w:noProof/>
          <w:sz w:val="16"/>
          <w:szCs w:val="16"/>
        </w:rPr>
        <w:t>discount factors applied on the estimated cash flows.</w:t>
      </w:r>
    </w:p>
    <w:p w:rsidR="005D6812" w:rsidRDefault="005D6812">
      <w:pPr>
        <w:pStyle w:val="Normal2"/>
        <w:widowControl w:val="0"/>
        <w:autoSpaceDE w:val="0"/>
        <w:spacing w:before="60" w:after="60"/>
        <w:jc w:val="both"/>
        <w:rPr>
          <w:rFonts w:ascii="Arial" w:hAnsi="Arial"/>
          <w:b/>
          <w:noProof/>
          <w:sz w:val="16"/>
          <w:szCs w:val="16"/>
        </w:rPr>
      </w:pPr>
    </w:p>
    <w:p w:rsidR="005D6812" w:rsidRDefault="00AB2A2B">
      <w:pPr>
        <w:pStyle w:val="Normal2"/>
        <w:numPr>
          <w:ilvl w:val="0"/>
          <w:numId w:val="28"/>
        </w:numPr>
        <w:spacing w:before="60" w:after="60"/>
        <w:jc w:val="both"/>
        <w:rPr>
          <w:rFonts w:ascii="Arial" w:hAnsi="Arial"/>
          <w:b/>
          <w:noProof/>
          <w:sz w:val="16"/>
          <w:szCs w:val="16"/>
        </w:rPr>
      </w:pPr>
      <w:r>
        <w:rPr>
          <w:rFonts w:ascii="Arial" w:hAnsi="Arial"/>
          <w:b/>
          <w:noProof/>
          <w:sz w:val="16"/>
          <w:szCs w:val="16"/>
        </w:rPr>
        <w:t>Valuation of unquoted available-for-sale equity investments</w:t>
      </w:r>
    </w:p>
    <w:p w:rsidR="005D6812" w:rsidRDefault="005D6812">
      <w:pPr>
        <w:pStyle w:val="Normal2"/>
        <w:widowControl w:val="0"/>
        <w:autoSpaceDE w:val="0"/>
        <w:spacing w:before="60" w:after="60"/>
        <w:jc w:val="both"/>
        <w:rPr>
          <w:rFonts w:ascii="Arial" w:hAnsi="Arial"/>
          <w:noProof/>
          <w:sz w:val="16"/>
          <w:szCs w:val="16"/>
        </w:rPr>
      </w:pPr>
    </w:p>
    <w:p w:rsidR="005D6812" w:rsidRDefault="00AB2A2B">
      <w:pPr>
        <w:pStyle w:val="Normal2"/>
        <w:widowControl w:val="0"/>
        <w:autoSpaceDE w:val="0"/>
        <w:spacing w:before="60" w:after="60"/>
        <w:jc w:val="both"/>
        <w:rPr>
          <w:rFonts w:ascii="Arial" w:hAnsi="Arial"/>
          <w:noProof/>
          <w:sz w:val="16"/>
          <w:szCs w:val="16"/>
        </w:rPr>
      </w:pPr>
      <w:r>
        <w:rPr>
          <w:rFonts w:ascii="Arial" w:hAnsi="Arial"/>
          <w:noProof/>
          <w:sz w:val="16"/>
          <w:szCs w:val="16"/>
        </w:rPr>
        <w:t xml:space="preserve">Valuation of unquoted available-for-sale equity investments is normally based on one of the following: </w:t>
      </w:r>
    </w:p>
    <w:p w:rsidR="005D6812" w:rsidRDefault="005D6812">
      <w:pPr>
        <w:pStyle w:val="Normal2"/>
        <w:widowControl w:val="0"/>
        <w:autoSpaceDE w:val="0"/>
        <w:spacing w:before="60" w:after="60"/>
        <w:jc w:val="both"/>
        <w:rPr>
          <w:rFonts w:ascii="Arial" w:hAnsi="Arial"/>
          <w:noProof/>
          <w:sz w:val="16"/>
          <w:szCs w:val="16"/>
        </w:rPr>
      </w:pPr>
    </w:p>
    <w:p w:rsidR="005D6812" w:rsidRDefault="00AB2A2B">
      <w:pPr>
        <w:pStyle w:val="Normal2"/>
        <w:widowControl w:val="0"/>
        <w:numPr>
          <w:ilvl w:val="0"/>
          <w:numId w:val="30"/>
        </w:numPr>
        <w:autoSpaceDE w:val="0"/>
        <w:spacing w:before="60" w:after="60"/>
        <w:jc w:val="both"/>
        <w:rPr>
          <w:rFonts w:ascii="Arial" w:hAnsi="Arial"/>
          <w:noProof/>
          <w:sz w:val="16"/>
          <w:szCs w:val="16"/>
        </w:rPr>
      </w:pPr>
      <w:r>
        <w:rPr>
          <w:rFonts w:ascii="Arial" w:hAnsi="Arial"/>
          <w:noProof/>
          <w:sz w:val="16"/>
          <w:szCs w:val="16"/>
        </w:rPr>
        <w:t>recent arm’s length market transa</w:t>
      </w:r>
      <w:r>
        <w:rPr>
          <w:rFonts w:ascii="Arial" w:hAnsi="Arial"/>
          <w:noProof/>
          <w:sz w:val="16"/>
          <w:szCs w:val="16"/>
        </w:rPr>
        <w:t xml:space="preserve">ctions; </w:t>
      </w:r>
    </w:p>
    <w:p w:rsidR="005D6812" w:rsidRDefault="00AB2A2B">
      <w:pPr>
        <w:pStyle w:val="Normal2"/>
        <w:widowControl w:val="0"/>
        <w:numPr>
          <w:ilvl w:val="0"/>
          <w:numId w:val="30"/>
        </w:numPr>
        <w:autoSpaceDE w:val="0"/>
        <w:spacing w:before="60" w:after="60"/>
        <w:jc w:val="both"/>
        <w:rPr>
          <w:rFonts w:ascii="Arial" w:hAnsi="Arial"/>
          <w:noProof/>
          <w:sz w:val="16"/>
          <w:szCs w:val="16"/>
        </w:rPr>
      </w:pPr>
      <w:r>
        <w:rPr>
          <w:rFonts w:ascii="Arial" w:hAnsi="Arial"/>
          <w:noProof/>
          <w:sz w:val="16"/>
          <w:szCs w:val="16"/>
        </w:rPr>
        <w:t xml:space="preserve">current fair value of another instrument that is substantially the same; </w:t>
      </w:r>
    </w:p>
    <w:p w:rsidR="005D6812" w:rsidRDefault="00AB2A2B">
      <w:pPr>
        <w:pStyle w:val="Normal2"/>
        <w:widowControl w:val="0"/>
        <w:numPr>
          <w:ilvl w:val="0"/>
          <w:numId w:val="30"/>
        </w:numPr>
        <w:autoSpaceDE w:val="0"/>
        <w:spacing w:before="60" w:after="60"/>
        <w:jc w:val="both"/>
        <w:rPr>
          <w:rFonts w:ascii="Arial" w:hAnsi="Arial"/>
          <w:noProof/>
          <w:sz w:val="16"/>
          <w:szCs w:val="16"/>
        </w:rPr>
      </w:pPr>
      <w:r>
        <w:rPr>
          <w:rFonts w:ascii="Arial" w:hAnsi="Arial"/>
          <w:noProof/>
          <w:sz w:val="16"/>
          <w:szCs w:val="16"/>
        </w:rPr>
        <w:t xml:space="preserve">the expected cash flows discounted at current rates applicable for items with similar terms and risk characteristics; </w:t>
      </w:r>
    </w:p>
    <w:p w:rsidR="005D6812" w:rsidRDefault="00AB2A2B">
      <w:pPr>
        <w:pStyle w:val="Normal2"/>
        <w:widowControl w:val="0"/>
        <w:numPr>
          <w:ilvl w:val="0"/>
          <w:numId w:val="30"/>
        </w:numPr>
        <w:autoSpaceDE w:val="0"/>
        <w:spacing w:before="60" w:after="60"/>
        <w:jc w:val="both"/>
        <w:rPr>
          <w:rFonts w:ascii="Arial" w:hAnsi="Arial"/>
          <w:noProof/>
          <w:sz w:val="16"/>
          <w:szCs w:val="16"/>
        </w:rPr>
      </w:pPr>
      <w:r>
        <w:rPr>
          <w:rFonts w:ascii="Arial" w:hAnsi="Arial"/>
          <w:noProof/>
          <w:sz w:val="16"/>
          <w:szCs w:val="16"/>
        </w:rPr>
        <w:t xml:space="preserve">adjusted net assets method; or </w:t>
      </w:r>
    </w:p>
    <w:p w:rsidR="005D6812" w:rsidRDefault="00AB2A2B">
      <w:pPr>
        <w:pStyle w:val="Normal2"/>
        <w:widowControl w:val="0"/>
        <w:numPr>
          <w:ilvl w:val="0"/>
          <w:numId w:val="30"/>
        </w:numPr>
        <w:autoSpaceDE w:val="0"/>
        <w:spacing w:before="60" w:after="60"/>
        <w:jc w:val="both"/>
        <w:rPr>
          <w:rFonts w:ascii="Arial" w:hAnsi="Arial"/>
          <w:noProof/>
          <w:sz w:val="16"/>
          <w:szCs w:val="16"/>
        </w:rPr>
      </w:pPr>
      <w:r>
        <w:rPr>
          <w:rFonts w:ascii="Arial" w:hAnsi="Arial"/>
          <w:noProof/>
          <w:sz w:val="16"/>
          <w:szCs w:val="16"/>
        </w:rPr>
        <w:t>other valuation models</w:t>
      </w:r>
      <w:r>
        <w:rPr>
          <w:rFonts w:ascii="Arial" w:hAnsi="Arial"/>
          <w:noProof/>
          <w:sz w:val="16"/>
          <w:szCs w:val="16"/>
        </w:rPr>
        <w:t>.</w:t>
      </w:r>
    </w:p>
    <w:p w:rsidR="005D6812" w:rsidRDefault="005D6812">
      <w:pPr>
        <w:pStyle w:val="Normal2"/>
        <w:widowControl w:val="0"/>
        <w:autoSpaceDE w:val="0"/>
        <w:spacing w:before="60" w:after="60"/>
        <w:jc w:val="both"/>
        <w:rPr>
          <w:rFonts w:ascii="Arial" w:hAnsi="Arial"/>
          <w:noProof/>
          <w:sz w:val="16"/>
          <w:szCs w:val="16"/>
        </w:rPr>
      </w:pPr>
    </w:p>
    <w:p w:rsidR="005D6812" w:rsidRDefault="00AB2A2B">
      <w:pPr>
        <w:pStyle w:val="Normal2"/>
        <w:widowControl w:val="0"/>
        <w:autoSpaceDE w:val="0"/>
        <w:spacing w:before="60" w:after="60"/>
        <w:jc w:val="both"/>
        <w:rPr>
          <w:rFonts w:ascii="Arial" w:hAnsi="Arial"/>
          <w:noProof/>
          <w:sz w:val="16"/>
          <w:szCs w:val="16"/>
        </w:rPr>
      </w:pPr>
      <w:r>
        <w:rPr>
          <w:rFonts w:ascii="Arial" w:hAnsi="Arial"/>
          <w:noProof/>
          <w:sz w:val="16"/>
          <w:szCs w:val="16"/>
        </w:rPr>
        <w:t>The determination of the cash flows and discount factors for unquoted available-for-sale equity investments requires significant estimation. The Facility calibrates the valuation techniques periodically and tests them for validity using either price fro</w:t>
      </w:r>
      <w:r>
        <w:rPr>
          <w:rFonts w:ascii="Arial" w:hAnsi="Arial"/>
          <w:noProof/>
          <w:sz w:val="16"/>
          <w:szCs w:val="16"/>
        </w:rPr>
        <w:t>m observable current market transactions in the same instrument or from other available observable market data.</w:t>
      </w:r>
    </w:p>
    <w:p w:rsidR="005D6812" w:rsidRDefault="005D6812">
      <w:pPr>
        <w:pStyle w:val="Normal2"/>
        <w:widowControl w:val="0"/>
        <w:autoSpaceDE w:val="0"/>
        <w:spacing w:before="60" w:after="60"/>
        <w:jc w:val="both"/>
        <w:rPr>
          <w:rFonts w:ascii="Arial" w:hAnsi="Arial"/>
          <w:noProof/>
          <w:sz w:val="16"/>
          <w:szCs w:val="16"/>
        </w:rPr>
      </w:pPr>
    </w:p>
    <w:p w:rsidR="005D6812" w:rsidRDefault="00AB2A2B">
      <w:pPr>
        <w:pStyle w:val="Normal2"/>
        <w:numPr>
          <w:ilvl w:val="0"/>
          <w:numId w:val="28"/>
        </w:numPr>
        <w:spacing w:before="60" w:after="60"/>
        <w:jc w:val="both"/>
        <w:rPr>
          <w:rFonts w:ascii="Arial" w:hAnsi="Arial"/>
          <w:b/>
          <w:noProof/>
          <w:sz w:val="16"/>
          <w:szCs w:val="16"/>
        </w:rPr>
      </w:pPr>
      <w:r>
        <w:rPr>
          <w:rFonts w:ascii="Arial" w:hAnsi="Arial"/>
          <w:b/>
          <w:noProof/>
          <w:sz w:val="16"/>
          <w:szCs w:val="16"/>
        </w:rPr>
        <w:t>Impairment of available-for-sale financial assets</w:t>
      </w:r>
    </w:p>
    <w:p w:rsidR="005D6812" w:rsidRDefault="005D6812">
      <w:pPr>
        <w:pStyle w:val="Normal2"/>
        <w:widowControl w:val="0"/>
        <w:autoSpaceDE w:val="0"/>
        <w:spacing w:before="60" w:after="60"/>
        <w:jc w:val="both"/>
        <w:rPr>
          <w:rFonts w:ascii="Arial" w:hAnsi="Arial"/>
          <w:noProof/>
          <w:sz w:val="16"/>
          <w:szCs w:val="16"/>
        </w:rPr>
      </w:pPr>
    </w:p>
    <w:p w:rsidR="005D6812" w:rsidRDefault="00AB2A2B">
      <w:pPr>
        <w:pStyle w:val="Normal2"/>
        <w:widowControl w:val="0"/>
        <w:autoSpaceDE w:val="0"/>
        <w:spacing w:before="60" w:after="60"/>
        <w:jc w:val="both"/>
        <w:rPr>
          <w:rFonts w:ascii="Arial" w:hAnsi="Arial"/>
          <w:noProof/>
          <w:sz w:val="16"/>
          <w:szCs w:val="16"/>
        </w:rPr>
      </w:pPr>
      <w:r>
        <w:rPr>
          <w:rFonts w:ascii="Arial" w:hAnsi="Arial"/>
          <w:noProof/>
          <w:sz w:val="16"/>
          <w:szCs w:val="16"/>
        </w:rPr>
        <w:t xml:space="preserve">The Facility treats available-for-sale equity investments as impaired when there has been a </w:t>
      </w:r>
      <w:r>
        <w:rPr>
          <w:rFonts w:ascii="Arial" w:hAnsi="Arial"/>
          <w:noProof/>
          <w:sz w:val="16"/>
          <w:szCs w:val="16"/>
        </w:rPr>
        <w:t>significant or prolonged decline in the fair value below its cost or where other objective evidence of impairment exists. The determination of what is “significant” or “prolonged” requires judgment. The Facility treats “significant” generally as 30% or mor</w:t>
      </w:r>
      <w:r>
        <w:rPr>
          <w:rFonts w:ascii="Arial" w:hAnsi="Arial"/>
          <w:noProof/>
          <w:sz w:val="16"/>
          <w:szCs w:val="16"/>
        </w:rPr>
        <w:t>e and “prolonged” greater than 12 months. In addition, the Facility evaluates other factors, including normal volatility in share price for quoted equities and the future cash flows and the discount factors for unquoted equities.</w:t>
      </w:r>
    </w:p>
    <w:p w:rsidR="005D6812" w:rsidRDefault="005D6812">
      <w:pPr>
        <w:pStyle w:val="Normal2"/>
        <w:widowControl w:val="0"/>
        <w:autoSpaceDE w:val="0"/>
        <w:spacing w:before="60" w:after="60"/>
        <w:jc w:val="both"/>
        <w:rPr>
          <w:rFonts w:ascii="Arial" w:hAnsi="Arial"/>
          <w:noProof/>
          <w:sz w:val="16"/>
          <w:szCs w:val="16"/>
        </w:rPr>
      </w:pPr>
    </w:p>
    <w:p w:rsidR="005D6812" w:rsidRDefault="00AB2A2B">
      <w:pPr>
        <w:pStyle w:val="Normal2"/>
        <w:numPr>
          <w:ilvl w:val="0"/>
          <w:numId w:val="28"/>
        </w:numPr>
        <w:spacing w:before="60" w:after="60"/>
        <w:jc w:val="both"/>
        <w:rPr>
          <w:rFonts w:ascii="Arial" w:hAnsi="Arial"/>
          <w:b/>
          <w:noProof/>
          <w:sz w:val="16"/>
          <w:szCs w:val="16"/>
        </w:rPr>
      </w:pPr>
      <w:r>
        <w:rPr>
          <w:rFonts w:ascii="Arial" w:hAnsi="Arial"/>
          <w:b/>
          <w:noProof/>
          <w:sz w:val="16"/>
          <w:szCs w:val="16"/>
        </w:rPr>
        <w:t xml:space="preserve">Consolidation of entities in which the Facility holds interest </w:t>
      </w:r>
    </w:p>
    <w:p w:rsidR="005D6812" w:rsidRDefault="005D6812">
      <w:pPr>
        <w:pStyle w:val="Normal2"/>
        <w:widowControl w:val="0"/>
        <w:autoSpaceDE w:val="0"/>
        <w:spacing w:before="60" w:after="60"/>
        <w:jc w:val="both"/>
        <w:rPr>
          <w:rFonts w:ascii="Arial" w:hAnsi="Arial"/>
          <w:noProof/>
          <w:sz w:val="16"/>
          <w:szCs w:val="16"/>
        </w:rPr>
      </w:pPr>
    </w:p>
    <w:p w:rsidR="005D6812" w:rsidRDefault="00AB2A2B">
      <w:pPr>
        <w:pStyle w:val="Normal2"/>
        <w:widowControl w:val="0"/>
        <w:autoSpaceDE w:val="0"/>
        <w:spacing w:before="60" w:after="60"/>
        <w:jc w:val="both"/>
        <w:rPr>
          <w:rFonts w:ascii="Arial" w:hAnsi="Arial"/>
          <w:noProof/>
          <w:sz w:val="16"/>
          <w:szCs w:val="16"/>
        </w:rPr>
      </w:pPr>
      <w:r>
        <w:rPr>
          <w:rFonts w:ascii="Arial" w:hAnsi="Arial"/>
          <w:noProof/>
          <w:sz w:val="16"/>
          <w:szCs w:val="16"/>
        </w:rPr>
        <w:t>The Facility made significant judgements that none of the entities in which it holds interest, are controlled by the Facility. This is due to the fact that in all such entities, either the Ge</w:t>
      </w:r>
      <w:r>
        <w:rPr>
          <w:rFonts w:ascii="Arial" w:hAnsi="Arial"/>
          <w:noProof/>
          <w:sz w:val="16"/>
          <w:szCs w:val="16"/>
        </w:rPr>
        <w:t xml:space="preserve">neral Partner or the Fund Manager or the Management Board have the sole responsibility for the management and control of the activities and affairs of the partnership and have the power and authority to do all things necessary to carry out the purpose and </w:t>
      </w:r>
      <w:r>
        <w:rPr>
          <w:rFonts w:ascii="Arial" w:hAnsi="Arial"/>
          <w:noProof/>
          <w:sz w:val="16"/>
          <w:szCs w:val="16"/>
        </w:rPr>
        <w:t>objectives of the partnership complying with the investment and policy guidelines.</w:t>
      </w:r>
    </w:p>
    <w:p w:rsidR="005D6812" w:rsidRDefault="005D6812">
      <w:pPr>
        <w:pStyle w:val="Normal2"/>
        <w:widowControl w:val="0"/>
        <w:autoSpaceDE w:val="0"/>
        <w:spacing w:before="60" w:after="60"/>
        <w:jc w:val="both"/>
        <w:rPr>
          <w:rFonts w:ascii="Arial" w:hAnsi="Arial"/>
          <w:noProof/>
          <w:sz w:val="16"/>
          <w:szCs w:val="16"/>
        </w:rPr>
      </w:pPr>
    </w:p>
    <w:p w:rsidR="005D6812" w:rsidRDefault="00AB2A2B">
      <w:pPr>
        <w:pStyle w:val="Title111"/>
        <w:numPr>
          <w:ilvl w:val="1"/>
          <w:numId w:val="27"/>
        </w:numPr>
        <w:rPr>
          <w:noProof/>
          <w:sz w:val="16"/>
          <w:szCs w:val="16"/>
        </w:rPr>
      </w:pPr>
      <w:r>
        <w:rPr>
          <w:noProof/>
          <w:sz w:val="16"/>
          <w:szCs w:val="16"/>
        </w:rPr>
        <w:t>Changes in accounting policies</w:t>
      </w:r>
    </w:p>
    <w:p w:rsidR="005D6812" w:rsidRDefault="005D6812">
      <w:pPr>
        <w:pStyle w:val="Title111"/>
        <w:numPr>
          <w:ilvl w:val="0"/>
          <w:numId w:val="0"/>
        </w:numPr>
        <w:spacing w:before="60" w:after="60"/>
        <w:rPr>
          <w:noProof/>
          <w:sz w:val="16"/>
          <w:szCs w:val="16"/>
        </w:rPr>
      </w:pPr>
    </w:p>
    <w:p w:rsidR="005D6812" w:rsidRDefault="00AB2A2B">
      <w:pPr>
        <w:pStyle w:val="Title111"/>
        <w:numPr>
          <w:ilvl w:val="0"/>
          <w:numId w:val="0"/>
        </w:numPr>
        <w:spacing w:before="60" w:after="60"/>
        <w:rPr>
          <w:noProof/>
          <w:sz w:val="16"/>
          <w:szCs w:val="16"/>
        </w:rPr>
      </w:pPr>
      <w:r>
        <w:rPr>
          <w:noProof/>
          <w:sz w:val="16"/>
          <w:szCs w:val="16"/>
        </w:rPr>
        <w:t xml:space="preserve">Except for the changes below, the Facility has consistently applied the accounting policies set out in Note 2.4 to all periods presented in </w:t>
      </w:r>
      <w:r>
        <w:rPr>
          <w:noProof/>
          <w:sz w:val="16"/>
          <w:szCs w:val="16"/>
        </w:rPr>
        <w:t>these financial statements. The Facility has adopted the following new standards and amendments to standards.</w:t>
      </w:r>
    </w:p>
    <w:p w:rsidR="005D6812" w:rsidRDefault="005D6812">
      <w:pPr>
        <w:pStyle w:val="Title111"/>
        <w:numPr>
          <w:ilvl w:val="0"/>
          <w:numId w:val="0"/>
        </w:numPr>
        <w:spacing w:before="60" w:after="60"/>
        <w:rPr>
          <w:noProof/>
          <w:sz w:val="16"/>
          <w:szCs w:val="16"/>
        </w:rPr>
      </w:pPr>
    </w:p>
    <w:p w:rsidR="005D6812" w:rsidRDefault="00AB2A2B">
      <w:pPr>
        <w:pStyle w:val="Title111"/>
        <w:numPr>
          <w:ilvl w:val="0"/>
          <w:numId w:val="0"/>
        </w:numPr>
        <w:spacing w:before="60" w:after="60"/>
        <w:rPr>
          <w:b/>
          <w:noProof/>
          <w:sz w:val="16"/>
          <w:szCs w:val="16"/>
        </w:rPr>
      </w:pPr>
      <w:r>
        <w:rPr>
          <w:b/>
          <w:noProof/>
          <w:sz w:val="16"/>
          <w:szCs w:val="16"/>
        </w:rPr>
        <w:t>Standards adopted</w:t>
      </w:r>
    </w:p>
    <w:p w:rsidR="005D6812" w:rsidRDefault="005D6812">
      <w:pPr>
        <w:pStyle w:val="Title111"/>
        <w:numPr>
          <w:ilvl w:val="0"/>
          <w:numId w:val="0"/>
        </w:numPr>
        <w:spacing w:before="60" w:after="60"/>
        <w:rPr>
          <w:noProof/>
          <w:sz w:val="16"/>
          <w:szCs w:val="16"/>
        </w:rPr>
      </w:pPr>
    </w:p>
    <w:p w:rsidR="005D6812" w:rsidRDefault="00AB2A2B">
      <w:pPr>
        <w:pStyle w:val="Title111"/>
        <w:numPr>
          <w:ilvl w:val="0"/>
          <w:numId w:val="0"/>
        </w:numPr>
        <w:spacing w:before="60" w:after="60"/>
        <w:rPr>
          <w:noProof/>
          <w:sz w:val="16"/>
          <w:szCs w:val="16"/>
        </w:rPr>
      </w:pPr>
      <w:r>
        <w:rPr>
          <w:noProof/>
          <w:sz w:val="16"/>
          <w:szCs w:val="16"/>
        </w:rPr>
        <w:t xml:space="preserve">The following standards, amendments to standards and interpretations were adopted in the preparation of these financial </w:t>
      </w:r>
      <w:r>
        <w:rPr>
          <w:noProof/>
          <w:sz w:val="16"/>
          <w:szCs w:val="16"/>
        </w:rPr>
        <w:t>statements:</w:t>
      </w:r>
    </w:p>
    <w:p w:rsidR="005D6812" w:rsidRDefault="005D6812">
      <w:pPr>
        <w:pStyle w:val="Title111"/>
        <w:numPr>
          <w:ilvl w:val="0"/>
          <w:numId w:val="0"/>
        </w:numPr>
        <w:spacing w:before="60" w:after="60"/>
        <w:rPr>
          <w:noProof/>
          <w:sz w:val="16"/>
          <w:szCs w:val="16"/>
        </w:rPr>
      </w:pPr>
    </w:p>
    <w:p w:rsidR="005D6812" w:rsidRDefault="00AB2A2B">
      <w:pPr>
        <w:pStyle w:val="Title111"/>
        <w:numPr>
          <w:ilvl w:val="0"/>
          <w:numId w:val="31"/>
        </w:numPr>
        <w:spacing w:before="60" w:after="60"/>
        <w:rPr>
          <w:noProof/>
          <w:sz w:val="16"/>
          <w:szCs w:val="16"/>
        </w:rPr>
      </w:pPr>
      <w:r>
        <w:rPr>
          <w:noProof/>
          <w:sz w:val="16"/>
          <w:szCs w:val="16"/>
        </w:rPr>
        <w:t>Amendments to IAS 1 ‘Presentation of financial statements’ – Disclosure initiative;</w:t>
      </w:r>
    </w:p>
    <w:p w:rsidR="005D6812" w:rsidRDefault="00AB2A2B">
      <w:pPr>
        <w:pStyle w:val="Title111"/>
        <w:numPr>
          <w:ilvl w:val="0"/>
          <w:numId w:val="31"/>
        </w:numPr>
        <w:spacing w:before="60" w:after="60"/>
        <w:rPr>
          <w:noProof/>
          <w:sz w:val="16"/>
          <w:szCs w:val="16"/>
        </w:rPr>
      </w:pPr>
      <w:r>
        <w:rPr>
          <w:noProof/>
          <w:sz w:val="16"/>
          <w:szCs w:val="16"/>
        </w:rPr>
        <w:t>Annual Improvements to IFRSs 2012–2014 Cycle – various standards.</w:t>
      </w:r>
    </w:p>
    <w:p w:rsidR="005D6812" w:rsidRDefault="005D6812">
      <w:pPr>
        <w:pStyle w:val="Title111"/>
        <w:numPr>
          <w:ilvl w:val="0"/>
          <w:numId w:val="0"/>
        </w:numPr>
        <w:spacing w:before="60" w:after="60"/>
        <w:ind w:left="431" w:hanging="431"/>
        <w:rPr>
          <w:noProof/>
          <w:sz w:val="16"/>
          <w:szCs w:val="16"/>
        </w:rPr>
      </w:pPr>
    </w:p>
    <w:p w:rsidR="005D6812" w:rsidRDefault="00AB2A2B">
      <w:pPr>
        <w:pStyle w:val="Normal2"/>
        <w:widowControl w:val="0"/>
        <w:autoSpaceDE w:val="0"/>
        <w:spacing w:before="60" w:after="60"/>
        <w:jc w:val="both"/>
        <w:rPr>
          <w:rFonts w:ascii="Arial" w:hAnsi="Arial"/>
          <w:noProof/>
          <w:sz w:val="16"/>
          <w:szCs w:val="16"/>
        </w:rPr>
      </w:pPr>
      <w:r>
        <w:rPr>
          <w:rFonts w:ascii="Arial" w:hAnsi="Arial"/>
          <w:noProof/>
          <w:sz w:val="16"/>
          <w:szCs w:val="16"/>
        </w:rPr>
        <w:t>These changes had no material impact on the Facility’s financial statements.</w:t>
      </w:r>
    </w:p>
    <w:p w:rsidR="005D6812" w:rsidRDefault="005D6812">
      <w:pPr>
        <w:pStyle w:val="Normal2"/>
        <w:widowControl w:val="0"/>
        <w:autoSpaceDE w:val="0"/>
        <w:spacing w:before="60" w:after="60"/>
        <w:jc w:val="both"/>
        <w:rPr>
          <w:rFonts w:ascii="Arial" w:hAnsi="Arial"/>
          <w:noProof/>
          <w:sz w:val="16"/>
          <w:szCs w:val="16"/>
          <w:highlight w:val="yellow"/>
        </w:rPr>
      </w:pPr>
    </w:p>
    <w:p w:rsidR="005D6812" w:rsidRDefault="00AB2A2B">
      <w:pPr>
        <w:pStyle w:val="Normal2"/>
        <w:widowControl w:val="0"/>
        <w:autoSpaceDE w:val="0"/>
        <w:spacing w:before="60" w:after="60"/>
        <w:jc w:val="both"/>
        <w:rPr>
          <w:rFonts w:ascii="Arial" w:hAnsi="Arial"/>
          <w:b/>
          <w:noProof/>
          <w:sz w:val="16"/>
          <w:szCs w:val="16"/>
        </w:rPr>
      </w:pPr>
      <w:r>
        <w:rPr>
          <w:rFonts w:ascii="Arial" w:hAnsi="Arial"/>
          <w:b/>
          <w:noProof/>
          <w:sz w:val="16"/>
          <w:szCs w:val="16"/>
        </w:rPr>
        <w:t>Standards issu</w:t>
      </w:r>
      <w:r>
        <w:rPr>
          <w:rFonts w:ascii="Arial" w:hAnsi="Arial"/>
          <w:b/>
          <w:noProof/>
          <w:sz w:val="16"/>
          <w:szCs w:val="16"/>
        </w:rPr>
        <w:t>ed but not yet effective</w:t>
      </w:r>
    </w:p>
    <w:p w:rsidR="005D6812" w:rsidRDefault="005D6812">
      <w:pPr>
        <w:pStyle w:val="Normal2"/>
        <w:widowControl w:val="0"/>
        <w:autoSpaceDE w:val="0"/>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The following standards, amendments to standards and interpretations are effective for annual periods beginning after 1 January 2016, and have not been applied in preparing these financial statements. Those of which may be relevan</w:t>
      </w:r>
      <w:r>
        <w:rPr>
          <w:rFonts w:ascii="Arial" w:hAnsi="Arial"/>
          <w:noProof/>
          <w:sz w:val="16"/>
          <w:szCs w:val="16"/>
        </w:rPr>
        <w:t xml:space="preserve">t for the Facility are set out below.  </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 xml:space="preserve">IFRS 9 </w:t>
      </w:r>
      <w:r>
        <w:rPr>
          <w:rFonts w:ascii="Arial" w:hAnsi="Arial"/>
          <w:i/>
          <w:noProof/>
          <w:sz w:val="16"/>
          <w:szCs w:val="16"/>
        </w:rPr>
        <w:t>Financial instruments</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The last part of the standard was issued on 24 July 2014 and replaces the existing guidance in IAS 39 Financial Instruments: Recognition and Measurement. IFRS 9 addresses the classification, measurement and derecognition of financial assets and financial l</w:t>
      </w:r>
      <w:r>
        <w:rPr>
          <w:rFonts w:ascii="Arial" w:hAnsi="Arial"/>
          <w:noProof/>
          <w:sz w:val="16"/>
          <w:szCs w:val="16"/>
        </w:rPr>
        <w:t xml:space="preserve">iabilities, introduces a new expected credit loss model for impairment on financial assets and introduces new rules for hedge accounting. </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 xml:space="preserve">IFRS 9 contains a new classification and measurement approach for financial assets that reflects the business model </w:t>
      </w:r>
      <w:r>
        <w:rPr>
          <w:rFonts w:ascii="Arial" w:hAnsi="Arial"/>
          <w:noProof/>
          <w:sz w:val="16"/>
          <w:szCs w:val="16"/>
        </w:rPr>
        <w:t>in which assets are managed and their cash flow characteristics. IFRS 9 contains three principal classification categories for financial assets: measured at amortised cost, fair value through other comprehensive income (‘’FVOCI’’) and fair value through pr</w:t>
      </w:r>
      <w:r>
        <w:rPr>
          <w:rFonts w:ascii="Arial" w:hAnsi="Arial"/>
          <w:noProof/>
          <w:sz w:val="16"/>
          <w:szCs w:val="16"/>
        </w:rPr>
        <w:t>ofit or loss (‘’FVTPL’’). The standard eliminates the existing IAS 39 categories of held to maturity, loans and receivables and available for sale. Under IFRS 9, derivatives embedded in contracts where the host is a financial asset in the scope of the stan</w:t>
      </w:r>
      <w:r>
        <w:rPr>
          <w:rFonts w:ascii="Arial" w:hAnsi="Arial"/>
          <w:noProof/>
          <w:sz w:val="16"/>
          <w:szCs w:val="16"/>
        </w:rPr>
        <w:t xml:space="preserve">dard are never bifurcated. Instead, the hybrid financial instrument as a whole is assessed for classification. </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IFRS 9 largely retains the existing requirements in IAS 39 for the classification of financial liabilities. However, under IAS 39 all fair valu</w:t>
      </w:r>
      <w:r>
        <w:rPr>
          <w:rFonts w:ascii="Arial" w:hAnsi="Arial"/>
          <w:noProof/>
          <w:sz w:val="16"/>
          <w:szCs w:val="16"/>
        </w:rPr>
        <w:t>e changes of liabilities designated as at FVTPL are recognised in profit or loss, whereas under IFRS 9 these fair value changes are generally presented as follows:</w:t>
      </w:r>
    </w:p>
    <w:p w:rsidR="005D6812" w:rsidRDefault="00AB2A2B">
      <w:pPr>
        <w:pStyle w:val="ListParagraph0"/>
        <w:numPr>
          <w:ilvl w:val="0"/>
          <w:numId w:val="31"/>
        </w:numPr>
        <w:spacing w:before="60" w:after="60"/>
        <w:jc w:val="both"/>
        <w:rPr>
          <w:rFonts w:ascii="Arial" w:hAnsi="Arial"/>
          <w:noProof/>
          <w:sz w:val="16"/>
          <w:szCs w:val="16"/>
        </w:rPr>
      </w:pPr>
      <w:r>
        <w:rPr>
          <w:rFonts w:ascii="Arial" w:hAnsi="Arial"/>
          <w:noProof/>
          <w:sz w:val="16"/>
          <w:szCs w:val="16"/>
        </w:rPr>
        <w:t>the amount of change in the fair value that is attributable to changes in the credit risk of</w:t>
      </w:r>
      <w:r>
        <w:rPr>
          <w:rFonts w:ascii="Arial" w:hAnsi="Arial"/>
          <w:noProof/>
          <w:sz w:val="16"/>
          <w:szCs w:val="16"/>
        </w:rPr>
        <w:t xml:space="preserve"> the liability is presented in other comprehensive income (‘’OCI’’); and</w:t>
      </w:r>
    </w:p>
    <w:p w:rsidR="005D6812" w:rsidRDefault="00AB2A2B">
      <w:pPr>
        <w:pStyle w:val="ListParagraph0"/>
        <w:numPr>
          <w:ilvl w:val="0"/>
          <w:numId w:val="31"/>
        </w:numPr>
        <w:spacing w:before="60" w:after="60"/>
        <w:jc w:val="both"/>
        <w:rPr>
          <w:rFonts w:ascii="Arial" w:hAnsi="Arial"/>
          <w:noProof/>
          <w:sz w:val="16"/>
          <w:szCs w:val="16"/>
        </w:rPr>
      </w:pPr>
      <w:r>
        <w:rPr>
          <w:rFonts w:ascii="Arial" w:hAnsi="Arial"/>
          <w:noProof/>
          <w:sz w:val="16"/>
          <w:szCs w:val="16"/>
        </w:rPr>
        <w:t xml:space="preserve">the remaining amount of change in the fair value is presented in profit or loss. </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IFRS 9 replaces the ‘incurred loss’ model in IAS 39 with a forward-looking ‘expected credit loss’ (‘</w:t>
      </w:r>
      <w:r>
        <w:rPr>
          <w:rFonts w:ascii="Arial" w:hAnsi="Arial"/>
          <w:noProof/>
          <w:sz w:val="16"/>
          <w:szCs w:val="16"/>
        </w:rPr>
        <w:t>’ECL’’) model. This will require considerable judgement as to how changes in economic factors affect ECLs, which will be determined on a probability-weighted basis. The new impairment model will apply to financial assets measured at amortised cost or FVOCI</w:t>
      </w:r>
      <w:r>
        <w:rPr>
          <w:rFonts w:ascii="Arial" w:hAnsi="Arial"/>
          <w:noProof/>
          <w:sz w:val="16"/>
          <w:szCs w:val="16"/>
        </w:rPr>
        <w:t>, except for investments in equity instruments, and to contract assets.</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Under IFRS 9, loss allowances will be measured on either of the following bases:</w:t>
      </w:r>
    </w:p>
    <w:p w:rsidR="005D6812" w:rsidRDefault="00AB2A2B">
      <w:pPr>
        <w:pStyle w:val="Normal2"/>
        <w:spacing w:before="60" w:after="60"/>
        <w:jc w:val="both"/>
        <w:rPr>
          <w:rFonts w:ascii="Arial" w:hAnsi="Arial"/>
          <w:noProof/>
          <w:sz w:val="16"/>
          <w:szCs w:val="16"/>
        </w:rPr>
      </w:pPr>
      <w:r>
        <w:rPr>
          <w:rFonts w:ascii="Arial" w:hAnsi="Arial"/>
          <w:noProof/>
          <w:sz w:val="16"/>
          <w:szCs w:val="16"/>
        </w:rPr>
        <w:t>•</w:t>
      </w:r>
      <w:r>
        <w:rPr>
          <w:rFonts w:ascii="Arial" w:hAnsi="Arial"/>
          <w:noProof/>
          <w:sz w:val="16"/>
          <w:szCs w:val="16"/>
        </w:rPr>
        <w:tab/>
        <w:t>12-month ECLs. These are ECLs that result from possible default events within the 12 month after the</w:t>
      </w:r>
      <w:r>
        <w:rPr>
          <w:rFonts w:ascii="Arial" w:hAnsi="Arial"/>
          <w:noProof/>
          <w:sz w:val="16"/>
          <w:szCs w:val="16"/>
        </w:rPr>
        <w:t xml:space="preserve"> reporting date; and</w:t>
      </w:r>
    </w:p>
    <w:p w:rsidR="005D6812" w:rsidRDefault="00AB2A2B">
      <w:pPr>
        <w:pStyle w:val="Normal2"/>
        <w:spacing w:before="60" w:after="60"/>
        <w:jc w:val="both"/>
        <w:rPr>
          <w:rFonts w:ascii="Arial" w:hAnsi="Arial"/>
          <w:noProof/>
          <w:sz w:val="16"/>
          <w:szCs w:val="16"/>
        </w:rPr>
      </w:pPr>
      <w:r>
        <w:rPr>
          <w:rFonts w:ascii="Arial" w:hAnsi="Arial"/>
          <w:noProof/>
          <w:sz w:val="16"/>
          <w:szCs w:val="16"/>
        </w:rPr>
        <w:t>•</w:t>
      </w:r>
      <w:r>
        <w:rPr>
          <w:rFonts w:ascii="Arial" w:hAnsi="Arial"/>
          <w:noProof/>
          <w:sz w:val="16"/>
          <w:szCs w:val="16"/>
        </w:rPr>
        <w:tab/>
        <w:t>lifetime ECLs. These are ECLs that result from all possible default events over the expected life of a financial instrument.</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Lifetime ECL measurement applies if the credit risk of a financial asset at the reporting date has increase</w:t>
      </w:r>
      <w:r>
        <w:rPr>
          <w:rFonts w:ascii="Arial" w:hAnsi="Arial"/>
          <w:noProof/>
          <w:sz w:val="16"/>
          <w:szCs w:val="16"/>
        </w:rPr>
        <w:t>d significantly since initial recognition and 12-month ECL measurement applies if it has not. An entity may determine that a financial asset’s credit risk has not increased significantly if the asset has low credit risk at the reporting date.</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While the Fa</w:t>
      </w:r>
      <w:r>
        <w:rPr>
          <w:rFonts w:ascii="Arial" w:hAnsi="Arial"/>
          <w:noProof/>
          <w:sz w:val="16"/>
          <w:szCs w:val="16"/>
        </w:rPr>
        <w:t>cility has not yet undertaken a detailed assessment of the impairment methodologies that it will apply under IFRS 9, it may result in an earlier recognition of credit losses with higher volatility.</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IFRS 9 will require extensive new disclosures, in particu</w:t>
      </w:r>
      <w:r>
        <w:rPr>
          <w:rFonts w:ascii="Arial" w:hAnsi="Arial"/>
          <w:noProof/>
          <w:sz w:val="16"/>
          <w:szCs w:val="16"/>
        </w:rPr>
        <w:t>lar about credit risk and expected credit losses. The Facility’s preliminary assessment included an analysis to identify data gaps against current processes and the Facility plans to implement the system and controls changes that it believes will be necess</w:t>
      </w:r>
      <w:r>
        <w:rPr>
          <w:rFonts w:ascii="Arial" w:hAnsi="Arial"/>
          <w:noProof/>
          <w:sz w:val="16"/>
          <w:szCs w:val="16"/>
        </w:rPr>
        <w:t>ary to capture the required data.</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 xml:space="preserve">IFRS 9 has been endorsed by the EU on 22 November 2016 and is effective for annual reporting periods beginning on or after 1 January 2018, with early adoption permitted. The Facility does not intend to adopt the standard </w:t>
      </w:r>
      <w:r>
        <w:rPr>
          <w:rFonts w:ascii="Arial" w:hAnsi="Arial"/>
          <w:noProof/>
          <w:sz w:val="16"/>
          <w:szCs w:val="16"/>
        </w:rPr>
        <w:t>earlier than its effective date.</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The Facility is currently performing a detailed assessment of the impact resulting from the application of IFRS 9.</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i/>
          <w:noProof/>
          <w:sz w:val="16"/>
          <w:szCs w:val="16"/>
        </w:rPr>
      </w:pPr>
      <w:r>
        <w:rPr>
          <w:rFonts w:ascii="Arial" w:hAnsi="Arial"/>
          <w:i/>
          <w:noProof/>
          <w:sz w:val="16"/>
          <w:szCs w:val="16"/>
        </w:rPr>
        <w:t xml:space="preserve">IFRS 15 Revenue from Contracts with Customers </w:t>
      </w:r>
    </w:p>
    <w:p w:rsidR="005D6812" w:rsidRDefault="00AB2A2B">
      <w:pPr>
        <w:pStyle w:val="Normal2"/>
        <w:spacing w:before="60" w:after="60"/>
        <w:jc w:val="both"/>
        <w:rPr>
          <w:rFonts w:ascii="Arial" w:hAnsi="Arial"/>
          <w:noProof/>
          <w:sz w:val="16"/>
          <w:szCs w:val="16"/>
        </w:rPr>
      </w:pPr>
      <w:r>
        <w:rPr>
          <w:rFonts w:ascii="Arial" w:hAnsi="Arial"/>
          <w:noProof/>
          <w:sz w:val="16"/>
          <w:szCs w:val="16"/>
        </w:rPr>
        <w:t xml:space="preserve">IFRS 15 establishes a comprehensive framework for </w:t>
      </w:r>
      <w:r>
        <w:rPr>
          <w:rFonts w:ascii="Arial" w:hAnsi="Arial"/>
          <w:noProof/>
          <w:sz w:val="16"/>
          <w:szCs w:val="16"/>
        </w:rPr>
        <w:t xml:space="preserve">determining whether, how much and when revenue is recognised. It replaces existing revenue recognition guidance, including IAS 18 Revenue, IAS 11 Construction Contracts and IFRIC 13 Customer Loyalty Programmes. IFRS 15 standard has been endorsed by the EU </w:t>
      </w:r>
      <w:r>
        <w:rPr>
          <w:rFonts w:ascii="Arial" w:hAnsi="Arial"/>
          <w:noProof/>
          <w:sz w:val="16"/>
          <w:szCs w:val="16"/>
        </w:rPr>
        <w:t>is on 22 September 2016 and is effective for annual reporting periods beginning on or after 1 January 2018, with early adoption permitted. The Facility has not yet determined the extent of the impact of this standard.</w:t>
      </w:r>
    </w:p>
    <w:p w:rsidR="005D6812" w:rsidRDefault="005D6812">
      <w:pPr>
        <w:pStyle w:val="Normal2"/>
        <w:spacing w:before="60" w:after="60"/>
        <w:jc w:val="both"/>
        <w:rPr>
          <w:rFonts w:ascii="Arial" w:hAnsi="Arial" w:cs="Arial"/>
          <w:noProof/>
          <w:sz w:val="16"/>
          <w:szCs w:val="16"/>
        </w:rPr>
      </w:pPr>
    </w:p>
    <w:p w:rsidR="005D6812" w:rsidRDefault="00AB2A2B">
      <w:pPr>
        <w:pStyle w:val="Normal2"/>
        <w:spacing w:before="60" w:after="60"/>
        <w:rPr>
          <w:rFonts w:ascii="Arial" w:hAnsi="Arial" w:cs="Arial"/>
          <w:i/>
          <w:noProof/>
          <w:sz w:val="16"/>
          <w:szCs w:val="16"/>
          <w:bdr w:val="nil"/>
        </w:rPr>
      </w:pPr>
      <w:r>
        <w:rPr>
          <w:rFonts w:ascii="Arial" w:hAnsi="Arial" w:cs="Arial"/>
          <w:i/>
          <w:noProof/>
          <w:sz w:val="16"/>
          <w:szCs w:val="16"/>
          <w:bdr w:val="nil"/>
        </w:rPr>
        <w:t xml:space="preserve">Amendment to IAS 7 ‘Cash flow </w:t>
      </w:r>
      <w:r>
        <w:rPr>
          <w:rFonts w:ascii="Arial" w:hAnsi="Arial" w:cs="Arial"/>
          <w:i/>
          <w:noProof/>
          <w:sz w:val="16"/>
          <w:szCs w:val="16"/>
          <w:bdr w:val="nil"/>
        </w:rPr>
        <w:t>statements’ – Disclosure initiative</w:t>
      </w:r>
    </w:p>
    <w:p w:rsidR="005D6812" w:rsidRDefault="00AB2A2B">
      <w:pPr>
        <w:pStyle w:val="Normal2"/>
        <w:spacing w:before="60" w:after="240"/>
        <w:jc w:val="both"/>
        <w:rPr>
          <w:rFonts w:ascii="Arial" w:hAnsi="Arial" w:cs="Arial"/>
          <w:noProof/>
          <w:sz w:val="16"/>
          <w:szCs w:val="16"/>
          <w:bdr w:val="nil"/>
        </w:rPr>
      </w:pPr>
      <w:r>
        <w:rPr>
          <w:rFonts w:ascii="Arial" w:hAnsi="Arial" w:cs="Arial"/>
          <w:noProof/>
          <w:sz w:val="16"/>
          <w:szCs w:val="16"/>
          <w:bdr w:val="nil"/>
        </w:rPr>
        <w:t>The amendments require disclosures that enable users of financial statements to evaluate changes in liabilities arising from financing activities, including both changes arising from cash flow and non-cash changes. Amend</w:t>
      </w:r>
      <w:r>
        <w:rPr>
          <w:rFonts w:ascii="Arial" w:hAnsi="Arial" w:cs="Arial"/>
          <w:noProof/>
          <w:sz w:val="16"/>
          <w:szCs w:val="16"/>
          <w:bdr w:val="nil"/>
        </w:rPr>
        <w:t xml:space="preserve">ments are effective for annual reporting periods beginning on or after 1 January 2017, with early adoption permitted. Amendments are expected to be endorsed by the EU by the end of the year. The Facility does not plan to adopt this standard early and does </w:t>
      </w:r>
      <w:r>
        <w:rPr>
          <w:rFonts w:ascii="Arial" w:hAnsi="Arial" w:cs="Arial"/>
          <w:noProof/>
          <w:sz w:val="16"/>
          <w:szCs w:val="16"/>
          <w:bdr w:val="nil"/>
        </w:rPr>
        <w:t>not expect it to cause any material impact on the Facility’s financial statements.</w:t>
      </w:r>
    </w:p>
    <w:p w:rsidR="005D6812" w:rsidRDefault="00AB2A2B">
      <w:pPr>
        <w:pStyle w:val="Title111"/>
        <w:numPr>
          <w:ilvl w:val="1"/>
          <w:numId w:val="27"/>
        </w:numPr>
        <w:rPr>
          <w:noProof/>
          <w:sz w:val="16"/>
          <w:szCs w:val="16"/>
        </w:rPr>
      </w:pPr>
      <w:r>
        <w:rPr>
          <w:noProof/>
          <w:sz w:val="16"/>
          <w:szCs w:val="16"/>
        </w:rPr>
        <w:t>Summary of significant accounting policies</w:t>
      </w:r>
    </w:p>
    <w:p w:rsidR="005D6812" w:rsidRDefault="005D6812">
      <w:pPr>
        <w:pStyle w:val="Title111"/>
        <w:numPr>
          <w:ilvl w:val="0"/>
          <w:numId w:val="0"/>
        </w:numPr>
        <w:spacing w:before="60" w:after="60"/>
        <w:rPr>
          <w:noProof/>
          <w:sz w:val="16"/>
          <w:szCs w:val="16"/>
        </w:rPr>
      </w:pPr>
    </w:p>
    <w:p w:rsidR="005D6812" w:rsidRDefault="00AB2A2B">
      <w:pPr>
        <w:pStyle w:val="Title111"/>
        <w:numPr>
          <w:ilvl w:val="0"/>
          <w:numId w:val="0"/>
        </w:numPr>
        <w:spacing w:before="60" w:after="60"/>
        <w:rPr>
          <w:noProof/>
          <w:sz w:val="16"/>
          <w:szCs w:val="16"/>
          <w:lang w:val="en-US"/>
        </w:rPr>
      </w:pPr>
      <w:r>
        <w:rPr>
          <w:noProof/>
          <w:sz w:val="16"/>
          <w:szCs w:val="16"/>
        </w:rPr>
        <w:t xml:space="preserve">The statement of financial position </w:t>
      </w:r>
      <w:r>
        <w:rPr>
          <w:noProof/>
          <w:sz w:val="16"/>
          <w:szCs w:val="16"/>
          <w:lang w:val="en-US"/>
        </w:rPr>
        <w:t>represents assets and liabilities in decreasing order of liquidity and does not distinguish b</w:t>
      </w:r>
      <w:r>
        <w:rPr>
          <w:noProof/>
          <w:sz w:val="16"/>
          <w:szCs w:val="16"/>
          <w:lang w:val="en-US"/>
        </w:rPr>
        <w:t>etween current and non-current items.</w:t>
      </w:r>
    </w:p>
    <w:p w:rsidR="005D6812" w:rsidRDefault="005D6812">
      <w:pPr>
        <w:pStyle w:val="Title111"/>
        <w:numPr>
          <w:ilvl w:val="0"/>
          <w:numId w:val="0"/>
        </w:numPr>
        <w:spacing w:before="60" w:after="60"/>
        <w:rPr>
          <w:noProof/>
          <w:sz w:val="16"/>
          <w:szCs w:val="16"/>
        </w:rPr>
      </w:pPr>
    </w:p>
    <w:p w:rsidR="005D6812" w:rsidRDefault="00AB2A2B">
      <w:pPr>
        <w:pStyle w:val="Title1110"/>
        <w:numPr>
          <w:ilvl w:val="2"/>
          <w:numId w:val="27"/>
        </w:numPr>
        <w:spacing w:before="60" w:after="60"/>
        <w:rPr>
          <w:noProof/>
          <w:sz w:val="16"/>
          <w:szCs w:val="16"/>
        </w:rPr>
      </w:pPr>
      <w:bookmarkStart w:id="374" w:name="_Ref110032770"/>
      <w:r>
        <w:rPr>
          <w:noProof/>
          <w:sz w:val="16"/>
          <w:szCs w:val="16"/>
        </w:rPr>
        <w:t xml:space="preserve"> </w:t>
      </w:r>
      <w:r>
        <w:rPr>
          <w:noProof/>
          <w:sz w:val="16"/>
          <w:szCs w:val="16"/>
        </w:rPr>
        <w:tab/>
        <w:t>Foreign currency translation</w:t>
      </w:r>
      <w:bookmarkEnd w:id="374"/>
    </w:p>
    <w:p w:rsidR="005D6812" w:rsidRDefault="005D6812">
      <w:pPr>
        <w:pStyle w:val="Title1110"/>
        <w:numPr>
          <w:ilvl w:val="0"/>
          <w:numId w:val="0"/>
        </w:numPr>
        <w:spacing w:before="60" w:after="60"/>
        <w:rPr>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The Facility uses the Euro (EUR) for presenting its financial statements, which is also the functional currency. Except as otherwise indicated, financial information presented in EUR ha</w:t>
      </w:r>
      <w:r>
        <w:rPr>
          <w:rFonts w:ascii="Arial" w:hAnsi="Arial"/>
          <w:noProof/>
          <w:sz w:val="16"/>
          <w:szCs w:val="16"/>
        </w:rPr>
        <w:t xml:space="preserve">s been rounded to the nearest thousand. </w:t>
      </w:r>
    </w:p>
    <w:p w:rsidR="005D6812" w:rsidRDefault="005D6812">
      <w:pPr>
        <w:pStyle w:val="Normal2"/>
        <w:spacing w:before="60" w:after="60"/>
        <w:jc w:val="both"/>
        <w:rPr>
          <w:rFonts w:ascii="Arial" w:hAnsi="Arial"/>
          <w:noProof/>
          <w:sz w:val="16"/>
          <w:szCs w:val="16"/>
        </w:rPr>
      </w:pPr>
    </w:p>
    <w:p w:rsidR="005D6812" w:rsidRDefault="00AB2A2B">
      <w:pPr>
        <w:pStyle w:val="NotesText0"/>
        <w:spacing w:before="60" w:line="240" w:lineRule="auto"/>
        <w:rPr>
          <w:rFonts w:cs="Times New Roman"/>
          <w:noProof/>
          <w:sz w:val="16"/>
          <w:szCs w:val="16"/>
        </w:rPr>
      </w:pPr>
      <w:r>
        <w:rPr>
          <w:rFonts w:cs="Times New Roman"/>
          <w:noProof/>
          <w:sz w:val="16"/>
          <w:szCs w:val="16"/>
        </w:rPr>
        <w:t xml:space="preserve">Foreign currency transactions are translated, at the exchange rate prevailing on the date of the transaction. </w:t>
      </w:r>
    </w:p>
    <w:p w:rsidR="005D6812" w:rsidRDefault="005D6812">
      <w:pPr>
        <w:pStyle w:val="NotesText0"/>
        <w:spacing w:before="60" w:line="240" w:lineRule="auto"/>
        <w:rPr>
          <w:rFonts w:cs="Times New Roman"/>
          <w:noProof/>
          <w:sz w:val="16"/>
          <w:szCs w:val="16"/>
        </w:rPr>
      </w:pPr>
    </w:p>
    <w:p w:rsidR="005D6812" w:rsidRDefault="00AB2A2B">
      <w:pPr>
        <w:pStyle w:val="NotesText0"/>
        <w:spacing w:before="60" w:line="240" w:lineRule="auto"/>
        <w:rPr>
          <w:rFonts w:cs="Times New Roman"/>
          <w:noProof/>
          <w:sz w:val="16"/>
          <w:szCs w:val="16"/>
        </w:rPr>
      </w:pPr>
      <w:r>
        <w:rPr>
          <w:rFonts w:cs="Times New Roman"/>
          <w:noProof/>
          <w:sz w:val="16"/>
          <w:szCs w:val="16"/>
        </w:rPr>
        <w:t xml:space="preserve">Monetary assets and liabilities denominated in currencies other than Euro are translated into Euro at </w:t>
      </w:r>
      <w:r>
        <w:rPr>
          <w:rFonts w:cs="Times New Roman"/>
          <w:noProof/>
          <w:sz w:val="16"/>
          <w:szCs w:val="16"/>
        </w:rPr>
        <w:t>the exchange rate prevailing at the statement of financial position date. The gain or loss arising from such translation is recorded in the statement of profit or loss and other comprehensive income.</w:t>
      </w:r>
    </w:p>
    <w:p w:rsidR="005D6812" w:rsidRDefault="005D6812">
      <w:pPr>
        <w:pStyle w:val="NotesText0"/>
        <w:spacing w:before="60" w:line="240" w:lineRule="auto"/>
        <w:rPr>
          <w:rFonts w:cs="Times New Roman"/>
          <w:noProof/>
          <w:sz w:val="16"/>
          <w:szCs w:val="16"/>
        </w:rPr>
      </w:pPr>
    </w:p>
    <w:p w:rsidR="005D6812" w:rsidRDefault="00AB2A2B">
      <w:pPr>
        <w:pStyle w:val="NotesText0"/>
        <w:spacing w:before="60" w:line="240" w:lineRule="auto"/>
        <w:rPr>
          <w:rFonts w:cs="Times New Roman"/>
          <w:noProof/>
          <w:sz w:val="16"/>
          <w:szCs w:val="16"/>
        </w:rPr>
      </w:pPr>
      <w:r>
        <w:rPr>
          <w:rFonts w:cs="Times New Roman"/>
          <w:noProof/>
          <w:sz w:val="16"/>
          <w:szCs w:val="16"/>
        </w:rPr>
        <w:t>Non-monetary items that are measured in terms of histor</w:t>
      </w:r>
      <w:r>
        <w:rPr>
          <w:rFonts w:cs="Times New Roman"/>
          <w:noProof/>
          <w:sz w:val="16"/>
          <w:szCs w:val="16"/>
        </w:rPr>
        <w:t>ical cost in a foreign currency are translated using the exchange rates at the dates of the initial transactions. Non-monetary items measured at fair value in a foreign currency are translated using the exchange rates at the date when the fair value was de</w:t>
      </w:r>
      <w:r>
        <w:rPr>
          <w:rFonts w:cs="Times New Roman"/>
          <w:noProof/>
          <w:sz w:val="16"/>
          <w:szCs w:val="16"/>
        </w:rPr>
        <w:t>termined.</w:t>
      </w:r>
    </w:p>
    <w:p w:rsidR="005D6812" w:rsidRDefault="005D6812">
      <w:pPr>
        <w:pStyle w:val="NotesText0"/>
        <w:spacing w:before="60" w:line="240" w:lineRule="auto"/>
        <w:rPr>
          <w:rFonts w:cs="Times New Roman"/>
          <w:noProof/>
          <w:sz w:val="16"/>
          <w:szCs w:val="16"/>
        </w:rPr>
      </w:pPr>
    </w:p>
    <w:p w:rsidR="005D6812" w:rsidRDefault="00AB2A2B">
      <w:pPr>
        <w:pStyle w:val="NotesText0"/>
        <w:spacing w:before="60" w:line="240" w:lineRule="auto"/>
        <w:rPr>
          <w:rFonts w:cs="Times New Roman"/>
          <w:noProof/>
          <w:sz w:val="16"/>
          <w:szCs w:val="16"/>
        </w:rPr>
      </w:pPr>
      <w:r>
        <w:rPr>
          <w:rFonts w:cs="Times New Roman"/>
          <w:noProof/>
          <w:sz w:val="16"/>
          <w:szCs w:val="16"/>
        </w:rPr>
        <w:t>Exchange differences arising on the settlement of transactions at rates different from those at the date of the transaction, and unrealised foreign exchange differences on unsettled foreign currency monetary assets and liabilities, are recognise</w:t>
      </w:r>
      <w:r>
        <w:rPr>
          <w:rFonts w:cs="Times New Roman"/>
          <w:noProof/>
          <w:sz w:val="16"/>
          <w:szCs w:val="16"/>
        </w:rPr>
        <w:t>d in the statement of profit or loss and other comprehensive income.</w:t>
      </w:r>
    </w:p>
    <w:p w:rsidR="005D6812" w:rsidRDefault="005D6812">
      <w:pPr>
        <w:pStyle w:val="NotesText0"/>
        <w:rPr>
          <w:noProof/>
          <w:sz w:val="16"/>
          <w:szCs w:val="16"/>
        </w:rPr>
      </w:pPr>
    </w:p>
    <w:p w:rsidR="005D6812" w:rsidRDefault="00AB2A2B">
      <w:pPr>
        <w:pStyle w:val="NotesText0"/>
        <w:rPr>
          <w:noProof/>
          <w:sz w:val="16"/>
          <w:szCs w:val="16"/>
        </w:rPr>
      </w:pPr>
      <w:r>
        <w:rPr>
          <w:noProof/>
          <w:sz w:val="16"/>
          <w:szCs w:val="16"/>
        </w:rPr>
        <w:t>The elements of the statement of profit or loss and other comprehensive income are translated into Euro on the basis of the exchange rates prevailing at the date of the transaction.</w:t>
      </w:r>
    </w:p>
    <w:p w:rsidR="005D6812" w:rsidRDefault="005D6812">
      <w:pPr>
        <w:pStyle w:val="NotesText0"/>
        <w:spacing w:before="60" w:line="240" w:lineRule="auto"/>
        <w:rPr>
          <w:rFonts w:cs="Times New Roman"/>
          <w:noProof/>
          <w:sz w:val="16"/>
          <w:szCs w:val="16"/>
        </w:rPr>
      </w:pPr>
    </w:p>
    <w:p w:rsidR="005D6812" w:rsidRDefault="00AB2A2B">
      <w:pPr>
        <w:pStyle w:val="Title1110"/>
        <w:numPr>
          <w:ilvl w:val="2"/>
          <w:numId w:val="27"/>
        </w:numPr>
        <w:spacing w:before="60" w:after="60"/>
        <w:rPr>
          <w:noProof/>
          <w:sz w:val="16"/>
          <w:szCs w:val="16"/>
        </w:rPr>
      </w:pPr>
      <w:r>
        <w:rPr>
          <w:noProof/>
          <w:sz w:val="16"/>
          <w:szCs w:val="16"/>
        </w:rPr>
        <w:t xml:space="preserve"> </w:t>
      </w:r>
      <w:r>
        <w:rPr>
          <w:noProof/>
          <w:sz w:val="16"/>
          <w:szCs w:val="16"/>
        </w:rPr>
        <w:tab/>
      </w:r>
      <w:r>
        <w:rPr>
          <w:noProof/>
          <w:sz w:val="16"/>
          <w:szCs w:val="16"/>
        </w:rPr>
        <w:t>Cash and cash equivalents</w:t>
      </w:r>
    </w:p>
    <w:p w:rsidR="005D6812" w:rsidRDefault="005D6812">
      <w:pPr>
        <w:pStyle w:val="Title1110"/>
        <w:numPr>
          <w:ilvl w:val="0"/>
          <w:numId w:val="0"/>
        </w:numPr>
        <w:spacing w:before="60" w:after="60"/>
        <w:rPr>
          <w:rStyle w:val="Title111Char0"/>
          <w:b/>
          <w:noProof/>
          <w:sz w:val="16"/>
          <w:szCs w:val="16"/>
        </w:rPr>
      </w:pPr>
    </w:p>
    <w:p w:rsidR="005D6812" w:rsidRDefault="00AB2A2B">
      <w:pPr>
        <w:pStyle w:val="Notes1"/>
        <w:numPr>
          <w:ilvl w:val="0"/>
          <w:numId w:val="0"/>
        </w:numPr>
        <w:tabs>
          <w:tab w:val="clear" w:pos="4320"/>
          <w:tab w:val="clear" w:pos="8640"/>
          <w:tab w:val="right" w:pos="-2700"/>
        </w:tabs>
        <w:spacing w:before="60" w:after="60"/>
        <w:rPr>
          <w:b w:val="0"/>
          <w:noProof/>
          <w:sz w:val="16"/>
          <w:szCs w:val="16"/>
        </w:rPr>
      </w:pPr>
      <w:r>
        <w:rPr>
          <w:b w:val="0"/>
          <w:noProof/>
          <w:sz w:val="16"/>
          <w:szCs w:val="16"/>
        </w:rPr>
        <w:t>The Facility defines cash and cash equivalents as current accounts, short-term deposits or commercial papers with original maturities of three months or less.</w:t>
      </w:r>
    </w:p>
    <w:p w:rsidR="005D6812" w:rsidRDefault="005D6812">
      <w:pPr>
        <w:pStyle w:val="Normal2"/>
        <w:spacing w:before="60" w:after="60"/>
        <w:jc w:val="both"/>
        <w:rPr>
          <w:rFonts w:ascii="Arial" w:hAnsi="Arial"/>
          <w:noProof/>
          <w:sz w:val="16"/>
          <w:szCs w:val="16"/>
        </w:rPr>
      </w:pPr>
    </w:p>
    <w:p w:rsidR="005D6812" w:rsidRDefault="00AB2A2B">
      <w:pPr>
        <w:pStyle w:val="Title1110"/>
        <w:numPr>
          <w:ilvl w:val="2"/>
          <w:numId w:val="27"/>
        </w:numPr>
        <w:spacing w:before="60" w:after="60"/>
        <w:rPr>
          <w:noProof/>
          <w:sz w:val="16"/>
          <w:szCs w:val="16"/>
        </w:rPr>
      </w:pPr>
      <w:r>
        <w:rPr>
          <w:noProof/>
          <w:sz w:val="16"/>
          <w:szCs w:val="16"/>
        </w:rPr>
        <w:t xml:space="preserve"> </w:t>
      </w:r>
      <w:r>
        <w:rPr>
          <w:noProof/>
          <w:sz w:val="16"/>
          <w:szCs w:val="16"/>
        </w:rPr>
        <w:tab/>
        <w:t xml:space="preserve"> Financial assets other than derivatives</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Financial assets are acco</w:t>
      </w:r>
      <w:r>
        <w:rPr>
          <w:rFonts w:ascii="Arial" w:hAnsi="Arial"/>
          <w:noProof/>
          <w:sz w:val="16"/>
          <w:szCs w:val="16"/>
        </w:rPr>
        <w:t>unted for using the settlement date basis.</w:t>
      </w:r>
    </w:p>
    <w:p w:rsidR="005D6812" w:rsidRDefault="005D6812">
      <w:pPr>
        <w:pStyle w:val="Normal2"/>
        <w:spacing w:before="60" w:after="60"/>
        <w:jc w:val="both"/>
        <w:rPr>
          <w:rFonts w:ascii="Arial" w:hAnsi="Arial"/>
          <w:noProof/>
          <w:sz w:val="16"/>
          <w:szCs w:val="16"/>
        </w:rPr>
      </w:pPr>
    </w:p>
    <w:p w:rsidR="005D6812" w:rsidRDefault="00AB2A2B">
      <w:pPr>
        <w:pStyle w:val="Normal2"/>
        <w:numPr>
          <w:ilvl w:val="0"/>
          <w:numId w:val="28"/>
        </w:numPr>
        <w:spacing w:before="60" w:after="60"/>
        <w:jc w:val="both"/>
        <w:rPr>
          <w:rFonts w:ascii="Arial" w:hAnsi="Arial"/>
          <w:b/>
          <w:noProof/>
          <w:sz w:val="16"/>
          <w:szCs w:val="16"/>
        </w:rPr>
      </w:pPr>
      <w:r>
        <w:rPr>
          <w:rFonts w:ascii="Arial" w:hAnsi="Arial"/>
          <w:b/>
          <w:noProof/>
          <w:sz w:val="16"/>
          <w:szCs w:val="16"/>
        </w:rPr>
        <w:t>Fair value of financial instruments</w:t>
      </w:r>
    </w:p>
    <w:p w:rsidR="005D6812" w:rsidRDefault="005D6812">
      <w:pPr>
        <w:pStyle w:val="Normal2"/>
        <w:tabs>
          <w:tab w:val="left" w:pos="1560"/>
        </w:tabs>
        <w:suppressAutoHyphens w:val="0"/>
        <w:spacing w:before="60" w:after="60"/>
        <w:jc w:val="both"/>
        <w:rPr>
          <w:rFonts w:ascii="Arial" w:hAnsi="Arial"/>
          <w:noProof/>
          <w:sz w:val="16"/>
          <w:szCs w:val="16"/>
        </w:rPr>
      </w:pPr>
    </w:p>
    <w:p w:rsidR="005D6812" w:rsidRDefault="00AB2A2B">
      <w:pPr>
        <w:pStyle w:val="Normal2"/>
        <w:tabs>
          <w:tab w:val="left" w:pos="1560"/>
        </w:tabs>
        <w:suppressAutoHyphens w:val="0"/>
        <w:spacing w:before="60" w:after="60"/>
        <w:jc w:val="both"/>
        <w:rPr>
          <w:rFonts w:ascii="Arial" w:hAnsi="Arial"/>
          <w:noProof/>
          <w:sz w:val="16"/>
          <w:szCs w:val="16"/>
        </w:rPr>
      </w:pPr>
      <w:r>
        <w:rPr>
          <w:rFonts w:ascii="Arial" w:hAnsi="Arial"/>
          <w:noProof/>
          <w:sz w:val="16"/>
          <w:szCs w:val="16"/>
        </w:rPr>
        <w:t>Fair value is the price that would be received to sell an asset or paid to transfer a liability in an orderly transaction between market participants at the measurement date i</w:t>
      </w:r>
      <w:r>
        <w:rPr>
          <w:rFonts w:ascii="Arial" w:hAnsi="Arial"/>
          <w:noProof/>
          <w:sz w:val="16"/>
          <w:szCs w:val="16"/>
        </w:rPr>
        <w:t xml:space="preserve">n the principal, or in its absence, the most advantageous market to which the Facility has access at that date. </w:t>
      </w:r>
    </w:p>
    <w:p w:rsidR="005D6812" w:rsidRDefault="005D6812">
      <w:pPr>
        <w:pStyle w:val="Normal2"/>
        <w:tabs>
          <w:tab w:val="left" w:pos="1560"/>
        </w:tabs>
        <w:suppressAutoHyphens w:val="0"/>
        <w:spacing w:before="60" w:after="60"/>
        <w:jc w:val="both"/>
        <w:rPr>
          <w:rFonts w:ascii="Arial" w:hAnsi="Arial"/>
          <w:noProof/>
          <w:sz w:val="16"/>
          <w:szCs w:val="16"/>
        </w:rPr>
      </w:pPr>
    </w:p>
    <w:p w:rsidR="005D6812" w:rsidRDefault="00AB2A2B">
      <w:pPr>
        <w:pStyle w:val="Normal2"/>
        <w:tabs>
          <w:tab w:val="left" w:pos="1560"/>
        </w:tabs>
        <w:suppressAutoHyphens w:val="0"/>
        <w:spacing w:before="60" w:after="60"/>
        <w:jc w:val="both"/>
        <w:rPr>
          <w:rFonts w:ascii="Arial" w:hAnsi="Arial"/>
          <w:noProof/>
          <w:sz w:val="16"/>
          <w:szCs w:val="16"/>
        </w:rPr>
      </w:pPr>
      <w:r>
        <w:rPr>
          <w:rFonts w:ascii="Arial" w:hAnsi="Arial"/>
          <w:noProof/>
          <w:sz w:val="16"/>
          <w:szCs w:val="16"/>
        </w:rPr>
        <w:t>When applicable, the EIB on behalf of the Facility measures the fair value of an instrument using the quoted price in an active market for tha</w:t>
      </w:r>
      <w:r>
        <w:rPr>
          <w:rFonts w:ascii="Arial" w:hAnsi="Arial"/>
          <w:noProof/>
          <w:sz w:val="16"/>
          <w:szCs w:val="16"/>
        </w:rPr>
        <w:t>t instrument. A market is regarded as active if transactions for the asset or liability take place with sufficient frequency and volume to provide pricing information on an on-going basis.</w:t>
      </w:r>
    </w:p>
    <w:p w:rsidR="005D6812" w:rsidRDefault="005D6812">
      <w:pPr>
        <w:pStyle w:val="Normal2"/>
        <w:tabs>
          <w:tab w:val="left" w:pos="1560"/>
        </w:tabs>
        <w:suppressAutoHyphens w:val="0"/>
        <w:spacing w:before="60" w:after="60"/>
        <w:jc w:val="both"/>
        <w:rPr>
          <w:rFonts w:ascii="Arial" w:hAnsi="Arial"/>
          <w:noProof/>
          <w:sz w:val="16"/>
          <w:szCs w:val="16"/>
        </w:rPr>
      </w:pPr>
    </w:p>
    <w:p w:rsidR="005D6812" w:rsidRDefault="00AB2A2B">
      <w:pPr>
        <w:pStyle w:val="Normal2"/>
        <w:tabs>
          <w:tab w:val="left" w:pos="1560"/>
        </w:tabs>
        <w:suppressAutoHyphens w:val="0"/>
        <w:spacing w:before="60" w:after="60"/>
        <w:jc w:val="both"/>
        <w:rPr>
          <w:rFonts w:ascii="Arial" w:hAnsi="Arial"/>
          <w:noProof/>
          <w:sz w:val="16"/>
          <w:szCs w:val="16"/>
        </w:rPr>
      </w:pPr>
      <w:r>
        <w:rPr>
          <w:rFonts w:ascii="Arial" w:hAnsi="Arial"/>
          <w:noProof/>
          <w:sz w:val="16"/>
          <w:szCs w:val="16"/>
        </w:rPr>
        <w:t>Where the fair values of financial assets and financial liabilitie</w:t>
      </w:r>
      <w:r>
        <w:rPr>
          <w:rFonts w:ascii="Arial" w:hAnsi="Arial"/>
          <w:noProof/>
          <w:sz w:val="16"/>
          <w:szCs w:val="16"/>
        </w:rPr>
        <w:t>s recorded on the statement of financial position cannot be derived from active markets, they are determined using a variety of valuation techniques that include the use of mathematical models. The input to these models is taken from observable markets whe</w:t>
      </w:r>
      <w:r>
        <w:rPr>
          <w:rFonts w:ascii="Arial" w:hAnsi="Arial"/>
          <w:noProof/>
          <w:sz w:val="16"/>
          <w:szCs w:val="16"/>
        </w:rPr>
        <w:t>re possible, but where this is not feasible, a degree of judgement is required in establishing fair values. The chosen valuation technique incorporates all the factors that market participants would take into account in pricing a transaction.</w:t>
      </w:r>
    </w:p>
    <w:p w:rsidR="005D6812" w:rsidRDefault="005D6812">
      <w:pPr>
        <w:pStyle w:val="Normal2"/>
        <w:tabs>
          <w:tab w:val="left" w:pos="1560"/>
        </w:tabs>
        <w:suppressAutoHyphens w:val="0"/>
        <w:spacing w:before="60" w:after="60"/>
        <w:jc w:val="both"/>
        <w:rPr>
          <w:rFonts w:ascii="Arial" w:hAnsi="Arial"/>
          <w:noProof/>
          <w:sz w:val="16"/>
          <w:szCs w:val="16"/>
        </w:rPr>
      </w:pPr>
    </w:p>
    <w:p w:rsidR="005D6812" w:rsidRDefault="00AB2A2B">
      <w:pPr>
        <w:pStyle w:val="Normal2"/>
        <w:tabs>
          <w:tab w:val="left" w:pos="1560"/>
        </w:tabs>
        <w:suppressAutoHyphens w:val="0"/>
        <w:spacing w:before="60" w:after="60"/>
        <w:jc w:val="both"/>
        <w:rPr>
          <w:rFonts w:ascii="Arial" w:hAnsi="Arial"/>
          <w:noProof/>
          <w:sz w:val="16"/>
          <w:szCs w:val="16"/>
        </w:rPr>
      </w:pPr>
      <w:r>
        <w:rPr>
          <w:rFonts w:ascii="Arial" w:hAnsi="Arial"/>
          <w:noProof/>
          <w:sz w:val="16"/>
          <w:szCs w:val="16"/>
        </w:rPr>
        <w:t>The EIB meas</w:t>
      </w:r>
      <w:r>
        <w:rPr>
          <w:rFonts w:ascii="Arial" w:hAnsi="Arial"/>
          <w:noProof/>
          <w:sz w:val="16"/>
          <w:szCs w:val="16"/>
        </w:rPr>
        <w:t>ures fair values using the following fair value hierarchy that reflects the significance of the inputs used in making the measurements:</w:t>
      </w:r>
    </w:p>
    <w:p w:rsidR="005D6812" w:rsidRDefault="005D6812">
      <w:pPr>
        <w:pStyle w:val="Normal2"/>
        <w:tabs>
          <w:tab w:val="left" w:pos="1560"/>
        </w:tabs>
        <w:suppressAutoHyphens w:val="0"/>
        <w:spacing w:before="60" w:after="60"/>
        <w:jc w:val="both"/>
        <w:rPr>
          <w:rFonts w:ascii="Arial" w:hAnsi="Arial"/>
          <w:noProof/>
          <w:sz w:val="16"/>
          <w:szCs w:val="16"/>
        </w:rPr>
      </w:pPr>
    </w:p>
    <w:p w:rsidR="005D6812" w:rsidRDefault="00AB2A2B">
      <w:pPr>
        <w:pStyle w:val="Normal2"/>
        <w:numPr>
          <w:ilvl w:val="0"/>
          <w:numId w:val="33"/>
        </w:numPr>
        <w:tabs>
          <w:tab w:val="left" w:pos="1560"/>
        </w:tabs>
        <w:suppressAutoHyphens w:val="0"/>
        <w:spacing w:before="60" w:after="60"/>
        <w:jc w:val="both"/>
        <w:rPr>
          <w:rFonts w:ascii="Arial" w:hAnsi="Arial"/>
          <w:noProof/>
          <w:sz w:val="16"/>
          <w:szCs w:val="16"/>
        </w:rPr>
      </w:pPr>
      <w:r>
        <w:rPr>
          <w:rFonts w:ascii="Arial" w:hAnsi="Arial"/>
          <w:noProof/>
          <w:sz w:val="16"/>
          <w:szCs w:val="16"/>
        </w:rPr>
        <w:t>Level 1: inputs that are unadjusted quoted market prices in active markets for identical instruments to which the Facil</w:t>
      </w:r>
      <w:r>
        <w:rPr>
          <w:rFonts w:ascii="Arial" w:hAnsi="Arial"/>
          <w:noProof/>
          <w:sz w:val="16"/>
          <w:szCs w:val="16"/>
        </w:rPr>
        <w:t>ity has access.</w:t>
      </w:r>
    </w:p>
    <w:p w:rsidR="005D6812" w:rsidRDefault="00AB2A2B">
      <w:pPr>
        <w:pStyle w:val="Normal2"/>
        <w:numPr>
          <w:ilvl w:val="0"/>
          <w:numId w:val="33"/>
        </w:numPr>
        <w:tabs>
          <w:tab w:val="left" w:pos="1560"/>
        </w:tabs>
        <w:suppressAutoHyphens w:val="0"/>
        <w:spacing w:before="60" w:after="60"/>
        <w:jc w:val="both"/>
        <w:rPr>
          <w:rFonts w:ascii="Arial" w:hAnsi="Arial"/>
          <w:noProof/>
          <w:sz w:val="16"/>
          <w:szCs w:val="16"/>
        </w:rPr>
      </w:pPr>
      <w:r>
        <w:rPr>
          <w:rFonts w:ascii="Arial" w:hAnsi="Arial"/>
          <w:noProof/>
          <w:sz w:val="16"/>
          <w:szCs w:val="16"/>
        </w:rPr>
        <w:t xml:space="preserve">Level 2: inputs other than quoted prices included within Level 1 that are observable either directly (i.e. as prices) or indirectly (i.e. derived from prices). This category includes instruments valued using quoted market prices in active </w:t>
      </w:r>
      <w:r>
        <w:rPr>
          <w:rFonts w:ascii="Arial" w:hAnsi="Arial"/>
          <w:noProof/>
          <w:sz w:val="16"/>
          <w:szCs w:val="16"/>
        </w:rPr>
        <w:t>markets for similar instruments, quoted prices for identical or similar instruments in markets that are considered less than active or other valuation techniques where all significant inputs are directly or indirectly observable from market data.</w:t>
      </w:r>
    </w:p>
    <w:p w:rsidR="005D6812" w:rsidRDefault="00AB2A2B">
      <w:pPr>
        <w:pStyle w:val="Normal2"/>
        <w:numPr>
          <w:ilvl w:val="0"/>
          <w:numId w:val="33"/>
        </w:numPr>
        <w:tabs>
          <w:tab w:val="left" w:pos="1560"/>
        </w:tabs>
        <w:suppressAutoHyphens w:val="0"/>
        <w:spacing w:before="60" w:after="60"/>
        <w:jc w:val="both"/>
        <w:rPr>
          <w:rFonts w:ascii="Arial" w:hAnsi="Arial"/>
          <w:noProof/>
          <w:sz w:val="16"/>
          <w:szCs w:val="16"/>
        </w:rPr>
      </w:pPr>
      <w:r>
        <w:rPr>
          <w:rFonts w:ascii="Arial" w:hAnsi="Arial"/>
          <w:noProof/>
          <w:sz w:val="16"/>
          <w:szCs w:val="16"/>
        </w:rPr>
        <w:t xml:space="preserve">Level 3: </w:t>
      </w:r>
      <w:r>
        <w:rPr>
          <w:rFonts w:ascii="Arial" w:hAnsi="Arial"/>
          <w:noProof/>
          <w:sz w:val="16"/>
          <w:szCs w:val="16"/>
        </w:rPr>
        <w:t>inputs that are not observable. This category includes all instruments where the valuation technique includes inputs not based on observable data and the unobservable inputs have a significant effect on the instrument’s valuation. This category includes in</w:t>
      </w:r>
      <w:r>
        <w:rPr>
          <w:rFonts w:ascii="Arial" w:hAnsi="Arial"/>
          <w:noProof/>
          <w:sz w:val="16"/>
          <w:szCs w:val="16"/>
        </w:rPr>
        <w:t>struments that are valued based on quoted prices for similar instruments where significant unobservable adjustments or assumptions are required to reflect differences between the instruments.</w:t>
      </w:r>
    </w:p>
    <w:p w:rsidR="005D6812" w:rsidRDefault="005D6812">
      <w:pPr>
        <w:pStyle w:val="Normal2"/>
        <w:tabs>
          <w:tab w:val="left" w:pos="1560"/>
        </w:tabs>
        <w:suppressAutoHyphens w:val="0"/>
        <w:spacing w:before="60" w:after="60"/>
        <w:jc w:val="both"/>
        <w:rPr>
          <w:rFonts w:ascii="Arial" w:hAnsi="Arial"/>
          <w:noProof/>
          <w:sz w:val="16"/>
          <w:szCs w:val="16"/>
        </w:rPr>
      </w:pPr>
    </w:p>
    <w:p w:rsidR="005D6812" w:rsidRDefault="00AB2A2B">
      <w:pPr>
        <w:pStyle w:val="Normal2"/>
        <w:tabs>
          <w:tab w:val="left" w:pos="1560"/>
        </w:tabs>
        <w:suppressAutoHyphens w:val="0"/>
        <w:spacing w:before="60" w:after="60"/>
        <w:jc w:val="both"/>
        <w:rPr>
          <w:rFonts w:ascii="Arial" w:hAnsi="Arial"/>
          <w:noProof/>
          <w:sz w:val="16"/>
          <w:szCs w:val="16"/>
        </w:rPr>
      </w:pPr>
      <w:r>
        <w:rPr>
          <w:rFonts w:ascii="Arial" w:hAnsi="Arial"/>
          <w:noProof/>
          <w:sz w:val="16"/>
          <w:szCs w:val="16"/>
        </w:rPr>
        <w:t>The Facility recognises transfers between levels of the fair va</w:t>
      </w:r>
      <w:r>
        <w:rPr>
          <w:rFonts w:ascii="Arial" w:hAnsi="Arial"/>
          <w:noProof/>
          <w:sz w:val="16"/>
          <w:szCs w:val="16"/>
        </w:rPr>
        <w:t>lue hierarchy as of the end of the reporting period during which the change has occurred.</w:t>
      </w:r>
    </w:p>
    <w:p w:rsidR="005D6812" w:rsidRDefault="005D6812">
      <w:pPr>
        <w:pStyle w:val="Normal2"/>
        <w:tabs>
          <w:tab w:val="left" w:pos="1560"/>
        </w:tabs>
        <w:suppressAutoHyphens w:val="0"/>
        <w:spacing w:before="60" w:after="60"/>
        <w:jc w:val="both"/>
        <w:rPr>
          <w:rFonts w:ascii="Arial" w:hAnsi="Arial"/>
          <w:noProof/>
          <w:sz w:val="16"/>
          <w:szCs w:val="16"/>
          <w:highlight w:val="yellow"/>
        </w:rPr>
      </w:pPr>
    </w:p>
    <w:p w:rsidR="005D6812" w:rsidRDefault="00AB2A2B">
      <w:pPr>
        <w:pStyle w:val="Normal2"/>
        <w:numPr>
          <w:ilvl w:val="0"/>
          <w:numId w:val="28"/>
        </w:numPr>
        <w:spacing w:before="60" w:after="60"/>
        <w:jc w:val="both"/>
        <w:rPr>
          <w:rFonts w:ascii="Arial" w:hAnsi="Arial"/>
          <w:b/>
          <w:noProof/>
          <w:sz w:val="16"/>
          <w:szCs w:val="16"/>
        </w:rPr>
      </w:pPr>
      <w:r>
        <w:rPr>
          <w:rFonts w:ascii="Arial" w:hAnsi="Arial"/>
          <w:b/>
          <w:noProof/>
          <w:sz w:val="16"/>
          <w:szCs w:val="16"/>
        </w:rPr>
        <w:t>Held-to-maturity financial assets</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Held-to-maturity financial assets comprise quoted bonds with the intention of holding them to maturity, and commercial papers with</w:t>
      </w:r>
      <w:r>
        <w:rPr>
          <w:rFonts w:ascii="Arial" w:hAnsi="Arial"/>
          <w:noProof/>
          <w:sz w:val="16"/>
          <w:szCs w:val="16"/>
        </w:rPr>
        <w:t xml:space="preserve"> original maturities of more than three months.</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Those bonds and commercial papers are initially recorded at their fair value plus any directly attributable transaction cost. The difference between entry price and redemption value is amortised in accordanc</w:t>
      </w:r>
      <w:r>
        <w:rPr>
          <w:rFonts w:ascii="Arial" w:hAnsi="Arial"/>
          <w:noProof/>
          <w:sz w:val="16"/>
          <w:szCs w:val="16"/>
        </w:rPr>
        <w:t>e with the effective interest method over the remaining life of the instrument.</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The Facility assesses at each statement of financial position date whether there is any objective evidence that a financial asset or a group of financial assets is impaired. A</w:t>
      </w:r>
      <w:r>
        <w:rPr>
          <w:rFonts w:ascii="Arial" w:hAnsi="Arial"/>
          <w:noProof/>
          <w:sz w:val="16"/>
          <w:szCs w:val="16"/>
        </w:rPr>
        <w:t xml:space="preserve"> financial asset or a group of financial assets is deemed to be impaired if, and only if, there is objective evidence of impairment as a result of one or more events that has occurred after the initial recognition of the asset (an incurred “loss event”) an</w:t>
      </w:r>
      <w:r>
        <w:rPr>
          <w:rFonts w:ascii="Arial" w:hAnsi="Arial"/>
          <w:noProof/>
          <w:sz w:val="16"/>
          <w:szCs w:val="16"/>
        </w:rPr>
        <w:t>d that loss event (or event) has an impact on the estimated future cash flows of the financial asset or the group of financial assets that can be reliably estimated. Impairment loss is recognised in the statement of profit and loss and the amount of the lo</w:t>
      </w:r>
      <w:r>
        <w:rPr>
          <w:rFonts w:ascii="Arial" w:hAnsi="Arial"/>
          <w:noProof/>
          <w:sz w:val="16"/>
          <w:szCs w:val="16"/>
        </w:rPr>
        <w:t>ss is measured as the difference between the carrying value and the present value of estimated future cash flows discounted at the instrument’s original effective interest rate.</w:t>
      </w:r>
    </w:p>
    <w:p w:rsidR="005D6812" w:rsidRDefault="005D6812">
      <w:pPr>
        <w:pStyle w:val="Normal2"/>
        <w:spacing w:before="60" w:after="60"/>
        <w:jc w:val="both"/>
        <w:rPr>
          <w:rFonts w:ascii="Arial" w:hAnsi="Arial"/>
          <w:noProof/>
          <w:sz w:val="16"/>
          <w:szCs w:val="16"/>
        </w:rPr>
      </w:pPr>
    </w:p>
    <w:p w:rsidR="005D6812" w:rsidRDefault="00AB2A2B">
      <w:pPr>
        <w:pStyle w:val="Normal2"/>
        <w:numPr>
          <w:ilvl w:val="0"/>
          <w:numId w:val="28"/>
        </w:numPr>
        <w:spacing w:before="60" w:after="60"/>
        <w:jc w:val="both"/>
        <w:rPr>
          <w:rFonts w:ascii="Arial" w:hAnsi="Arial"/>
          <w:b/>
          <w:noProof/>
          <w:sz w:val="16"/>
          <w:szCs w:val="16"/>
        </w:rPr>
      </w:pPr>
      <w:r>
        <w:rPr>
          <w:rFonts w:ascii="Arial" w:hAnsi="Arial"/>
          <w:b/>
          <w:noProof/>
          <w:sz w:val="16"/>
          <w:szCs w:val="16"/>
        </w:rPr>
        <w:t>Loans</w:t>
      </w:r>
    </w:p>
    <w:p w:rsidR="005D6812" w:rsidRDefault="005D6812">
      <w:pPr>
        <w:pStyle w:val="Normal2"/>
        <w:spacing w:before="60" w:after="60"/>
        <w:jc w:val="both"/>
        <w:rPr>
          <w:rFonts w:ascii="Arial" w:hAnsi="Arial"/>
          <w:b/>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Loans originated by the Facility are recognised in the assets of the F</w:t>
      </w:r>
      <w:r>
        <w:rPr>
          <w:rFonts w:ascii="Arial" w:hAnsi="Arial"/>
          <w:noProof/>
          <w:sz w:val="16"/>
          <w:szCs w:val="16"/>
        </w:rPr>
        <w:t>acility when cash is advanced to borrowers. They are initially recorded at cost (net disbursed amounts), which is the fair value of the cash given to originate the loan, including any transaction costs, and are subsequently measured at amortised cost, usin</w:t>
      </w:r>
      <w:r>
        <w:rPr>
          <w:rFonts w:ascii="Arial" w:hAnsi="Arial"/>
          <w:noProof/>
          <w:sz w:val="16"/>
          <w:szCs w:val="16"/>
        </w:rPr>
        <w:t>g the effective yield method, less any provision for impairment or uncollectability.</w:t>
      </w:r>
    </w:p>
    <w:p w:rsidR="005D6812" w:rsidRDefault="005D6812">
      <w:pPr>
        <w:pStyle w:val="Normal2"/>
        <w:spacing w:before="60" w:after="60"/>
        <w:jc w:val="both"/>
        <w:rPr>
          <w:rFonts w:ascii="Arial" w:hAnsi="Arial"/>
          <w:noProof/>
          <w:sz w:val="16"/>
          <w:szCs w:val="16"/>
        </w:rPr>
      </w:pPr>
    </w:p>
    <w:p w:rsidR="005D6812" w:rsidRDefault="00AB2A2B">
      <w:pPr>
        <w:pStyle w:val="Normal2"/>
        <w:numPr>
          <w:ilvl w:val="0"/>
          <w:numId w:val="34"/>
        </w:numPr>
        <w:spacing w:before="60" w:after="60"/>
        <w:jc w:val="both"/>
        <w:rPr>
          <w:rFonts w:ascii="Arial" w:hAnsi="Arial"/>
          <w:b/>
          <w:noProof/>
          <w:sz w:val="16"/>
          <w:szCs w:val="16"/>
        </w:rPr>
      </w:pPr>
      <w:r>
        <w:rPr>
          <w:rFonts w:ascii="Arial" w:hAnsi="Arial"/>
          <w:b/>
          <w:noProof/>
          <w:sz w:val="16"/>
          <w:szCs w:val="16"/>
        </w:rPr>
        <w:t>Available-for-sale financial assets</w:t>
      </w:r>
    </w:p>
    <w:p w:rsidR="005D6812" w:rsidRDefault="005D6812">
      <w:pPr>
        <w:pStyle w:val="Normal2"/>
        <w:spacing w:before="60" w:after="60"/>
        <w:jc w:val="both"/>
        <w:rPr>
          <w:rFonts w:ascii="Arial" w:hAnsi="Arial"/>
          <w:b/>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Available-for-sale financial assets are those which are designated as such or do not qualify to be classified as designated at fair v</w:t>
      </w:r>
      <w:r>
        <w:rPr>
          <w:rFonts w:ascii="Arial" w:hAnsi="Arial"/>
          <w:noProof/>
          <w:sz w:val="16"/>
          <w:szCs w:val="16"/>
        </w:rPr>
        <w:t>alue through profit or loss, held-to-maturity or loans and receivables. They include direct equity investments and investments in venture capital funds and are initially recorded at fair value plus transaction costs.</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After initial measurement, available-f</w:t>
      </w:r>
      <w:r>
        <w:rPr>
          <w:rFonts w:ascii="Arial" w:hAnsi="Arial"/>
          <w:noProof/>
          <w:sz w:val="16"/>
          <w:szCs w:val="16"/>
        </w:rPr>
        <w:t>or-sale financial assets are subsequently carried at fair value. Note the following details for the fair value measurement of equity investments, which cannot be derived from active markets:</w:t>
      </w:r>
    </w:p>
    <w:p w:rsidR="005D6812" w:rsidRDefault="005D6812">
      <w:pPr>
        <w:pStyle w:val="Normal2"/>
        <w:spacing w:before="60" w:after="60"/>
        <w:jc w:val="both"/>
        <w:rPr>
          <w:rFonts w:ascii="Arial" w:hAnsi="Arial"/>
          <w:noProof/>
          <w:sz w:val="16"/>
          <w:szCs w:val="16"/>
        </w:rPr>
      </w:pPr>
    </w:p>
    <w:p w:rsidR="005D6812" w:rsidRDefault="00AB2A2B">
      <w:pPr>
        <w:pStyle w:val="Normal2"/>
        <w:numPr>
          <w:ilvl w:val="2"/>
          <w:numId w:val="35"/>
        </w:numPr>
        <w:tabs>
          <w:tab w:val="left" w:pos="-2700"/>
        </w:tabs>
        <w:spacing w:before="60" w:after="60"/>
        <w:jc w:val="both"/>
        <w:rPr>
          <w:rFonts w:ascii="Arial" w:hAnsi="Arial"/>
          <w:noProof/>
          <w:sz w:val="16"/>
          <w:szCs w:val="16"/>
        </w:rPr>
      </w:pPr>
      <w:r>
        <w:rPr>
          <w:rFonts w:ascii="Arial" w:hAnsi="Arial"/>
          <w:noProof/>
          <w:sz w:val="16"/>
          <w:szCs w:val="16"/>
        </w:rPr>
        <w:t>Venture capital funds</w:t>
      </w:r>
    </w:p>
    <w:p w:rsidR="005D6812" w:rsidRDefault="00AB2A2B">
      <w:pPr>
        <w:pStyle w:val="Normal2"/>
        <w:spacing w:before="60" w:after="60"/>
        <w:jc w:val="both"/>
        <w:rPr>
          <w:rFonts w:ascii="Arial" w:hAnsi="Arial"/>
          <w:noProof/>
          <w:sz w:val="16"/>
          <w:szCs w:val="16"/>
        </w:rPr>
      </w:pPr>
      <w:r>
        <w:rPr>
          <w:rFonts w:ascii="Arial" w:hAnsi="Arial"/>
          <w:noProof/>
          <w:sz w:val="16"/>
          <w:szCs w:val="16"/>
        </w:rPr>
        <w:t xml:space="preserve">The fair value of each venture capital </w:t>
      </w:r>
      <w:r>
        <w:rPr>
          <w:rFonts w:ascii="Arial" w:hAnsi="Arial"/>
          <w:noProof/>
          <w:sz w:val="16"/>
          <w:szCs w:val="16"/>
        </w:rPr>
        <w:t>fund is based on the latest available Net Asset Value (NAV), reported by the fund, if calculated based on international valuation guidelines recognised to be in line with IFRS (for example: the International Private Equity and Venture Capital Valuation gui</w:t>
      </w:r>
      <w:r>
        <w:rPr>
          <w:rFonts w:ascii="Arial" w:hAnsi="Arial"/>
          <w:noProof/>
          <w:sz w:val="16"/>
          <w:szCs w:val="16"/>
        </w:rPr>
        <w:t>delines, IPEV Guidelines, as published by the European Venture Capital Association). The Facility may however decide to adjust the NAV reported by the fund if there are issues that may affect the valuation.</w:t>
      </w:r>
    </w:p>
    <w:p w:rsidR="005D6812" w:rsidRDefault="005D6812">
      <w:pPr>
        <w:pStyle w:val="Normal2"/>
        <w:spacing w:before="60" w:after="60"/>
        <w:jc w:val="both"/>
        <w:rPr>
          <w:rFonts w:ascii="Arial" w:hAnsi="Arial"/>
          <w:noProof/>
          <w:sz w:val="16"/>
          <w:szCs w:val="16"/>
        </w:rPr>
      </w:pPr>
    </w:p>
    <w:p w:rsidR="005D6812" w:rsidRDefault="00AB2A2B">
      <w:pPr>
        <w:pStyle w:val="Normal2"/>
        <w:numPr>
          <w:ilvl w:val="2"/>
          <w:numId w:val="35"/>
        </w:numPr>
        <w:tabs>
          <w:tab w:val="left" w:pos="-2700"/>
        </w:tabs>
        <w:spacing w:before="60" w:after="60"/>
        <w:jc w:val="both"/>
        <w:rPr>
          <w:rFonts w:ascii="Arial" w:hAnsi="Arial"/>
          <w:noProof/>
          <w:sz w:val="16"/>
          <w:szCs w:val="16"/>
        </w:rPr>
      </w:pPr>
      <w:r>
        <w:rPr>
          <w:rFonts w:ascii="Arial" w:hAnsi="Arial"/>
          <w:noProof/>
          <w:sz w:val="16"/>
          <w:szCs w:val="16"/>
        </w:rPr>
        <w:t>Direct equity investments</w:t>
      </w:r>
    </w:p>
    <w:p w:rsidR="005D6812" w:rsidRDefault="00AB2A2B">
      <w:pPr>
        <w:pStyle w:val="Normal2"/>
        <w:spacing w:before="60" w:after="60"/>
        <w:jc w:val="both"/>
        <w:rPr>
          <w:rFonts w:ascii="Arial" w:hAnsi="Arial"/>
          <w:noProof/>
          <w:sz w:val="16"/>
          <w:szCs w:val="16"/>
        </w:rPr>
      </w:pPr>
      <w:r>
        <w:rPr>
          <w:rFonts w:ascii="Arial" w:hAnsi="Arial"/>
          <w:noProof/>
          <w:sz w:val="16"/>
          <w:szCs w:val="16"/>
        </w:rPr>
        <w:t xml:space="preserve">The fair value of the </w:t>
      </w:r>
      <w:r>
        <w:rPr>
          <w:rFonts w:ascii="Arial" w:hAnsi="Arial"/>
          <w:noProof/>
          <w:sz w:val="16"/>
          <w:szCs w:val="16"/>
        </w:rPr>
        <w:t>investment is based on the latest set of financial statements available, re-using, if applicable, the same model as the one used at the acquisition of the participation.</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Unrealised gains or losses on venture capital funds and direct equity investments are</w:t>
      </w:r>
      <w:r>
        <w:rPr>
          <w:rFonts w:ascii="Arial" w:hAnsi="Arial"/>
          <w:noProof/>
          <w:sz w:val="16"/>
          <w:szCs w:val="16"/>
        </w:rPr>
        <w:t xml:space="preserve"> reported in contributors’ resources until such investments are sold, collected or disposed of, or until such investments are determined to be impaired. If an available-for-sale investment is determined to be impaired, the cumulative unrealised gain or los</w:t>
      </w:r>
      <w:r>
        <w:rPr>
          <w:rFonts w:ascii="Arial" w:hAnsi="Arial"/>
          <w:noProof/>
          <w:sz w:val="16"/>
          <w:szCs w:val="16"/>
        </w:rPr>
        <w:t>s previously recognised in equity is transferred to the statement of profit or loss and other comprehensive income.</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For unquoted investment, the fair value is determined by applying recognised valuation techniques (for example adjusted net assets, discoun</w:t>
      </w:r>
      <w:r>
        <w:rPr>
          <w:rFonts w:ascii="Arial" w:hAnsi="Arial"/>
          <w:noProof/>
          <w:sz w:val="16"/>
          <w:szCs w:val="16"/>
        </w:rPr>
        <w:t>ted cash flows or multiple). These investments are accounted for at cost when the fair value cannot be reliably measured. To be noted that in the first 2 years of the investments, they are recognised at cost.</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The participations acquired by the Facility ty</w:t>
      </w:r>
      <w:r>
        <w:rPr>
          <w:rFonts w:ascii="Arial" w:hAnsi="Arial"/>
          <w:noProof/>
          <w:sz w:val="16"/>
          <w:szCs w:val="16"/>
        </w:rPr>
        <w:t>pically represent investments in private equity or venture capital funds. According to industry practice, such investments are generally investments jointly subscribed by a number of investors, none of whom is in a position to individually influence the da</w:t>
      </w:r>
      <w:r>
        <w:rPr>
          <w:rFonts w:ascii="Arial" w:hAnsi="Arial"/>
          <w:noProof/>
          <w:sz w:val="16"/>
          <w:szCs w:val="16"/>
        </w:rPr>
        <w:t>ily operations and the investment activity of such fund. As a consequence, any membership by an investor in a governing body of such fund does not in principle entitle such investor to influence the day-to-day operations of the fund. In addition, individua</w:t>
      </w:r>
      <w:r>
        <w:rPr>
          <w:rFonts w:ascii="Arial" w:hAnsi="Arial"/>
          <w:noProof/>
          <w:sz w:val="16"/>
          <w:szCs w:val="16"/>
        </w:rPr>
        <w:t>l investors in a private equity or a venture capital fund do not determine policies of a fund such as distribution policies on dividends or other distributions. Such decisions are typically taken by the management of a fund on the basis of the shareholders</w:t>
      </w:r>
      <w:r>
        <w:rPr>
          <w:rFonts w:ascii="Arial" w:hAnsi="Arial"/>
          <w:noProof/>
          <w:sz w:val="16"/>
          <w:szCs w:val="16"/>
        </w:rPr>
        <w:t xml:space="preserve"> agreement governing the rights and obligations of the management and all shareholders of the fund. The shareholders’ agreement also generally prevents individual investors from bilaterally executing material transactions with the fund, interchanging manag</w:t>
      </w:r>
      <w:r>
        <w:rPr>
          <w:rFonts w:ascii="Arial" w:hAnsi="Arial"/>
          <w:noProof/>
          <w:sz w:val="16"/>
          <w:szCs w:val="16"/>
        </w:rPr>
        <w:t>erial personnel or obtaining privileged access to essential technical information. The Facility’s investments are executed in line with the above stated industry practice, ensuring that the Facility neither controls nor exercises any form of significant in</w:t>
      </w:r>
      <w:r>
        <w:rPr>
          <w:rFonts w:ascii="Arial" w:hAnsi="Arial"/>
          <w:noProof/>
          <w:sz w:val="16"/>
          <w:szCs w:val="16"/>
        </w:rPr>
        <w:t>fluence within the meaning of IFRS 10 and IAS 28 over any of these investments, including those investments in which the Facility holds over 20 % of the voting rights.</w:t>
      </w:r>
    </w:p>
    <w:p w:rsidR="005D6812" w:rsidRDefault="005D6812">
      <w:pPr>
        <w:pStyle w:val="Normal2"/>
        <w:spacing w:before="60" w:after="60"/>
        <w:jc w:val="both"/>
        <w:rPr>
          <w:rFonts w:ascii="Arial" w:hAnsi="Arial"/>
          <w:noProof/>
          <w:sz w:val="16"/>
          <w:szCs w:val="16"/>
        </w:rPr>
      </w:pPr>
    </w:p>
    <w:p w:rsidR="005D6812" w:rsidRDefault="00AB2A2B">
      <w:pPr>
        <w:pStyle w:val="Normal2"/>
        <w:numPr>
          <w:ilvl w:val="0"/>
          <w:numId w:val="36"/>
        </w:numPr>
        <w:spacing w:before="60" w:after="60"/>
        <w:jc w:val="both"/>
        <w:rPr>
          <w:rFonts w:ascii="Arial" w:hAnsi="Arial"/>
          <w:b/>
          <w:noProof/>
          <w:sz w:val="16"/>
          <w:szCs w:val="16"/>
        </w:rPr>
      </w:pPr>
      <w:r>
        <w:rPr>
          <w:rFonts w:ascii="Arial" w:hAnsi="Arial"/>
          <w:b/>
          <w:noProof/>
          <w:sz w:val="16"/>
          <w:szCs w:val="16"/>
        </w:rPr>
        <w:t>Guarantees</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Financial guarantee contracts are contracts that require the Facility to ma</w:t>
      </w:r>
      <w:r>
        <w:rPr>
          <w:rFonts w:ascii="Arial" w:hAnsi="Arial"/>
          <w:noProof/>
          <w:sz w:val="16"/>
          <w:szCs w:val="16"/>
        </w:rPr>
        <w:t>ke specified payments to reimburse the holder for a loss it incurs because a specified debtor fails to make payments when due in accordance with the terms of a debt instrument.</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Under the existing rules, these guarantees do not meet the definition of an in</w:t>
      </w:r>
      <w:r>
        <w:rPr>
          <w:rFonts w:ascii="Arial" w:hAnsi="Arial"/>
          <w:noProof/>
          <w:sz w:val="16"/>
          <w:szCs w:val="16"/>
        </w:rPr>
        <w:t>surance contract (IFRS 4 Insurance Contracts) and are accounted for under IAS 39 Financial Instruments: Recognition and Measurement, either as “Derivatives” or as “Financial Guarantees”, depending on their features and characteristics as defined by IAS 39.</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The accounting policy for derivatives is disclosed under Note 2.4.5.</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At initial recognition, the financial guarantees are recognised at fair value corresponding to the Net Present Value (NPV) of expected premium inflows and initial expected loss. This c</w:t>
      </w:r>
      <w:r>
        <w:rPr>
          <w:rFonts w:ascii="Arial" w:hAnsi="Arial"/>
          <w:noProof/>
          <w:sz w:val="16"/>
          <w:szCs w:val="16"/>
        </w:rPr>
        <w:t xml:space="preserve">alculation is performed at the starting date of each transaction and is recognised on the statement of financial position as “Financial guarantees” under “other assets” and “other liabilities”. </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Subsequent to initial recognition, the Facility’s liabilitie</w:t>
      </w:r>
      <w:r>
        <w:rPr>
          <w:rFonts w:ascii="Arial" w:hAnsi="Arial"/>
          <w:noProof/>
          <w:sz w:val="16"/>
          <w:szCs w:val="16"/>
        </w:rPr>
        <w:t xml:space="preserve">s under such guarantees are measured at the higher of: </w:t>
      </w:r>
    </w:p>
    <w:p w:rsidR="005D6812" w:rsidRDefault="005D6812">
      <w:pPr>
        <w:pStyle w:val="Normal2"/>
        <w:spacing w:before="60" w:after="60"/>
        <w:jc w:val="both"/>
        <w:rPr>
          <w:rFonts w:ascii="Arial" w:hAnsi="Arial"/>
          <w:noProof/>
          <w:sz w:val="16"/>
          <w:szCs w:val="16"/>
        </w:rPr>
      </w:pPr>
    </w:p>
    <w:p w:rsidR="005D6812" w:rsidRDefault="00AB2A2B">
      <w:pPr>
        <w:pStyle w:val="Normal2"/>
        <w:numPr>
          <w:ilvl w:val="0"/>
          <w:numId w:val="37"/>
        </w:numPr>
        <w:spacing w:before="60" w:after="60"/>
        <w:jc w:val="both"/>
        <w:rPr>
          <w:rFonts w:ascii="Arial" w:hAnsi="Arial"/>
          <w:noProof/>
          <w:sz w:val="16"/>
          <w:szCs w:val="16"/>
        </w:rPr>
      </w:pPr>
      <w:r>
        <w:rPr>
          <w:rFonts w:ascii="Arial" w:hAnsi="Arial"/>
          <w:noProof/>
          <w:sz w:val="16"/>
          <w:szCs w:val="16"/>
        </w:rPr>
        <w:t xml:space="preserve">the amount initially recognised less, where appropriate, cumulative amortisation recognised in accordance with IAS 18 Revenue and </w:t>
      </w:r>
    </w:p>
    <w:p w:rsidR="005D6812" w:rsidRDefault="00AB2A2B">
      <w:pPr>
        <w:pStyle w:val="Normal2"/>
        <w:numPr>
          <w:ilvl w:val="0"/>
          <w:numId w:val="37"/>
        </w:numPr>
        <w:spacing w:before="60" w:after="60"/>
        <w:jc w:val="both"/>
        <w:rPr>
          <w:rFonts w:ascii="Arial" w:hAnsi="Arial"/>
          <w:noProof/>
          <w:sz w:val="16"/>
          <w:szCs w:val="16"/>
        </w:rPr>
      </w:pPr>
      <w:r>
        <w:rPr>
          <w:rFonts w:ascii="Arial" w:hAnsi="Arial"/>
          <w:noProof/>
          <w:sz w:val="16"/>
          <w:szCs w:val="16"/>
        </w:rPr>
        <w:t xml:space="preserve">the best estimate of expenditure required to settle any present </w:t>
      </w:r>
      <w:r>
        <w:rPr>
          <w:rFonts w:ascii="Arial" w:hAnsi="Arial"/>
          <w:noProof/>
          <w:sz w:val="16"/>
          <w:szCs w:val="16"/>
        </w:rPr>
        <w:t>financial obligation arising as a result of the guarantee, in accordance with IAS 37 Provisions, Contingent Liabilities and Contingent Assets.</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The best estimate of expenditure is determined in accordance with IAS 37. Financial guarantee provisions corresp</w:t>
      </w:r>
      <w:r>
        <w:rPr>
          <w:rFonts w:ascii="Arial" w:hAnsi="Arial"/>
          <w:noProof/>
          <w:sz w:val="16"/>
          <w:szCs w:val="16"/>
        </w:rPr>
        <w:t>ond to the cost of settling the obligation, which is the expected loss, estimated on the basis of all relevant factors and information existing at the statement of financial position date.</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When a financial guarantee operation measured under IAS 39 is dere</w:t>
      </w:r>
      <w:r>
        <w:rPr>
          <w:rFonts w:ascii="Arial" w:hAnsi="Arial"/>
          <w:noProof/>
          <w:sz w:val="16"/>
          <w:szCs w:val="16"/>
        </w:rPr>
        <w:t>cognised and treated under IAS 37, its value previously recorded under “Other liabilities” is transferred to the caption “Provisions for guarantees issued” on the statement of financial position.</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The provision for financial guarantees (as measured per IAS</w:t>
      </w:r>
      <w:r>
        <w:rPr>
          <w:rFonts w:ascii="Arial" w:hAnsi="Arial"/>
          <w:noProof/>
          <w:sz w:val="16"/>
          <w:szCs w:val="16"/>
        </w:rPr>
        <w:t xml:space="preserve"> 37) is recognised in the statement of profit or loss and other comprehensive income under “Change in provisions for guarantees, net of reversals”. </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The premium received is recognised in the statement of profit or loss and other comprehensive income in “F</w:t>
      </w:r>
      <w:r>
        <w:rPr>
          <w:rFonts w:ascii="Arial" w:hAnsi="Arial"/>
          <w:noProof/>
          <w:sz w:val="16"/>
          <w:szCs w:val="16"/>
        </w:rPr>
        <w:t>ee and commission income” on the basis of an amortisation schedule in accordance with IAS 18 over the life of the financial guarantee.</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In addition, when a guarantee agreement is signed, it is presented as a contingent liability for the Facility and when t</w:t>
      </w:r>
      <w:r>
        <w:rPr>
          <w:rFonts w:ascii="Arial" w:hAnsi="Arial"/>
          <w:noProof/>
          <w:sz w:val="16"/>
          <w:szCs w:val="16"/>
        </w:rPr>
        <w:t>he guarantee is engaged, as a commitment for the Facility.</w:t>
      </w:r>
    </w:p>
    <w:p w:rsidR="005D6812" w:rsidRDefault="005D6812">
      <w:pPr>
        <w:pStyle w:val="Normal2"/>
        <w:spacing w:before="60" w:after="60"/>
        <w:jc w:val="both"/>
        <w:rPr>
          <w:rFonts w:ascii="Arial" w:hAnsi="Arial"/>
          <w:noProof/>
          <w:sz w:val="16"/>
          <w:szCs w:val="16"/>
        </w:rPr>
      </w:pPr>
    </w:p>
    <w:p w:rsidR="005D6812" w:rsidRDefault="00AB2A2B">
      <w:pPr>
        <w:pStyle w:val="Title1110"/>
        <w:numPr>
          <w:ilvl w:val="2"/>
          <w:numId w:val="27"/>
        </w:numPr>
        <w:spacing w:before="60" w:after="60"/>
        <w:rPr>
          <w:rStyle w:val="Title111Char0"/>
          <w:noProof/>
          <w:sz w:val="16"/>
          <w:szCs w:val="16"/>
        </w:rPr>
      </w:pPr>
      <w:r>
        <w:rPr>
          <w:rStyle w:val="Title111Char0"/>
          <w:noProof/>
          <w:sz w:val="16"/>
          <w:szCs w:val="16"/>
        </w:rPr>
        <w:t xml:space="preserve"> </w:t>
      </w:r>
      <w:r>
        <w:rPr>
          <w:rStyle w:val="Title111Char0"/>
          <w:noProof/>
          <w:sz w:val="16"/>
          <w:szCs w:val="16"/>
        </w:rPr>
        <w:tab/>
        <w:t>Impairment of financial assets</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 xml:space="preserve">The Facility assesses at each statement of financial position date whether there is any objective evidence that a financial asset is impaired. A financial asset </w:t>
      </w:r>
      <w:r>
        <w:rPr>
          <w:rFonts w:ascii="Arial" w:hAnsi="Arial"/>
          <w:noProof/>
          <w:sz w:val="16"/>
          <w:szCs w:val="16"/>
        </w:rPr>
        <w:t>or a group of financial assets is deemed to be impaired if, and only if, there is objective evidence of impairment as a result of one or more events that has occurred after the initial recognition of the asset (an incurred “loss event”) and that loss event</w:t>
      </w:r>
      <w:r>
        <w:rPr>
          <w:rFonts w:ascii="Arial" w:hAnsi="Arial"/>
          <w:noProof/>
          <w:sz w:val="16"/>
          <w:szCs w:val="16"/>
        </w:rPr>
        <w:t xml:space="preserve"> has an impact on the estimated future cash flows of the financial asset or the group of financial assets that can be reliably estimated. Evidence of impairment may include indications that the borrower or a group of borrowers is experiencing significant f</w:t>
      </w:r>
      <w:r>
        <w:rPr>
          <w:rFonts w:ascii="Arial" w:hAnsi="Arial"/>
          <w:noProof/>
          <w:sz w:val="16"/>
          <w:szCs w:val="16"/>
        </w:rPr>
        <w:t>inancial difficulty, default or delinquency in interest or principal payments, the probability that they will enter into bankruptcy or other financial reorganisation and where observable data indicate that there is a measurable decrease in the estimated fu</w:t>
      </w:r>
      <w:r>
        <w:rPr>
          <w:rFonts w:ascii="Arial" w:hAnsi="Arial"/>
          <w:noProof/>
          <w:sz w:val="16"/>
          <w:szCs w:val="16"/>
        </w:rPr>
        <w:t>ture cash flows, such as changes in arrears or economic conditions that correlate with defaults.</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 xml:space="preserve">For the loans outstanding at the end of the financial year and carried at amortised cost, impairments are made when presenting objective evidence of risks of </w:t>
      </w:r>
      <w:r>
        <w:rPr>
          <w:rFonts w:ascii="Arial" w:hAnsi="Arial"/>
          <w:noProof/>
          <w:sz w:val="16"/>
          <w:szCs w:val="16"/>
        </w:rPr>
        <w:t>non-recovery of all or part of their amounts according to the original contractual terms or the equivalent value. If there is objective evidence that an impairment loss has been incurred, the amount of the loss is measured as the difference between the ass</w:t>
      </w:r>
      <w:r>
        <w:rPr>
          <w:rFonts w:ascii="Arial" w:hAnsi="Arial"/>
          <w:noProof/>
          <w:sz w:val="16"/>
          <w:szCs w:val="16"/>
        </w:rPr>
        <w:t>ets carrying amount and the present value of estimated future cash flows. The carrying amount of the asset is reduced through the use of an allowance account and the amount of the loss is recognised in the statement of profit or loss and other comprehensiv</w:t>
      </w:r>
      <w:r>
        <w:rPr>
          <w:rFonts w:ascii="Arial" w:hAnsi="Arial"/>
          <w:noProof/>
          <w:sz w:val="16"/>
          <w:szCs w:val="16"/>
        </w:rPr>
        <w:t xml:space="preserve">e income. Interest income continues to be accrued on the reduced carrying amount based on the effective interest rate of the asset. Loans together with the associated allowance are written off when there is no realistic prospect of future recovery. If, in </w:t>
      </w:r>
      <w:r>
        <w:rPr>
          <w:rFonts w:ascii="Arial" w:hAnsi="Arial"/>
          <w:noProof/>
          <w:sz w:val="16"/>
          <w:szCs w:val="16"/>
        </w:rPr>
        <w:t>a subsequent year, the amount of the estimated impairment loss increases or decreases because of an event occurring after the impairment was recognised, the previously recognised impairment loss is increased or reduced by adjusting the allowance account.</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 xml:space="preserve">The Facility conducts the credit risk assessments based on each individual operation and does not consider a collective impairment. </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For the available-for-sale financial assets, the Facility assesses at each statement of financial position date whether th</w:t>
      </w:r>
      <w:r>
        <w:rPr>
          <w:rFonts w:ascii="Arial" w:hAnsi="Arial"/>
          <w:noProof/>
          <w:sz w:val="16"/>
          <w:szCs w:val="16"/>
        </w:rPr>
        <w:t>ere is objective evidence that an investment is impaired. Objective evidence would include a significant or prolonged decline in the fair value of the investment below its costs. Where there is evidence of impairment, the cumulative loss (measured as the d</w:t>
      </w:r>
      <w:r>
        <w:rPr>
          <w:rFonts w:ascii="Arial" w:hAnsi="Arial"/>
          <w:noProof/>
          <w:sz w:val="16"/>
          <w:szCs w:val="16"/>
        </w:rPr>
        <w:t>ifference between the acquisition cost and the current fair value, less any impairment loss on that investment previously recognised in the statement of profit or loss and other comprehensive income) is removed from contributors’ resources and recognised i</w:t>
      </w:r>
      <w:r>
        <w:rPr>
          <w:rFonts w:ascii="Arial" w:hAnsi="Arial"/>
          <w:noProof/>
          <w:sz w:val="16"/>
          <w:szCs w:val="16"/>
        </w:rPr>
        <w:t>n the statement of profit or loss and other comprehensive income. Impairment losses on available-for-sale financial assets are not reversed through the statement of profit or loss and other comprehensive income; increases in their fair value after impairme</w:t>
      </w:r>
      <w:r>
        <w:rPr>
          <w:rFonts w:ascii="Arial" w:hAnsi="Arial"/>
          <w:noProof/>
          <w:sz w:val="16"/>
          <w:szCs w:val="16"/>
        </w:rPr>
        <w:t>nt are recognised directly in contributors’ resources.</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The European Investment Bank’s Risk Management reviews financial assets for impairment at least once a year. Resulting adjustments include the unwinding of the discount in the statement of profit or l</w:t>
      </w:r>
      <w:r>
        <w:rPr>
          <w:rFonts w:ascii="Arial" w:hAnsi="Arial"/>
          <w:noProof/>
          <w:sz w:val="16"/>
          <w:szCs w:val="16"/>
        </w:rPr>
        <w:t>oss and other comprehensive income over the life of the asset, and any adjustments required in respect of a reassessment of the initial impairment.</w:t>
      </w:r>
    </w:p>
    <w:p w:rsidR="005D6812" w:rsidRDefault="005D6812">
      <w:pPr>
        <w:pStyle w:val="Normal2"/>
        <w:suppressAutoHyphens w:val="0"/>
        <w:rPr>
          <w:rFonts w:ascii="Arial" w:hAnsi="Arial"/>
          <w:noProof/>
          <w:sz w:val="16"/>
          <w:szCs w:val="16"/>
        </w:rPr>
      </w:pPr>
    </w:p>
    <w:p w:rsidR="005D6812" w:rsidRDefault="00AB2A2B">
      <w:pPr>
        <w:pStyle w:val="Title1110"/>
        <w:numPr>
          <w:ilvl w:val="2"/>
          <w:numId w:val="27"/>
        </w:numPr>
        <w:spacing w:before="60" w:after="60"/>
        <w:rPr>
          <w:noProof/>
          <w:sz w:val="16"/>
          <w:szCs w:val="16"/>
        </w:rPr>
      </w:pPr>
      <w:r>
        <w:rPr>
          <w:noProof/>
          <w:sz w:val="16"/>
          <w:szCs w:val="16"/>
        </w:rPr>
        <w:t xml:space="preserve"> </w:t>
      </w:r>
      <w:r>
        <w:rPr>
          <w:noProof/>
          <w:sz w:val="16"/>
          <w:szCs w:val="16"/>
        </w:rPr>
        <w:tab/>
        <w:t>Derivative financial instruments</w:t>
      </w:r>
    </w:p>
    <w:p w:rsidR="005D6812" w:rsidRDefault="005D6812">
      <w:pPr>
        <w:pStyle w:val="Normal2"/>
        <w:spacing w:before="60" w:after="60"/>
        <w:jc w:val="both"/>
        <w:rPr>
          <w:rFonts w:ascii="Arial" w:hAnsi="Arial"/>
          <w:noProof/>
          <w:sz w:val="16"/>
          <w:szCs w:val="16"/>
        </w:rPr>
      </w:pPr>
    </w:p>
    <w:p w:rsidR="005D6812" w:rsidRDefault="00AB2A2B">
      <w:pPr>
        <w:pStyle w:val="Normal2"/>
        <w:tabs>
          <w:tab w:val="left" w:pos="7720"/>
        </w:tabs>
        <w:spacing w:before="60" w:after="60"/>
        <w:jc w:val="both"/>
        <w:rPr>
          <w:rFonts w:ascii="Arial" w:hAnsi="Arial"/>
          <w:noProof/>
          <w:sz w:val="16"/>
          <w:szCs w:val="16"/>
        </w:rPr>
      </w:pPr>
      <w:r>
        <w:rPr>
          <w:rFonts w:ascii="Arial" w:hAnsi="Arial"/>
          <w:noProof/>
          <w:sz w:val="16"/>
          <w:szCs w:val="16"/>
        </w:rPr>
        <w:t xml:space="preserve">Derivatives include cross currency swaps, cross currency interest rate </w:t>
      </w:r>
      <w:r>
        <w:rPr>
          <w:rFonts w:ascii="Arial" w:hAnsi="Arial"/>
          <w:noProof/>
          <w:sz w:val="16"/>
          <w:szCs w:val="16"/>
        </w:rPr>
        <w:t>swaps, short term currency swaps (“FX swaps”) and interest rate swaps.</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In the normal course of its activity, the Facility may enter into swap contracts with a view to hedge specific lending operations or into currency forward contract with a view to hedge</w:t>
      </w:r>
      <w:r>
        <w:rPr>
          <w:rFonts w:ascii="Arial" w:hAnsi="Arial"/>
          <w:noProof/>
          <w:sz w:val="16"/>
          <w:szCs w:val="16"/>
        </w:rPr>
        <w:t xml:space="preserve"> its currency positions, denominated in actively traded currencies other than the Euro, in order to offset any gain or loss caused by foreign exchange rate fluctuations.</w:t>
      </w:r>
    </w:p>
    <w:p w:rsidR="005D6812" w:rsidRDefault="00AB2A2B">
      <w:pPr>
        <w:pStyle w:val="Normal2"/>
        <w:spacing w:before="60" w:after="60"/>
        <w:jc w:val="both"/>
        <w:rPr>
          <w:rFonts w:ascii="Arial" w:hAnsi="Arial"/>
          <w:noProof/>
          <w:sz w:val="16"/>
          <w:szCs w:val="16"/>
        </w:rPr>
      </w:pPr>
      <w:r>
        <w:rPr>
          <w:rFonts w:ascii="Arial" w:hAnsi="Arial"/>
          <w:noProof/>
          <w:sz w:val="16"/>
          <w:szCs w:val="16"/>
        </w:rPr>
        <w:t> </w:t>
      </w:r>
    </w:p>
    <w:p w:rsidR="005D6812" w:rsidRDefault="00AB2A2B">
      <w:pPr>
        <w:pStyle w:val="Normal2"/>
        <w:spacing w:before="60" w:after="60"/>
        <w:jc w:val="both"/>
        <w:rPr>
          <w:rFonts w:ascii="Arial" w:hAnsi="Arial"/>
          <w:noProof/>
          <w:sz w:val="16"/>
          <w:szCs w:val="16"/>
        </w:rPr>
      </w:pPr>
      <w:r>
        <w:rPr>
          <w:rFonts w:ascii="Arial" w:hAnsi="Arial"/>
          <w:noProof/>
          <w:sz w:val="16"/>
          <w:szCs w:val="16"/>
        </w:rPr>
        <w:t>The Facility does not use any of the hedge possibilities under IAS 39. All derivativ</w:t>
      </w:r>
      <w:r>
        <w:rPr>
          <w:rFonts w:ascii="Arial" w:hAnsi="Arial"/>
          <w:noProof/>
          <w:sz w:val="16"/>
          <w:szCs w:val="16"/>
        </w:rPr>
        <w:t>es are measured at fair value through the profit or loss and are reported as derivative financial instruments. Fair values are derived primarily from discounted cash-flow models, option-pricing models and from third party quotes.</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 xml:space="preserve">Derivatives are recorded </w:t>
      </w:r>
      <w:r>
        <w:rPr>
          <w:rFonts w:ascii="Arial" w:hAnsi="Arial"/>
          <w:noProof/>
          <w:sz w:val="16"/>
          <w:szCs w:val="16"/>
        </w:rPr>
        <w:t xml:space="preserve">at fair value and carried as assets when their fair value is positive and as liabilities when their fair value is negative. Changes in the fair value of derivative financial instruments are shown in the statement of profit and loss and other comprehensive </w:t>
      </w:r>
      <w:r>
        <w:rPr>
          <w:rFonts w:ascii="Arial" w:hAnsi="Arial"/>
          <w:noProof/>
          <w:sz w:val="16"/>
          <w:szCs w:val="16"/>
        </w:rPr>
        <w:t>income under “</w:t>
      </w:r>
      <w:r>
        <w:rPr>
          <w:rFonts w:ascii="Arial" w:hAnsi="Arial"/>
          <w:noProof/>
          <w:sz w:val="16"/>
          <w:szCs w:val="16"/>
          <w:lang w:eastAsia="en-GB"/>
        </w:rPr>
        <w:t>Fair value change of derivative financial instruments</w:t>
      </w:r>
      <w:r>
        <w:rPr>
          <w:rFonts w:ascii="Arial" w:hAnsi="Arial"/>
          <w:noProof/>
          <w:sz w:val="16"/>
          <w:szCs w:val="16"/>
        </w:rPr>
        <w:t>”.</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Derivatives are initially recognised using the trade date basis.</w:t>
      </w:r>
    </w:p>
    <w:p w:rsidR="005D6812" w:rsidRDefault="005D6812">
      <w:pPr>
        <w:pStyle w:val="Normal2"/>
        <w:suppressAutoHyphens w:val="0"/>
        <w:rPr>
          <w:rFonts w:ascii="Arial" w:hAnsi="Arial"/>
          <w:noProof/>
          <w:sz w:val="16"/>
          <w:szCs w:val="16"/>
        </w:rPr>
      </w:pPr>
    </w:p>
    <w:p w:rsidR="005D6812" w:rsidRDefault="00AB2A2B">
      <w:pPr>
        <w:pStyle w:val="Title1110"/>
        <w:numPr>
          <w:ilvl w:val="2"/>
          <w:numId w:val="27"/>
        </w:numPr>
        <w:spacing w:before="60" w:after="60"/>
        <w:rPr>
          <w:noProof/>
          <w:sz w:val="16"/>
          <w:szCs w:val="16"/>
        </w:rPr>
      </w:pPr>
      <w:r>
        <w:rPr>
          <w:noProof/>
          <w:sz w:val="16"/>
          <w:szCs w:val="16"/>
        </w:rPr>
        <w:t xml:space="preserve"> </w:t>
      </w:r>
      <w:r>
        <w:rPr>
          <w:noProof/>
          <w:sz w:val="16"/>
          <w:szCs w:val="16"/>
        </w:rPr>
        <w:tab/>
        <w:t>Contributions</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 xml:space="preserve">Contributions from Member States are recognised as receivables in the statement of financial position </w:t>
      </w:r>
      <w:r>
        <w:rPr>
          <w:rFonts w:ascii="Arial" w:hAnsi="Arial"/>
          <w:noProof/>
          <w:sz w:val="16"/>
          <w:szCs w:val="16"/>
        </w:rPr>
        <w:t>on the date of the Council Decision fixing the financial contribution to be paid by the Member States to the Facility.</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The Member States contributions meet the following conditions and are consequently classified as equity:</w:t>
      </w:r>
    </w:p>
    <w:p w:rsidR="005D6812" w:rsidRDefault="005D6812">
      <w:pPr>
        <w:pStyle w:val="Normal2"/>
        <w:spacing w:before="60" w:after="60"/>
        <w:jc w:val="both"/>
        <w:rPr>
          <w:rFonts w:ascii="Arial" w:hAnsi="Arial"/>
          <w:noProof/>
          <w:sz w:val="16"/>
          <w:szCs w:val="16"/>
        </w:rPr>
      </w:pPr>
    </w:p>
    <w:p w:rsidR="005D6812" w:rsidRDefault="00AB2A2B">
      <w:pPr>
        <w:pStyle w:val="Normal2"/>
        <w:numPr>
          <w:ilvl w:val="0"/>
          <w:numId w:val="38"/>
        </w:numPr>
        <w:tabs>
          <w:tab w:val="left" w:pos="340"/>
        </w:tabs>
        <w:spacing w:before="60" w:after="60"/>
        <w:jc w:val="both"/>
        <w:rPr>
          <w:rFonts w:ascii="Arial" w:hAnsi="Arial"/>
          <w:noProof/>
          <w:sz w:val="16"/>
          <w:szCs w:val="16"/>
        </w:rPr>
      </w:pPr>
      <w:r>
        <w:rPr>
          <w:rFonts w:ascii="Arial" w:hAnsi="Arial"/>
          <w:noProof/>
          <w:sz w:val="16"/>
          <w:szCs w:val="16"/>
        </w:rPr>
        <w:t>as defined in the contribution</w:t>
      </w:r>
      <w:r>
        <w:rPr>
          <w:rFonts w:ascii="Arial" w:hAnsi="Arial"/>
          <w:noProof/>
          <w:sz w:val="16"/>
          <w:szCs w:val="16"/>
        </w:rPr>
        <w:t xml:space="preserve"> agreement, they entitle the Member States to decide on the utilisation of the Facility’s net assets in the events of the Facility’s liquidation;</w:t>
      </w:r>
    </w:p>
    <w:p w:rsidR="005D6812" w:rsidRDefault="00AB2A2B">
      <w:pPr>
        <w:pStyle w:val="Normal2"/>
        <w:numPr>
          <w:ilvl w:val="0"/>
          <w:numId w:val="38"/>
        </w:numPr>
        <w:tabs>
          <w:tab w:val="left" w:pos="340"/>
        </w:tabs>
        <w:spacing w:before="60" w:after="60"/>
        <w:jc w:val="both"/>
        <w:rPr>
          <w:rFonts w:ascii="Arial" w:hAnsi="Arial"/>
          <w:noProof/>
          <w:sz w:val="16"/>
          <w:szCs w:val="16"/>
        </w:rPr>
      </w:pPr>
      <w:r>
        <w:rPr>
          <w:rFonts w:ascii="Arial" w:hAnsi="Arial"/>
          <w:noProof/>
          <w:sz w:val="16"/>
          <w:szCs w:val="16"/>
        </w:rPr>
        <w:t>they are in the class of instruments that is subordinated to all other classes of instruments;</w:t>
      </w:r>
    </w:p>
    <w:p w:rsidR="005D6812" w:rsidRDefault="00AB2A2B">
      <w:pPr>
        <w:pStyle w:val="Normal2"/>
        <w:numPr>
          <w:ilvl w:val="0"/>
          <w:numId w:val="38"/>
        </w:numPr>
        <w:tabs>
          <w:tab w:val="left" w:pos="340"/>
        </w:tabs>
        <w:spacing w:before="60" w:after="60"/>
        <w:jc w:val="both"/>
        <w:rPr>
          <w:rFonts w:ascii="Arial" w:hAnsi="Arial"/>
          <w:noProof/>
          <w:sz w:val="16"/>
          <w:szCs w:val="16"/>
        </w:rPr>
      </w:pPr>
      <w:r>
        <w:rPr>
          <w:rFonts w:ascii="Arial" w:hAnsi="Arial"/>
          <w:noProof/>
          <w:sz w:val="16"/>
          <w:szCs w:val="16"/>
        </w:rPr>
        <w:t>all financial i</w:t>
      </w:r>
      <w:r>
        <w:rPr>
          <w:rFonts w:ascii="Arial" w:hAnsi="Arial"/>
          <w:noProof/>
          <w:sz w:val="16"/>
          <w:szCs w:val="16"/>
        </w:rPr>
        <w:t>nstruments in the class of instruments that are subordinated to all other classes of instruments have identical features;</w:t>
      </w:r>
    </w:p>
    <w:p w:rsidR="005D6812" w:rsidRDefault="00AB2A2B">
      <w:pPr>
        <w:pStyle w:val="Normal2"/>
        <w:numPr>
          <w:ilvl w:val="0"/>
          <w:numId w:val="38"/>
        </w:numPr>
        <w:tabs>
          <w:tab w:val="left" w:pos="340"/>
        </w:tabs>
        <w:spacing w:before="60" w:after="60"/>
        <w:jc w:val="both"/>
        <w:rPr>
          <w:rFonts w:ascii="Arial" w:hAnsi="Arial"/>
          <w:noProof/>
          <w:sz w:val="16"/>
          <w:szCs w:val="16"/>
        </w:rPr>
      </w:pPr>
      <w:r>
        <w:rPr>
          <w:rFonts w:ascii="Arial" w:hAnsi="Arial"/>
          <w:noProof/>
          <w:sz w:val="16"/>
          <w:szCs w:val="16"/>
        </w:rPr>
        <w:t>the instrument does not include any features that would require classification as a liability; and</w:t>
      </w:r>
    </w:p>
    <w:p w:rsidR="005D6812" w:rsidRDefault="00AB2A2B">
      <w:pPr>
        <w:pStyle w:val="Normal2"/>
        <w:numPr>
          <w:ilvl w:val="0"/>
          <w:numId w:val="38"/>
        </w:numPr>
        <w:tabs>
          <w:tab w:val="left" w:pos="340"/>
        </w:tabs>
        <w:spacing w:before="60" w:after="60"/>
        <w:jc w:val="both"/>
        <w:rPr>
          <w:rFonts w:ascii="Arial" w:hAnsi="Arial"/>
          <w:noProof/>
          <w:sz w:val="16"/>
          <w:szCs w:val="16"/>
        </w:rPr>
      </w:pPr>
      <w:r>
        <w:rPr>
          <w:rFonts w:ascii="Arial" w:hAnsi="Arial"/>
          <w:noProof/>
          <w:sz w:val="16"/>
          <w:szCs w:val="16"/>
        </w:rPr>
        <w:t>the total expected cash flows attri</w:t>
      </w:r>
      <w:r>
        <w:rPr>
          <w:rFonts w:ascii="Arial" w:hAnsi="Arial"/>
          <w:noProof/>
          <w:sz w:val="16"/>
          <w:szCs w:val="16"/>
        </w:rPr>
        <w:t>butable to the instrument over its life are based substantially on the profit or loss, the change in the recognised net assets or the change in the fair value of the recognised and unrecognised net assets of the Facility over the life of the instrument.</w:t>
      </w:r>
    </w:p>
    <w:p w:rsidR="005D6812" w:rsidRDefault="005D6812">
      <w:pPr>
        <w:pStyle w:val="Normal2"/>
        <w:tabs>
          <w:tab w:val="left" w:pos="340"/>
        </w:tabs>
        <w:spacing w:before="60" w:after="60"/>
        <w:jc w:val="both"/>
        <w:rPr>
          <w:rFonts w:ascii="Arial" w:hAnsi="Arial"/>
          <w:noProof/>
          <w:sz w:val="16"/>
          <w:szCs w:val="16"/>
        </w:rPr>
      </w:pPr>
    </w:p>
    <w:p w:rsidR="005D6812" w:rsidRDefault="00AB2A2B">
      <w:pPr>
        <w:pStyle w:val="Title1110"/>
        <w:numPr>
          <w:ilvl w:val="2"/>
          <w:numId w:val="27"/>
        </w:numPr>
        <w:spacing w:before="60" w:after="60"/>
        <w:rPr>
          <w:noProof/>
          <w:sz w:val="16"/>
          <w:szCs w:val="16"/>
        </w:rPr>
      </w:pPr>
      <w:r>
        <w:rPr>
          <w:noProof/>
          <w:sz w:val="16"/>
          <w:szCs w:val="16"/>
        </w:rPr>
        <w:t xml:space="preserve"> </w:t>
      </w:r>
      <w:r>
        <w:rPr>
          <w:noProof/>
          <w:sz w:val="16"/>
          <w:szCs w:val="16"/>
        </w:rPr>
        <w:tab/>
        <w:t>Interest income on loans</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Interest on loans originated by the Facility is recorded in the statement of profit or loss and other comprehensive income (‘Interest and similar income’) and on the statement of financial position (‘Loans and receivables’) on an</w:t>
      </w:r>
      <w:r>
        <w:rPr>
          <w:rFonts w:ascii="Arial" w:hAnsi="Arial"/>
          <w:noProof/>
          <w:sz w:val="16"/>
          <w:szCs w:val="16"/>
        </w:rPr>
        <w:t xml:space="preserve"> accrual basis using the effective interest rate, which is the rate that exactly discounts estimated future cash payments or receipts through the expected life of the loan to the net carrying amount of the loan. Once the recorded value of a loan has been r</w:t>
      </w:r>
      <w:r>
        <w:rPr>
          <w:rFonts w:ascii="Arial" w:hAnsi="Arial"/>
          <w:noProof/>
          <w:sz w:val="16"/>
          <w:szCs w:val="16"/>
        </w:rPr>
        <w:t>educed due to impairment, interest income continues to be recognised using the original effective interest rate applied to the new carrying amount.</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Commitment fees are deferred and recognised in income using the effective interest method over the period f</w:t>
      </w:r>
      <w:r>
        <w:rPr>
          <w:rFonts w:ascii="Arial" w:hAnsi="Arial"/>
          <w:noProof/>
          <w:sz w:val="16"/>
          <w:szCs w:val="16"/>
        </w:rPr>
        <w:t>rom disbursement to repayment of the related loan, and are presented in the statement of profit or loss and other comprehensive income within interest and similar income.</w:t>
      </w:r>
    </w:p>
    <w:p w:rsidR="005D6812" w:rsidRDefault="005D6812">
      <w:pPr>
        <w:pStyle w:val="Normal2"/>
        <w:spacing w:before="60" w:after="60"/>
        <w:jc w:val="both"/>
        <w:rPr>
          <w:rFonts w:ascii="Arial" w:hAnsi="Arial"/>
          <w:noProof/>
          <w:sz w:val="16"/>
          <w:szCs w:val="16"/>
        </w:rPr>
      </w:pPr>
    </w:p>
    <w:p w:rsidR="005D6812" w:rsidRDefault="00AB2A2B">
      <w:pPr>
        <w:pStyle w:val="Title1110"/>
        <w:numPr>
          <w:ilvl w:val="2"/>
          <w:numId w:val="27"/>
        </w:numPr>
        <w:spacing w:before="60" w:after="60"/>
        <w:rPr>
          <w:noProof/>
          <w:sz w:val="16"/>
          <w:szCs w:val="16"/>
        </w:rPr>
      </w:pPr>
      <w:r>
        <w:rPr>
          <w:noProof/>
          <w:sz w:val="16"/>
          <w:szCs w:val="16"/>
        </w:rPr>
        <w:t xml:space="preserve"> </w:t>
      </w:r>
      <w:r>
        <w:rPr>
          <w:noProof/>
          <w:sz w:val="16"/>
          <w:szCs w:val="16"/>
        </w:rPr>
        <w:tab/>
        <w:t>Interest subsidies and technical assistance</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As part of its activity, the Facility</w:t>
      </w:r>
      <w:r>
        <w:rPr>
          <w:rFonts w:ascii="Arial" w:hAnsi="Arial"/>
          <w:noProof/>
          <w:sz w:val="16"/>
          <w:szCs w:val="16"/>
        </w:rPr>
        <w:t xml:space="preserve"> manages interest subsidies and technical assistance on behalf of the Member States.</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The part of the Member States contributions allocated to the payment of interest subsidies and TA is not accounted for in the Facility’s contributors’ resources but is cl</w:t>
      </w:r>
      <w:r>
        <w:rPr>
          <w:rFonts w:ascii="Arial" w:hAnsi="Arial"/>
          <w:noProof/>
          <w:sz w:val="16"/>
          <w:szCs w:val="16"/>
        </w:rPr>
        <w:t>assified as amounts owed to third parties. The Facility operates the disbursement to the final beneficiaries and then decreases the amounts owed to third parties.</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When amounts contributed with regard to interest subsidies and TA are not fully granted, the</w:t>
      </w:r>
      <w:r>
        <w:rPr>
          <w:rFonts w:ascii="Arial" w:hAnsi="Arial"/>
          <w:noProof/>
          <w:sz w:val="16"/>
          <w:szCs w:val="16"/>
        </w:rPr>
        <w:t>y are reclassified as contribution to the Facility.</w:t>
      </w:r>
    </w:p>
    <w:p w:rsidR="005D6812" w:rsidRDefault="005D6812">
      <w:pPr>
        <w:pStyle w:val="Normal2"/>
        <w:suppressAutoHyphens w:val="0"/>
        <w:rPr>
          <w:rFonts w:ascii="Arial" w:hAnsi="Arial"/>
          <w:noProof/>
          <w:sz w:val="16"/>
          <w:szCs w:val="16"/>
        </w:rPr>
      </w:pPr>
    </w:p>
    <w:p w:rsidR="005D6812" w:rsidRDefault="00AB2A2B">
      <w:pPr>
        <w:pStyle w:val="Title1110"/>
        <w:numPr>
          <w:ilvl w:val="2"/>
          <w:numId w:val="27"/>
        </w:numPr>
        <w:spacing w:before="60" w:after="60"/>
        <w:rPr>
          <w:noProof/>
          <w:sz w:val="16"/>
          <w:szCs w:val="16"/>
        </w:rPr>
      </w:pPr>
      <w:r>
        <w:rPr>
          <w:noProof/>
          <w:sz w:val="16"/>
          <w:szCs w:val="16"/>
        </w:rPr>
        <w:t xml:space="preserve"> </w:t>
      </w:r>
      <w:r>
        <w:rPr>
          <w:noProof/>
          <w:sz w:val="16"/>
          <w:szCs w:val="16"/>
        </w:rPr>
        <w:tab/>
        <w:t>Interest income on cash and cash equivalents</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 xml:space="preserve">Interest income on cash and cash equivalents is recognised in the statement of profit or loss and other comprehensive income of the Facility on an accrual </w:t>
      </w:r>
      <w:r>
        <w:rPr>
          <w:rFonts w:ascii="Arial" w:hAnsi="Arial"/>
          <w:noProof/>
          <w:sz w:val="16"/>
          <w:szCs w:val="16"/>
        </w:rPr>
        <w:t>basis.</w:t>
      </w:r>
    </w:p>
    <w:p w:rsidR="005D6812" w:rsidRDefault="005D6812">
      <w:pPr>
        <w:pStyle w:val="Normal2"/>
        <w:suppressAutoHyphens w:val="0"/>
        <w:rPr>
          <w:rFonts w:ascii="Arial" w:hAnsi="Arial"/>
          <w:noProof/>
          <w:sz w:val="16"/>
          <w:szCs w:val="16"/>
        </w:rPr>
      </w:pPr>
    </w:p>
    <w:p w:rsidR="005D6812" w:rsidRDefault="00AB2A2B">
      <w:pPr>
        <w:pStyle w:val="Title1110"/>
        <w:numPr>
          <w:ilvl w:val="2"/>
          <w:numId w:val="27"/>
        </w:numPr>
        <w:spacing w:before="60" w:after="60"/>
        <w:rPr>
          <w:noProof/>
          <w:sz w:val="16"/>
          <w:szCs w:val="16"/>
        </w:rPr>
      </w:pPr>
      <w:r>
        <w:rPr>
          <w:noProof/>
          <w:sz w:val="16"/>
          <w:szCs w:val="16"/>
        </w:rPr>
        <w:t>Fees, commissions and dividends</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Fees received in respect of services provided over a period of time are recognised as income as the services are provided, while fees that are earned on the execution of a significant act are recognised as income when the significant act has been completed</w:t>
      </w:r>
      <w:r>
        <w:rPr>
          <w:rFonts w:ascii="Arial" w:hAnsi="Arial"/>
          <w:noProof/>
          <w:sz w:val="16"/>
          <w:szCs w:val="16"/>
        </w:rPr>
        <w:t xml:space="preserve">. These fees are presented in the statement of profit or loss and other comprehensive income within fee and commission income. </w:t>
      </w:r>
    </w:p>
    <w:p w:rsidR="005D6812" w:rsidRDefault="005D6812">
      <w:pPr>
        <w:pStyle w:val="Normal2"/>
        <w:spacing w:before="60" w:after="60"/>
        <w:jc w:val="both"/>
        <w:rPr>
          <w:rFonts w:ascii="Arial" w:hAnsi="Arial"/>
          <w:noProof/>
          <w:sz w:val="16"/>
          <w:szCs w:val="16"/>
        </w:rPr>
      </w:pPr>
    </w:p>
    <w:p w:rsidR="005D6812" w:rsidRDefault="00AB2A2B">
      <w:pPr>
        <w:pStyle w:val="Normal2"/>
        <w:spacing w:before="60" w:after="60"/>
        <w:jc w:val="both"/>
        <w:rPr>
          <w:rFonts w:ascii="Arial" w:hAnsi="Arial"/>
          <w:noProof/>
          <w:sz w:val="16"/>
          <w:szCs w:val="16"/>
        </w:rPr>
      </w:pPr>
      <w:r>
        <w:rPr>
          <w:rFonts w:ascii="Arial" w:hAnsi="Arial"/>
          <w:noProof/>
          <w:sz w:val="16"/>
          <w:szCs w:val="16"/>
        </w:rPr>
        <w:t>Dividends relating to available-for-sale financial assets are recognised when received and presented in the statement of profit</w:t>
      </w:r>
      <w:r>
        <w:rPr>
          <w:rFonts w:ascii="Arial" w:hAnsi="Arial"/>
          <w:noProof/>
          <w:sz w:val="16"/>
          <w:szCs w:val="16"/>
        </w:rPr>
        <w:t xml:space="preserve"> or loss and other comprehensive income within net realised gains on available-for-sale financial assets.</w:t>
      </w:r>
    </w:p>
    <w:p w:rsidR="005D6812" w:rsidRDefault="005D6812">
      <w:pPr>
        <w:pStyle w:val="Normal2"/>
        <w:spacing w:before="60" w:after="60"/>
        <w:jc w:val="both"/>
        <w:rPr>
          <w:rFonts w:ascii="Arial" w:hAnsi="Arial"/>
          <w:noProof/>
          <w:sz w:val="16"/>
          <w:szCs w:val="16"/>
        </w:rPr>
      </w:pPr>
    </w:p>
    <w:p w:rsidR="005D6812" w:rsidRDefault="00AB2A2B">
      <w:pPr>
        <w:pStyle w:val="Title1110"/>
        <w:numPr>
          <w:ilvl w:val="1"/>
          <w:numId w:val="27"/>
        </w:numPr>
        <w:spacing w:before="60" w:after="60"/>
        <w:rPr>
          <w:noProof/>
          <w:sz w:val="16"/>
          <w:szCs w:val="16"/>
        </w:rPr>
      </w:pPr>
      <w:r>
        <w:rPr>
          <w:noProof/>
          <w:sz w:val="16"/>
          <w:szCs w:val="16"/>
        </w:rPr>
        <w:t>Taxation</w:t>
      </w:r>
    </w:p>
    <w:p w:rsidR="005D6812" w:rsidRDefault="005D6812">
      <w:pPr>
        <w:pStyle w:val="Normal2"/>
        <w:spacing w:before="60" w:after="60"/>
        <w:jc w:val="both"/>
        <w:rPr>
          <w:rFonts w:ascii="Arial" w:hAnsi="Arial"/>
          <w:noProof/>
          <w:sz w:val="16"/>
          <w:szCs w:val="16"/>
        </w:rPr>
      </w:pPr>
    </w:p>
    <w:p w:rsidR="005D6812" w:rsidRDefault="00AB2A2B">
      <w:pPr>
        <w:pStyle w:val="xx0"/>
        <w:spacing w:before="60" w:after="60"/>
        <w:rPr>
          <w:rFonts w:ascii="Arial" w:hAnsi="Arial"/>
          <w:noProof/>
          <w:sz w:val="16"/>
          <w:szCs w:val="16"/>
        </w:rPr>
      </w:pPr>
      <w:r>
        <w:rPr>
          <w:rFonts w:ascii="Arial" w:hAnsi="Arial"/>
          <w:noProof/>
          <w:sz w:val="16"/>
          <w:szCs w:val="16"/>
        </w:rPr>
        <w:t xml:space="preserve">The Protocol on the Privileges and Immunities of the European Union, appended to the treaty on the European Union and the treaty of the </w:t>
      </w:r>
      <w:r>
        <w:rPr>
          <w:rFonts w:ascii="Arial" w:hAnsi="Arial"/>
          <w:noProof/>
          <w:sz w:val="16"/>
          <w:szCs w:val="16"/>
        </w:rPr>
        <w:t>functioning of the European Union, stipulates that the assets, revenues and other property of the Institutions of the Union are exempt from all direct taxes.</w:t>
      </w:r>
    </w:p>
    <w:p w:rsidR="005D6812" w:rsidRDefault="00AB2A2B">
      <w:pPr>
        <w:pStyle w:val="Notes2"/>
        <w:pageBreakBefore/>
        <w:numPr>
          <w:ilvl w:val="0"/>
          <w:numId w:val="0"/>
        </w:numPr>
        <w:ind w:left="432" w:hanging="432"/>
        <w:rPr>
          <w:noProof/>
        </w:rPr>
      </w:pPr>
      <w:r>
        <w:rPr>
          <w:noProof/>
        </w:rPr>
        <w:t>3</w:t>
      </w:r>
      <w:r>
        <w:rPr>
          <w:noProof/>
        </w:rPr>
        <w:tab/>
        <w:t>Risk Management</w:t>
      </w:r>
    </w:p>
    <w:p w:rsidR="005D6812" w:rsidRDefault="005D6812">
      <w:pPr>
        <w:pStyle w:val="Title12"/>
        <w:numPr>
          <w:ilvl w:val="0"/>
          <w:numId w:val="0"/>
        </w:numPr>
        <w:spacing w:before="60" w:after="60"/>
        <w:rPr>
          <w:noProof/>
          <w:sz w:val="16"/>
          <w:szCs w:val="16"/>
        </w:rPr>
      </w:pPr>
    </w:p>
    <w:p w:rsidR="005D6812" w:rsidRDefault="00AB2A2B">
      <w:pPr>
        <w:pStyle w:val="Notes2"/>
        <w:numPr>
          <w:ilvl w:val="0"/>
          <w:numId w:val="0"/>
        </w:numPr>
        <w:tabs>
          <w:tab w:val="clear" w:pos="4320"/>
          <w:tab w:val="clear" w:pos="8640"/>
          <w:tab w:val="right" w:pos="-2700"/>
        </w:tabs>
        <w:spacing w:before="60" w:after="60"/>
        <w:rPr>
          <w:b w:val="0"/>
          <w:iCs/>
          <w:noProof/>
          <w:sz w:val="16"/>
          <w:szCs w:val="16"/>
        </w:rPr>
      </w:pPr>
      <w:r>
        <w:rPr>
          <w:b w:val="0"/>
          <w:iCs/>
          <w:noProof/>
          <w:sz w:val="16"/>
          <w:szCs w:val="16"/>
        </w:rPr>
        <w:t>This note presents information about the Facility’s exposure to and its managem</w:t>
      </w:r>
      <w:r>
        <w:rPr>
          <w:b w:val="0"/>
          <w:iCs/>
          <w:noProof/>
          <w:sz w:val="16"/>
          <w:szCs w:val="16"/>
        </w:rPr>
        <w:t>ent and control of credit and financial risks, in particular the primary risks associated with its use of financial instruments. These are:</w:t>
      </w:r>
    </w:p>
    <w:p w:rsidR="005D6812" w:rsidRDefault="005D6812">
      <w:pPr>
        <w:pStyle w:val="Notes2"/>
        <w:numPr>
          <w:ilvl w:val="0"/>
          <w:numId w:val="0"/>
        </w:numPr>
        <w:tabs>
          <w:tab w:val="clear" w:pos="4320"/>
          <w:tab w:val="clear" w:pos="8640"/>
          <w:tab w:val="right" w:pos="-2700"/>
        </w:tabs>
        <w:spacing w:before="60" w:after="60"/>
        <w:rPr>
          <w:b w:val="0"/>
          <w:iCs/>
          <w:noProof/>
          <w:sz w:val="16"/>
          <w:szCs w:val="16"/>
        </w:rPr>
      </w:pPr>
    </w:p>
    <w:p w:rsidR="005D6812" w:rsidRDefault="00AB2A2B">
      <w:pPr>
        <w:pStyle w:val="Notes2"/>
        <w:numPr>
          <w:ilvl w:val="0"/>
          <w:numId w:val="40"/>
        </w:numPr>
        <w:spacing w:before="60" w:after="60"/>
        <w:rPr>
          <w:b w:val="0"/>
          <w:noProof/>
          <w:sz w:val="16"/>
          <w:szCs w:val="16"/>
        </w:rPr>
      </w:pPr>
      <w:r>
        <w:rPr>
          <w:b w:val="0"/>
          <w:noProof/>
          <w:sz w:val="16"/>
          <w:szCs w:val="16"/>
        </w:rPr>
        <w:t xml:space="preserve">credit risk – the risk of loss resulting from client or counterparty default and arising on credit exposure in all </w:t>
      </w:r>
      <w:r>
        <w:rPr>
          <w:b w:val="0"/>
          <w:noProof/>
          <w:sz w:val="16"/>
          <w:szCs w:val="16"/>
        </w:rPr>
        <w:t>forms, including settlement risk;</w:t>
      </w:r>
    </w:p>
    <w:p w:rsidR="005D6812" w:rsidRDefault="00AB2A2B">
      <w:pPr>
        <w:pStyle w:val="Notes2"/>
        <w:numPr>
          <w:ilvl w:val="0"/>
          <w:numId w:val="40"/>
        </w:numPr>
        <w:spacing w:before="60" w:after="60"/>
        <w:rPr>
          <w:b w:val="0"/>
          <w:noProof/>
          <w:sz w:val="16"/>
          <w:szCs w:val="16"/>
        </w:rPr>
      </w:pPr>
      <w:r>
        <w:rPr>
          <w:b w:val="0"/>
          <w:noProof/>
          <w:sz w:val="16"/>
          <w:szCs w:val="16"/>
        </w:rPr>
        <w:t>liquidity risk – the risk that an entity is not able to fund increases in assets and meet obligations as they come due, without incurring unacceptable losses;</w:t>
      </w:r>
    </w:p>
    <w:p w:rsidR="005D6812" w:rsidRDefault="00AB2A2B">
      <w:pPr>
        <w:pStyle w:val="Notes2"/>
        <w:numPr>
          <w:ilvl w:val="0"/>
          <w:numId w:val="40"/>
        </w:numPr>
        <w:spacing w:before="60" w:after="60"/>
        <w:rPr>
          <w:noProof/>
          <w:sz w:val="16"/>
          <w:szCs w:val="16"/>
        </w:rPr>
      </w:pPr>
      <w:r>
        <w:rPr>
          <w:b w:val="0"/>
          <w:noProof/>
          <w:sz w:val="16"/>
          <w:szCs w:val="16"/>
        </w:rPr>
        <w:t xml:space="preserve">market risk – </w:t>
      </w:r>
      <w:r>
        <w:rPr>
          <w:b w:val="0"/>
          <w:noProof/>
          <w:sz w:val="16"/>
          <w:szCs w:val="16"/>
          <w:lang w:val="en-GB"/>
        </w:rPr>
        <w:t>the risk that changes in market prices and rates,</w:t>
      </w:r>
      <w:r>
        <w:rPr>
          <w:b w:val="0"/>
          <w:noProof/>
          <w:sz w:val="16"/>
          <w:szCs w:val="16"/>
          <w:lang w:val="en-GB"/>
        </w:rPr>
        <w:t xml:space="preserve"> such as interest rates, equity prices and foreign exchange rates will affect an entity’s income or the value of its holdings in financial instruments</w:t>
      </w:r>
      <w:r>
        <w:rPr>
          <w:b w:val="0"/>
          <w:noProof/>
          <w:sz w:val="16"/>
          <w:szCs w:val="16"/>
        </w:rPr>
        <w:t>.</w:t>
      </w:r>
    </w:p>
    <w:p w:rsidR="005D6812" w:rsidRDefault="005D6812">
      <w:pPr>
        <w:pStyle w:val="Notes2"/>
        <w:numPr>
          <w:ilvl w:val="0"/>
          <w:numId w:val="0"/>
        </w:numPr>
        <w:spacing w:before="60" w:after="60"/>
        <w:rPr>
          <w:b w:val="0"/>
          <w:noProof/>
          <w:sz w:val="16"/>
          <w:szCs w:val="16"/>
        </w:rPr>
      </w:pPr>
    </w:p>
    <w:p w:rsidR="005D6812" w:rsidRDefault="00AB2A2B">
      <w:pPr>
        <w:pStyle w:val="Title112"/>
        <w:spacing w:before="60" w:after="60"/>
        <w:rPr>
          <w:noProof/>
          <w:sz w:val="16"/>
          <w:szCs w:val="16"/>
        </w:rPr>
      </w:pPr>
      <w:r>
        <w:rPr>
          <w:noProof/>
          <w:sz w:val="16"/>
          <w:szCs w:val="16"/>
        </w:rPr>
        <w:t>Risk management organisation</w:t>
      </w:r>
    </w:p>
    <w:p w:rsidR="005D6812" w:rsidRDefault="005D6812">
      <w:pPr>
        <w:pStyle w:val="Title112"/>
        <w:numPr>
          <w:ilvl w:val="0"/>
          <w:numId w:val="0"/>
        </w:numPr>
        <w:spacing w:before="60" w:after="60"/>
        <w:jc w:val="center"/>
        <w:rPr>
          <w:noProof/>
          <w:sz w:val="16"/>
          <w:szCs w:val="16"/>
        </w:rPr>
      </w:pPr>
    </w:p>
    <w:p w:rsidR="005D6812" w:rsidRDefault="00AB2A2B">
      <w:pPr>
        <w:pStyle w:val="Notes2"/>
        <w:numPr>
          <w:ilvl w:val="0"/>
          <w:numId w:val="0"/>
        </w:numPr>
        <w:tabs>
          <w:tab w:val="clear" w:pos="4320"/>
          <w:tab w:val="clear" w:pos="8640"/>
          <w:tab w:val="right" w:pos="-2700"/>
        </w:tabs>
        <w:spacing w:before="60" w:after="60"/>
        <w:rPr>
          <w:b w:val="0"/>
          <w:noProof/>
          <w:sz w:val="16"/>
          <w:szCs w:val="16"/>
          <w:lang w:val="en-GB"/>
        </w:rPr>
      </w:pPr>
      <w:r>
        <w:rPr>
          <w:b w:val="0"/>
          <w:noProof/>
          <w:sz w:val="16"/>
          <w:szCs w:val="16"/>
          <w:lang w:val="en-GB"/>
        </w:rPr>
        <w:t>The European Investment Bank adapts its risk management on an ongoing bas</w:t>
      </w:r>
      <w:r>
        <w:rPr>
          <w:b w:val="0"/>
          <w:noProof/>
          <w:sz w:val="16"/>
          <w:szCs w:val="16"/>
          <w:lang w:val="en-GB"/>
        </w:rPr>
        <w:t>is.</w:t>
      </w:r>
    </w:p>
    <w:p w:rsidR="005D6812" w:rsidRDefault="005D6812">
      <w:pPr>
        <w:pStyle w:val="Title12"/>
        <w:numPr>
          <w:ilvl w:val="0"/>
          <w:numId w:val="0"/>
        </w:numPr>
        <w:spacing w:before="60" w:after="60"/>
        <w:rPr>
          <w:noProof/>
          <w:sz w:val="16"/>
          <w:szCs w:val="16"/>
        </w:rPr>
      </w:pPr>
    </w:p>
    <w:p w:rsidR="005D6812" w:rsidRDefault="00AB2A2B">
      <w:pPr>
        <w:pStyle w:val="Title12"/>
        <w:numPr>
          <w:ilvl w:val="0"/>
          <w:numId w:val="0"/>
        </w:numPr>
        <w:spacing w:before="60" w:after="60"/>
        <w:rPr>
          <w:b w:val="0"/>
          <w:noProof/>
          <w:sz w:val="16"/>
          <w:szCs w:val="16"/>
          <w:lang w:val="en-GB"/>
        </w:rPr>
      </w:pPr>
      <w:r>
        <w:rPr>
          <w:b w:val="0"/>
          <w:noProof/>
          <w:sz w:val="16"/>
          <w:szCs w:val="16"/>
          <w:lang w:val="en-GB"/>
        </w:rPr>
        <w:t>The Risk Management of EIB independently identifies, assesses, monitors and reports the risks to which the Facility is exposed. Within a framework whereby the segregation of duties is preserved, the Risk Management is independent of the Front Offices.</w:t>
      </w:r>
      <w:r>
        <w:rPr>
          <w:b w:val="0"/>
          <w:noProof/>
          <w:sz w:val="16"/>
          <w:szCs w:val="16"/>
          <w:lang w:val="en-GB"/>
        </w:rPr>
        <w:t xml:space="preserve"> At EIB level the Director General of Risk Management reports for risk matters to the designated Vice-President for Risk Management. The designated Vice-President is responsible for overseeing risk reporting to the European Investment Bank’s Management Com</w:t>
      </w:r>
      <w:r>
        <w:rPr>
          <w:b w:val="0"/>
          <w:noProof/>
          <w:sz w:val="16"/>
          <w:szCs w:val="16"/>
          <w:lang w:val="en-GB"/>
        </w:rPr>
        <w:t>mittee and the Board of Directors.</w:t>
      </w:r>
    </w:p>
    <w:p w:rsidR="005D6812" w:rsidRDefault="005D6812">
      <w:pPr>
        <w:pStyle w:val="Normal3"/>
        <w:tabs>
          <w:tab w:val="left" w:pos="1065"/>
        </w:tabs>
        <w:spacing w:before="60" w:after="60"/>
        <w:jc w:val="both"/>
        <w:rPr>
          <w:rFonts w:ascii="Arial" w:hAnsi="Arial" w:cs="Arial"/>
          <w:iCs/>
          <w:noProof/>
          <w:sz w:val="16"/>
          <w:szCs w:val="16"/>
          <w:lang w:eastAsia="en-GB"/>
        </w:rPr>
      </w:pPr>
    </w:p>
    <w:p w:rsidR="005D6812" w:rsidRDefault="00AB2A2B">
      <w:pPr>
        <w:pStyle w:val="Title113"/>
        <w:rPr>
          <w:noProof/>
          <w:sz w:val="16"/>
          <w:szCs w:val="16"/>
        </w:rPr>
      </w:pPr>
      <w:r>
        <w:rPr>
          <w:noProof/>
          <w:sz w:val="16"/>
          <w:szCs w:val="16"/>
        </w:rPr>
        <w:t>Credit risk</w:t>
      </w:r>
    </w:p>
    <w:p w:rsidR="005D6812" w:rsidRDefault="005D6812">
      <w:pPr>
        <w:pStyle w:val="Title113"/>
        <w:numPr>
          <w:ilvl w:val="0"/>
          <w:numId w:val="0"/>
        </w:numPr>
        <w:spacing w:before="60" w:after="60"/>
        <w:rPr>
          <w:noProof/>
          <w:sz w:val="16"/>
          <w:szCs w:val="16"/>
        </w:rPr>
      </w:pPr>
    </w:p>
    <w:p w:rsidR="005D6812" w:rsidRDefault="00AB2A2B">
      <w:pPr>
        <w:pStyle w:val="Normal4"/>
        <w:spacing w:before="60" w:after="60"/>
        <w:jc w:val="both"/>
        <w:rPr>
          <w:rFonts w:ascii="Arial" w:hAnsi="Arial"/>
          <w:noProof/>
          <w:sz w:val="16"/>
          <w:szCs w:val="16"/>
        </w:rPr>
      </w:pPr>
      <w:r>
        <w:rPr>
          <w:rFonts w:ascii="Arial" w:hAnsi="Arial"/>
          <w:noProof/>
          <w:sz w:val="16"/>
          <w:szCs w:val="16"/>
        </w:rPr>
        <w:t>Credit risk is the potential loss that could result from client or counterparty default and arising on credit exposure in all forms, including settlement.</w:t>
      </w:r>
    </w:p>
    <w:p w:rsidR="005D6812" w:rsidRDefault="005D6812">
      <w:pPr>
        <w:pStyle w:val="Normal4"/>
        <w:spacing w:before="60" w:after="60"/>
        <w:jc w:val="both"/>
        <w:rPr>
          <w:rFonts w:ascii="Arial" w:hAnsi="Arial"/>
          <w:noProof/>
          <w:sz w:val="16"/>
          <w:szCs w:val="16"/>
        </w:rPr>
      </w:pPr>
    </w:p>
    <w:p w:rsidR="005D6812" w:rsidRDefault="00AB2A2B">
      <w:pPr>
        <w:pStyle w:val="Title113"/>
        <w:numPr>
          <w:ilvl w:val="2"/>
          <w:numId w:val="41"/>
        </w:numPr>
        <w:rPr>
          <w:rStyle w:val="Title111Char1"/>
          <w:noProof/>
          <w:sz w:val="16"/>
          <w:szCs w:val="16"/>
        </w:rPr>
      </w:pPr>
      <w:r>
        <w:rPr>
          <w:rStyle w:val="Title111Char1"/>
          <w:noProof/>
          <w:sz w:val="16"/>
          <w:szCs w:val="16"/>
        </w:rPr>
        <w:t>Credit risk policy</w:t>
      </w:r>
    </w:p>
    <w:p w:rsidR="005D6812" w:rsidRDefault="005D6812">
      <w:pPr>
        <w:pStyle w:val="Normal4"/>
        <w:spacing w:before="60" w:after="60"/>
        <w:jc w:val="both"/>
        <w:rPr>
          <w:rFonts w:ascii="Arial" w:hAnsi="Arial"/>
          <w:noProof/>
          <w:sz w:val="16"/>
          <w:szCs w:val="16"/>
        </w:rPr>
      </w:pPr>
    </w:p>
    <w:p w:rsidR="005D6812" w:rsidRDefault="00AB2A2B">
      <w:pPr>
        <w:pStyle w:val="Normal4"/>
        <w:autoSpaceDE w:val="0"/>
        <w:autoSpaceDN w:val="0"/>
        <w:adjustRightInd w:val="0"/>
        <w:spacing w:before="60" w:after="60"/>
        <w:jc w:val="both"/>
        <w:rPr>
          <w:rFonts w:ascii="Arial" w:hAnsi="Arial"/>
          <w:noProof/>
          <w:sz w:val="16"/>
          <w:szCs w:val="16"/>
        </w:rPr>
      </w:pPr>
      <w:r>
        <w:rPr>
          <w:rFonts w:ascii="Arial" w:hAnsi="Arial"/>
          <w:noProof/>
          <w:sz w:val="16"/>
          <w:szCs w:val="16"/>
        </w:rPr>
        <w:t xml:space="preserve">In carrying out the credit </w:t>
      </w:r>
      <w:r>
        <w:rPr>
          <w:rFonts w:ascii="Arial" w:hAnsi="Arial"/>
          <w:noProof/>
          <w:sz w:val="16"/>
          <w:szCs w:val="16"/>
        </w:rPr>
        <w:t>analysis on loan counterparts, EIB assesses the credit risk and expected loss with a view to quantify and price the risk. EIB has developed an Internal Rating Methodology (IRM) to determine the Internal Ratings of its credit-relevant borrower/guarantor cou</w:t>
      </w:r>
      <w:r>
        <w:rPr>
          <w:rFonts w:ascii="Arial" w:hAnsi="Arial"/>
          <w:noProof/>
          <w:sz w:val="16"/>
          <w:szCs w:val="16"/>
        </w:rPr>
        <w:t xml:space="preserve">nterparts. The methodology is based on a system of scoring sheets tailored for each major credit counterpart type (e.g. Corporates, Banks, Public Sector Entities, etc). Taking into consideration both, Best Banking Practice and the principles set under the </w:t>
      </w:r>
      <w:r>
        <w:rPr>
          <w:rFonts w:ascii="Arial" w:hAnsi="Arial"/>
          <w:noProof/>
          <w:sz w:val="16"/>
          <w:szCs w:val="16"/>
        </w:rPr>
        <w:t>Basel International Capital Accord (Basel II), all counterparts that are material to the credit profile of a specific transaction are classified into internal rating categories using the IRM for the specific counterpart type. Each counterpart is assigned a</w:t>
      </w:r>
      <w:r>
        <w:rPr>
          <w:rFonts w:ascii="Arial" w:hAnsi="Arial"/>
          <w:noProof/>
          <w:sz w:val="16"/>
          <w:szCs w:val="16"/>
        </w:rPr>
        <w:t>n Internal Rating reflecting its probability of default foreign currency rating following an in-depth analysis of the counterpart’s business and financial risk profile and its country risk operating context.</w:t>
      </w:r>
    </w:p>
    <w:p w:rsidR="005D6812" w:rsidRDefault="005D6812">
      <w:pPr>
        <w:pStyle w:val="Normal4"/>
        <w:spacing w:before="60" w:after="60"/>
        <w:jc w:val="both"/>
        <w:rPr>
          <w:rFonts w:ascii="Arial" w:hAnsi="Arial"/>
          <w:noProof/>
          <w:sz w:val="16"/>
          <w:szCs w:val="16"/>
        </w:rPr>
      </w:pPr>
    </w:p>
    <w:p w:rsidR="005D6812" w:rsidRDefault="00AB2A2B">
      <w:pPr>
        <w:pStyle w:val="Normal4"/>
        <w:autoSpaceDE w:val="0"/>
        <w:autoSpaceDN w:val="0"/>
        <w:adjustRightInd w:val="0"/>
        <w:spacing w:before="60" w:after="240"/>
        <w:jc w:val="both"/>
        <w:rPr>
          <w:rFonts w:ascii="Arial" w:hAnsi="Arial"/>
          <w:noProof/>
          <w:sz w:val="16"/>
          <w:szCs w:val="16"/>
        </w:rPr>
      </w:pPr>
      <w:r>
        <w:rPr>
          <w:rFonts w:ascii="Arial" w:hAnsi="Arial"/>
          <w:noProof/>
          <w:sz w:val="16"/>
          <w:szCs w:val="16"/>
        </w:rPr>
        <w:t>The credit assessment of project finance and ot</w:t>
      </w:r>
      <w:r>
        <w:rPr>
          <w:rFonts w:ascii="Arial" w:hAnsi="Arial"/>
          <w:noProof/>
          <w:sz w:val="16"/>
          <w:szCs w:val="16"/>
        </w:rPr>
        <w:t>her structured limited recourse operations is using credit risk tools relevant for the sector, focused mainly on cash flow availability and debt service capacity. These tools include the analysis of projects’ contractual framework, counterpart’s analysis a</w:t>
      </w:r>
      <w:r>
        <w:rPr>
          <w:rFonts w:ascii="Arial" w:hAnsi="Arial"/>
          <w:noProof/>
          <w:sz w:val="16"/>
          <w:szCs w:val="16"/>
        </w:rPr>
        <w:t>nd cash flow simulations. Similarly to corporates and financial institutions, each project is assigned an internal risk rating.</w:t>
      </w:r>
    </w:p>
    <w:p w:rsidR="005D6812" w:rsidRDefault="00AB2A2B">
      <w:pPr>
        <w:pStyle w:val="Normal4"/>
        <w:autoSpaceDE w:val="0"/>
        <w:autoSpaceDN w:val="0"/>
        <w:adjustRightInd w:val="0"/>
        <w:spacing w:before="60" w:after="240"/>
        <w:jc w:val="both"/>
        <w:rPr>
          <w:rFonts w:ascii="Arial" w:hAnsi="Arial"/>
          <w:noProof/>
          <w:sz w:val="16"/>
          <w:szCs w:val="16"/>
        </w:rPr>
      </w:pPr>
      <w:r>
        <w:rPr>
          <w:rFonts w:ascii="Arial" w:hAnsi="Arial"/>
          <w:noProof/>
          <w:sz w:val="16"/>
          <w:szCs w:val="16"/>
        </w:rPr>
        <w:t xml:space="preserve">All Internal Ratings are monitored over loan life, and periodically updated. </w:t>
      </w:r>
    </w:p>
    <w:p w:rsidR="005D6812" w:rsidRDefault="00AB2A2B">
      <w:pPr>
        <w:pStyle w:val="Normal4"/>
        <w:autoSpaceDE w:val="0"/>
        <w:autoSpaceDN w:val="0"/>
        <w:adjustRightInd w:val="0"/>
        <w:spacing w:before="60" w:after="60"/>
        <w:jc w:val="both"/>
        <w:rPr>
          <w:rFonts w:ascii="Arial" w:hAnsi="Arial"/>
          <w:noProof/>
          <w:sz w:val="16"/>
          <w:szCs w:val="16"/>
        </w:rPr>
      </w:pPr>
      <w:r>
        <w:rPr>
          <w:rFonts w:ascii="Arial" w:hAnsi="Arial"/>
          <w:noProof/>
          <w:sz w:val="16"/>
          <w:szCs w:val="16"/>
        </w:rPr>
        <w:t>All non-sovereign (or non sovereign guaranteed/ass</w:t>
      </w:r>
      <w:r>
        <w:rPr>
          <w:rFonts w:ascii="Arial" w:hAnsi="Arial"/>
          <w:noProof/>
          <w:sz w:val="16"/>
          <w:szCs w:val="16"/>
        </w:rPr>
        <w:t>imilated) operations are subject to specific transaction-level and counterpart size limits. Counterpart limits are set at consolidated group exposure level, where applicable. Such limits typically reflect e.g. the size of counterparts own funds.</w:t>
      </w:r>
    </w:p>
    <w:p w:rsidR="005D6812" w:rsidRDefault="005D6812">
      <w:pPr>
        <w:pStyle w:val="Normal4"/>
        <w:autoSpaceDE w:val="0"/>
        <w:autoSpaceDN w:val="0"/>
        <w:adjustRightInd w:val="0"/>
        <w:spacing w:before="60" w:after="60"/>
        <w:jc w:val="both"/>
        <w:rPr>
          <w:rFonts w:ascii="Arial" w:hAnsi="Arial" w:cs="Arial"/>
          <w:iCs/>
          <w:noProof/>
          <w:sz w:val="16"/>
          <w:szCs w:val="16"/>
          <w:lang w:eastAsia="en-GB"/>
        </w:rPr>
      </w:pPr>
    </w:p>
    <w:p w:rsidR="005D6812" w:rsidRDefault="00AB2A2B">
      <w:pPr>
        <w:pStyle w:val="Normal4"/>
        <w:autoSpaceDE w:val="0"/>
        <w:autoSpaceDN w:val="0"/>
        <w:adjustRightInd w:val="0"/>
        <w:spacing w:before="60" w:after="60"/>
        <w:jc w:val="both"/>
        <w:rPr>
          <w:rFonts w:ascii="Arial" w:hAnsi="Arial" w:cs="Arial"/>
          <w:iCs/>
          <w:noProof/>
          <w:sz w:val="16"/>
          <w:szCs w:val="16"/>
          <w:lang w:eastAsia="en-GB"/>
        </w:rPr>
      </w:pPr>
      <w:r>
        <w:rPr>
          <w:rFonts w:ascii="Arial" w:hAnsi="Arial" w:cs="Arial"/>
          <w:iCs/>
          <w:noProof/>
          <w:sz w:val="16"/>
          <w:szCs w:val="16"/>
          <w:lang w:eastAsia="en-GB"/>
        </w:rPr>
        <w:t xml:space="preserve">In order </w:t>
      </w:r>
      <w:r>
        <w:rPr>
          <w:rFonts w:ascii="Arial" w:hAnsi="Arial" w:cs="Arial"/>
          <w:iCs/>
          <w:noProof/>
          <w:sz w:val="16"/>
          <w:szCs w:val="16"/>
          <w:lang w:eastAsia="en-GB"/>
        </w:rPr>
        <w:t>to mitigate credit risk the EIB uses, where appropriate and on a case by case basis, various credit enhancements which are:</w:t>
      </w:r>
    </w:p>
    <w:p w:rsidR="005D6812" w:rsidRDefault="005D6812">
      <w:pPr>
        <w:pStyle w:val="Normal4"/>
        <w:tabs>
          <w:tab w:val="left" w:pos="1065"/>
        </w:tabs>
        <w:suppressAutoHyphens w:val="0"/>
        <w:autoSpaceDE w:val="0"/>
        <w:autoSpaceDN w:val="0"/>
        <w:adjustRightInd w:val="0"/>
        <w:spacing w:before="60" w:after="60"/>
        <w:rPr>
          <w:rFonts w:ascii="Arial" w:hAnsi="Arial" w:cs="Arial"/>
          <w:iCs/>
          <w:noProof/>
          <w:sz w:val="16"/>
          <w:szCs w:val="16"/>
          <w:lang w:eastAsia="en-GB"/>
        </w:rPr>
      </w:pPr>
    </w:p>
    <w:p w:rsidR="005D6812" w:rsidRDefault="00AB2A2B">
      <w:pPr>
        <w:pStyle w:val="Normal4"/>
        <w:numPr>
          <w:ilvl w:val="0"/>
          <w:numId w:val="43"/>
        </w:numPr>
        <w:tabs>
          <w:tab w:val="left" w:pos="1065"/>
        </w:tabs>
        <w:suppressAutoHyphens w:val="0"/>
        <w:autoSpaceDE w:val="0"/>
        <w:autoSpaceDN w:val="0"/>
        <w:adjustRightInd w:val="0"/>
        <w:spacing w:before="60" w:after="60"/>
        <w:rPr>
          <w:rFonts w:ascii="Arial" w:hAnsi="Arial" w:cs="Arial"/>
          <w:iCs/>
          <w:noProof/>
          <w:sz w:val="16"/>
          <w:szCs w:val="16"/>
          <w:lang w:eastAsia="en-GB"/>
        </w:rPr>
      </w:pPr>
      <w:r>
        <w:rPr>
          <w:rFonts w:ascii="Arial" w:hAnsi="Arial" w:cs="Arial"/>
          <w:iCs/>
          <w:noProof/>
          <w:sz w:val="16"/>
          <w:szCs w:val="16"/>
          <w:lang w:eastAsia="en-GB"/>
        </w:rPr>
        <w:t>Counterparty or project related securities (e.g., pledge over the shares; pledge over the assets; assignment of rights; pledge over</w:t>
      </w:r>
      <w:r>
        <w:rPr>
          <w:rFonts w:ascii="Arial" w:hAnsi="Arial" w:cs="Arial"/>
          <w:iCs/>
          <w:noProof/>
          <w:sz w:val="16"/>
          <w:szCs w:val="16"/>
          <w:lang w:eastAsia="en-GB"/>
        </w:rPr>
        <w:t xml:space="preserve"> the accounts); or/and</w:t>
      </w:r>
    </w:p>
    <w:p w:rsidR="005D6812" w:rsidRDefault="00AB2A2B">
      <w:pPr>
        <w:pStyle w:val="Normal4"/>
        <w:numPr>
          <w:ilvl w:val="0"/>
          <w:numId w:val="43"/>
        </w:numPr>
        <w:tabs>
          <w:tab w:val="left" w:pos="1065"/>
        </w:tabs>
        <w:suppressAutoHyphens w:val="0"/>
        <w:autoSpaceDE w:val="0"/>
        <w:autoSpaceDN w:val="0"/>
        <w:adjustRightInd w:val="0"/>
        <w:spacing w:before="60" w:after="60"/>
        <w:rPr>
          <w:rFonts w:ascii="Arial" w:hAnsi="Arial" w:cs="Arial"/>
          <w:iCs/>
          <w:noProof/>
          <w:sz w:val="16"/>
          <w:szCs w:val="16"/>
          <w:lang w:eastAsia="en-GB"/>
        </w:rPr>
      </w:pPr>
      <w:r>
        <w:rPr>
          <w:rFonts w:ascii="Arial" w:hAnsi="Arial" w:cs="Arial"/>
          <w:iCs/>
          <w:noProof/>
          <w:sz w:val="16"/>
          <w:szCs w:val="16"/>
          <w:lang w:eastAsia="en-GB"/>
        </w:rPr>
        <w:t>guarantees, generally provided by the sponsor of the financed project (e.g., completion guarantees, first demand guarantees) or bank guarantees.</w:t>
      </w:r>
    </w:p>
    <w:p w:rsidR="005D6812" w:rsidRDefault="005D6812">
      <w:pPr>
        <w:pStyle w:val="Normal4"/>
        <w:tabs>
          <w:tab w:val="left" w:pos="1065"/>
        </w:tabs>
        <w:spacing w:before="60" w:after="60"/>
        <w:jc w:val="both"/>
        <w:rPr>
          <w:rFonts w:ascii="Arial" w:hAnsi="Arial" w:cs="Arial"/>
          <w:iCs/>
          <w:noProof/>
          <w:sz w:val="16"/>
          <w:szCs w:val="16"/>
          <w:lang w:eastAsia="en-GB"/>
        </w:rPr>
      </w:pPr>
    </w:p>
    <w:p w:rsidR="005D6812" w:rsidRDefault="00AB2A2B">
      <w:pPr>
        <w:pStyle w:val="Normal4"/>
        <w:tabs>
          <w:tab w:val="left" w:pos="1065"/>
        </w:tabs>
        <w:spacing w:before="60" w:after="60"/>
        <w:jc w:val="both"/>
        <w:rPr>
          <w:rFonts w:ascii="Arial" w:hAnsi="Arial" w:cs="Arial"/>
          <w:iCs/>
          <w:noProof/>
          <w:sz w:val="16"/>
          <w:szCs w:val="16"/>
          <w:lang w:eastAsia="en-GB"/>
        </w:rPr>
      </w:pPr>
      <w:r>
        <w:rPr>
          <w:rFonts w:ascii="Arial" w:hAnsi="Arial" w:cs="Arial"/>
          <w:iCs/>
          <w:noProof/>
          <w:sz w:val="16"/>
          <w:szCs w:val="16"/>
          <w:lang w:eastAsia="en-GB"/>
        </w:rPr>
        <w:t>The Facility does not use any credit derivatives to mitigate credit risk.</w:t>
      </w:r>
    </w:p>
    <w:p w:rsidR="005D6812" w:rsidRDefault="00AB2A2B">
      <w:pPr>
        <w:pStyle w:val="Title3210"/>
        <w:pageBreakBefore/>
        <w:ind w:hanging="822"/>
        <w:rPr>
          <w:b w:val="0"/>
          <w:noProof/>
          <w:sz w:val="16"/>
          <w:szCs w:val="16"/>
        </w:rPr>
      </w:pPr>
      <w:r>
        <w:rPr>
          <w:b w:val="0"/>
          <w:noProof/>
          <w:sz w:val="16"/>
          <w:szCs w:val="16"/>
        </w:rPr>
        <w:t xml:space="preserve">Maximum </w:t>
      </w:r>
      <w:r>
        <w:rPr>
          <w:b w:val="0"/>
          <w:noProof/>
          <w:sz w:val="16"/>
          <w:szCs w:val="16"/>
        </w:rPr>
        <w:t>exposure to credit risk without taking into account any collateral and other credit enhancements</w:t>
      </w:r>
    </w:p>
    <w:p w:rsidR="005D6812" w:rsidRDefault="005D6812">
      <w:pPr>
        <w:pStyle w:val="Notes4"/>
        <w:numPr>
          <w:ilvl w:val="0"/>
          <w:numId w:val="0"/>
        </w:numPr>
        <w:tabs>
          <w:tab w:val="clear" w:pos="4320"/>
          <w:tab w:val="clear" w:pos="8640"/>
          <w:tab w:val="right" w:pos="-2700"/>
        </w:tabs>
        <w:spacing w:before="60" w:after="60"/>
        <w:ind w:left="431" w:hanging="431"/>
        <w:rPr>
          <w:noProof/>
          <w:sz w:val="16"/>
          <w:szCs w:val="16"/>
          <w:lang w:val="en-GB"/>
        </w:rPr>
      </w:pPr>
    </w:p>
    <w:p w:rsidR="005D6812" w:rsidRDefault="00AB2A2B">
      <w:pPr>
        <w:pStyle w:val="Notes4"/>
        <w:numPr>
          <w:ilvl w:val="0"/>
          <w:numId w:val="0"/>
        </w:numPr>
        <w:tabs>
          <w:tab w:val="clear" w:pos="4320"/>
          <w:tab w:val="clear" w:pos="8640"/>
          <w:tab w:val="right" w:pos="-2700"/>
          <w:tab w:val="right" w:pos="720"/>
        </w:tabs>
        <w:spacing w:before="60" w:after="60"/>
        <w:rPr>
          <w:b w:val="0"/>
          <w:iCs/>
          <w:noProof/>
          <w:sz w:val="16"/>
          <w:szCs w:val="16"/>
          <w:lang w:val="en-GB"/>
        </w:rPr>
      </w:pPr>
      <w:r>
        <w:rPr>
          <w:b w:val="0"/>
          <w:noProof/>
          <w:sz w:val="16"/>
          <w:szCs w:val="16"/>
          <w:lang w:val="en-GB"/>
        </w:rPr>
        <w:t>The following table shows the maximum exposure to credit risk for the components of the statement of financial position, including derivatives. The maximum ex</w:t>
      </w:r>
      <w:r>
        <w:rPr>
          <w:b w:val="0"/>
          <w:noProof/>
          <w:sz w:val="16"/>
          <w:szCs w:val="16"/>
          <w:lang w:val="en-GB"/>
        </w:rPr>
        <w:t>posure is shown gross, before the effect of mitigation through the use of collateral.</w:t>
      </w:r>
    </w:p>
    <w:p w:rsidR="005D6812" w:rsidRDefault="005D6812">
      <w:pPr>
        <w:pStyle w:val="Normal5"/>
        <w:suppressAutoHyphens w:val="0"/>
        <w:spacing w:before="60" w:after="60"/>
        <w:jc w:val="both"/>
        <w:rPr>
          <w:rFonts w:ascii="Arial" w:hAnsi="Arial"/>
          <w:noProof/>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5D6812">
        <w:trPr>
          <w:trHeight w:hRule="exact" w:val="255"/>
        </w:trPr>
        <w:tc>
          <w:tcPr>
            <w:tcW w:w="6975"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Maximum exposure (in EUR’000)</w:t>
            </w:r>
          </w:p>
        </w:tc>
        <w:tc>
          <w:tcPr>
            <w:tcW w:w="15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31.12.2016</w:t>
            </w:r>
          </w:p>
        </w:tc>
        <w:tc>
          <w:tcPr>
            <w:tcW w:w="15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31.12.2015</w:t>
            </w:r>
          </w:p>
        </w:tc>
      </w:tr>
      <w:tr w:rsidR="005D6812">
        <w:trPr>
          <w:trHeight w:hRule="exact" w:val="255"/>
        </w:trPr>
        <w:tc>
          <w:tcPr>
            <w:tcW w:w="6975"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ASSETS</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5D6812">
            <w:pPr>
              <w:rPr>
                <w:rFonts w:ascii="Arial" w:eastAsia="Arial" w:hAnsi="Arial" w:cs="Arial"/>
                <w:noProof/>
                <w:color w:val="000000"/>
                <w:sz w:val="16"/>
              </w:rPr>
            </w:pP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5D6812">
            <w:pPr>
              <w:rPr>
                <w:rFonts w:ascii="Arial" w:eastAsia="Arial" w:hAnsi="Arial" w:cs="Arial"/>
                <w:noProof/>
                <w:color w:val="000000"/>
                <w:sz w:val="16"/>
              </w:rPr>
            </w:pPr>
          </w:p>
        </w:tc>
      </w:tr>
      <w:tr w:rsidR="005D6812">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Cash and cash equivalents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360,817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448,995</w:t>
            </w:r>
          </w:p>
        </w:tc>
      </w:tr>
      <w:tr w:rsidR="005D6812">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Derivative financial instruments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6,920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311</w:t>
            </w:r>
          </w:p>
        </w:tc>
      </w:tr>
      <w:tr w:rsidR="005D6812">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Loans and </w:t>
            </w:r>
            <w:r>
              <w:rPr>
                <w:rFonts w:ascii="Arial" w:eastAsia="Arial" w:hAnsi="Arial" w:cs="Arial"/>
                <w:noProof/>
                <w:color w:val="000000"/>
                <w:sz w:val="16"/>
              </w:rPr>
              <w:t>receivables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1,729,380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1,460,057</w:t>
            </w:r>
          </w:p>
        </w:tc>
      </w:tr>
      <w:tr w:rsidR="005D6812">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Amounts receivable from contributors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86,395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 xml:space="preserve">- </w:t>
            </w:r>
          </w:p>
        </w:tc>
      </w:tr>
      <w:tr w:rsidR="005D6812">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Held-to-maturity financial assets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169,398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228,521</w:t>
            </w:r>
          </w:p>
        </w:tc>
      </w:tr>
      <w:tr w:rsidR="005D6812">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Other assets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345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27</w:t>
            </w:r>
          </w:p>
        </w:tc>
      </w:tr>
      <w:tr w:rsidR="005D6812">
        <w:trPr>
          <w:trHeight w:val="255"/>
        </w:trPr>
        <w:tc>
          <w:tcPr>
            <w:tcW w:w="6975" w:type="dxa"/>
            <w:tcBorders>
              <w:top w:val="nil"/>
              <w:left w:val="nil"/>
              <w:bottom w:val="nil"/>
              <w:right w:val="nil"/>
              <w:tl2br w:val="nil"/>
              <w:tr2bl w:val="nil"/>
            </w:tcBorders>
            <w:shd w:val="clear" w:color="FFFFFF" w:fill="C0C0C0"/>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assets</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2,353,255</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2,137,911</w:t>
            </w:r>
          </w:p>
        </w:tc>
      </w:tr>
      <w:tr w:rsidR="005D6812">
        <w:trPr>
          <w:trHeight w:hRule="exac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rPr>
                <w:rFonts w:ascii="Arial" w:eastAsia="Arial" w:hAnsi="Arial" w:cs="Arial"/>
                <w:noProof/>
                <w:color w:val="000000"/>
                <w:sz w:val="16"/>
              </w:rPr>
            </w:pPr>
          </w:p>
        </w:tc>
      </w:tr>
      <w:tr w:rsidR="005D6812">
        <w:trPr>
          <w:trHeight w:hRule="exac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OFF BALANCE SHEET</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rPr>
                <w:rFonts w:ascii="Arial" w:eastAsia="Arial" w:hAnsi="Arial" w:cs="Arial"/>
                <w:noProof/>
                <w:color w:val="000000"/>
                <w:sz w:val="16"/>
              </w:rPr>
            </w:pPr>
          </w:p>
        </w:tc>
      </w:tr>
      <w:tr w:rsidR="005D6812">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Contingent liabilities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 Signed </w:t>
            </w:r>
            <w:r>
              <w:rPr>
                <w:rFonts w:ascii="Arial" w:eastAsia="Arial" w:hAnsi="Arial" w:cs="Arial"/>
                <w:noProof/>
                <w:color w:val="000000"/>
                <w:sz w:val="16"/>
              </w:rPr>
              <w:t>non-issued guarantees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35,337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10,000</w:t>
            </w:r>
          </w:p>
        </w:tc>
      </w:tr>
      <w:tr w:rsidR="005D6812">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Commitments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Un-disbursed loans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901,899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1,189,564</w:t>
            </w:r>
          </w:p>
        </w:tc>
      </w:tr>
      <w:tr w:rsidR="005D6812">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Issued guarantees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8,627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798</w:t>
            </w:r>
          </w:p>
        </w:tc>
      </w:tr>
      <w:tr w:rsidR="005D6812">
        <w:trPr>
          <w:trHeight w:val="255"/>
        </w:trPr>
        <w:tc>
          <w:tcPr>
            <w:tcW w:w="6975" w:type="dxa"/>
            <w:tcBorders>
              <w:top w:val="nil"/>
              <w:left w:val="nil"/>
              <w:bottom w:val="nil"/>
              <w:right w:val="nil"/>
              <w:tl2br w:val="nil"/>
              <w:tr2bl w:val="nil"/>
            </w:tcBorders>
            <w:shd w:val="clear" w:color="FFFFFF" w:fill="C0C0C0"/>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off balance sheet</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945,863</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1,200,362</w:t>
            </w:r>
          </w:p>
        </w:tc>
      </w:tr>
      <w:tr w:rsidR="005D6812">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6975" w:type="dxa"/>
            <w:tcBorders>
              <w:top w:val="nil"/>
              <w:left w:val="nil"/>
              <w:bottom w:val="nil"/>
              <w:right w:val="nil"/>
              <w:tl2br w:val="nil"/>
              <w:tr2bl w:val="nil"/>
            </w:tcBorders>
            <w:shd w:val="clear" w:color="FFFFFF" w:fill="C0C0C0"/>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credit exposure</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3,299,118</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3,338,273</w:t>
            </w:r>
          </w:p>
        </w:tc>
      </w:tr>
    </w:tbl>
    <w:p w:rsidR="005D6812" w:rsidRDefault="005D6812">
      <w:pPr>
        <w:pStyle w:val="Normal6"/>
        <w:rPr>
          <w:b/>
          <w:noProof/>
          <w:sz w:val="16"/>
          <w:szCs w:val="16"/>
        </w:rPr>
      </w:pPr>
    </w:p>
    <w:p w:rsidR="005D6812" w:rsidRDefault="00AB2A2B">
      <w:pPr>
        <w:pStyle w:val="Title3211"/>
        <w:tabs>
          <w:tab w:val="clear" w:pos="822"/>
          <w:tab w:val="num" w:pos="709"/>
        </w:tabs>
        <w:ind w:hanging="822"/>
        <w:rPr>
          <w:b w:val="0"/>
          <w:noProof/>
          <w:sz w:val="16"/>
          <w:szCs w:val="16"/>
        </w:rPr>
      </w:pPr>
      <w:r>
        <w:rPr>
          <w:b w:val="0"/>
          <w:noProof/>
          <w:sz w:val="16"/>
          <w:szCs w:val="16"/>
        </w:rPr>
        <w:t>Credit risk on loans and receivables</w:t>
      </w:r>
    </w:p>
    <w:p w:rsidR="005D6812" w:rsidRDefault="005D6812">
      <w:pPr>
        <w:pStyle w:val="Notes5"/>
        <w:numPr>
          <w:ilvl w:val="0"/>
          <w:numId w:val="0"/>
        </w:numPr>
        <w:tabs>
          <w:tab w:val="clear" w:pos="4320"/>
          <w:tab w:val="clear" w:pos="8640"/>
          <w:tab w:val="right" w:pos="-2700"/>
          <w:tab w:val="right" w:pos="720"/>
        </w:tabs>
        <w:spacing w:before="60" w:after="60"/>
        <w:rPr>
          <w:bCs/>
          <w:noProof/>
          <w:sz w:val="16"/>
          <w:szCs w:val="16"/>
          <w:lang w:val="en-GB"/>
        </w:rPr>
      </w:pPr>
    </w:p>
    <w:p w:rsidR="005D6812" w:rsidRDefault="00AB2A2B">
      <w:pPr>
        <w:pStyle w:val="Notes5"/>
        <w:numPr>
          <w:ilvl w:val="3"/>
          <w:numId w:val="48"/>
        </w:numPr>
        <w:tabs>
          <w:tab w:val="clear" w:pos="4320"/>
          <w:tab w:val="clear" w:pos="8640"/>
          <w:tab w:val="right" w:pos="-2700"/>
          <w:tab w:val="right" w:pos="720"/>
        </w:tabs>
        <w:spacing w:before="60" w:after="60"/>
        <w:rPr>
          <w:b w:val="0"/>
          <w:bCs/>
          <w:noProof/>
          <w:sz w:val="16"/>
          <w:szCs w:val="16"/>
          <w:lang w:val="en-GB"/>
        </w:rPr>
      </w:pPr>
      <w:r>
        <w:rPr>
          <w:b w:val="0"/>
          <w:bCs/>
          <w:noProof/>
          <w:sz w:val="16"/>
          <w:szCs w:val="16"/>
          <w:lang w:val="en-GB"/>
        </w:rPr>
        <w:t>Credit risk measurement for loans and receivables</w:t>
      </w:r>
    </w:p>
    <w:p w:rsidR="005D6812" w:rsidRDefault="005D6812">
      <w:pPr>
        <w:pStyle w:val="Notes5"/>
        <w:numPr>
          <w:ilvl w:val="0"/>
          <w:numId w:val="0"/>
        </w:numPr>
        <w:tabs>
          <w:tab w:val="clear" w:pos="4320"/>
          <w:tab w:val="clear" w:pos="8640"/>
          <w:tab w:val="right" w:pos="-2700"/>
          <w:tab w:val="right" w:pos="720"/>
        </w:tabs>
        <w:spacing w:before="60" w:after="60"/>
        <w:rPr>
          <w:b w:val="0"/>
          <w:noProof/>
          <w:sz w:val="16"/>
          <w:szCs w:val="16"/>
          <w:lang w:val="en-GB"/>
        </w:rPr>
      </w:pPr>
    </w:p>
    <w:p w:rsidR="005D6812" w:rsidRDefault="00AB2A2B">
      <w:pPr>
        <w:pStyle w:val="FootnoteText"/>
        <w:rPr>
          <w:rFonts w:ascii="Arial" w:hAnsi="Arial"/>
          <w:noProof/>
          <w:sz w:val="16"/>
          <w:szCs w:val="16"/>
        </w:rPr>
      </w:pPr>
      <w:r>
        <w:rPr>
          <w:rFonts w:ascii="Arial" w:hAnsi="Arial"/>
          <w:noProof/>
          <w:sz w:val="16"/>
          <w:szCs w:val="16"/>
        </w:rPr>
        <w:t>Each and every loan or guarantee undertaken by the Facility benefits from a comprehensive risk assessment and quantification of expected loss estimates that are reflected in a Loan Grading (“LG”). Operatio</w:t>
      </w:r>
      <w:r>
        <w:rPr>
          <w:rFonts w:ascii="Arial" w:hAnsi="Arial"/>
          <w:noProof/>
          <w:sz w:val="16"/>
          <w:szCs w:val="16"/>
        </w:rPr>
        <w:t>ns under the IFE (as described in Note 23), with the exception of intermediated loans, are not subject to the Credit Risk Policy Guidelines and are subject to a different procedure. LGs are established according to generally accepted criteria, based on the</w:t>
      </w:r>
      <w:r>
        <w:rPr>
          <w:rFonts w:ascii="Arial" w:hAnsi="Arial"/>
          <w:noProof/>
          <w:sz w:val="16"/>
          <w:szCs w:val="16"/>
        </w:rPr>
        <w:t xml:space="preserve"> quality of the borrower, the maturity of the loan, the guarantee and, where appropriate, the guarantor.</w:t>
      </w:r>
    </w:p>
    <w:p w:rsidR="005D6812" w:rsidRDefault="005D6812">
      <w:pPr>
        <w:pStyle w:val="Normal6"/>
        <w:autoSpaceDE w:val="0"/>
        <w:autoSpaceDN w:val="0"/>
        <w:adjustRightInd w:val="0"/>
        <w:spacing w:before="60" w:after="60"/>
        <w:jc w:val="both"/>
        <w:rPr>
          <w:rFonts w:ascii="Arial" w:hAnsi="Arial"/>
          <w:noProof/>
          <w:sz w:val="16"/>
          <w:szCs w:val="16"/>
        </w:rPr>
      </w:pPr>
    </w:p>
    <w:p w:rsidR="005D6812" w:rsidRDefault="00AB2A2B">
      <w:pPr>
        <w:pStyle w:val="Normal6"/>
        <w:autoSpaceDE w:val="0"/>
        <w:autoSpaceDN w:val="0"/>
        <w:adjustRightInd w:val="0"/>
        <w:spacing w:before="60" w:after="60"/>
        <w:jc w:val="both"/>
        <w:rPr>
          <w:rFonts w:ascii="Arial" w:hAnsi="Arial"/>
          <w:noProof/>
          <w:sz w:val="16"/>
          <w:szCs w:val="16"/>
        </w:rPr>
      </w:pPr>
      <w:r>
        <w:rPr>
          <w:rFonts w:ascii="Arial" w:hAnsi="Arial"/>
          <w:noProof/>
          <w:sz w:val="16"/>
          <w:szCs w:val="16"/>
        </w:rPr>
        <w:t>The loan grading (LG) system comprises the methodologies, processes, databases and IT systems supporting the assessment of credit risk in lending oper</w:t>
      </w:r>
      <w:r>
        <w:rPr>
          <w:rFonts w:ascii="Arial" w:hAnsi="Arial"/>
          <w:noProof/>
          <w:sz w:val="16"/>
          <w:szCs w:val="16"/>
        </w:rPr>
        <w:t xml:space="preserve">ations and the quantification of expected loss estimates. It summarises a large amount of information with the purpose of offering a relative ranking of loans’ credit risks. LGs reflect the present value of the estimated level of the “expected loss”, this </w:t>
      </w:r>
      <w:r>
        <w:rPr>
          <w:rFonts w:ascii="Arial" w:hAnsi="Arial"/>
          <w:noProof/>
          <w:sz w:val="16"/>
          <w:szCs w:val="16"/>
        </w:rPr>
        <w:t>being the product of the probability of default of the main obligors, the exposure at risk and the loss severity in the case of default. LGs are used for the following purposes:</w:t>
      </w:r>
    </w:p>
    <w:p w:rsidR="005D6812" w:rsidRDefault="005D6812">
      <w:pPr>
        <w:pStyle w:val="Normal6"/>
        <w:autoSpaceDE w:val="0"/>
        <w:autoSpaceDN w:val="0"/>
        <w:adjustRightInd w:val="0"/>
        <w:spacing w:before="60" w:after="60"/>
        <w:jc w:val="both"/>
        <w:rPr>
          <w:rFonts w:ascii="Arial" w:hAnsi="Arial"/>
          <w:noProof/>
          <w:sz w:val="16"/>
          <w:szCs w:val="16"/>
        </w:rPr>
      </w:pPr>
    </w:p>
    <w:p w:rsidR="005D6812" w:rsidRDefault="00AB2A2B">
      <w:pPr>
        <w:pStyle w:val="Normal6"/>
        <w:numPr>
          <w:ilvl w:val="0"/>
          <w:numId w:val="49"/>
        </w:numPr>
        <w:autoSpaceDE w:val="0"/>
        <w:autoSpaceDN w:val="0"/>
        <w:adjustRightInd w:val="0"/>
        <w:spacing w:before="60" w:after="60"/>
        <w:jc w:val="both"/>
        <w:rPr>
          <w:rFonts w:ascii="Arial" w:hAnsi="Arial"/>
          <w:noProof/>
          <w:sz w:val="16"/>
          <w:szCs w:val="16"/>
        </w:rPr>
      </w:pPr>
      <w:r>
        <w:rPr>
          <w:rFonts w:ascii="Arial" w:hAnsi="Arial"/>
          <w:noProof/>
          <w:sz w:val="16"/>
          <w:szCs w:val="16"/>
        </w:rPr>
        <w:t>as an aid to a finer and more quantitative assessment of lending risks;</w:t>
      </w:r>
    </w:p>
    <w:p w:rsidR="005D6812" w:rsidRDefault="00AB2A2B">
      <w:pPr>
        <w:pStyle w:val="Normal6"/>
        <w:numPr>
          <w:ilvl w:val="0"/>
          <w:numId w:val="49"/>
        </w:numPr>
        <w:autoSpaceDE w:val="0"/>
        <w:autoSpaceDN w:val="0"/>
        <w:adjustRightInd w:val="0"/>
        <w:spacing w:before="60" w:after="60"/>
        <w:jc w:val="both"/>
        <w:rPr>
          <w:rFonts w:ascii="Arial" w:hAnsi="Arial"/>
          <w:noProof/>
          <w:sz w:val="16"/>
          <w:szCs w:val="16"/>
        </w:rPr>
      </w:pPr>
      <w:r>
        <w:rPr>
          <w:rFonts w:ascii="Arial" w:hAnsi="Arial"/>
          <w:noProof/>
          <w:sz w:val="16"/>
          <w:szCs w:val="16"/>
        </w:rPr>
        <w:t xml:space="preserve">as </w:t>
      </w:r>
      <w:r>
        <w:rPr>
          <w:rFonts w:ascii="Arial" w:hAnsi="Arial"/>
          <w:noProof/>
          <w:sz w:val="16"/>
          <w:szCs w:val="16"/>
        </w:rPr>
        <w:t>help in distributing monitoring efforts;</w:t>
      </w:r>
    </w:p>
    <w:p w:rsidR="005D6812" w:rsidRDefault="00AB2A2B">
      <w:pPr>
        <w:pStyle w:val="Normal6"/>
        <w:numPr>
          <w:ilvl w:val="0"/>
          <w:numId w:val="49"/>
        </w:numPr>
        <w:autoSpaceDE w:val="0"/>
        <w:autoSpaceDN w:val="0"/>
        <w:adjustRightInd w:val="0"/>
        <w:spacing w:before="60" w:after="60"/>
        <w:jc w:val="both"/>
        <w:rPr>
          <w:rFonts w:ascii="Arial" w:hAnsi="Arial"/>
          <w:noProof/>
          <w:sz w:val="16"/>
          <w:szCs w:val="16"/>
        </w:rPr>
      </w:pPr>
      <w:r>
        <w:rPr>
          <w:rFonts w:ascii="Arial" w:hAnsi="Arial"/>
          <w:noProof/>
          <w:sz w:val="16"/>
          <w:szCs w:val="16"/>
        </w:rPr>
        <w:t>as a description of the loan’s portfolio quality at any given date;</w:t>
      </w:r>
    </w:p>
    <w:p w:rsidR="005D6812" w:rsidRDefault="00AB2A2B">
      <w:pPr>
        <w:pStyle w:val="Normal6"/>
        <w:numPr>
          <w:ilvl w:val="0"/>
          <w:numId w:val="49"/>
        </w:numPr>
        <w:autoSpaceDE w:val="0"/>
        <w:autoSpaceDN w:val="0"/>
        <w:adjustRightInd w:val="0"/>
        <w:spacing w:before="60" w:after="60"/>
        <w:jc w:val="both"/>
        <w:rPr>
          <w:rFonts w:ascii="Arial" w:hAnsi="Arial"/>
          <w:noProof/>
          <w:sz w:val="16"/>
          <w:szCs w:val="16"/>
        </w:rPr>
      </w:pPr>
      <w:r>
        <w:rPr>
          <w:rFonts w:ascii="Arial" w:hAnsi="Arial"/>
          <w:noProof/>
          <w:sz w:val="16"/>
          <w:szCs w:val="16"/>
        </w:rPr>
        <w:t>as one input in risk-pricing decisions based on the expected loss.</w:t>
      </w:r>
    </w:p>
    <w:p w:rsidR="005D6812" w:rsidRDefault="005D6812">
      <w:pPr>
        <w:pStyle w:val="Normal6"/>
        <w:autoSpaceDE w:val="0"/>
        <w:autoSpaceDN w:val="0"/>
        <w:adjustRightInd w:val="0"/>
        <w:spacing w:before="60" w:after="60"/>
        <w:ind w:left="720"/>
        <w:jc w:val="both"/>
        <w:rPr>
          <w:rFonts w:ascii="Arial" w:hAnsi="Arial"/>
          <w:noProof/>
          <w:sz w:val="16"/>
          <w:szCs w:val="16"/>
        </w:rPr>
      </w:pPr>
    </w:p>
    <w:p w:rsidR="005D6812" w:rsidRDefault="00AB2A2B">
      <w:pPr>
        <w:pStyle w:val="Normal6"/>
        <w:autoSpaceDE w:val="0"/>
        <w:autoSpaceDN w:val="0"/>
        <w:adjustRightInd w:val="0"/>
        <w:spacing w:before="60" w:after="60"/>
        <w:jc w:val="both"/>
        <w:rPr>
          <w:rFonts w:ascii="Arial" w:hAnsi="Arial"/>
          <w:noProof/>
          <w:sz w:val="16"/>
          <w:szCs w:val="16"/>
        </w:rPr>
      </w:pPr>
      <w:r>
        <w:rPr>
          <w:rFonts w:ascii="Arial" w:hAnsi="Arial"/>
          <w:noProof/>
          <w:sz w:val="16"/>
          <w:szCs w:val="16"/>
        </w:rPr>
        <w:t>The following factors enter into the determination of an LG:</w:t>
      </w:r>
    </w:p>
    <w:p w:rsidR="005D6812" w:rsidRDefault="005D6812">
      <w:pPr>
        <w:pStyle w:val="Normal6"/>
        <w:autoSpaceDE w:val="0"/>
        <w:autoSpaceDN w:val="0"/>
        <w:adjustRightInd w:val="0"/>
        <w:spacing w:before="60" w:after="60"/>
        <w:jc w:val="both"/>
        <w:rPr>
          <w:rFonts w:ascii="Arial" w:hAnsi="Arial"/>
          <w:noProof/>
          <w:sz w:val="16"/>
          <w:szCs w:val="16"/>
        </w:rPr>
      </w:pPr>
    </w:p>
    <w:p w:rsidR="005D6812" w:rsidRDefault="00AB2A2B">
      <w:pPr>
        <w:pStyle w:val="Listi0"/>
        <w:tabs>
          <w:tab w:val="clear" w:pos="180"/>
          <w:tab w:val="num" w:pos="426"/>
        </w:tabs>
        <w:spacing w:before="60" w:after="60"/>
        <w:ind w:left="426" w:hanging="426"/>
        <w:rPr>
          <w:sz w:val="16"/>
          <w:szCs w:val="16"/>
        </w:rPr>
      </w:pPr>
      <w:r>
        <w:rPr>
          <w:sz w:val="16"/>
          <w:szCs w:val="16"/>
          <w:lang w:eastAsia="ar-SA"/>
        </w:rPr>
        <w:t>The borrower’s cr</w:t>
      </w:r>
      <w:r>
        <w:rPr>
          <w:sz w:val="16"/>
          <w:szCs w:val="16"/>
          <w:lang w:eastAsia="ar-SA"/>
        </w:rPr>
        <w:t>editworthiness: Risk Management independently reviews borrowers and assesses their creditworthiness based on internal methodologies and external data. In line with the Basel II Advanced Approach chosen, the Bank has developed an internal rating methodology</w:t>
      </w:r>
      <w:r>
        <w:rPr>
          <w:sz w:val="16"/>
          <w:szCs w:val="16"/>
          <w:lang w:eastAsia="ar-SA"/>
        </w:rPr>
        <w:t xml:space="preserve"> (IRM) to determine the internal ratings of borrowers and guarantors. This is based on a set of scoring sheets specific to defined counterparty types.</w:t>
      </w:r>
    </w:p>
    <w:p w:rsidR="005D6812" w:rsidRDefault="005D6812">
      <w:pPr>
        <w:pStyle w:val="Normal6"/>
        <w:spacing w:before="60" w:after="60"/>
        <w:rPr>
          <w:rFonts w:ascii="Arial" w:hAnsi="Arial"/>
          <w:noProof/>
          <w:sz w:val="16"/>
          <w:szCs w:val="16"/>
        </w:rPr>
      </w:pPr>
    </w:p>
    <w:p w:rsidR="005D6812" w:rsidRDefault="00AB2A2B">
      <w:pPr>
        <w:pStyle w:val="Listi0"/>
        <w:tabs>
          <w:tab w:val="clear" w:pos="180"/>
          <w:tab w:val="num" w:pos="426"/>
        </w:tabs>
        <w:spacing w:before="60" w:after="60"/>
        <w:ind w:left="426" w:hanging="426"/>
        <w:rPr>
          <w:sz w:val="16"/>
          <w:szCs w:val="16"/>
          <w:lang w:eastAsia="ar-SA"/>
        </w:rPr>
      </w:pPr>
      <w:r>
        <w:rPr>
          <w:sz w:val="16"/>
          <w:szCs w:val="16"/>
          <w:lang w:eastAsia="ar-SA"/>
        </w:rPr>
        <w:t>The default correlation: it quantifies the chances of simultaneous financial difficulties arising for bo</w:t>
      </w:r>
      <w:r>
        <w:rPr>
          <w:sz w:val="16"/>
          <w:szCs w:val="16"/>
          <w:lang w:eastAsia="ar-SA"/>
        </w:rPr>
        <w:t>th the borrower and the guarantor. The higher the correlation between the borrower and the guarantor’s default probabilities, the lower the value of the guarantee and therefore the lower the LG.</w:t>
      </w:r>
    </w:p>
    <w:p w:rsidR="005D6812" w:rsidRDefault="005D6812">
      <w:pPr>
        <w:pStyle w:val="Normal6"/>
        <w:spacing w:before="60" w:after="60"/>
        <w:rPr>
          <w:noProof/>
          <w:sz w:val="16"/>
          <w:szCs w:val="16"/>
        </w:rPr>
      </w:pPr>
    </w:p>
    <w:p w:rsidR="005D6812" w:rsidRDefault="00AB2A2B">
      <w:pPr>
        <w:pStyle w:val="Listi0"/>
        <w:tabs>
          <w:tab w:val="clear" w:pos="180"/>
          <w:tab w:val="num" w:pos="426"/>
        </w:tabs>
        <w:spacing w:before="60" w:after="60"/>
        <w:ind w:left="426" w:hanging="426"/>
        <w:rPr>
          <w:sz w:val="16"/>
          <w:szCs w:val="16"/>
          <w:lang w:eastAsia="ar-SA"/>
        </w:rPr>
      </w:pPr>
      <w:r>
        <w:rPr>
          <w:sz w:val="16"/>
          <w:szCs w:val="16"/>
          <w:lang w:eastAsia="ar-SA"/>
        </w:rPr>
        <w:t>The value of guarantee instruments and of securities: this v</w:t>
      </w:r>
      <w:r>
        <w:rPr>
          <w:sz w:val="16"/>
          <w:szCs w:val="16"/>
          <w:lang w:eastAsia="ar-SA"/>
        </w:rPr>
        <w:t>alue is assessed on the basis of the combination of the issuer’s creditworthiness and the type of instrument used.</w:t>
      </w:r>
    </w:p>
    <w:p w:rsidR="005D6812" w:rsidRDefault="005D6812">
      <w:pPr>
        <w:pStyle w:val="Normal6"/>
        <w:spacing w:before="60" w:after="60"/>
        <w:rPr>
          <w:noProof/>
          <w:sz w:val="16"/>
          <w:szCs w:val="16"/>
        </w:rPr>
      </w:pPr>
    </w:p>
    <w:p w:rsidR="005D6812" w:rsidRDefault="00AB2A2B">
      <w:pPr>
        <w:pStyle w:val="Listi0"/>
        <w:tabs>
          <w:tab w:val="clear" w:pos="180"/>
          <w:tab w:val="num" w:pos="426"/>
        </w:tabs>
        <w:spacing w:before="60" w:after="60"/>
        <w:ind w:left="426" w:hanging="426"/>
        <w:rPr>
          <w:sz w:val="16"/>
          <w:szCs w:val="16"/>
          <w:lang w:eastAsia="ar-SA"/>
        </w:rPr>
      </w:pPr>
      <w:r>
        <w:rPr>
          <w:sz w:val="16"/>
          <w:szCs w:val="16"/>
          <w:lang w:eastAsia="ar-SA"/>
        </w:rPr>
        <w:t>The contractual framework: a sound contractual framework will add to the loan’s quality and enhance its internal grading.</w:t>
      </w:r>
    </w:p>
    <w:p w:rsidR="005D6812" w:rsidRDefault="005D6812">
      <w:pPr>
        <w:pStyle w:val="Normal6"/>
        <w:spacing w:before="60" w:after="60"/>
        <w:rPr>
          <w:noProof/>
          <w:sz w:val="16"/>
          <w:szCs w:val="16"/>
        </w:rPr>
      </w:pPr>
    </w:p>
    <w:p w:rsidR="005D6812" w:rsidRDefault="00AB2A2B">
      <w:pPr>
        <w:pStyle w:val="Listi0"/>
        <w:tabs>
          <w:tab w:val="clear" w:pos="180"/>
          <w:tab w:val="num" w:pos="426"/>
        </w:tabs>
        <w:spacing w:before="60" w:after="60"/>
        <w:ind w:left="426" w:hanging="426"/>
        <w:rPr>
          <w:sz w:val="16"/>
          <w:szCs w:val="16"/>
          <w:lang w:eastAsia="ar-SA"/>
        </w:rPr>
      </w:pPr>
      <w:r>
        <w:rPr>
          <w:sz w:val="16"/>
          <w:szCs w:val="16"/>
          <w:lang w:eastAsia="ar-SA"/>
        </w:rPr>
        <w:t>The loan’s durati</w:t>
      </w:r>
      <w:r>
        <w:rPr>
          <w:sz w:val="16"/>
          <w:szCs w:val="16"/>
          <w:lang w:eastAsia="ar-SA"/>
        </w:rPr>
        <w:t>on: all else being equal, the longer the loan, the higher the risk of incurring difficulties in the servicing of the loan.</w:t>
      </w:r>
    </w:p>
    <w:p w:rsidR="005D6812" w:rsidRDefault="005D6812">
      <w:pPr>
        <w:pStyle w:val="Normal6"/>
        <w:autoSpaceDE w:val="0"/>
        <w:autoSpaceDN w:val="0"/>
        <w:adjustRightInd w:val="0"/>
        <w:spacing w:before="60" w:after="60"/>
        <w:jc w:val="both"/>
        <w:rPr>
          <w:rFonts w:ascii="Arial" w:hAnsi="Arial"/>
          <w:noProof/>
          <w:sz w:val="16"/>
          <w:szCs w:val="16"/>
        </w:rPr>
      </w:pPr>
    </w:p>
    <w:p w:rsidR="005D6812" w:rsidRDefault="00AB2A2B">
      <w:pPr>
        <w:pStyle w:val="Normal6"/>
        <w:autoSpaceDE w:val="0"/>
        <w:autoSpaceDN w:val="0"/>
        <w:adjustRightInd w:val="0"/>
        <w:spacing w:before="60" w:after="60"/>
        <w:jc w:val="both"/>
        <w:rPr>
          <w:rFonts w:ascii="Arial" w:hAnsi="Arial"/>
          <w:noProof/>
          <w:sz w:val="16"/>
          <w:szCs w:val="16"/>
        </w:rPr>
      </w:pPr>
      <w:r>
        <w:rPr>
          <w:rFonts w:ascii="Arial" w:hAnsi="Arial"/>
          <w:noProof/>
          <w:sz w:val="16"/>
          <w:szCs w:val="16"/>
        </w:rPr>
        <w:t>A loan’s expected loss is computed by combining the five elements discussed above. Depending on the level of this loss, a loan is as</w:t>
      </w:r>
      <w:r>
        <w:rPr>
          <w:rFonts w:ascii="Arial" w:hAnsi="Arial"/>
          <w:noProof/>
          <w:sz w:val="16"/>
          <w:szCs w:val="16"/>
        </w:rPr>
        <w:t>signed to one of the following LG classes listed below:</w:t>
      </w:r>
    </w:p>
    <w:p w:rsidR="005D6812" w:rsidRDefault="005D6812">
      <w:pPr>
        <w:pStyle w:val="Normal6"/>
        <w:autoSpaceDE w:val="0"/>
        <w:autoSpaceDN w:val="0"/>
        <w:adjustRightInd w:val="0"/>
        <w:spacing w:before="60" w:after="60"/>
        <w:jc w:val="both"/>
        <w:rPr>
          <w:rFonts w:ascii="Arial" w:hAnsi="Arial"/>
          <w:noProof/>
          <w:sz w:val="16"/>
          <w:szCs w:val="16"/>
        </w:rPr>
      </w:pPr>
    </w:p>
    <w:p w:rsidR="005D6812" w:rsidRDefault="00AB2A2B">
      <w:pPr>
        <w:pStyle w:val="Normal6"/>
        <w:tabs>
          <w:tab w:val="left" w:pos="360"/>
        </w:tabs>
        <w:spacing w:before="60" w:after="60"/>
        <w:ind w:left="360" w:hanging="360"/>
        <w:jc w:val="both"/>
        <w:rPr>
          <w:rFonts w:ascii="Arial" w:hAnsi="Arial"/>
          <w:noProof/>
          <w:sz w:val="16"/>
          <w:szCs w:val="16"/>
        </w:rPr>
      </w:pPr>
      <w:r>
        <w:rPr>
          <w:rFonts w:ascii="Arial" w:hAnsi="Arial"/>
          <w:noProof/>
          <w:sz w:val="16"/>
          <w:szCs w:val="16"/>
        </w:rPr>
        <w:t>A</w:t>
      </w:r>
      <w:r>
        <w:rPr>
          <w:rFonts w:ascii="Arial" w:hAnsi="Arial"/>
          <w:noProof/>
          <w:sz w:val="16"/>
          <w:szCs w:val="16"/>
        </w:rPr>
        <w:tab/>
        <w:t xml:space="preserve">Prime quality loans: there are three sub-categories. A comprises all EU sovereign risks, i.e. loans granted to or fully, explicitly and unconditionally guaranteed by Member States, where no </w:t>
      </w:r>
      <w:r>
        <w:rPr>
          <w:rFonts w:ascii="Arial" w:hAnsi="Arial"/>
          <w:noProof/>
          <w:sz w:val="16"/>
          <w:szCs w:val="16"/>
        </w:rPr>
        <w:t>repayment difficulties are expected and for which an unexpected loss of 0% is allocated. A+ denotes loans granted to (or guaranteed by) entities other than Member States, with no expectation of deterioration over their duration. A- includes those lending o</w:t>
      </w:r>
      <w:r>
        <w:rPr>
          <w:rFonts w:ascii="Arial" w:hAnsi="Arial"/>
          <w:noProof/>
          <w:sz w:val="16"/>
          <w:szCs w:val="16"/>
        </w:rPr>
        <w:t>perations where there is some doubt about the maintenance of their current status (for instance because of a long maturity, or for the high volatility of the future price of an otherwise excellent collateral), but where any downside is expected to be quite</w:t>
      </w:r>
      <w:r>
        <w:rPr>
          <w:rFonts w:ascii="Arial" w:hAnsi="Arial"/>
          <w:noProof/>
          <w:sz w:val="16"/>
          <w:szCs w:val="16"/>
        </w:rPr>
        <w:t xml:space="preserve"> limited.</w:t>
      </w:r>
    </w:p>
    <w:p w:rsidR="005D6812" w:rsidRDefault="005D6812">
      <w:pPr>
        <w:pStyle w:val="Normal6"/>
        <w:tabs>
          <w:tab w:val="left" w:pos="360"/>
        </w:tabs>
        <w:spacing w:before="60" w:after="60"/>
        <w:ind w:left="360" w:hanging="360"/>
        <w:jc w:val="both"/>
        <w:rPr>
          <w:rFonts w:ascii="Arial" w:hAnsi="Arial"/>
          <w:noProof/>
          <w:sz w:val="16"/>
          <w:szCs w:val="16"/>
        </w:rPr>
      </w:pPr>
    </w:p>
    <w:p w:rsidR="005D6812" w:rsidRDefault="00AB2A2B">
      <w:pPr>
        <w:pStyle w:val="Normal6"/>
        <w:tabs>
          <w:tab w:val="left" w:pos="360"/>
        </w:tabs>
        <w:spacing w:before="60" w:after="60"/>
        <w:ind w:left="360" w:hanging="360"/>
        <w:jc w:val="both"/>
        <w:rPr>
          <w:rFonts w:ascii="Arial" w:hAnsi="Arial"/>
          <w:noProof/>
          <w:sz w:val="16"/>
          <w:szCs w:val="16"/>
        </w:rPr>
      </w:pPr>
      <w:r>
        <w:rPr>
          <w:rFonts w:ascii="Arial" w:hAnsi="Arial"/>
          <w:noProof/>
          <w:sz w:val="16"/>
          <w:szCs w:val="16"/>
        </w:rPr>
        <w:t>B</w:t>
      </w:r>
      <w:r>
        <w:rPr>
          <w:rFonts w:ascii="Arial" w:hAnsi="Arial"/>
          <w:noProof/>
          <w:sz w:val="16"/>
          <w:szCs w:val="16"/>
        </w:rPr>
        <w:tab/>
        <w:t>High quality loans: these represent an asset class with which the bank feels comfortable, although a minor deterioration is not ruled out in the future. B+ and B- are used to denote the relative likelihood of the possibility of such deteriorat</w:t>
      </w:r>
      <w:r>
        <w:rPr>
          <w:rFonts w:ascii="Arial" w:hAnsi="Arial"/>
          <w:noProof/>
          <w:sz w:val="16"/>
          <w:szCs w:val="16"/>
        </w:rPr>
        <w:t>ion occurring.</w:t>
      </w:r>
    </w:p>
    <w:p w:rsidR="005D6812" w:rsidRDefault="005D6812">
      <w:pPr>
        <w:pStyle w:val="Normal6"/>
        <w:tabs>
          <w:tab w:val="left" w:pos="360"/>
        </w:tabs>
        <w:spacing w:before="60" w:after="60"/>
        <w:ind w:left="360" w:hanging="360"/>
        <w:jc w:val="both"/>
        <w:rPr>
          <w:rFonts w:ascii="Arial" w:hAnsi="Arial"/>
          <w:noProof/>
          <w:sz w:val="16"/>
          <w:szCs w:val="16"/>
        </w:rPr>
      </w:pPr>
    </w:p>
    <w:p w:rsidR="005D6812" w:rsidRDefault="00AB2A2B">
      <w:pPr>
        <w:pStyle w:val="Normal6"/>
        <w:tabs>
          <w:tab w:val="left" w:pos="360"/>
        </w:tabs>
        <w:spacing w:before="60" w:after="60"/>
        <w:ind w:left="360" w:hanging="360"/>
        <w:jc w:val="both"/>
        <w:rPr>
          <w:rFonts w:ascii="Arial" w:hAnsi="Arial"/>
          <w:noProof/>
          <w:sz w:val="16"/>
          <w:szCs w:val="16"/>
        </w:rPr>
      </w:pPr>
      <w:r>
        <w:rPr>
          <w:rFonts w:ascii="Arial" w:hAnsi="Arial"/>
          <w:noProof/>
          <w:sz w:val="16"/>
          <w:szCs w:val="16"/>
        </w:rPr>
        <w:t>C</w:t>
      </w:r>
      <w:r>
        <w:rPr>
          <w:rFonts w:ascii="Arial" w:hAnsi="Arial"/>
          <w:noProof/>
          <w:sz w:val="16"/>
          <w:szCs w:val="16"/>
        </w:rPr>
        <w:tab/>
        <w:t>Good quality loans: an example could be unsecured loans to solid banks and corporates with a 7-year bullet, or equivalent amortising, maturity at disbursement.</w:t>
      </w:r>
    </w:p>
    <w:p w:rsidR="005D6812" w:rsidRDefault="005D6812">
      <w:pPr>
        <w:pStyle w:val="Normal6"/>
        <w:tabs>
          <w:tab w:val="left" w:pos="360"/>
        </w:tabs>
        <w:spacing w:before="60" w:after="60"/>
        <w:ind w:left="360" w:hanging="360"/>
        <w:rPr>
          <w:noProof/>
          <w:sz w:val="16"/>
          <w:szCs w:val="16"/>
        </w:rPr>
      </w:pPr>
    </w:p>
    <w:p w:rsidR="005D6812" w:rsidRDefault="00AB2A2B">
      <w:pPr>
        <w:pStyle w:val="Normal6"/>
        <w:tabs>
          <w:tab w:val="left" w:pos="360"/>
        </w:tabs>
        <w:spacing w:before="60" w:after="60"/>
        <w:ind w:left="360" w:hanging="360"/>
        <w:jc w:val="both"/>
        <w:rPr>
          <w:rFonts w:ascii="Arial" w:hAnsi="Arial"/>
          <w:noProof/>
          <w:sz w:val="16"/>
          <w:szCs w:val="16"/>
        </w:rPr>
      </w:pPr>
      <w:r>
        <w:rPr>
          <w:rFonts w:ascii="Arial" w:hAnsi="Arial"/>
          <w:noProof/>
          <w:sz w:val="16"/>
          <w:szCs w:val="16"/>
        </w:rPr>
        <w:t>D</w:t>
      </w:r>
      <w:r>
        <w:rPr>
          <w:rFonts w:ascii="Arial" w:hAnsi="Arial"/>
          <w:noProof/>
          <w:sz w:val="16"/>
          <w:szCs w:val="16"/>
        </w:rPr>
        <w:tab/>
        <w:t>This rating class represents the borderline between “acceptable quality” lo</w:t>
      </w:r>
      <w:r>
        <w:rPr>
          <w:rFonts w:ascii="Arial" w:hAnsi="Arial"/>
          <w:noProof/>
          <w:sz w:val="16"/>
          <w:szCs w:val="16"/>
        </w:rPr>
        <w:t>ans and those that have experienced some difficulties. This watershed in loan grading is more precisely determined by the sub-classifications D+ and D-. Loans rated D- require heightened monitoring.</w:t>
      </w:r>
    </w:p>
    <w:p w:rsidR="005D6812" w:rsidRDefault="005D6812">
      <w:pPr>
        <w:pStyle w:val="Normal6"/>
        <w:tabs>
          <w:tab w:val="left" w:pos="360"/>
        </w:tabs>
        <w:spacing w:before="60" w:after="60"/>
        <w:ind w:left="360" w:hanging="360"/>
        <w:rPr>
          <w:noProof/>
          <w:sz w:val="16"/>
          <w:szCs w:val="16"/>
        </w:rPr>
      </w:pPr>
    </w:p>
    <w:p w:rsidR="005D6812" w:rsidRDefault="00AB2A2B">
      <w:pPr>
        <w:pStyle w:val="Normal6"/>
        <w:tabs>
          <w:tab w:val="left" w:pos="360"/>
        </w:tabs>
        <w:spacing w:before="60" w:after="60"/>
        <w:ind w:left="360" w:hanging="360"/>
        <w:jc w:val="both"/>
        <w:rPr>
          <w:rFonts w:ascii="Arial" w:hAnsi="Arial"/>
          <w:noProof/>
          <w:sz w:val="16"/>
          <w:szCs w:val="16"/>
        </w:rPr>
      </w:pPr>
      <w:r>
        <w:rPr>
          <w:rFonts w:ascii="Arial" w:hAnsi="Arial"/>
          <w:noProof/>
          <w:sz w:val="16"/>
          <w:szCs w:val="16"/>
        </w:rPr>
        <w:t>E</w:t>
      </w:r>
      <w:r>
        <w:rPr>
          <w:rFonts w:ascii="Arial" w:hAnsi="Arial"/>
          <w:noProof/>
          <w:sz w:val="16"/>
          <w:szCs w:val="16"/>
        </w:rPr>
        <w:tab/>
        <w:t>This LG category includes loans with a risk profile gr</w:t>
      </w:r>
      <w:r>
        <w:rPr>
          <w:rFonts w:ascii="Arial" w:hAnsi="Arial"/>
          <w:noProof/>
          <w:sz w:val="16"/>
          <w:szCs w:val="16"/>
        </w:rPr>
        <w:t>eater than generally accepted. It also includes loans which in the course of their lives have experienced severe problems and their sliding into a situation of loss cannot be excluded. For this reason, the loans are subject to close and high monitoring. Th</w:t>
      </w:r>
      <w:r>
        <w:rPr>
          <w:rFonts w:ascii="Arial" w:hAnsi="Arial"/>
          <w:noProof/>
          <w:sz w:val="16"/>
          <w:szCs w:val="16"/>
        </w:rPr>
        <w:t>e sub-classes E+ and E- differentiate the intensity of this special monitoring process, with those operations graded E- being in a position where there is a strong possibility that debt service cannot be maintained on a timely basis and therefore some form</w:t>
      </w:r>
      <w:r>
        <w:rPr>
          <w:rFonts w:ascii="Arial" w:hAnsi="Arial"/>
          <w:noProof/>
          <w:sz w:val="16"/>
          <w:szCs w:val="16"/>
        </w:rPr>
        <w:t xml:space="preserve"> of debt restructuring is required, possibly leading to an impairment loss.</w:t>
      </w:r>
    </w:p>
    <w:p w:rsidR="005D6812" w:rsidRDefault="005D6812">
      <w:pPr>
        <w:pStyle w:val="Normal6"/>
        <w:tabs>
          <w:tab w:val="left" w:pos="360"/>
        </w:tabs>
        <w:spacing w:before="60" w:after="60"/>
        <w:ind w:left="360" w:hanging="360"/>
        <w:rPr>
          <w:noProof/>
          <w:sz w:val="16"/>
          <w:szCs w:val="16"/>
        </w:rPr>
      </w:pPr>
    </w:p>
    <w:p w:rsidR="005D6812" w:rsidRDefault="00AB2A2B">
      <w:pPr>
        <w:pStyle w:val="Normal6"/>
        <w:tabs>
          <w:tab w:val="left" w:pos="360"/>
        </w:tabs>
        <w:spacing w:before="60" w:after="60"/>
        <w:ind w:left="360" w:hanging="360"/>
        <w:jc w:val="both"/>
        <w:rPr>
          <w:rFonts w:ascii="Arial" w:hAnsi="Arial"/>
          <w:noProof/>
          <w:sz w:val="16"/>
          <w:szCs w:val="16"/>
        </w:rPr>
      </w:pPr>
      <w:r>
        <w:rPr>
          <w:rFonts w:ascii="Arial" w:hAnsi="Arial"/>
          <w:noProof/>
          <w:sz w:val="16"/>
          <w:szCs w:val="16"/>
        </w:rPr>
        <w:t>F</w:t>
      </w:r>
      <w:r>
        <w:rPr>
          <w:rFonts w:ascii="Arial" w:hAnsi="Arial"/>
          <w:noProof/>
          <w:sz w:val="16"/>
          <w:szCs w:val="16"/>
        </w:rPr>
        <w:tab/>
        <w:t xml:space="preserve">F (fail) denotes loans representing unacceptable risks. F- graded loans can only arise out of outstanding transactions that have experienced, after signature, unforeseen, </w:t>
      </w:r>
      <w:r>
        <w:rPr>
          <w:rFonts w:ascii="Arial" w:hAnsi="Arial"/>
          <w:noProof/>
          <w:sz w:val="16"/>
          <w:szCs w:val="16"/>
        </w:rPr>
        <w:t>exceptional and dramatic adverse circumstances. All operations where there is a loss of principal to the Facility are graded F and a specific provision is applied.</w:t>
      </w:r>
    </w:p>
    <w:p w:rsidR="005D6812" w:rsidRDefault="005D6812">
      <w:pPr>
        <w:pStyle w:val="Notes5"/>
        <w:numPr>
          <w:ilvl w:val="0"/>
          <w:numId w:val="0"/>
        </w:numPr>
        <w:tabs>
          <w:tab w:val="clear" w:pos="4320"/>
          <w:tab w:val="clear" w:pos="8640"/>
          <w:tab w:val="right" w:pos="-2700"/>
          <w:tab w:val="right" w:pos="720"/>
        </w:tabs>
        <w:spacing w:before="60" w:after="60"/>
        <w:rPr>
          <w:b w:val="0"/>
          <w:noProof/>
          <w:sz w:val="16"/>
          <w:szCs w:val="16"/>
          <w:lang w:val="en-GB"/>
        </w:rPr>
      </w:pPr>
    </w:p>
    <w:p w:rsidR="005D6812" w:rsidRDefault="00AB2A2B">
      <w:pPr>
        <w:pStyle w:val="Notes5"/>
        <w:numPr>
          <w:ilvl w:val="0"/>
          <w:numId w:val="0"/>
        </w:numPr>
        <w:tabs>
          <w:tab w:val="clear" w:pos="4320"/>
          <w:tab w:val="clear" w:pos="8640"/>
          <w:tab w:val="right" w:pos="-2700"/>
          <w:tab w:val="right" w:pos="720"/>
        </w:tabs>
        <w:spacing w:before="60" w:after="60"/>
        <w:rPr>
          <w:b w:val="0"/>
          <w:noProof/>
          <w:sz w:val="16"/>
          <w:szCs w:val="16"/>
          <w:lang w:val="en-GB"/>
        </w:rPr>
      </w:pPr>
      <w:r>
        <w:rPr>
          <w:b w:val="0"/>
          <w:noProof/>
          <w:sz w:val="16"/>
          <w:szCs w:val="16"/>
          <w:lang w:val="en-GB"/>
        </w:rPr>
        <w:t xml:space="preserve">Generally, loans internally graded D- or below are placed on the Watch List. However, if a </w:t>
      </w:r>
      <w:r>
        <w:rPr>
          <w:b w:val="0"/>
          <w:noProof/>
          <w:sz w:val="16"/>
          <w:szCs w:val="16"/>
          <w:lang w:val="en-GB"/>
        </w:rPr>
        <w:t>loan was originally approved with a risk profile of D- or weaker, it will only be placed on the Watch List as a result of a material credit event causing a further deterioration of its LG classification.</w:t>
      </w:r>
    </w:p>
    <w:p w:rsidR="005D6812" w:rsidRDefault="005D6812">
      <w:pPr>
        <w:pStyle w:val="Notes5"/>
        <w:numPr>
          <w:ilvl w:val="0"/>
          <w:numId w:val="0"/>
        </w:numPr>
        <w:tabs>
          <w:tab w:val="clear" w:pos="4320"/>
          <w:tab w:val="clear" w:pos="8640"/>
          <w:tab w:val="right" w:pos="-2700"/>
          <w:tab w:val="right" w:pos="720"/>
        </w:tabs>
        <w:spacing w:before="60" w:after="60"/>
        <w:rPr>
          <w:b w:val="0"/>
          <w:noProof/>
          <w:sz w:val="16"/>
          <w:szCs w:val="16"/>
          <w:lang w:val="en-GB"/>
        </w:rPr>
      </w:pPr>
    </w:p>
    <w:p w:rsidR="005D6812" w:rsidRDefault="00AB2A2B">
      <w:pPr>
        <w:pStyle w:val="Notes5"/>
        <w:numPr>
          <w:ilvl w:val="0"/>
          <w:numId w:val="0"/>
        </w:numPr>
        <w:tabs>
          <w:tab w:val="clear" w:pos="4320"/>
          <w:tab w:val="clear" w:pos="8640"/>
          <w:tab w:val="right" w:pos="-2700"/>
          <w:tab w:val="right" w:pos="720"/>
        </w:tabs>
        <w:spacing w:before="60" w:after="60"/>
        <w:rPr>
          <w:b w:val="0"/>
          <w:noProof/>
          <w:sz w:val="16"/>
          <w:szCs w:val="16"/>
          <w:lang w:val="en-GB"/>
        </w:rPr>
      </w:pPr>
      <w:r>
        <w:rPr>
          <w:b w:val="0"/>
          <w:noProof/>
          <w:sz w:val="16"/>
          <w:szCs w:val="16"/>
          <w:lang w:val="en-GB"/>
        </w:rPr>
        <w:t>The table in section 3.2.3.3 shows the credit quali</w:t>
      </w:r>
      <w:r>
        <w:rPr>
          <w:b w:val="0"/>
          <w:noProof/>
          <w:sz w:val="16"/>
          <w:szCs w:val="16"/>
          <w:lang w:val="en-GB"/>
        </w:rPr>
        <w:t>ty analysis of the Facility’s loan portfolio based on the various LG classes as described above.</w:t>
      </w:r>
    </w:p>
    <w:p w:rsidR="005D6812" w:rsidRDefault="00AB2A2B">
      <w:pPr>
        <w:pStyle w:val="Notes6"/>
        <w:pageBreakBefore/>
        <w:numPr>
          <w:ilvl w:val="3"/>
          <w:numId w:val="52"/>
        </w:numPr>
        <w:tabs>
          <w:tab w:val="clear" w:pos="4320"/>
          <w:tab w:val="clear" w:pos="8640"/>
          <w:tab w:val="right" w:pos="-2700"/>
          <w:tab w:val="right" w:pos="720"/>
        </w:tabs>
        <w:spacing w:before="60" w:after="60"/>
        <w:rPr>
          <w:b w:val="0"/>
          <w:bCs/>
          <w:noProof/>
          <w:sz w:val="16"/>
          <w:szCs w:val="16"/>
          <w:lang w:val="en-GB"/>
        </w:rPr>
      </w:pPr>
      <w:r>
        <w:rPr>
          <w:b w:val="0"/>
          <w:bCs/>
          <w:noProof/>
          <w:sz w:val="16"/>
          <w:szCs w:val="16"/>
          <w:lang w:val="en-GB"/>
        </w:rPr>
        <w:t>Analysis of lending credit risk exposure</w:t>
      </w:r>
    </w:p>
    <w:p w:rsidR="005D6812" w:rsidRDefault="005D6812">
      <w:pPr>
        <w:pStyle w:val="Notes6"/>
        <w:numPr>
          <w:ilvl w:val="0"/>
          <w:numId w:val="0"/>
        </w:numPr>
        <w:tabs>
          <w:tab w:val="clear" w:pos="4320"/>
          <w:tab w:val="clear" w:pos="8640"/>
          <w:tab w:val="right" w:pos="-2700"/>
          <w:tab w:val="right" w:pos="720"/>
        </w:tabs>
        <w:spacing w:before="60" w:after="60"/>
        <w:rPr>
          <w:b w:val="0"/>
          <w:noProof/>
          <w:sz w:val="16"/>
          <w:szCs w:val="16"/>
          <w:lang w:val="en-GB"/>
        </w:rPr>
      </w:pPr>
    </w:p>
    <w:p w:rsidR="005D6812" w:rsidRDefault="00AB2A2B">
      <w:pPr>
        <w:pStyle w:val="Notes6"/>
        <w:numPr>
          <w:ilvl w:val="0"/>
          <w:numId w:val="0"/>
        </w:numPr>
        <w:tabs>
          <w:tab w:val="clear" w:pos="4320"/>
          <w:tab w:val="clear" w:pos="8640"/>
          <w:tab w:val="right" w:pos="-2700"/>
          <w:tab w:val="right" w:pos="720"/>
        </w:tabs>
        <w:spacing w:before="60" w:after="60"/>
        <w:rPr>
          <w:b w:val="0"/>
          <w:noProof/>
          <w:sz w:val="16"/>
          <w:szCs w:val="16"/>
          <w:lang w:val="en-GB"/>
        </w:rPr>
      </w:pPr>
      <w:r>
        <w:rPr>
          <w:b w:val="0"/>
          <w:noProof/>
          <w:sz w:val="16"/>
          <w:szCs w:val="16"/>
          <w:lang w:val="en-GB"/>
        </w:rPr>
        <w:t>The following table shows the maximum exposure to credit risk on loans signed and disbursed by nature of borrower tak</w:t>
      </w:r>
      <w:r>
        <w:rPr>
          <w:b w:val="0"/>
          <w:noProof/>
          <w:sz w:val="16"/>
          <w:szCs w:val="16"/>
          <w:lang w:val="en-GB"/>
        </w:rPr>
        <w:t>ing into account guarantees provided by guarantors:</w:t>
      </w:r>
    </w:p>
    <w:p w:rsidR="005D6812" w:rsidRDefault="005D6812">
      <w:pPr>
        <w:pStyle w:val="Notes6"/>
        <w:numPr>
          <w:ilvl w:val="0"/>
          <w:numId w:val="0"/>
        </w:numPr>
        <w:tabs>
          <w:tab w:val="clear" w:pos="4320"/>
          <w:tab w:val="clear" w:pos="8640"/>
          <w:tab w:val="right" w:pos="-2700"/>
          <w:tab w:val="right" w:pos="720"/>
        </w:tabs>
        <w:spacing w:before="60" w:after="60"/>
        <w:rPr>
          <w:b w:val="0"/>
          <w:noProof/>
          <w:sz w:val="16"/>
          <w:szCs w:val="16"/>
          <w:lang w:val="en-GB"/>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75"/>
        <w:gridCol w:w="1500"/>
        <w:gridCol w:w="1500"/>
        <w:gridCol w:w="1500"/>
        <w:gridCol w:w="1500"/>
        <w:gridCol w:w="1500"/>
      </w:tblGrid>
      <w:tr w:rsidR="005D6812">
        <w:trPr>
          <w:trHeight w:val="300"/>
        </w:trPr>
        <w:tc>
          <w:tcPr>
            <w:tcW w:w="24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At 31.12.2016</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Guaranteed</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Other credit enhancements</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Not guaranteed</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Total</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of Total</w:t>
            </w:r>
          </w:p>
        </w:tc>
      </w:tr>
      <w:tr w:rsidR="005D6812">
        <w:trPr>
          <w:trHeight w:val="300"/>
        </w:trPr>
        <w:tc>
          <w:tcPr>
            <w:tcW w:w="247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In EUR’000</w:t>
            </w: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300"/>
        </w:trPr>
        <w:tc>
          <w:tcPr>
            <w:tcW w:w="24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Banks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22,691</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34,597</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933,609</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990,897</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57%</w:t>
            </w:r>
          </w:p>
        </w:tc>
      </w:tr>
      <w:tr w:rsidR="005D6812">
        <w:trPr>
          <w:trHeight w:val="300"/>
        </w:trPr>
        <w:tc>
          <w:tcPr>
            <w:tcW w:w="24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Corporates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110,849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97,213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320,406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528,468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w:t>
            </w:r>
          </w:p>
        </w:tc>
      </w:tr>
      <w:tr w:rsidR="005D6812">
        <w:trPr>
          <w:trHeight w:val="300"/>
        </w:trPr>
        <w:tc>
          <w:tcPr>
            <w:tcW w:w="24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Public </w:t>
            </w:r>
            <w:r>
              <w:rPr>
                <w:rFonts w:ascii="Arial" w:eastAsia="Arial" w:hAnsi="Arial" w:cs="Arial"/>
                <w:noProof/>
                <w:color w:val="000000"/>
                <w:sz w:val="16"/>
              </w:rPr>
              <w:t>institutions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38,330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38,330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w:t>
            </w:r>
          </w:p>
        </w:tc>
      </w:tr>
      <w:tr w:rsidR="005D6812">
        <w:trPr>
          <w:trHeight w:val="300"/>
        </w:trPr>
        <w:tc>
          <w:tcPr>
            <w:tcW w:w="247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States</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3,764</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167,921</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171,685</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w:t>
            </w:r>
          </w:p>
        </w:tc>
      </w:tr>
      <w:tr w:rsidR="005D6812">
        <w:trPr>
          <w:trHeight w:val="300"/>
        </w:trPr>
        <w:tc>
          <w:tcPr>
            <w:tcW w:w="24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disbursed</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171,870</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135,574</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1,421,936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1,729,380</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100%</w:t>
            </w:r>
          </w:p>
        </w:tc>
      </w:tr>
      <w:tr w:rsidR="005D6812">
        <w:trPr>
          <w:trHeight w:val="300"/>
        </w:trPr>
        <w:tc>
          <w:tcPr>
            <w:tcW w:w="247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Signed not disbursed</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94,976</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806,923</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901,899</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hRule="exact" w:val="300"/>
        </w:trPr>
        <w:tc>
          <w:tcPr>
            <w:tcW w:w="2475"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val="300"/>
        </w:trPr>
        <w:tc>
          <w:tcPr>
            <w:tcW w:w="24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At 31.12.2015</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Guaranteed</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Other credit enhancements</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Not guaranteed</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Total</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of Total</w:t>
            </w:r>
          </w:p>
        </w:tc>
      </w:tr>
      <w:tr w:rsidR="005D6812">
        <w:trPr>
          <w:trHeight w:val="300"/>
        </w:trPr>
        <w:tc>
          <w:tcPr>
            <w:tcW w:w="247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In EUR’000</w:t>
            </w: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300"/>
        </w:trPr>
        <w:tc>
          <w:tcPr>
            <w:tcW w:w="24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Banks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18,964</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73,670</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758,412</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851,046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58%</w:t>
            </w:r>
          </w:p>
        </w:tc>
      </w:tr>
      <w:tr w:rsidR="005D6812">
        <w:trPr>
          <w:trHeight w:val="300"/>
        </w:trPr>
        <w:tc>
          <w:tcPr>
            <w:tcW w:w="24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Corporates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37,431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89,170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272,186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398,787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27%</w:t>
            </w:r>
          </w:p>
        </w:tc>
      </w:tr>
      <w:tr w:rsidR="005D6812">
        <w:trPr>
          <w:trHeight w:val="300"/>
        </w:trPr>
        <w:tc>
          <w:tcPr>
            <w:tcW w:w="24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Public institutions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37,112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37,126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w:t>
            </w:r>
          </w:p>
        </w:tc>
      </w:tr>
      <w:tr w:rsidR="005D6812">
        <w:trPr>
          <w:trHeight w:val="300"/>
        </w:trPr>
        <w:tc>
          <w:tcPr>
            <w:tcW w:w="247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States</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4,295</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168,803</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173,098</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12%</w:t>
            </w:r>
          </w:p>
        </w:tc>
      </w:tr>
      <w:tr w:rsidR="005D6812">
        <w:trPr>
          <w:trHeight w:val="300"/>
        </w:trPr>
        <w:tc>
          <w:tcPr>
            <w:tcW w:w="24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disbursed</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93,507</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167,135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1,199,415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1,460,057</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100%</w:t>
            </w:r>
          </w:p>
        </w:tc>
      </w:tr>
      <w:tr w:rsidR="005D6812">
        <w:trPr>
          <w:trHeight w:val="300"/>
        </w:trPr>
        <w:tc>
          <w:tcPr>
            <w:tcW w:w="247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Signed not disbursed</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135,821</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1,053,743</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1,189,564</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5D6812" w:rsidRDefault="005D6812">
            <w:pPr>
              <w:jc w:val="right"/>
              <w:rPr>
                <w:rFonts w:ascii="Arial" w:eastAsia="Arial" w:hAnsi="Arial" w:cs="Arial"/>
                <w:b/>
                <w:noProof/>
                <w:color w:val="000000"/>
                <w:sz w:val="16"/>
              </w:rPr>
            </w:pPr>
          </w:p>
        </w:tc>
      </w:tr>
    </w:tbl>
    <w:p w:rsidR="005D6812" w:rsidRDefault="005D6812">
      <w:pPr>
        <w:pStyle w:val="Default"/>
        <w:pBdr>
          <w:top w:val="nil"/>
          <w:left w:val="nil"/>
          <w:bottom w:val="nil"/>
          <w:right w:val="nil"/>
          <w:between w:val="nil"/>
          <w:bar w:val="nil"/>
        </w:pBdr>
        <w:jc w:val="both"/>
        <w:rPr>
          <w:noProof/>
          <w:sz w:val="16"/>
          <w:szCs w:val="16"/>
          <w:bdr w:val="nil"/>
        </w:rPr>
      </w:pPr>
    </w:p>
    <w:p w:rsidR="005D6812" w:rsidRDefault="005D6812">
      <w:pPr>
        <w:pStyle w:val="Default"/>
        <w:pBdr>
          <w:top w:val="nil"/>
          <w:left w:val="nil"/>
          <w:bottom w:val="nil"/>
          <w:right w:val="nil"/>
          <w:between w:val="nil"/>
          <w:bar w:val="nil"/>
        </w:pBdr>
        <w:jc w:val="both"/>
        <w:rPr>
          <w:noProof/>
          <w:sz w:val="16"/>
          <w:szCs w:val="16"/>
          <w:bdr w:val="nil"/>
        </w:rPr>
      </w:pPr>
    </w:p>
    <w:p w:rsidR="005D6812" w:rsidRDefault="00AB2A2B">
      <w:pPr>
        <w:pStyle w:val="Default"/>
        <w:pBdr>
          <w:top w:val="nil"/>
          <w:left w:val="nil"/>
          <w:bottom w:val="nil"/>
          <w:right w:val="nil"/>
          <w:between w:val="nil"/>
          <w:bar w:val="nil"/>
        </w:pBdr>
        <w:jc w:val="both"/>
        <w:rPr>
          <w:noProof/>
          <w:sz w:val="16"/>
          <w:szCs w:val="16"/>
          <w:bdr w:val="nil"/>
        </w:rPr>
      </w:pPr>
      <w:r>
        <w:rPr>
          <w:noProof/>
          <w:sz w:val="16"/>
          <w:szCs w:val="16"/>
          <w:bdr w:val="nil"/>
        </w:rPr>
        <w:t xml:space="preserve">Transaction Management and Restructuring is tasked with the responsibility of performing borrower and guarantor monitoring, as well as project-related financial and contractual monitoring. Thus, the </w:t>
      </w:r>
      <w:r>
        <w:rPr>
          <w:noProof/>
          <w:sz w:val="16"/>
          <w:szCs w:val="16"/>
          <w:bdr w:val="nil"/>
        </w:rPr>
        <w:t>creditworthiness of the Facility’s loans, borrowers and guarantors are continually monitored, at least annually but more frequently on an as-needed basis and as a function of credit events taking place. In particular, Transaction Management and Restructuri</w:t>
      </w:r>
      <w:r>
        <w:rPr>
          <w:noProof/>
          <w:sz w:val="16"/>
          <w:szCs w:val="16"/>
          <w:bdr w:val="nil"/>
        </w:rPr>
        <w:t>ng reviews if contractual rights are met and, in case of a rating deterioration and/or contractual default, remedy action is taken. Mitigation measures are pursued, whenever necessary in accordance with the credit risk guidelines. Also, in case of renewals</w:t>
      </w:r>
      <w:r>
        <w:rPr>
          <w:noProof/>
          <w:sz w:val="16"/>
          <w:szCs w:val="16"/>
          <w:bdr w:val="nil"/>
        </w:rPr>
        <w:t xml:space="preserve"> of bank guarantees received for its loans, it is ensured that these are replaced or action is taken in a timely manner.</w:t>
      </w:r>
    </w:p>
    <w:p w:rsidR="005D6812" w:rsidRDefault="005D6812">
      <w:pPr>
        <w:pStyle w:val="Default"/>
        <w:pBdr>
          <w:top w:val="nil"/>
          <w:left w:val="nil"/>
          <w:bottom w:val="nil"/>
          <w:right w:val="nil"/>
          <w:between w:val="nil"/>
          <w:bar w:val="nil"/>
        </w:pBdr>
        <w:jc w:val="both"/>
        <w:rPr>
          <w:noProof/>
          <w:sz w:val="16"/>
          <w:szCs w:val="16"/>
          <w:bdr w:val="nil"/>
        </w:rPr>
      </w:pPr>
    </w:p>
    <w:p w:rsidR="005D6812" w:rsidRDefault="00AB2A2B">
      <w:pPr>
        <w:pStyle w:val="Notes7"/>
        <w:pageBreakBefore/>
        <w:numPr>
          <w:ilvl w:val="3"/>
          <w:numId w:val="54"/>
        </w:numPr>
        <w:tabs>
          <w:tab w:val="clear" w:pos="4320"/>
          <w:tab w:val="clear" w:pos="8640"/>
          <w:tab w:val="right" w:pos="-2700"/>
          <w:tab w:val="right" w:pos="720"/>
        </w:tabs>
        <w:spacing w:before="60" w:after="60"/>
        <w:rPr>
          <w:b w:val="0"/>
          <w:bCs/>
          <w:noProof/>
          <w:sz w:val="16"/>
          <w:szCs w:val="16"/>
          <w:lang w:val="en-GB"/>
        </w:rPr>
      </w:pPr>
      <w:r>
        <w:rPr>
          <w:b w:val="0"/>
          <w:noProof/>
          <w:sz w:val="16"/>
          <w:szCs w:val="16"/>
          <w:lang w:val="en-GB"/>
        </w:rPr>
        <w:t>Credit quality analysis per type of borrower</w:t>
      </w:r>
    </w:p>
    <w:p w:rsidR="005D6812" w:rsidRDefault="005D6812">
      <w:pPr>
        <w:pStyle w:val="Notes7"/>
        <w:numPr>
          <w:ilvl w:val="0"/>
          <w:numId w:val="0"/>
        </w:numPr>
        <w:tabs>
          <w:tab w:val="clear" w:pos="4320"/>
          <w:tab w:val="clear" w:pos="8640"/>
          <w:tab w:val="right" w:pos="-2700"/>
          <w:tab w:val="right" w:pos="720"/>
        </w:tabs>
        <w:spacing w:before="60" w:after="60"/>
        <w:rPr>
          <w:b w:val="0"/>
          <w:bCs/>
          <w:noProof/>
          <w:sz w:val="16"/>
          <w:szCs w:val="16"/>
          <w:lang w:val="en-GB"/>
        </w:rPr>
      </w:pPr>
    </w:p>
    <w:p w:rsidR="005D6812" w:rsidRDefault="00AB2A2B">
      <w:pPr>
        <w:pStyle w:val="Notes7"/>
        <w:numPr>
          <w:ilvl w:val="0"/>
          <w:numId w:val="0"/>
        </w:numPr>
        <w:tabs>
          <w:tab w:val="clear" w:pos="4320"/>
          <w:tab w:val="clear" w:pos="8640"/>
          <w:tab w:val="right" w:pos="-2700"/>
        </w:tabs>
        <w:spacing w:before="60" w:after="60"/>
        <w:rPr>
          <w:b w:val="0"/>
          <w:noProof/>
          <w:sz w:val="16"/>
          <w:szCs w:val="16"/>
          <w:lang w:val="en-GB"/>
        </w:rPr>
      </w:pPr>
      <w:r>
        <w:rPr>
          <w:b w:val="0"/>
          <w:noProof/>
          <w:sz w:val="16"/>
          <w:szCs w:val="16"/>
          <w:lang w:val="en-GB"/>
        </w:rPr>
        <w:t>The tables below show the credit quality analysis of the Facility’s loan portfolio as at</w:t>
      </w:r>
      <w:r>
        <w:rPr>
          <w:b w:val="0"/>
          <w:noProof/>
          <w:sz w:val="16"/>
          <w:szCs w:val="16"/>
          <w:lang w:val="en-GB"/>
        </w:rPr>
        <w:t xml:space="preserve"> 31 December 2016 and 31 December 2015 by the Loan Grading applications, based on the exposure signed (disbursed and un-disbursed):</w:t>
      </w:r>
    </w:p>
    <w:p w:rsidR="005D6812" w:rsidRDefault="005D6812">
      <w:pPr>
        <w:pStyle w:val="Notes7"/>
        <w:numPr>
          <w:ilvl w:val="0"/>
          <w:numId w:val="0"/>
        </w:numPr>
        <w:tabs>
          <w:tab w:val="clear" w:pos="4320"/>
          <w:tab w:val="clear" w:pos="8640"/>
          <w:tab w:val="right" w:pos="-2700"/>
        </w:tabs>
        <w:spacing w:before="60" w:after="60"/>
        <w:rPr>
          <w:b w:val="0"/>
          <w:noProof/>
          <w:sz w:val="16"/>
          <w:szCs w:val="16"/>
          <w:lang w:val="en-GB"/>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75"/>
        <w:gridCol w:w="1350"/>
        <w:gridCol w:w="1050"/>
        <w:gridCol w:w="1050"/>
        <w:gridCol w:w="1050"/>
        <w:gridCol w:w="1050"/>
        <w:gridCol w:w="1050"/>
        <w:gridCol w:w="1050"/>
        <w:gridCol w:w="1050"/>
      </w:tblGrid>
      <w:tr w:rsidR="005D6812">
        <w:trPr>
          <w:trHeight w:val="300"/>
        </w:trPr>
        <w:tc>
          <w:tcPr>
            <w:tcW w:w="1275"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At 31.12.2016</w:t>
            </w:r>
          </w:p>
        </w:tc>
        <w:tc>
          <w:tcPr>
            <w:tcW w:w="1350" w:type="dxa"/>
            <w:vMerge w:val="restart"/>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5D6812">
            <w:pPr>
              <w:rPr>
                <w:rFonts w:ascii="Arial" w:eastAsia="Arial" w:hAnsi="Arial" w:cs="Arial"/>
                <w:noProof/>
                <w:color w:val="000000"/>
                <w:sz w:val="16"/>
              </w:rPr>
            </w:pP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 High Grade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 Standard Grade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 Min. Accept. Risk</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 High Risk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 No grading</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 Total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of Total</w:t>
            </w:r>
          </w:p>
        </w:tc>
      </w:tr>
      <w:tr w:rsidR="005D6812">
        <w:trPr>
          <w:trHeight w:val="300"/>
        </w:trPr>
        <w:tc>
          <w:tcPr>
            <w:tcW w:w="12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In EUR’000</w:t>
            </w:r>
          </w:p>
        </w:tc>
        <w:tc>
          <w:tcPr>
            <w:tcW w:w="1350" w:type="dxa"/>
            <w:vMerge/>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050" w:type="dxa"/>
            <w:vMerge/>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050" w:type="dxa"/>
            <w:vMerge/>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450"/>
        </w:trPr>
        <w:tc>
          <w:tcPr>
            <w:tcW w:w="1275"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5D6812">
            <w:pPr>
              <w:rPr>
                <w:rFonts w:ascii="Arial" w:eastAsia="Arial" w:hAnsi="Arial" w:cs="Arial"/>
                <w:noProof/>
                <w:color w:val="000000"/>
                <w:sz w:val="16"/>
              </w:rPr>
            </w:pPr>
          </w:p>
        </w:tc>
        <w:tc>
          <w:tcPr>
            <w:tcW w:w="135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5D6812">
            <w:pPr>
              <w:rPr>
                <w:rFonts w:ascii="Arial" w:eastAsia="Arial" w:hAnsi="Arial" w:cs="Arial"/>
                <w:noProof/>
                <w:color w:val="000000"/>
                <w:sz w:val="16"/>
              </w:rPr>
            </w:pP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A to B- </w:t>
            </w: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C </w:t>
            </w: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D+ </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 D- and below</w:t>
            </w: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5D6812" w:rsidRDefault="005D6812">
            <w:pPr>
              <w:jc w:val="right"/>
              <w:rPr>
                <w:rFonts w:ascii="Arial" w:eastAsia="Arial" w:hAnsi="Arial" w:cs="Arial"/>
                <w:b/>
                <w:noProof/>
                <w:color w:val="000000"/>
                <w:sz w:val="16"/>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5D6812">
            <w:pPr>
              <w:rPr>
                <w:rFonts w:ascii="Arial" w:eastAsia="Arial" w:hAnsi="Arial" w:cs="Arial"/>
                <w:noProof/>
                <w:color w:val="000000"/>
                <w:sz w:val="16"/>
              </w:rPr>
            </w:pP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r>
      <w:tr w:rsidR="005D6812">
        <w:trPr>
          <w:trHeight w:val="300"/>
        </w:trPr>
        <w:tc>
          <w:tcPr>
            <w:tcW w:w="1275"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Borrower</w:t>
            </w:r>
          </w:p>
        </w:tc>
        <w:tc>
          <w:tcPr>
            <w:tcW w:w="135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Banks</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94,081</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53,970</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315,524</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1,038,705</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126,951</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1,629,231</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62%</w:t>
            </w:r>
          </w:p>
        </w:tc>
      </w:tr>
      <w:tr w:rsidR="005D6812">
        <w:trPr>
          <w:trHeight w:val="300"/>
        </w:trPr>
        <w:tc>
          <w:tcPr>
            <w:tcW w:w="1275" w:type="dxa"/>
            <w:vMerge/>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35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Corporates</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125,810</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19,389</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393,877</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152,355</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691,431</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26%</w:t>
            </w:r>
          </w:p>
        </w:tc>
      </w:tr>
      <w:tr w:rsidR="005D6812">
        <w:trPr>
          <w:trHeight w:val="300"/>
        </w:trPr>
        <w:tc>
          <w:tcPr>
            <w:tcW w:w="1275" w:type="dxa"/>
            <w:vMerge/>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35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Public institutions</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38,330</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38,330</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w:t>
            </w:r>
          </w:p>
        </w:tc>
      </w:tr>
      <w:tr w:rsidR="005D6812">
        <w:trPr>
          <w:trHeight w:val="300"/>
        </w:trPr>
        <w:tc>
          <w:tcPr>
            <w:tcW w:w="1275" w:type="dxa"/>
            <w:vMerge/>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35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States</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18,131</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254,156</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272,287</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11%</w:t>
            </w:r>
          </w:p>
        </w:tc>
      </w:tr>
      <w:tr w:rsidR="005D6812">
        <w:trPr>
          <w:trHeight w:val="300"/>
        </w:trPr>
        <w:tc>
          <w:tcPr>
            <w:tcW w:w="1275"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w:t>
            </w:r>
          </w:p>
        </w:tc>
        <w:tc>
          <w:tcPr>
            <w:tcW w:w="1350"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5D6812">
            <w:pPr>
              <w:rPr>
                <w:rFonts w:ascii="Arial" w:eastAsia="Arial" w:hAnsi="Arial" w:cs="Arial"/>
                <w:b/>
                <w:noProof/>
                <w:color w:val="000000"/>
                <w:sz w:val="16"/>
              </w:rPr>
            </w:pP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219,891</w:t>
            </w: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53,970</w:t>
            </w: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391,374</w:t>
            </w: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1,686,738</w:t>
            </w: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279,306</w:t>
            </w: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2,631,279</w:t>
            </w: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100%</w:t>
            </w:r>
          </w:p>
        </w:tc>
      </w:tr>
      <w:tr w:rsidR="005D6812">
        <w:trPr>
          <w:trHeight w:hRule="exact" w:val="300"/>
        </w:trPr>
        <w:tc>
          <w:tcPr>
            <w:tcW w:w="1275"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35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val="300"/>
        </w:trPr>
        <w:tc>
          <w:tcPr>
            <w:tcW w:w="1275"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At 31.12.2015</w:t>
            </w:r>
          </w:p>
        </w:tc>
        <w:tc>
          <w:tcPr>
            <w:tcW w:w="1350" w:type="dxa"/>
            <w:vMerge w:val="restart"/>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5D6812">
            <w:pPr>
              <w:rPr>
                <w:rFonts w:ascii="Arial" w:eastAsia="Arial" w:hAnsi="Arial" w:cs="Arial"/>
                <w:noProof/>
                <w:color w:val="000000"/>
                <w:sz w:val="16"/>
              </w:rPr>
            </w:pP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 High Grade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 Standard Grade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 Min. Accept. Risk</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 High Risk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 No grading</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 Total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of Total</w:t>
            </w:r>
          </w:p>
        </w:tc>
      </w:tr>
      <w:tr w:rsidR="005D6812">
        <w:trPr>
          <w:trHeight w:val="300"/>
        </w:trPr>
        <w:tc>
          <w:tcPr>
            <w:tcW w:w="12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In EUR’000</w:t>
            </w:r>
          </w:p>
        </w:tc>
        <w:tc>
          <w:tcPr>
            <w:tcW w:w="1350" w:type="dxa"/>
            <w:vMerge/>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050" w:type="dxa"/>
            <w:vMerge/>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050" w:type="dxa"/>
            <w:vMerge/>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450"/>
        </w:trPr>
        <w:tc>
          <w:tcPr>
            <w:tcW w:w="1275"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5D6812">
            <w:pPr>
              <w:rPr>
                <w:rFonts w:ascii="Arial" w:eastAsia="Arial" w:hAnsi="Arial" w:cs="Arial"/>
                <w:noProof/>
                <w:color w:val="000000"/>
                <w:sz w:val="16"/>
              </w:rPr>
            </w:pPr>
          </w:p>
        </w:tc>
        <w:tc>
          <w:tcPr>
            <w:tcW w:w="135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5D6812">
            <w:pPr>
              <w:rPr>
                <w:rFonts w:ascii="Arial" w:eastAsia="Arial" w:hAnsi="Arial" w:cs="Arial"/>
                <w:noProof/>
                <w:color w:val="000000"/>
                <w:sz w:val="16"/>
              </w:rPr>
            </w:pP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A to B- </w:t>
            </w: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C </w:t>
            </w: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D+ </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 D- and below</w:t>
            </w: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5D6812" w:rsidRDefault="005D6812">
            <w:pPr>
              <w:jc w:val="right"/>
              <w:rPr>
                <w:rFonts w:ascii="Arial" w:eastAsia="Arial" w:hAnsi="Arial" w:cs="Arial"/>
                <w:b/>
                <w:noProof/>
                <w:color w:val="000000"/>
                <w:sz w:val="16"/>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5D6812">
            <w:pPr>
              <w:rPr>
                <w:rFonts w:ascii="Arial" w:eastAsia="Arial" w:hAnsi="Arial" w:cs="Arial"/>
                <w:noProof/>
                <w:color w:val="000000"/>
                <w:sz w:val="16"/>
              </w:rPr>
            </w:pP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r>
      <w:tr w:rsidR="005D6812">
        <w:trPr>
          <w:trHeight w:val="300"/>
        </w:trPr>
        <w:tc>
          <w:tcPr>
            <w:tcW w:w="1275"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Borrower</w:t>
            </w:r>
          </w:p>
        </w:tc>
        <w:tc>
          <w:tcPr>
            <w:tcW w:w="135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Banks</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92,260</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31,558</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326,635</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990,971</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245,160</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1,686,584</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64%</w:t>
            </w:r>
          </w:p>
        </w:tc>
      </w:tr>
      <w:tr w:rsidR="005D6812">
        <w:trPr>
          <w:trHeight w:val="300"/>
        </w:trPr>
        <w:tc>
          <w:tcPr>
            <w:tcW w:w="1275" w:type="dxa"/>
            <w:vMerge/>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35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Corporates</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125,963</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12,493</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450,045</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588,501</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22%</w:t>
            </w:r>
          </w:p>
        </w:tc>
      </w:tr>
      <w:tr w:rsidR="005D6812">
        <w:trPr>
          <w:trHeight w:val="300"/>
        </w:trPr>
        <w:tc>
          <w:tcPr>
            <w:tcW w:w="1275" w:type="dxa"/>
            <w:vMerge/>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35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Public institutions</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37,112</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40,014</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77,126</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w:t>
            </w:r>
          </w:p>
        </w:tc>
      </w:tr>
      <w:tr w:rsidR="005D6812">
        <w:trPr>
          <w:trHeight w:val="300"/>
        </w:trPr>
        <w:tc>
          <w:tcPr>
            <w:tcW w:w="1275" w:type="dxa"/>
            <w:vMerge/>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noProof/>
                <w:color w:val="000000"/>
                <w:sz w:val="16"/>
              </w:rPr>
            </w:pPr>
          </w:p>
        </w:tc>
        <w:tc>
          <w:tcPr>
            <w:tcW w:w="135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States</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9,277</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288,133</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297,410</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11%</w:t>
            </w:r>
          </w:p>
        </w:tc>
      </w:tr>
      <w:tr w:rsidR="005D6812">
        <w:trPr>
          <w:trHeight w:val="300"/>
        </w:trPr>
        <w:tc>
          <w:tcPr>
            <w:tcW w:w="1275"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w:t>
            </w:r>
          </w:p>
        </w:tc>
        <w:tc>
          <w:tcPr>
            <w:tcW w:w="1350"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5D6812">
            <w:pPr>
              <w:rPr>
                <w:rFonts w:ascii="Arial" w:eastAsia="Arial" w:hAnsi="Arial" w:cs="Arial"/>
                <w:b/>
                <w:noProof/>
                <w:color w:val="000000"/>
                <w:sz w:val="16"/>
              </w:rPr>
            </w:pP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218,223</w:t>
            </w: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31,558</w:t>
            </w: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385,517</w:t>
            </w: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1,769,163</w:t>
            </w: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245,160</w:t>
            </w: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2,649,621</w:t>
            </w:r>
          </w:p>
        </w:tc>
        <w:tc>
          <w:tcPr>
            <w:tcW w:w="105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100%</w:t>
            </w:r>
          </w:p>
        </w:tc>
      </w:tr>
    </w:tbl>
    <w:p w:rsidR="005D6812" w:rsidRDefault="00AB2A2B">
      <w:pPr>
        <w:pStyle w:val="Notes8"/>
        <w:pageBreakBefore/>
        <w:numPr>
          <w:ilvl w:val="3"/>
          <w:numId w:val="56"/>
        </w:numPr>
        <w:tabs>
          <w:tab w:val="clear" w:pos="4320"/>
          <w:tab w:val="clear" w:pos="8640"/>
          <w:tab w:val="right" w:pos="-2700"/>
          <w:tab w:val="right" w:pos="720"/>
        </w:tabs>
        <w:spacing w:before="60" w:after="60"/>
        <w:rPr>
          <w:b w:val="0"/>
          <w:bCs/>
          <w:noProof/>
          <w:sz w:val="16"/>
          <w:szCs w:val="16"/>
          <w:lang w:val="en-GB"/>
        </w:rPr>
      </w:pPr>
      <w:r>
        <w:rPr>
          <w:b w:val="0"/>
          <w:noProof/>
          <w:sz w:val="16"/>
          <w:szCs w:val="16"/>
          <w:lang w:val="en-GB"/>
        </w:rPr>
        <w:t>Risk concentrations of loans and receivables</w:t>
      </w:r>
    </w:p>
    <w:p w:rsidR="005D6812" w:rsidRDefault="005D6812">
      <w:pPr>
        <w:pStyle w:val="Notes8"/>
        <w:numPr>
          <w:ilvl w:val="0"/>
          <w:numId w:val="0"/>
        </w:numPr>
        <w:tabs>
          <w:tab w:val="clear" w:pos="4320"/>
          <w:tab w:val="clear" w:pos="8640"/>
          <w:tab w:val="right" w:pos="-2700"/>
          <w:tab w:val="right" w:pos="720"/>
        </w:tabs>
        <w:spacing w:before="60" w:after="60"/>
        <w:rPr>
          <w:b w:val="0"/>
          <w:bCs/>
          <w:noProof/>
          <w:sz w:val="16"/>
          <w:szCs w:val="16"/>
          <w:lang w:val="en-GB"/>
        </w:rPr>
      </w:pPr>
    </w:p>
    <w:p w:rsidR="005D6812" w:rsidRDefault="00AB2A2B">
      <w:pPr>
        <w:pStyle w:val="Notes8"/>
        <w:numPr>
          <w:ilvl w:val="4"/>
          <w:numId w:val="56"/>
        </w:numPr>
        <w:tabs>
          <w:tab w:val="clear" w:pos="4320"/>
          <w:tab w:val="clear" w:pos="8640"/>
          <w:tab w:val="right" w:pos="-2700"/>
          <w:tab w:val="left" w:pos="993"/>
        </w:tabs>
        <w:spacing w:before="60" w:after="60"/>
        <w:rPr>
          <w:b w:val="0"/>
          <w:noProof/>
          <w:sz w:val="16"/>
          <w:szCs w:val="16"/>
          <w:lang w:val="en-GB"/>
        </w:rPr>
      </w:pPr>
      <w:r>
        <w:rPr>
          <w:b w:val="0"/>
          <w:noProof/>
          <w:sz w:val="16"/>
          <w:szCs w:val="16"/>
          <w:lang w:val="en-GB"/>
        </w:rPr>
        <w:t>Geographical analysis</w:t>
      </w:r>
    </w:p>
    <w:p w:rsidR="005D6812" w:rsidRDefault="005D6812">
      <w:pPr>
        <w:pStyle w:val="Notes8"/>
        <w:numPr>
          <w:ilvl w:val="0"/>
          <w:numId w:val="0"/>
        </w:numPr>
        <w:tabs>
          <w:tab w:val="clear" w:pos="4320"/>
          <w:tab w:val="clear" w:pos="8640"/>
          <w:tab w:val="right" w:pos="-2700"/>
        </w:tabs>
        <w:spacing w:before="60" w:after="60"/>
        <w:rPr>
          <w:b w:val="0"/>
          <w:noProof/>
          <w:sz w:val="16"/>
          <w:szCs w:val="16"/>
          <w:lang w:val="en-GB"/>
        </w:rPr>
      </w:pPr>
    </w:p>
    <w:p w:rsidR="005D6812" w:rsidRDefault="00AB2A2B">
      <w:pPr>
        <w:pStyle w:val="Notes8"/>
        <w:numPr>
          <w:ilvl w:val="0"/>
          <w:numId w:val="0"/>
        </w:numPr>
        <w:tabs>
          <w:tab w:val="clear" w:pos="4320"/>
          <w:tab w:val="clear" w:pos="8640"/>
          <w:tab w:val="right" w:pos="-2700"/>
        </w:tabs>
        <w:spacing w:before="60" w:after="60"/>
        <w:rPr>
          <w:b w:val="0"/>
          <w:noProof/>
          <w:sz w:val="16"/>
          <w:szCs w:val="16"/>
          <w:lang w:val="en-GB"/>
        </w:rPr>
      </w:pPr>
      <w:r>
        <w:rPr>
          <w:b w:val="0"/>
          <w:noProof/>
          <w:sz w:val="16"/>
          <w:szCs w:val="16"/>
          <w:lang w:val="en-GB"/>
        </w:rPr>
        <w:t>Based on the country of borrower, the Facility’s loan portfolio can be analysed by the following geographical regions (in EUR‘000):</w:t>
      </w:r>
    </w:p>
    <w:p w:rsidR="005D6812" w:rsidRDefault="005D6812">
      <w:pPr>
        <w:pStyle w:val="Notes8"/>
        <w:numPr>
          <w:ilvl w:val="0"/>
          <w:numId w:val="0"/>
        </w:numPr>
        <w:tabs>
          <w:tab w:val="clear" w:pos="4320"/>
          <w:tab w:val="clear" w:pos="8640"/>
          <w:tab w:val="right" w:pos="-2700"/>
        </w:tabs>
        <w:spacing w:before="60" w:after="60"/>
        <w:rPr>
          <w:b w:val="0"/>
          <w:noProof/>
          <w:sz w:val="16"/>
          <w:szCs w:val="16"/>
          <w:lang w:val="en-GB"/>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5D6812">
        <w:trPr>
          <w:trHeight w:val="300"/>
        </w:trPr>
        <w:tc>
          <w:tcPr>
            <w:tcW w:w="6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Country of borrower</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31.12.2015</w:t>
            </w:r>
          </w:p>
        </w:tc>
      </w:tr>
      <w:tr w:rsidR="005D6812">
        <w:trPr>
          <w:trHeight w:val="240"/>
        </w:trPr>
        <w:tc>
          <w:tcPr>
            <w:tcW w:w="6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Kenya</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341,805</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192,945</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Nigeria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241,547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195,290</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Uganda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175,424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178,515</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Tanzania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115,239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56,367</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Jamaica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90,237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85,278</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Burundi</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87,373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40</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Mauritania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85,008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94,123</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Dominican Republic</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81,230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72,474</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Togo</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64,605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75,387</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Ethiopia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59,837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67,589</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Congo (Democratic </w:t>
            </w:r>
            <w:r>
              <w:rPr>
                <w:rFonts w:ascii="Arial" w:eastAsia="Arial" w:hAnsi="Arial" w:cs="Arial"/>
                <w:noProof/>
                <w:color w:val="000000"/>
                <w:sz w:val="16"/>
              </w:rPr>
              <w:t>Republic)</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47,122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39,766</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Ghana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45,715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40,439</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Cameroon</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41,255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51,930</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Mauritius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31,518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18,882</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Rwanda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29,918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20,466</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Cape Verde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23,029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24,623</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Mozambique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22,389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25,124</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French Polynesia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21,387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22,095</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Senegal</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18,544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10,991</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Regional-ACP</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15,640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111,103</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Malawi</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11,493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13,030</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Cayman Islands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11,221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Zambia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11,079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8,733</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Botswana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7,889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6,605</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Haiti</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6,879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7,071</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Barbados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6,809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Samoa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6,356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6,267</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Mali</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6,159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6,688</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Burkina Faso</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4,480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5,967</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Congo</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3,460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5,189</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Vanuatu</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2,470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2,772</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New Caledonia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2,191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2,705</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Seychelles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2,058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468</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Palau</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1,929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2,197</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Liberia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1,759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921</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South Africa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1,336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Micronesia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1,088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1,169</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Trinidad and Tobago</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528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1,010</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Niger</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523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1,372</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Saint Lucia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392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2,671</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Bahamas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392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Tonga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54</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Angola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Sint Maarten</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w:t>
            </w:r>
          </w:p>
        </w:tc>
      </w:tr>
      <w:tr w:rsidR="005D6812">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Grenada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1,735</w:t>
            </w:r>
          </w:p>
        </w:tc>
      </w:tr>
      <w:tr w:rsidR="005D6812">
        <w:trPr>
          <w:trHeight w:val="255"/>
        </w:trPr>
        <w:tc>
          <w:tcPr>
            <w:tcW w:w="697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1,729,380</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1,460,057</w:t>
            </w:r>
          </w:p>
        </w:tc>
      </w:tr>
    </w:tbl>
    <w:p w:rsidR="005D6812" w:rsidRDefault="00AB2A2B">
      <w:pPr>
        <w:pStyle w:val="Notes9"/>
        <w:pageBreakBefore/>
        <w:numPr>
          <w:ilvl w:val="4"/>
          <w:numId w:val="58"/>
        </w:numPr>
        <w:tabs>
          <w:tab w:val="clear" w:pos="4320"/>
          <w:tab w:val="clear" w:pos="8640"/>
          <w:tab w:val="right" w:pos="-2700"/>
          <w:tab w:val="left" w:pos="993"/>
        </w:tabs>
        <w:spacing w:before="60" w:after="60"/>
        <w:rPr>
          <w:b w:val="0"/>
          <w:noProof/>
          <w:sz w:val="16"/>
          <w:szCs w:val="16"/>
          <w:lang w:val="en-GB"/>
        </w:rPr>
      </w:pPr>
      <w:r>
        <w:rPr>
          <w:b w:val="0"/>
          <w:noProof/>
          <w:sz w:val="16"/>
          <w:szCs w:val="16"/>
          <w:lang w:val="en-GB"/>
        </w:rPr>
        <w:t>Industry sector analysis</w:t>
      </w:r>
    </w:p>
    <w:p w:rsidR="005D6812" w:rsidRDefault="005D6812">
      <w:pPr>
        <w:pStyle w:val="Notes9"/>
        <w:numPr>
          <w:ilvl w:val="0"/>
          <w:numId w:val="0"/>
        </w:numPr>
        <w:tabs>
          <w:tab w:val="clear" w:pos="4320"/>
          <w:tab w:val="clear" w:pos="8640"/>
          <w:tab w:val="right" w:pos="-2700"/>
          <w:tab w:val="left" w:pos="993"/>
        </w:tabs>
        <w:spacing w:before="60" w:after="60"/>
        <w:rPr>
          <w:b w:val="0"/>
          <w:noProof/>
          <w:sz w:val="16"/>
          <w:szCs w:val="16"/>
          <w:lang w:val="en-GB"/>
        </w:rPr>
      </w:pPr>
    </w:p>
    <w:p w:rsidR="005D6812" w:rsidRDefault="00AB2A2B">
      <w:pPr>
        <w:pStyle w:val="Normal11"/>
        <w:spacing w:before="60" w:after="60"/>
        <w:jc w:val="both"/>
        <w:rPr>
          <w:rFonts w:ascii="Arial" w:hAnsi="Arial"/>
          <w:noProof/>
          <w:sz w:val="16"/>
          <w:szCs w:val="16"/>
        </w:rPr>
      </w:pPr>
      <w:r>
        <w:rPr>
          <w:rFonts w:ascii="Arial" w:hAnsi="Arial"/>
          <w:noProof/>
          <w:sz w:val="16"/>
          <w:szCs w:val="16"/>
        </w:rPr>
        <w:t>The table below analyses the Facility’s loan portfolio by industry sector of the borrower. Operations which are first disbursed to a financial intermediary before being disbursed to the final beneficiary</w:t>
      </w:r>
      <w:r>
        <w:rPr>
          <w:rFonts w:ascii="Arial" w:hAnsi="Arial"/>
          <w:noProof/>
          <w:sz w:val="16"/>
          <w:szCs w:val="16"/>
        </w:rPr>
        <w:t xml:space="preserve"> are reported under global loans (in EUR’000):</w:t>
      </w:r>
    </w:p>
    <w:p w:rsidR="005D6812" w:rsidRDefault="005D6812">
      <w:pPr>
        <w:pStyle w:val="Normal11"/>
        <w:spacing w:before="60" w:after="60"/>
        <w:jc w:val="both"/>
        <w:rPr>
          <w:rFonts w:ascii="Arial" w:hAnsi="Arial"/>
          <w:noProof/>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5D6812">
        <w:trPr>
          <w:trHeight w:val="300"/>
        </w:trPr>
        <w:tc>
          <w:tcPr>
            <w:tcW w:w="6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Industry sector of borrower</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31.12.2015</w:t>
            </w:r>
          </w:p>
        </w:tc>
      </w:tr>
      <w:tr w:rsidR="005D6812">
        <w:trPr>
          <w:trHeight w:val="300"/>
        </w:trPr>
        <w:tc>
          <w:tcPr>
            <w:tcW w:w="6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Global loans and agency agreements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987,242</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658,098</w:t>
            </w:r>
          </w:p>
        </w:tc>
      </w:tr>
      <w:tr w:rsidR="005D6812">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Electricity, coal and others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277,524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197,547</w:t>
            </w:r>
          </w:p>
        </w:tc>
      </w:tr>
      <w:tr w:rsidR="005D6812">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Urban development, renovation and transport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203,094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207,773</w:t>
            </w:r>
          </w:p>
        </w:tc>
      </w:tr>
      <w:tr w:rsidR="005D6812">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Basic material and mining</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78,849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88,615</w:t>
            </w:r>
          </w:p>
        </w:tc>
      </w:tr>
      <w:tr w:rsidR="005D6812">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Tertiary and other</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67,590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201,361</w:t>
            </w:r>
          </w:p>
        </w:tc>
      </w:tr>
      <w:tr w:rsidR="005D6812">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Roads and motorways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48,600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48,165</w:t>
            </w:r>
          </w:p>
        </w:tc>
      </w:tr>
      <w:tr w:rsidR="005D6812">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Airports and air traffic management systems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38,330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37,126</w:t>
            </w:r>
          </w:p>
        </w:tc>
      </w:tr>
      <w:tr w:rsidR="005D6812">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Food chain</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13,178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7,643</w:t>
            </w:r>
          </w:p>
        </w:tc>
      </w:tr>
      <w:tr w:rsidR="005D6812">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Waste recuperation</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7,988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w:t>
            </w:r>
          </w:p>
        </w:tc>
      </w:tr>
      <w:tr w:rsidR="005D6812">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Materials processing, </w:t>
            </w:r>
            <w:r>
              <w:rPr>
                <w:rFonts w:ascii="Arial" w:eastAsia="Arial" w:hAnsi="Arial" w:cs="Arial"/>
                <w:noProof/>
                <w:color w:val="000000"/>
                <w:sz w:val="16"/>
              </w:rPr>
              <w:t>construction</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6,964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13,719</w:t>
            </w:r>
          </w:p>
        </w:tc>
      </w:tr>
      <w:tr w:rsidR="005D6812">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Telecommunications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w:t>
            </w:r>
          </w:p>
        </w:tc>
      </w:tr>
      <w:tr w:rsidR="005D6812">
        <w:trPr>
          <w:trHeight w:val="300"/>
        </w:trPr>
        <w:tc>
          <w:tcPr>
            <w:tcW w:w="697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1,729,380</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1,460,057</w:t>
            </w:r>
          </w:p>
        </w:tc>
      </w:tr>
    </w:tbl>
    <w:p w:rsidR="005D6812" w:rsidRDefault="00AB2A2B">
      <w:pPr>
        <w:pStyle w:val="Notes10"/>
        <w:pageBreakBefore/>
        <w:numPr>
          <w:ilvl w:val="3"/>
          <w:numId w:val="60"/>
        </w:numPr>
        <w:tabs>
          <w:tab w:val="clear" w:pos="4320"/>
          <w:tab w:val="clear" w:pos="8640"/>
          <w:tab w:val="right" w:pos="-2700"/>
          <w:tab w:val="right" w:pos="720"/>
        </w:tabs>
        <w:spacing w:before="60" w:after="60"/>
        <w:rPr>
          <w:b w:val="0"/>
          <w:bCs/>
          <w:noProof/>
          <w:sz w:val="16"/>
          <w:szCs w:val="16"/>
          <w:lang w:val="en-GB"/>
        </w:rPr>
      </w:pPr>
      <w:r>
        <w:rPr>
          <w:b w:val="0"/>
          <w:bCs/>
          <w:noProof/>
          <w:sz w:val="16"/>
          <w:szCs w:val="16"/>
        </w:rPr>
        <w:t>Arrears on loans and impairments</w:t>
      </w:r>
    </w:p>
    <w:p w:rsidR="005D6812" w:rsidRDefault="005D6812">
      <w:pPr>
        <w:pStyle w:val="Normal12"/>
        <w:spacing w:before="60" w:after="60"/>
        <w:jc w:val="both"/>
        <w:rPr>
          <w:rFonts w:ascii="Arial" w:hAnsi="Arial"/>
          <w:noProof/>
          <w:sz w:val="16"/>
          <w:szCs w:val="16"/>
        </w:rPr>
      </w:pPr>
    </w:p>
    <w:p w:rsidR="005D6812" w:rsidRDefault="00AB2A2B">
      <w:pPr>
        <w:pStyle w:val="Normal12"/>
        <w:spacing w:before="60" w:after="60"/>
        <w:jc w:val="both"/>
        <w:rPr>
          <w:rFonts w:ascii="Arial" w:hAnsi="Arial"/>
          <w:noProof/>
          <w:sz w:val="16"/>
          <w:szCs w:val="16"/>
        </w:rPr>
      </w:pPr>
      <w:r>
        <w:rPr>
          <w:rFonts w:ascii="Arial" w:hAnsi="Arial"/>
          <w:noProof/>
          <w:sz w:val="16"/>
          <w:szCs w:val="16"/>
        </w:rPr>
        <w:t>Amounts in arrears are identified, monitored and reported according to the procedures defined into the bank wide “Finance Monitoring Guidelines</w:t>
      </w:r>
      <w:r>
        <w:rPr>
          <w:rFonts w:ascii="Arial" w:hAnsi="Arial"/>
          <w:noProof/>
          <w:sz w:val="16"/>
          <w:szCs w:val="16"/>
        </w:rPr>
        <w:t xml:space="preserve"> and Procedures”. These procedures are in line with best banking practices and are adopted for all loans managed by the EIB.</w:t>
      </w:r>
    </w:p>
    <w:p w:rsidR="005D6812" w:rsidRDefault="00AB2A2B">
      <w:pPr>
        <w:pStyle w:val="Normal12"/>
        <w:spacing w:before="60" w:after="60"/>
        <w:jc w:val="both"/>
        <w:rPr>
          <w:noProof/>
          <w:szCs w:val="20"/>
        </w:rPr>
      </w:pPr>
      <w:r>
        <w:rPr>
          <w:rFonts w:ascii="Arial" w:hAnsi="Arial"/>
          <w:noProof/>
          <w:sz w:val="16"/>
          <w:szCs w:val="16"/>
        </w:rPr>
        <w:t xml:space="preserve">The monitoring process is structured in order to make sure that (i) potential arrears are detected and reported to the services in </w:t>
      </w:r>
      <w:r>
        <w:rPr>
          <w:rFonts w:ascii="Arial" w:hAnsi="Arial"/>
          <w:noProof/>
          <w:sz w:val="16"/>
          <w:szCs w:val="16"/>
        </w:rPr>
        <w:t>charge with minimum delay; (ii) critical cases are promptly escalated to the right operational and decision level; (iii) regular reporting to EIB management and to Member States is provided on the overall status of arrears and on the recovery measures alre</w:t>
      </w:r>
      <w:r>
        <w:rPr>
          <w:rFonts w:ascii="Arial" w:hAnsi="Arial"/>
          <w:noProof/>
          <w:sz w:val="16"/>
          <w:szCs w:val="16"/>
        </w:rPr>
        <w:t>ady taken or to be taken.</w:t>
      </w:r>
    </w:p>
    <w:p w:rsidR="005D6812" w:rsidRDefault="005D6812">
      <w:pPr>
        <w:pStyle w:val="Normal12"/>
        <w:suppressAutoHyphens w:val="0"/>
        <w:rPr>
          <w:rFonts w:ascii="Arial" w:hAnsi="Arial"/>
          <w:noProof/>
          <w:sz w:val="16"/>
          <w:szCs w:val="16"/>
        </w:rPr>
      </w:pPr>
    </w:p>
    <w:p w:rsidR="005D6812" w:rsidRDefault="00AB2A2B">
      <w:pPr>
        <w:pStyle w:val="Normal12"/>
        <w:spacing w:before="60" w:after="60"/>
        <w:jc w:val="both"/>
        <w:rPr>
          <w:rFonts w:ascii="Arial" w:hAnsi="Arial"/>
          <w:noProof/>
          <w:sz w:val="16"/>
          <w:szCs w:val="16"/>
        </w:rPr>
      </w:pPr>
      <w:r>
        <w:rPr>
          <w:rFonts w:ascii="Arial" w:hAnsi="Arial"/>
          <w:noProof/>
          <w:sz w:val="16"/>
          <w:szCs w:val="16"/>
        </w:rPr>
        <w:t>The arrears and impairments on loans can be analysed as follows (in EUR’000):</w:t>
      </w:r>
    </w:p>
    <w:p w:rsidR="005D6812" w:rsidRDefault="005D6812">
      <w:pPr>
        <w:pStyle w:val="Normal12"/>
        <w:spacing w:before="60" w:after="60"/>
        <w:jc w:val="both"/>
        <w:rPr>
          <w:rFonts w:ascii="Arial" w:hAnsi="Arial"/>
          <w:noProof/>
          <w:sz w:val="16"/>
          <w:szCs w:val="16"/>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00"/>
        <w:gridCol w:w="750"/>
        <w:gridCol w:w="2355"/>
        <w:gridCol w:w="2355"/>
      </w:tblGrid>
      <w:tr w:rsidR="005D6812">
        <w:trPr>
          <w:trHeight w:val="300"/>
        </w:trPr>
        <w:tc>
          <w:tcPr>
            <w:tcW w:w="4500" w:type="dxa"/>
            <w:vMerge w:val="restart"/>
            <w:tcBorders>
              <w:top w:val="single" w:sz="8" w:space="0" w:color="000000"/>
              <w:left w:val="nil"/>
              <w:bottom w:val="nil"/>
              <w:right w:val="nil"/>
              <w:tl2br w:val="nil"/>
              <w:tr2bl w:val="nil"/>
            </w:tcBorders>
            <w:shd w:val="clear" w:color="auto" w:fill="auto"/>
            <w:tcMar>
              <w:left w:w="40" w:type="dxa"/>
              <w:right w:w="40" w:type="dxa"/>
            </w:tcMar>
            <w:vAlign w:val="bottom"/>
          </w:tcPr>
          <w:p w:rsidR="005D6812" w:rsidRDefault="005D6812">
            <w:pPr>
              <w:rPr>
                <w:noProof/>
                <w:color w:val="000000"/>
                <w:sz w:val="20"/>
              </w:rPr>
            </w:pPr>
          </w:p>
        </w:tc>
        <w:tc>
          <w:tcPr>
            <w:tcW w:w="750" w:type="dxa"/>
            <w:tcBorders>
              <w:top w:val="single" w:sz="8" w:space="0" w:color="000000"/>
              <w:left w:val="nil"/>
              <w:bottom w:val="nil"/>
              <w:right w:val="nil"/>
              <w:tl2br w:val="nil"/>
              <w:tr2bl w:val="nil"/>
            </w:tcBorders>
            <w:shd w:val="clear" w:color="auto" w:fill="auto"/>
            <w:tcMar>
              <w:left w:w="40" w:type="dxa"/>
              <w:right w:w="40" w:type="dxa"/>
            </w:tcMar>
            <w:vAlign w:val="bottom"/>
          </w:tcPr>
          <w:p w:rsidR="005D6812" w:rsidRDefault="005D6812">
            <w:pPr>
              <w:jc w:val="right"/>
              <w:rPr>
                <w:rFonts w:ascii="Arial" w:eastAsia="Arial" w:hAnsi="Arial" w:cs="Arial"/>
                <w:b/>
                <w:noProof/>
                <w:color w:val="000000"/>
                <w:sz w:val="16"/>
              </w:rPr>
            </w:pPr>
          </w:p>
        </w:tc>
        <w:tc>
          <w:tcPr>
            <w:tcW w:w="235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Loans and receivables</w:t>
            </w:r>
          </w:p>
        </w:tc>
        <w:tc>
          <w:tcPr>
            <w:tcW w:w="235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Loans and receivables</w:t>
            </w:r>
          </w:p>
        </w:tc>
      </w:tr>
      <w:tr w:rsidR="005D6812">
        <w:trPr>
          <w:trHeight w:val="300"/>
        </w:trPr>
        <w:tc>
          <w:tcPr>
            <w:tcW w:w="4500" w:type="dxa"/>
            <w:vMerge/>
            <w:tcBorders>
              <w:top w:val="nil"/>
              <w:left w:val="nil"/>
              <w:bottom w:val="single" w:sz="8" w:space="0" w:color="000000"/>
              <w:right w:val="nil"/>
              <w:tl2br w:val="nil"/>
              <w:tr2bl w:val="nil"/>
            </w:tcBorders>
            <w:shd w:val="clear" w:color="auto" w:fill="auto"/>
            <w:tcMar>
              <w:left w:w="40" w:type="dxa"/>
              <w:right w:w="40" w:type="dxa"/>
            </w:tcMar>
            <w:vAlign w:val="bottom"/>
          </w:tcPr>
          <w:p w:rsidR="005D6812" w:rsidRDefault="005D6812">
            <w:pPr>
              <w:jc w:val="center"/>
              <w:rPr>
                <w:noProof/>
                <w:color w:val="000000"/>
                <w:sz w:val="20"/>
              </w:rPr>
            </w:pPr>
          </w:p>
        </w:tc>
        <w:tc>
          <w:tcPr>
            <w:tcW w:w="750" w:type="dxa"/>
            <w:tcBorders>
              <w:top w:val="nil"/>
              <w:left w:val="nil"/>
              <w:bottom w:val="single" w:sz="8" w:space="0" w:color="000000"/>
              <w:right w:val="nil"/>
              <w:tl2br w:val="nil"/>
              <w:tr2bl w:val="nil"/>
            </w:tcBorders>
            <w:shd w:val="clear" w:color="auto" w:fill="auto"/>
            <w:tcMar>
              <w:left w:w="40" w:type="dxa"/>
              <w:right w:w="40" w:type="dxa"/>
            </w:tcMar>
            <w:vAlign w:val="bottom"/>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Notes</w:t>
            </w:r>
          </w:p>
        </w:tc>
        <w:tc>
          <w:tcPr>
            <w:tcW w:w="235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31.12.2016</w:t>
            </w:r>
          </w:p>
        </w:tc>
        <w:tc>
          <w:tcPr>
            <w:tcW w:w="235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31.12.2015</w:t>
            </w:r>
          </w:p>
        </w:tc>
      </w:tr>
      <w:tr w:rsidR="005D6812">
        <w:trPr>
          <w:trHeight w:val="300"/>
        </w:trPr>
        <w:tc>
          <w:tcPr>
            <w:tcW w:w="4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Carrying amount</w:t>
            </w:r>
          </w:p>
        </w:tc>
        <w:tc>
          <w:tcPr>
            <w:tcW w:w="7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rsidR="005D6812" w:rsidRDefault="005D6812">
            <w:pPr>
              <w:rPr>
                <w:noProof/>
                <w:color w:val="000000"/>
                <w:sz w:val="20"/>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1,729,380</w:t>
            </w: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1,460,057</w:t>
            </w:r>
          </w:p>
        </w:tc>
      </w:tr>
      <w:tr w:rsidR="005D6812">
        <w:trPr>
          <w:trHeight w:val="300"/>
        </w:trPr>
        <w:tc>
          <w:tcPr>
            <w:tcW w:w="4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7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rsidR="005D6812" w:rsidRDefault="005D6812">
            <w:pPr>
              <w:jc w:val="right"/>
              <w:rPr>
                <w:rFonts w:ascii="Arial" w:eastAsia="Arial" w:hAnsi="Arial" w:cs="Arial"/>
                <w:b/>
                <w:noProof/>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300"/>
        </w:trPr>
        <w:tc>
          <w:tcPr>
            <w:tcW w:w="4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Individually impaired</w:t>
            </w:r>
          </w:p>
        </w:tc>
        <w:tc>
          <w:tcPr>
            <w:tcW w:w="7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rsidR="005D6812" w:rsidRDefault="005D6812">
            <w:pPr>
              <w:jc w:val="right"/>
              <w:rPr>
                <w:rFonts w:ascii="Arial" w:eastAsia="Arial" w:hAnsi="Arial" w:cs="Arial"/>
                <w:b/>
                <w:noProof/>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300"/>
        </w:trPr>
        <w:tc>
          <w:tcPr>
            <w:tcW w:w="4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Gross amount</w:t>
            </w:r>
          </w:p>
        </w:tc>
        <w:tc>
          <w:tcPr>
            <w:tcW w:w="750" w:type="dxa"/>
            <w:tcBorders>
              <w:top w:val="single" w:sz="8" w:space="0" w:color="000000"/>
              <w:left w:val="nil"/>
              <w:bottom w:val="nil"/>
              <w:right w:val="nil"/>
              <w:tl2br w:val="nil"/>
              <w:tr2bl w:val="nil"/>
            </w:tcBorders>
            <w:shd w:val="clear" w:color="auto" w:fill="auto"/>
            <w:tcMar>
              <w:left w:w="40" w:type="dxa"/>
              <w:right w:w="40" w:type="dxa"/>
            </w:tcMar>
            <w:vAlign w:val="bottom"/>
          </w:tcPr>
          <w:p w:rsidR="005D6812" w:rsidRDefault="005D6812">
            <w:pPr>
              <w:rPr>
                <w:noProof/>
                <w:color w:val="000000"/>
                <w:sz w:val="20"/>
              </w:rPr>
            </w:pPr>
          </w:p>
        </w:tc>
        <w:tc>
          <w:tcPr>
            <w:tcW w:w="235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119,381</w:t>
            </w:r>
          </w:p>
        </w:tc>
        <w:tc>
          <w:tcPr>
            <w:tcW w:w="235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214,232</w:t>
            </w:r>
          </w:p>
        </w:tc>
      </w:tr>
      <w:tr w:rsidR="005D6812">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Allowance for impairment</w:t>
            </w:r>
          </w:p>
        </w:tc>
        <w:tc>
          <w:tcPr>
            <w:tcW w:w="7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 xml:space="preserve"> 7</w:t>
            </w:r>
          </w:p>
        </w:tc>
        <w:tc>
          <w:tcPr>
            <w:tcW w:w="235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-117,640</w:t>
            </w:r>
          </w:p>
        </w:tc>
        <w:tc>
          <w:tcPr>
            <w:tcW w:w="235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-191,046</w:t>
            </w:r>
          </w:p>
        </w:tc>
      </w:tr>
      <w:tr w:rsidR="005D6812">
        <w:trPr>
          <w:trHeight w:val="300"/>
        </w:trPr>
        <w:tc>
          <w:tcPr>
            <w:tcW w:w="450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Carrying amount individually impaired</w:t>
            </w:r>
          </w:p>
        </w:tc>
        <w:tc>
          <w:tcPr>
            <w:tcW w:w="750" w:type="dxa"/>
            <w:tcBorders>
              <w:top w:val="nil"/>
              <w:left w:val="nil"/>
              <w:bottom w:val="nil"/>
              <w:right w:val="nil"/>
              <w:tl2br w:val="nil"/>
              <w:tr2bl w:val="nil"/>
            </w:tcBorders>
            <w:shd w:val="clear" w:color="FFFFFF" w:fill="BFBFBF"/>
            <w:tcMar>
              <w:left w:w="40" w:type="dxa"/>
              <w:right w:w="40" w:type="dxa"/>
            </w:tcMar>
            <w:vAlign w:val="bottom"/>
          </w:tcPr>
          <w:p w:rsidR="005D6812" w:rsidRDefault="005D6812">
            <w:pPr>
              <w:jc w:val="right"/>
              <w:rPr>
                <w:rFonts w:ascii="Arial" w:eastAsia="Arial" w:hAnsi="Arial" w:cs="Arial"/>
                <w:b/>
                <w:noProof/>
                <w:color w:val="000000"/>
                <w:sz w:val="16"/>
              </w:rPr>
            </w:pPr>
          </w:p>
        </w:tc>
        <w:tc>
          <w:tcPr>
            <w:tcW w:w="235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1,741</w:t>
            </w:r>
          </w:p>
        </w:tc>
        <w:tc>
          <w:tcPr>
            <w:tcW w:w="235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23,186</w:t>
            </w:r>
          </w:p>
        </w:tc>
      </w:tr>
      <w:tr w:rsidR="005D6812">
        <w:trPr>
          <w:trHeight w:val="300"/>
        </w:trPr>
        <w:tc>
          <w:tcPr>
            <w:tcW w:w="4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750" w:type="dxa"/>
            <w:tcBorders>
              <w:top w:val="nil"/>
              <w:left w:val="nil"/>
              <w:bottom w:val="single" w:sz="8" w:space="0" w:color="000000"/>
              <w:right w:val="nil"/>
              <w:tl2br w:val="nil"/>
              <w:tr2bl w:val="nil"/>
            </w:tcBorders>
            <w:shd w:val="clear" w:color="auto" w:fill="auto"/>
            <w:tcMar>
              <w:left w:w="40" w:type="dxa"/>
              <w:right w:w="40" w:type="dxa"/>
            </w:tcMar>
            <w:vAlign w:val="bottom"/>
          </w:tcPr>
          <w:p w:rsidR="005D6812" w:rsidRDefault="005D6812">
            <w:pPr>
              <w:rPr>
                <w:noProof/>
                <w:color w:val="000000"/>
                <w:sz w:val="20"/>
              </w:rPr>
            </w:pPr>
          </w:p>
        </w:tc>
        <w:tc>
          <w:tcPr>
            <w:tcW w:w="235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235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noProof/>
                <w:color w:val="000000"/>
                <w:sz w:val="20"/>
              </w:rPr>
            </w:pPr>
          </w:p>
        </w:tc>
      </w:tr>
      <w:tr w:rsidR="005D6812">
        <w:trPr>
          <w:trHeight w:val="300"/>
        </w:trPr>
        <w:tc>
          <w:tcPr>
            <w:tcW w:w="4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Collectively impaired</w:t>
            </w:r>
          </w:p>
        </w:tc>
        <w:tc>
          <w:tcPr>
            <w:tcW w:w="7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rsidR="005D6812" w:rsidRDefault="005D6812">
            <w:pPr>
              <w:jc w:val="right"/>
              <w:rPr>
                <w:rFonts w:ascii="Arial" w:eastAsia="Arial" w:hAnsi="Arial" w:cs="Arial"/>
                <w:b/>
                <w:noProof/>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300"/>
        </w:trPr>
        <w:tc>
          <w:tcPr>
            <w:tcW w:w="4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Gross amount</w:t>
            </w:r>
          </w:p>
        </w:tc>
        <w:tc>
          <w:tcPr>
            <w:tcW w:w="750" w:type="dxa"/>
            <w:tcBorders>
              <w:top w:val="single" w:sz="8" w:space="0" w:color="000000"/>
              <w:left w:val="nil"/>
              <w:bottom w:val="nil"/>
              <w:right w:val="nil"/>
              <w:tl2br w:val="nil"/>
              <w:tr2bl w:val="nil"/>
            </w:tcBorders>
            <w:shd w:val="clear" w:color="auto" w:fill="auto"/>
            <w:tcMar>
              <w:left w:w="40" w:type="dxa"/>
              <w:right w:w="40" w:type="dxa"/>
            </w:tcMar>
            <w:vAlign w:val="bottom"/>
          </w:tcPr>
          <w:p w:rsidR="005D6812" w:rsidRDefault="005D6812">
            <w:pPr>
              <w:rPr>
                <w:noProof/>
                <w:color w:val="000000"/>
                <w:sz w:val="20"/>
              </w:rPr>
            </w:pPr>
          </w:p>
        </w:tc>
        <w:tc>
          <w:tcPr>
            <w:tcW w:w="235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235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Allowance for impairment</w:t>
            </w:r>
          </w:p>
        </w:tc>
        <w:tc>
          <w:tcPr>
            <w:tcW w:w="750" w:type="dxa"/>
            <w:tcBorders>
              <w:top w:val="nil"/>
              <w:left w:val="nil"/>
              <w:bottom w:val="nil"/>
              <w:right w:val="nil"/>
              <w:tl2br w:val="nil"/>
              <w:tr2bl w:val="nil"/>
            </w:tcBorders>
            <w:shd w:val="clear" w:color="auto" w:fill="auto"/>
            <w:tcMar>
              <w:left w:w="40" w:type="dxa"/>
              <w:right w:w="40" w:type="dxa"/>
            </w:tcMar>
            <w:vAlign w:val="bottom"/>
          </w:tcPr>
          <w:p w:rsidR="005D6812" w:rsidRDefault="005D6812">
            <w:pPr>
              <w:rPr>
                <w:noProof/>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235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300"/>
        </w:trPr>
        <w:tc>
          <w:tcPr>
            <w:tcW w:w="450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Carrying amount collectively impaired</w:t>
            </w:r>
          </w:p>
        </w:tc>
        <w:tc>
          <w:tcPr>
            <w:tcW w:w="750" w:type="dxa"/>
            <w:tcBorders>
              <w:top w:val="nil"/>
              <w:left w:val="nil"/>
              <w:bottom w:val="nil"/>
              <w:right w:val="nil"/>
              <w:tl2br w:val="nil"/>
              <w:tr2bl w:val="nil"/>
            </w:tcBorders>
            <w:shd w:val="clear" w:color="FFFFFF" w:fill="BFBFBF"/>
            <w:tcMar>
              <w:left w:w="40" w:type="dxa"/>
              <w:right w:w="40" w:type="dxa"/>
            </w:tcMar>
            <w:vAlign w:val="bottom"/>
          </w:tcPr>
          <w:p w:rsidR="005D6812" w:rsidRDefault="005D6812">
            <w:pPr>
              <w:jc w:val="right"/>
              <w:rPr>
                <w:rFonts w:ascii="Arial" w:eastAsia="Arial" w:hAnsi="Arial" w:cs="Arial"/>
                <w:b/>
                <w:noProof/>
                <w:color w:val="000000"/>
                <w:sz w:val="16"/>
              </w:rPr>
            </w:pPr>
          </w:p>
        </w:tc>
        <w:tc>
          <w:tcPr>
            <w:tcW w:w="235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235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r>
      <w:tr w:rsidR="005D6812">
        <w:trPr>
          <w:trHeight w:hRule="exact" w:val="300"/>
        </w:trPr>
        <w:tc>
          <w:tcPr>
            <w:tcW w:w="450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noProof/>
                <w:color w:val="000000"/>
                <w:sz w:val="20"/>
              </w:rPr>
            </w:pPr>
          </w:p>
        </w:tc>
        <w:tc>
          <w:tcPr>
            <w:tcW w:w="75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noProof/>
                <w:color w:val="000000"/>
                <w:sz w:val="20"/>
              </w:rPr>
            </w:pPr>
          </w:p>
        </w:tc>
        <w:tc>
          <w:tcPr>
            <w:tcW w:w="2355"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5D6812">
            <w:pPr>
              <w:jc w:val="right"/>
              <w:rPr>
                <w:rFonts w:ascii="Arial" w:eastAsia="Arial" w:hAnsi="Arial" w:cs="Arial"/>
                <w:noProof/>
                <w:color w:val="000000"/>
                <w:sz w:val="20"/>
              </w:rPr>
            </w:pPr>
          </w:p>
        </w:tc>
        <w:tc>
          <w:tcPr>
            <w:tcW w:w="2355"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jc w:val="right"/>
              <w:rPr>
                <w:noProof/>
                <w:color w:val="000000"/>
                <w:sz w:val="20"/>
              </w:rPr>
            </w:pPr>
          </w:p>
        </w:tc>
      </w:tr>
      <w:tr w:rsidR="005D6812">
        <w:trPr>
          <w:trHeight w:val="300"/>
        </w:trPr>
        <w:tc>
          <w:tcPr>
            <w:tcW w:w="4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Past due but not impaired</w:t>
            </w:r>
          </w:p>
        </w:tc>
        <w:tc>
          <w:tcPr>
            <w:tcW w:w="7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rsidR="005D6812" w:rsidRDefault="005D6812">
            <w:pPr>
              <w:jc w:val="right"/>
              <w:rPr>
                <w:rFonts w:ascii="Arial" w:eastAsia="Arial" w:hAnsi="Arial" w:cs="Arial"/>
                <w:b/>
                <w:noProof/>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hRule="exact" w:val="300"/>
        </w:trPr>
        <w:tc>
          <w:tcPr>
            <w:tcW w:w="4500"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5D6812" w:rsidRDefault="005D6812">
            <w:pPr>
              <w:rPr>
                <w:noProof/>
                <w:color w:val="000000"/>
                <w:sz w:val="20"/>
              </w:rPr>
            </w:pPr>
          </w:p>
        </w:tc>
        <w:tc>
          <w:tcPr>
            <w:tcW w:w="750"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5D6812" w:rsidRDefault="005D6812">
            <w:pPr>
              <w:rPr>
                <w:noProof/>
                <w:color w:val="000000"/>
                <w:sz w:val="20"/>
              </w:rPr>
            </w:pPr>
          </w:p>
        </w:tc>
        <w:tc>
          <w:tcPr>
            <w:tcW w:w="2355"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5D6812">
            <w:pPr>
              <w:jc w:val="right"/>
              <w:rPr>
                <w:rFonts w:ascii="Arial" w:eastAsia="Arial" w:hAnsi="Arial" w:cs="Arial"/>
                <w:noProof/>
                <w:color w:val="000000"/>
                <w:sz w:val="20"/>
              </w:rPr>
            </w:pPr>
          </w:p>
        </w:tc>
        <w:tc>
          <w:tcPr>
            <w:tcW w:w="2355"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5D6812" w:rsidRDefault="005D6812">
            <w:pPr>
              <w:jc w:val="right"/>
              <w:rPr>
                <w:noProof/>
                <w:color w:val="000000"/>
                <w:sz w:val="20"/>
              </w:rPr>
            </w:pPr>
          </w:p>
        </w:tc>
      </w:tr>
      <w:tr w:rsidR="005D6812">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Past due comprises</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noProof/>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235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noProof/>
                <w:color w:val="000000"/>
                <w:sz w:val="20"/>
              </w:rPr>
            </w:pPr>
          </w:p>
        </w:tc>
      </w:tr>
      <w:tr w:rsidR="005D6812">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0-30 days</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noProof/>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1,620</w:t>
            </w:r>
          </w:p>
        </w:tc>
        <w:tc>
          <w:tcPr>
            <w:tcW w:w="235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1,521</w:t>
            </w:r>
          </w:p>
        </w:tc>
      </w:tr>
      <w:tr w:rsidR="005D6812">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30-60 days</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noProof/>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30</w:t>
            </w:r>
          </w:p>
        </w:tc>
        <w:tc>
          <w:tcPr>
            <w:tcW w:w="235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15</w:t>
            </w:r>
          </w:p>
        </w:tc>
      </w:tr>
      <w:tr w:rsidR="005D6812">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60-90 days</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noProof/>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235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90-180 days</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noProof/>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235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more 180 days</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noProof/>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w:t>
            </w:r>
          </w:p>
        </w:tc>
        <w:tc>
          <w:tcPr>
            <w:tcW w:w="235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13</w:t>
            </w:r>
          </w:p>
        </w:tc>
      </w:tr>
      <w:tr w:rsidR="005D6812">
        <w:trPr>
          <w:trHeight w:val="300"/>
        </w:trPr>
        <w:tc>
          <w:tcPr>
            <w:tcW w:w="450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Carrying amount past due but not impaired</w:t>
            </w:r>
          </w:p>
        </w:tc>
        <w:tc>
          <w:tcPr>
            <w:tcW w:w="750" w:type="dxa"/>
            <w:tcBorders>
              <w:top w:val="nil"/>
              <w:left w:val="nil"/>
              <w:bottom w:val="nil"/>
              <w:right w:val="nil"/>
              <w:tl2br w:val="nil"/>
              <w:tr2bl w:val="nil"/>
            </w:tcBorders>
            <w:shd w:val="clear" w:color="FFFFFF" w:fill="BFBFBF"/>
            <w:tcMar>
              <w:left w:w="40" w:type="dxa"/>
              <w:right w:w="40" w:type="dxa"/>
            </w:tcMar>
            <w:vAlign w:val="bottom"/>
          </w:tcPr>
          <w:p w:rsidR="005D6812" w:rsidRDefault="005D6812">
            <w:pPr>
              <w:jc w:val="right"/>
              <w:rPr>
                <w:rFonts w:ascii="Arial" w:eastAsia="Arial" w:hAnsi="Arial" w:cs="Arial"/>
                <w:b/>
                <w:noProof/>
                <w:color w:val="000000"/>
                <w:sz w:val="16"/>
              </w:rPr>
            </w:pPr>
          </w:p>
        </w:tc>
        <w:tc>
          <w:tcPr>
            <w:tcW w:w="235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1,651</w:t>
            </w:r>
          </w:p>
        </w:tc>
        <w:tc>
          <w:tcPr>
            <w:tcW w:w="235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1,549</w:t>
            </w:r>
          </w:p>
        </w:tc>
      </w:tr>
      <w:tr w:rsidR="005D6812">
        <w:trPr>
          <w:trHeight w:hRule="exact" w:val="300"/>
        </w:trPr>
        <w:tc>
          <w:tcPr>
            <w:tcW w:w="45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noProof/>
                <w:color w:val="000000"/>
                <w:sz w:val="20"/>
              </w:rPr>
            </w:pPr>
          </w:p>
        </w:tc>
        <w:tc>
          <w:tcPr>
            <w:tcW w:w="75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noProof/>
                <w:color w:val="000000"/>
                <w:sz w:val="20"/>
              </w:rPr>
            </w:pPr>
          </w:p>
        </w:tc>
        <w:tc>
          <w:tcPr>
            <w:tcW w:w="2355"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jc w:val="right"/>
              <w:rPr>
                <w:rFonts w:ascii="Arial" w:eastAsia="Arial" w:hAnsi="Arial" w:cs="Arial"/>
                <w:noProof/>
                <w:color w:val="000000"/>
                <w:sz w:val="20"/>
              </w:rPr>
            </w:pPr>
          </w:p>
        </w:tc>
        <w:tc>
          <w:tcPr>
            <w:tcW w:w="2355"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jc w:val="right"/>
              <w:rPr>
                <w:noProof/>
                <w:color w:val="000000"/>
                <w:sz w:val="20"/>
              </w:rPr>
            </w:pPr>
          </w:p>
        </w:tc>
      </w:tr>
      <w:tr w:rsidR="005D6812">
        <w:trPr>
          <w:trHeight w:val="300"/>
        </w:trPr>
        <w:tc>
          <w:tcPr>
            <w:tcW w:w="450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Carrying amount neither past due </w:t>
            </w:r>
            <w:r>
              <w:rPr>
                <w:rFonts w:ascii="Arial" w:eastAsia="Arial" w:hAnsi="Arial" w:cs="Arial"/>
                <w:b/>
                <w:noProof/>
                <w:color w:val="000000"/>
                <w:sz w:val="16"/>
              </w:rPr>
              <w:t>nor impaired</w:t>
            </w:r>
          </w:p>
        </w:tc>
        <w:tc>
          <w:tcPr>
            <w:tcW w:w="750" w:type="dxa"/>
            <w:tcBorders>
              <w:top w:val="nil"/>
              <w:left w:val="nil"/>
              <w:bottom w:val="nil"/>
              <w:right w:val="nil"/>
              <w:tl2br w:val="nil"/>
              <w:tr2bl w:val="nil"/>
            </w:tcBorders>
            <w:shd w:val="clear" w:color="FFFFFF" w:fill="BFBFBF"/>
            <w:tcMar>
              <w:left w:w="40" w:type="dxa"/>
              <w:right w:w="40" w:type="dxa"/>
            </w:tcMar>
            <w:vAlign w:val="bottom"/>
          </w:tcPr>
          <w:p w:rsidR="005D6812" w:rsidRDefault="005D6812">
            <w:pPr>
              <w:jc w:val="right"/>
              <w:rPr>
                <w:rFonts w:ascii="Arial" w:eastAsia="Arial" w:hAnsi="Arial" w:cs="Arial"/>
                <w:b/>
                <w:noProof/>
                <w:color w:val="000000"/>
                <w:sz w:val="16"/>
              </w:rPr>
            </w:pPr>
          </w:p>
        </w:tc>
        <w:tc>
          <w:tcPr>
            <w:tcW w:w="235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1,725,988</w:t>
            </w:r>
          </w:p>
        </w:tc>
        <w:tc>
          <w:tcPr>
            <w:tcW w:w="235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1,435,322</w:t>
            </w:r>
          </w:p>
        </w:tc>
      </w:tr>
      <w:tr w:rsidR="005D6812">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750" w:type="dxa"/>
            <w:tcBorders>
              <w:top w:val="nil"/>
              <w:left w:val="nil"/>
              <w:bottom w:val="nil"/>
              <w:right w:val="nil"/>
              <w:tl2br w:val="nil"/>
              <w:tr2bl w:val="nil"/>
            </w:tcBorders>
            <w:shd w:val="clear" w:color="auto" w:fill="auto"/>
            <w:tcMar>
              <w:left w:w="40" w:type="dxa"/>
              <w:right w:w="40" w:type="dxa"/>
            </w:tcMar>
            <w:vAlign w:val="bottom"/>
          </w:tcPr>
          <w:p w:rsidR="005D6812" w:rsidRDefault="005D6812">
            <w:pPr>
              <w:jc w:val="right"/>
              <w:rPr>
                <w:rFonts w:ascii="Arial" w:eastAsia="Arial" w:hAnsi="Arial" w:cs="Arial"/>
                <w:b/>
                <w:noProof/>
                <w:color w:val="000000"/>
                <w:sz w:val="16"/>
              </w:rPr>
            </w:pPr>
          </w:p>
        </w:tc>
        <w:tc>
          <w:tcPr>
            <w:tcW w:w="235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235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300"/>
        </w:trPr>
        <w:tc>
          <w:tcPr>
            <w:tcW w:w="450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carrying amount loans and receivables</w:t>
            </w:r>
          </w:p>
        </w:tc>
        <w:tc>
          <w:tcPr>
            <w:tcW w:w="750" w:type="dxa"/>
            <w:tcBorders>
              <w:top w:val="nil"/>
              <w:left w:val="nil"/>
              <w:bottom w:val="nil"/>
              <w:right w:val="nil"/>
              <w:tl2br w:val="nil"/>
              <w:tr2bl w:val="nil"/>
            </w:tcBorders>
            <w:shd w:val="clear" w:color="FFFFFF" w:fill="BFBFBF"/>
            <w:tcMar>
              <w:left w:w="40" w:type="dxa"/>
              <w:right w:w="40" w:type="dxa"/>
            </w:tcMar>
            <w:vAlign w:val="bottom"/>
          </w:tcPr>
          <w:p w:rsidR="005D6812" w:rsidRDefault="005D6812">
            <w:pPr>
              <w:jc w:val="right"/>
              <w:rPr>
                <w:rFonts w:ascii="Arial" w:eastAsia="Arial" w:hAnsi="Arial" w:cs="Arial"/>
                <w:b/>
                <w:noProof/>
                <w:color w:val="000000"/>
                <w:sz w:val="16"/>
              </w:rPr>
            </w:pPr>
          </w:p>
        </w:tc>
        <w:tc>
          <w:tcPr>
            <w:tcW w:w="235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1,729,380</w:t>
            </w:r>
          </w:p>
        </w:tc>
        <w:tc>
          <w:tcPr>
            <w:tcW w:w="235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1,460,057</w:t>
            </w:r>
          </w:p>
        </w:tc>
      </w:tr>
    </w:tbl>
    <w:p w:rsidR="005D6812" w:rsidRDefault="00AB2A2B">
      <w:pPr>
        <w:pStyle w:val="Notes11"/>
        <w:pageBreakBefore/>
        <w:numPr>
          <w:ilvl w:val="3"/>
          <w:numId w:val="62"/>
        </w:numPr>
        <w:tabs>
          <w:tab w:val="clear" w:pos="4320"/>
          <w:tab w:val="clear" w:pos="8640"/>
          <w:tab w:val="right" w:pos="-2700"/>
          <w:tab w:val="right" w:pos="720"/>
        </w:tabs>
        <w:spacing w:before="60" w:after="60"/>
        <w:rPr>
          <w:b w:val="0"/>
          <w:bCs/>
          <w:noProof/>
          <w:sz w:val="16"/>
          <w:szCs w:val="16"/>
          <w:lang w:val="en-GB"/>
        </w:rPr>
      </w:pPr>
      <w:r>
        <w:rPr>
          <w:b w:val="0"/>
          <w:bCs/>
          <w:noProof/>
          <w:sz w:val="16"/>
          <w:szCs w:val="16"/>
        </w:rPr>
        <w:t>Loan renegotiation and forbearance</w:t>
      </w:r>
    </w:p>
    <w:p w:rsidR="005D6812" w:rsidRDefault="005D6812">
      <w:pPr>
        <w:pStyle w:val="Normal13"/>
        <w:spacing w:before="60" w:after="60"/>
        <w:jc w:val="both"/>
        <w:rPr>
          <w:rFonts w:ascii="Arial" w:hAnsi="Arial"/>
          <w:noProof/>
          <w:sz w:val="16"/>
          <w:szCs w:val="16"/>
        </w:rPr>
      </w:pPr>
    </w:p>
    <w:p w:rsidR="005D6812" w:rsidRDefault="00AB2A2B">
      <w:pPr>
        <w:pStyle w:val="Normal13"/>
        <w:spacing w:before="60" w:after="60"/>
        <w:jc w:val="both"/>
        <w:rPr>
          <w:rFonts w:ascii="Arial" w:hAnsi="Arial"/>
          <w:noProof/>
          <w:sz w:val="16"/>
          <w:szCs w:val="16"/>
        </w:rPr>
      </w:pPr>
      <w:r>
        <w:rPr>
          <w:rFonts w:ascii="Arial" w:hAnsi="Arial"/>
          <w:noProof/>
          <w:sz w:val="16"/>
          <w:szCs w:val="16"/>
        </w:rPr>
        <w:t>The Facility considers loans to be forborne if in response to adverse changes in the financial position of a borrower the Facility renegotiates the original terms of the contractual arrangements with this borrower affecting directly the future cash flows o</w:t>
      </w:r>
      <w:r>
        <w:rPr>
          <w:rFonts w:ascii="Arial" w:hAnsi="Arial"/>
          <w:noProof/>
          <w:sz w:val="16"/>
          <w:szCs w:val="16"/>
        </w:rPr>
        <w:t>f the financial instrument, which may result in a loss to the Facility. However, the financial impact of restructuring activities is in general limited to impairment losses, if any, as financial neutrality is generally applied by the Facility and reflected</w:t>
      </w:r>
      <w:r>
        <w:rPr>
          <w:rFonts w:ascii="Arial" w:hAnsi="Arial"/>
          <w:noProof/>
          <w:sz w:val="16"/>
          <w:szCs w:val="16"/>
        </w:rPr>
        <w:t xml:space="preserve"> in the renegotiated pricing conditions of the operations restructured. </w:t>
      </w:r>
    </w:p>
    <w:p w:rsidR="005D6812" w:rsidRDefault="005D6812">
      <w:pPr>
        <w:pStyle w:val="Normal13"/>
        <w:spacing w:before="60" w:after="60"/>
        <w:jc w:val="both"/>
        <w:rPr>
          <w:rFonts w:ascii="Arial" w:hAnsi="Arial"/>
          <w:noProof/>
          <w:sz w:val="16"/>
          <w:szCs w:val="16"/>
        </w:rPr>
      </w:pPr>
    </w:p>
    <w:p w:rsidR="005D6812" w:rsidRDefault="00AB2A2B">
      <w:pPr>
        <w:pStyle w:val="Normal13"/>
        <w:spacing w:before="60" w:after="60"/>
        <w:jc w:val="both"/>
        <w:rPr>
          <w:rFonts w:ascii="Arial" w:hAnsi="Arial"/>
          <w:noProof/>
          <w:sz w:val="16"/>
          <w:szCs w:val="16"/>
        </w:rPr>
      </w:pPr>
      <w:r>
        <w:rPr>
          <w:rFonts w:ascii="Arial" w:hAnsi="Arial"/>
          <w:noProof/>
          <w:sz w:val="16"/>
          <w:szCs w:val="16"/>
        </w:rPr>
        <w:t>In the normal course of business, the Loan Grading (LG) of the loans in question would have deteriorated and the loan would have been included in the Watch List before renegotiation.</w:t>
      </w:r>
      <w:r>
        <w:rPr>
          <w:rFonts w:ascii="Arial" w:hAnsi="Arial"/>
          <w:noProof/>
          <w:sz w:val="16"/>
          <w:szCs w:val="16"/>
        </w:rPr>
        <w:t xml:space="preserve"> Once renegotiated, the Facility will continue to closely monitor these loans. If the renegotiated payment terms will not recover the original carrying amount of the asset, it will be considered as impaired. The corresponding impairment losses will be calc</w:t>
      </w:r>
      <w:r>
        <w:rPr>
          <w:rFonts w:ascii="Arial" w:hAnsi="Arial"/>
          <w:noProof/>
          <w:sz w:val="16"/>
          <w:szCs w:val="16"/>
        </w:rPr>
        <w:t xml:space="preserve">ulated based on the forecasted cash flows discounted at the original effective interest rate. The need for impairment for all loans whose LG deteriorated to E- is assessed regularly; all loans with a LG of F require impairment.  Once the Loan Grading of a </w:t>
      </w:r>
      <w:r>
        <w:rPr>
          <w:rFonts w:ascii="Arial" w:hAnsi="Arial"/>
          <w:noProof/>
          <w:sz w:val="16"/>
          <w:szCs w:val="16"/>
        </w:rPr>
        <w:t>loan has improved sufficiently, it will be removed from the Watch List in line with the procedures of the Facility.</w:t>
      </w:r>
    </w:p>
    <w:p w:rsidR="005D6812" w:rsidRDefault="005D6812">
      <w:pPr>
        <w:pStyle w:val="Normal13"/>
        <w:spacing w:before="60" w:after="60"/>
        <w:jc w:val="both"/>
        <w:rPr>
          <w:rFonts w:ascii="Arial" w:hAnsi="Arial"/>
          <w:noProof/>
          <w:sz w:val="16"/>
          <w:szCs w:val="16"/>
        </w:rPr>
      </w:pPr>
    </w:p>
    <w:p w:rsidR="005D6812" w:rsidRDefault="00AB2A2B">
      <w:pPr>
        <w:pStyle w:val="Normal13"/>
        <w:spacing w:before="60" w:after="60"/>
        <w:jc w:val="both"/>
        <w:rPr>
          <w:rFonts w:ascii="Arial" w:hAnsi="Arial"/>
          <w:noProof/>
          <w:sz w:val="16"/>
          <w:szCs w:val="16"/>
        </w:rPr>
      </w:pPr>
      <w:r>
        <w:rPr>
          <w:rFonts w:ascii="Arial" w:hAnsi="Arial"/>
          <w:noProof/>
          <w:sz w:val="16"/>
          <w:szCs w:val="16"/>
        </w:rPr>
        <w:t>Forbearance measures and practices undertaken by the Facility’s restructuring team during the reporting period includes extension of maturi</w:t>
      </w:r>
      <w:r>
        <w:rPr>
          <w:rFonts w:ascii="Arial" w:hAnsi="Arial"/>
          <w:noProof/>
          <w:sz w:val="16"/>
          <w:szCs w:val="16"/>
        </w:rPr>
        <w:t xml:space="preserve">ty, deferral of capital only, deferral of capital and interest and capitalisation of arrears. Such forbearance measures do not lead to the derecognition of the underlying operation. </w:t>
      </w:r>
    </w:p>
    <w:p w:rsidR="005D6812" w:rsidRDefault="005D6812">
      <w:pPr>
        <w:pStyle w:val="Normal13"/>
        <w:spacing w:before="60" w:after="60"/>
        <w:jc w:val="both"/>
        <w:rPr>
          <w:rFonts w:ascii="Arial" w:hAnsi="Arial"/>
          <w:noProof/>
          <w:sz w:val="16"/>
          <w:szCs w:val="16"/>
        </w:rPr>
      </w:pPr>
    </w:p>
    <w:p w:rsidR="005D6812" w:rsidRDefault="00AB2A2B">
      <w:pPr>
        <w:pStyle w:val="Normal13"/>
        <w:spacing w:before="60" w:after="60"/>
        <w:jc w:val="both"/>
        <w:rPr>
          <w:rFonts w:ascii="Arial" w:hAnsi="Arial"/>
          <w:noProof/>
          <w:sz w:val="16"/>
          <w:szCs w:val="16"/>
        </w:rPr>
      </w:pPr>
      <w:r>
        <w:rPr>
          <w:rFonts w:ascii="Arial" w:hAnsi="Arial"/>
          <w:noProof/>
          <w:sz w:val="16"/>
          <w:szCs w:val="16"/>
        </w:rPr>
        <w:t>Exposures subject to changes in contractual terms which do not affect fu</w:t>
      </w:r>
      <w:r>
        <w:rPr>
          <w:rFonts w:ascii="Arial" w:hAnsi="Arial"/>
          <w:noProof/>
          <w:sz w:val="16"/>
          <w:szCs w:val="16"/>
        </w:rPr>
        <w:t>ture cash flows, such as collateral or other security  arrangements or the waiver of contractual rights under covenants, are not considered as forborne and hence those events are not considered as sufficient to indicate impairment on their own.</w:t>
      </w:r>
    </w:p>
    <w:p w:rsidR="005D6812" w:rsidRDefault="005D6812">
      <w:pPr>
        <w:pStyle w:val="Normal13"/>
        <w:spacing w:before="60" w:after="60"/>
        <w:jc w:val="both"/>
        <w:rPr>
          <w:rFonts w:ascii="Arial" w:hAnsi="Arial"/>
          <w:noProof/>
          <w:sz w:val="16"/>
          <w:szCs w:val="16"/>
        </w:rPr>
      </w:pPr>
    </w:p>
    <w:p w:rsidR="005D6812" w:rsidRDefault="00AB2A2B">
      <w:pPr>
        <w:pStyle w:val="Normal13"/>
        <w:spacing w:before="60" w:after="60"/>
        <w:jc w:val="both"/>
        <w:rPr>
          <w:rFonts w:ascii="Arial" w:hAnsi="Arial"/>
          <w:noProof/>
          <w:sz w:val="16"/>
          <w:szCs w:val="16"/>
        </w:rPr>
      </w:pPr>
      <w:r>
        <w:rPr>
          <w:rFonts w:ascii="Arial" w:hAnsi="Arial"/>
          <w:noProof/>
          <w:sz w:val="16"/>
          <w:szCs w:val="16"/>
        </w:rPr>
        <w:t>Operations</w:t>
      </w:r>
      <w:r>
        <w:rPr>
          <w:rFonts w:ascii="Arial" w:hAnsi="Arial"/>
          <w:noProof/>
          <w:sz w:val="16"/>
          <w:szCs w:val="16"/>
        </w:rPr>
        <w:t xml:space="preserve"> subject to forbearance measures are reported as such in the table below:</w:t>
      </w:r>
    </w:p>
    <w:p w:rsidR="005D6812" w:rsidRDefault="005D6812">
      <w:pPr>
        <w:pStyle w:val="Normal13"/>
        <w:spacing w:before="60" w:after="60"/>
        <w:jc w:val="both"/>
        <w:rPr>
          <w:rFonts w:ascii="Arial" w:hAnsi="Arial"/>
          <w:noProof/>
          <w:sz w:val="16"/>
          <w:szCs w:val="16"/>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60"/>
        <w:gridCol w:w="1500"/>
        <w:gridCol w:w="1500"/>
      </w:tblGrid>
      <w:tr w:rsidR="005D6812">
        <w:trPr>
          <w:trHeight w:val="300"/>
        </w:trPr>
        <w:tc>
          <w:tcPr>
            <w:tcW w:w="6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In EUR’000</w:t>
            </w:r>
          </w:p>
        </w:tc>
        <w:tc>
          <w:tcPr>
            <w:tcW w:w="15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31.12.2016</w:t>
            </w:r>
          </w:p>
        </w:tc>
        <w:tc>
          <w:tcPr>
            <w:tcW w:w="15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31.12.2015</w:t>
            </w:r>
          </w:p>
        </w:tc>
      </w:tr>
      <w:tr w:rsidR="005D6812">
        <w:trPr>
          <w:trHeight w:val="300"/>
        </w:trPr>
        <w:tc>
          <w:tcPr>
            <w:tcW w:w="6960" w:type="dxa"/>
            <w:tcBorders>
              <w:top w:val="single" w:sz="4" w:space="0" w:color="000000"/>
              <w:left w:val="nil"/>
              <w:bottom w:val="nil"/>
              <w:right w:val="nil"/>
              <w:tl2br w:val="nil"/>
              <w:tr2bl w:val="nil"/>
            </w:tcBorders>
            <w:shd w:val="clear" w:color="auto" w:fill="auto"/>
            <w:tcMar>
              <w:left w:w="40" w:type="dxa"/>
              <w:right w:w="40" w:type="dxa"/>
            </w:tcMar>
            <w:vAlign w:val="center"/>
          </w:tcPr>
          <w:p w:rsidR="005D6812" w:rsidRDefault="00AB2A2B">
            <w:pPr>
              <w:jc w:val="both"/>
              <w:rPr>
                <w:rFonts w:ascii="Arial" w:eastAsia="Arial" w:hAnsi="Arial" w:cs="Arial"/>
                <w:noProof/>
                <w:color w:val="000000"/>
                <w:sz w:val="16"/>
              </w:rPr>
            </w:pPr>
            <w:r>
              <w:rPr>
                <w:rFonts w:ascii="Arial" w:eastAsia="Arial" w:hAnsi="Arial" w:cs="Arial"/>
                <w:noProof/>
                <w:color w:val="000000"/>
                <w:sz w:val="16"/>
              </w:rPr>
              <w:t>Number of operations subject to forbearance practices</w:t>
            </w:r>
          </w:p>
        </w:tc>
        <w:tc>
          <w:tcPr>
            <w:tcW w:w="150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w:t>
            </w:r>
          </w:p>
        </w:tc>
        <w:tc>
          <w:tcPr>
            <w:tcW w:w="150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w:t>
            </w:r>
          </w:p>
        </w:tc>
      </w:tr>
      <w:tr w:rsidR="005D6812">
        <w:trPr>
          <w:trHeight w:val="300"/>
        </w:trPr>
        <w:tc>
          <w:tcPr>
            <w:tcW w:w="696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both"/>
              <w:rPr>
                <w:rFonts w:ascii="Arial" w:eastAsia="Arial" w:hAnsi="Arial" w:cs="Arial"/>
                <w:noProof/>
                <w:color w:val="000000"/>
                <w:sz w:val="16"/>
              </w:rPr>
            </w:pPr>
            <w:r>
              <w:rPr>
                <w:rFonts w:ascii="Arial" w:eastAsia="Arial" w:hAnsi="Arial" w:cs="Arial"/>
                <w:noProof/>
                <w:color w:val="000000"/>
                <w:sz w:val="16"/>
              </w:rPr>
              <w:t>Carrying values</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171,135</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225,631</w:t>
            </w:r>
          </w:p>
        </w:tc>
      </w:tr>
      <w:tr w:rsidR="005D6812">
        <w:trPr>
          <w:trHeight w:val="300"/>
        </w:trPr>
        <w:tc>
          <w:tcPr>
            <w:tcW w:w="696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both"/>
              <w:rPr>
                <w:rFonts w:ascii="Arial" w:eastAsia="Arial" w:hAnsi="Arial" w:cs="Arial"/>
                <w:noProof/>
                <w:color w:val="000000"/>
                <w:sz w:val="16"/>
              </w:rPr>
            </w:pPr>
            <w:r>
              <w:rPr>
                <w:rFonts w:ascii="Arial" w:eastAsia="Arial" w:hAnsi="Arial" w:cs="Arial"/>
                <w:noProof/>
                <w:color w:val="000000"/>
                <w:sz w:val="16"/>
              </w:rPr>
              <w:t>of which impaired</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124,250</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204,711</w:t>
            </w:r>
          </w:p>
        </w:tc>
      </w:tr>
      <w:tr w:rsidR="005D6812">
        <w:trPr>
          <w:trHeight w:val="300"/>
        </w:trPr>
        <w:tc>
          <w:tcPr>
            <w:tcW w:w="696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both"/>
              <w:rPr>
                <w:rFonts w:ascii="Arial" w:eastAsia="Arial" w:hAnsi="Arial" w:cs="Arial"/>
                <w:noProof/>
                <w:color w:val="000000"/>
                <w:sz w:val="16"/>
              </w:rPr>
            </w:pPr>
            <w:r>
              <w:rPr>
                <w:rFonts w:ascii="Arial" w:eastAsia="Arial" w:hAnsi="Arial" w:cs="Arial"/>
                <w:noProof/>
                <w:color w:val="000000"/>
                <w:sz w:val="16"/>
              </w:rPr>
              <w:t xml:space="preserve">Impairment </w:t>
            </w:r>
            <w:r>
              <w:rPr>
                <w:rFonts w:ascii="Arial" w:eastAsia="Arial" w:hAnsi="Arial" w:cs="Arial"/>
                <w:noProof/>
                <w:color w:val="000000"/>
                <w:sz w:val="16"/>
              </w:rPr>
              <w:t>recognised</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113,052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188,197</w:t>
            </w:r>
          </w:p>
        </w:tc>
      </w:tr>
      <w:tr w:rsidR="005D6812">
        <w:trPr>
          <w:trHeight w:val="300"/>
        </w:trPr>
        <w:tc>
          <w:tcPr>
            <w:tcW w:w="696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both"/>
              <w:rPr>
                <w:rFonts w:ascii="Arial" w:eastAsia="Arial" w:hAnsi="Arial" w:cs="Arial"/>
                <w:noProof/>
                <w:color w:val="000000"/>
                <w:sz w:val="16"/>
              </w:rPr>
            </w:pPr>
            <w:r>
              <w:rPr>
                <w:rFonts w:ascii="Arial" w:eastAsia="Arial" w:hAnsi="Arial" w:cs="Arial"/>
                <w:noProof/>
                <w:color w:val="000000"/>
                <w:sz w:val="16"/>
              </w:rPr>
              <w:t>Interest income in respect of forborn operations</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19,877</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14,262</w:t>
            </w:r>
          </w:p>
        </w:tc>
      </w:tr>
      <w:tr w:rsidR="005D6812">
        <w:trPr>
          <w:trHeight w:val="300"/>
        </w:trPr>
        <w:tc>
          <w:tcPr>
            <w:tcW w:w="6960" w:type="dxa"/>
            <w:tcBorders>
              <w:top w:val="nil"/>
              <w:left w:val="nil"/>
              <w:bottom w:val="single" w:sz="4" w:space="0" w:color="000000"/>
              <w:right w:val="nil"/>
              <w:tl2br w:val="nil"/>
              <w:tr2bl w:val="nil"/>
            </w:tcBorders>
            <w:shd w:val="clear" w:color="auto" w:fill="auto"/>
            <w:tcMar>
              <w:left w:w="40" w:type="dxa"/>
              <w:right w:w="40" w:type="dxa"/>
            </w:tcMar>
            <w:vAlign w:val="center"/>
          </w:tcPr>
          <w:p w:rsidR="005D6812" w:rsidRDefault="00AB2A2B">
            <w:pPr>
              <w:jc w:val="both"/>
              <w:rPr>
                <w:rFonts w:ascii="Arial" w:eastAsia="Arial" w:hAnsi="Arial" w:cs="Arial"/>
                <w:noProof/>
                <w:color w:val="000000"/>
                <w:sz w:val="16"/>
              </w:rPr>
            </w:pPr>
            <w:r>
              <w:rPr>
                <w:rFonts w:ascii="Arial" w:eastAsia="Arial" w:hAnsi="Arial" w:cs="Arial"/>
                <w:noProof/>
                <w:color w:val="000000"/>
                <w:sz w:val="16"/>
              </w:rPr>
              <w:t>Exposures written off (following the termination/sale of the operation)</w:t>
            </w:r>
          </w:p>
        </w:tc>
        <w:tc>
          <w:tcPr>
            <w:tcW w:w="15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31,298</w:t>
            </w:r>
          </w:p>
        </w:tc>
        <w:tc>
          <w:tcPr>
            <w:tcW w:w="15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bl>
    <w:p w:rsidR="005D6812" w:rsidRDefault="005D6812">
      <w:pPr>
        <w:rPr>
          <w:noProof/>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00"/>
        <w:gridCol w:w="1200"/>
        <w:gridCol w:w="1200"/>
        <w:gridCol w:w="1200"/>
        <w:gridCol w:w="1200"/>
        <w:gridCol w:w="1200"/>
        <w:gridCol w:w="1275"/>
        <w:gridCol w:w="1200"/>
      </w:tblGrid>
      <w:tr w:rsidR="005D6812">
        <w:trPr>
          <w:trHeight w:hRule="exact" w:val="300"/>
        </w:trPr>
        <w:tc>
          <w:tcPr>
            <w:tcW w:w="150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16"/>
              </w:rPr>
            </w:pPr>
          </w:p>
        </w:tc>
        <w:tc>
          <w:tcPr>
            <w:tcW w:w="120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16"/>
              </w:rPr>
            </w:pPr>
          </w:p>
        </w:tc>
        <w:tc>
          <w:tcPr>
            <w:tcW w:w="12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16"/>
              </w:rPr>
            </w:pPr>
          </w:p>
        </w:tc>
        <w:tc>
          <w:tcPr>
            <w:tcW w:w="2400" w:type="dxa"/>
            <w:gridSpan w:val="2"/>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Forbearance measures</w:t>
            </w:r>
          </w:p>
        </w:tc>
        <w:tc>
          <w:tcPr>
            <w:tcW w:w="12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16"/>
              </w:rPr>
            </w:pPr>
          </w:p>
        </w:tc>
        <w:tc>
          <w:tcPr>
            <w:tcW w:w="12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16"/>
              </w:rPr>
            </w:pPr>
          </w:p>
        </w:tc>
        <w:tc>
          <w:tcPr>
            <w:tcW w:w="120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16"/>
              </w:rPr>
            </w:pPr>
          </w:p>
        </w:tc>
      </w:tr>
      <w:tr w:rsidR="005D6812">
        <w:trPr>
          <w:trHeight w:val="945"/>
        </w:trPr>
        <w:tc>
          <w:tcPr>
            <w:tcW w:w="15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D6812" w:rsidRDefault="00AB2A2B">
            <w:pPr>
              <w:jc w:val="both"/>
              <w:rPr>
                <w:rFonts w:ascii="Arial" w:eastAsia="Arial" w:hAnsi="Arial" w:cs="Arial"/>
                <w:b/>
                <w:noProof/>
                <w:color w:val="000000"/>
                <w:sz w:val="16"/>
              </w:rPr>
            </w:pPr>
            <w:r>
              <w:rPr>
                <w:rFonts w:ascii="Arial" w:eastAsia="Arial" w:hAnsi="Arial" w:cs="Arial"/>
                <w:b/>
                <w:noProof/>
                <w:color w:val="000000"/>
                <w:sz w:val="16"/>
              </w:rPr>
              <w:t>In EUR’000</w:t>
            </w:r>
          </w:p>
        </w:tc>
        <w:tc>
          <w:tcPr>
            <w:tcW w:w="12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31.12.2015</w:t>
            </w:r>
          </w:p>
        </w:tc>
        <w:tc>
          <w:tcPr>
            <w:tcW w:w="12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Extension of maturities</w:t>
            </w:r>
          </w:p>
        </w:tc>
        <w:tc>
          <w:tcPr>
            <w:tcW w:w="12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Deferral of capital only</w:t>
            </w:r>
          </w:p>
        </w:tc>
        <w:tc>
          <w:tcPr>
            <w:tcW w:w="12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Deferral of capital and interest</w:t>
            </w:r>
          </w:p>
        </w:tc>
        <w:tc>
          <w:tcPr>
            <w:tcW w:w="12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Other</w:t>
            </w:r>
          </w:p>
        </w:tc>
        <w:tc>
          <w:tcPr>
            <w:tcW w:w="12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Contractual repayment and termination </w:t>
            </w:r>
            <w:r>
              <w:rPr>
                <w:rFonts w:ascii="Arial" w:eastAsia="Arial" w:hAnsi="Arial" w:cs="Arial"/>
                <w:b/>
                <w:noProof/>
                <w:color w:val="000000"/>
                <w:sz w:val="18"/>
                <w:vertAlign w:val="superscript"/>
              </w:rPr>
              <w:t>(1)</w:t>
            </w:r>
          </w:p>
        </w:tc>
        <w:tc>
          <w:tcPr>
            <w:tcW w:w="1200" w:type="dxa"/>
            <w:tcBorders>
              <w:top w:val="nil"/>
              <w:left w:val="nil"/>
              <w:bottom w:val="single" w:sz="4"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31.12.2016</w:t>
            </w:r>
          </w:p>
        </w:tc>
      </w:tr>
      <w:tr w:rsidR="005D6812">
        <w:trPr>
          <w:trHeight w:val="300"/>
        </w:trPr>
        <w:tc>
          <w:tcPr>
            <w:tcW w:w="1500" w:type="dxa"/>
            <w:tcBorders>
              <w:top w:val="single" w:sz="4" w:space="0" w:color="000000"/>
              <w:left w:val="nil"/>
              <w:bottom w:val="nil"/>
              <w:right w:val="nil"/>
              <w:tl2br w:val="nil"/>
              <w:tr2bl w:val="nil"/>
            </w:tcBorders>
            <w:shd w:val="clear" w:color="auto" w:fill="auto"/>
            <w:tcMar>
              <w:left w:w="40" w:type="dxa"/>
              <w:right w:w="40" w:type="dxa"/>
            </w:tcMar>
            <w:vAlign w:val="center"/>
          </w:tcPr>
          <w:p w:rsidR="005D6812" w:rsidRDefault="00AB2A2B">
            <w:pPr>
              <w:jc w:val="both"/>
              <w:rPr>
                <w:rFonts w:ascii="Arial" w:eastAsia="Arial" w:hAnsi="Arial" w:cs="Arial"/>
                <w:noProof/>
                <w:color w:val="000000"/>
                <w:sz w:val="16"/>
              </w:rPr>
            </w:pPr>
            <w:r>
              <w:rPr>
                <w:rFonts w:ascii="Arial" w:eastAsia="Arial" w:hAnsi="Arial" w:cs="Arial"/>
                <w:noProof/>
                <w:color w:val="000000"/>
                <w:sz w:val="16"/>
              </w:rPr>
              <w:t>Banks</w:t>
            </w:r>
          </w:p>
        </w:tc>
        <w:tc>
          <w:tcPr>
            <w:tcW w:w="120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17,891</w:t>
            </w:r>
          </w:p>
        </w:tc>
        <w:tc>
          <w:tcPr>
            <w:tcW w:w="120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20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20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12,150</w:t>
            </w:r>
          </w:p>
        </w:tc>
        <w:tc>
          <w:tcPr>
            <w:tcW w:w="120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8,062</w:t>
            </w:r>
          </w:p>
        </w:tc>
        <w:tc>
          <w:tcPr>
            <w:tcW w:w="127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-827</w:t>
            </w:r>
          </w:p>
        </w:tc>
        <w:tc>
          <w:tcPr>
            <w:tcW w:w="120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37,276</w:t>
            </w:r>
          </w:p>
        </w:tc>
      </w:tr>
      <w:tr w:rsidR="005D6812">
        <w:trPr>
          <w:trHeight w:val="300"/>
        </w:trPr>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both"/>
              <w:rPr>
                <w:rFonts w:ascii="Arial" w:eastAsia="Arial" w:hAnsi="Arial" w:cs="Arial"/>
                <w:noProof/>
                <w:color w:val="000000"/>
                <w:sz w:val="16"/>
              </w:rPr>
            </w:pPr>
            <w:r>
              <w:rPr>
                <w:rFonts w:ascii="Arial" w:eastAsia="Arial" w:hAnsi="Arial" w:cs="Arial"/>
                <w:noProof/>
                <w:color w:val="000000"/>
                <w:sz w:val="16"/>
              </w:rPr>
              <w:t>Corporates</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207,740</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26,203</w:t>
            </w:r>
          </w:p>
        </w:tc>
        <w:tc>
          <w:tcPr>
            <w:tcW w:w="12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-100,084</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133,859</w:t>
            </w:r>
          </w:p>
        </w:tc>
      </w:tr>
      <w:tr w:rsidR="005D6812">
        <w:trPr>
          <w:trHeight w:hRule="exact" w:val="300"/>
        </w:trPr>
        <w:tc>
          <w:tcPr>
            <w:tcW w:w="1500"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w:t>
            </w:r>
          </w:p>
        </w:tc>
        <w:tc>
          <w:tcPr>
            <w:tcW w:w="1200"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225,631</w:t>
            </w:r>
          </w:p>
        </w:tc>
        <w:tc>
          <w:tcPr>
            <w:tcW w:w="1200"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200"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200"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12,150</w:t>
            </w:r>
          </w:p>
        </w:tc>
        <w:tc>
          <w:tcPr>
            <w:tcW w:w="1200"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34,265</w:t>
            </w:r>
          </w:p>
        </w:tc>
        <w:tc>
          <w:tcPr>
            <w:tcW w:w="1275"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-100,911</w:t>
            </w:r>
          </w:p>
        </w:tc>
        <w:tc>
          <w:tcPr>
            <w:tcW w:w="1200"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171,135</w:t>
            </w:r>
          </w:p>
        </w:tc>
      </w:tr>
      <w:tr w:rsidR="005D6812">
        <w:trPr>
          <w:trHeight w:hRule="exact" w:val="225"/>
        </w:trPr>
        <w:tc>
          <w:tcPr>
            <w:tcW w:w="15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16"/>
              </w:rPr>
            </w:pPr>
          </w:p>
        </w:tc>
        <w:tc>
          <w:tcPr>
            <w:tcW w:w="12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16"/>
              </w:rPr>
            </w:pPr>
          </w:p>
        </w:tc>
        <w:tc>
          <w:tcPr>
            <w:tcW w:w="12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16"/>
              </w:rPr>
            </w:pPr>
          </w:p>
        </w:tc>
        <w:tc>
          <w:tcPr>
            <w:tcW w:w="12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16"/>
              </w:rPr>
            </w:pPr>
          </w:p>
        </w:tc>
        <w:tc>
          <w:tcPr>
            <w:tcW w:w="12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16"/>
              </w:rPr>
            </w:pPr>
          </w:p>
        </w:tc>
        <w:tc>
          <w:tcPr>
            <w:tcW w:w="12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16"/>
              </w:rPr>
            </w:pPr>
          </w:p>
        </w:tc>
        <w:tc>
          <w:tcPr>
            <w:tcW w:w="1275"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16"/>
              </w:rPr>
            </w:pPr>
          </w:p>
        </w:tc>
        <w:tc>
          <w:tcPr>
            <w:tcW w:w="12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16"/>
              </w:rPr>
            </w:pPr>
          </w:p>
        </w:tc>
      </w:tr>
      <w:tr w:rsidR="005D6812">
        <w:trPr>
          <w:trHeight w:val="465"/>
        </w:trPr>
        <w:tc>
          <w:tcPr>
            <w:tcW w:w="9975" w:type="dxa"/>
            <w:gridSpan w:val="8"/>
            <w:tcBorders>
              <w:top w:val="nil"/>
              <w:left w:val="nil"/>
              <w:bottom w:val="nil"/>
              <w:right w:val="nil"/>
              <w:tl2br w:val="nil"/>
              <w:tr2bl w:val="nil"/>
            </w:tcBorders>
            <w:shd w:val="clear" w:color="auto" w:fill="auto"/>
            <w:tcMar>
              <w:left w:w="40" w:type="dxa"/>
              <w:right w:w="40" w:type="dxa"/>
            </w:tcMar>
            <w:vAlign w:val="bottom"/>
          </w:tcPr>
          <w:p w:rsidR="005D6812" w:rsidRDefault="00AB2A2B">
            <w:pPr>
              <w:rPr>
                <w:rFonts w:ascii="Arial" w:eastAsia="Arial" w:hAnsi="Arial" w:cs="Arial"/>
                <w:noProof/>
                <w:color w:val="000000"/>
                <w:sz w:val="20"/>
                <w:vertAlign w:val="superscript"/>
              </w:rPr>
            </w:pPr>
            <w:r>
              <w:rPr>
                <w:rFonts w:ascii="Arial" w:eastAsia="Arial" w:hAnsi="Arial" w:cs="Arial"/>
                <w:noProof/>
                <w:color w:val="000000"/>
                <w:sz w:val="20"/>
                <w:vertAlign w:val="superscript"/>
              </w:rPr>
              <w:t>(1) Decreases are explained by repayments of capital occurred during the year on operations already considered as forborne as of 31 December 2015 and by termination during the year.</w:t>
            </w:r>
          </w:p>
        </w:tc>
      </w:tr>
    </w:tbl>
    <w:p w:rsidR="005D6812" w:rsidRDefault="00AB2A2B">
      <w:pPr>
        <w:pStyle w:val="Title3212"/>
        <w:pageBreakBefore/>
        <w:tabs>
          <w:tab w:val="clear" w:pos="822"/>
          <w:tab w:val="num" w:pos="709"/>
        </w:tabs>
        <w:ind w:hanging="822"/>
        <w:rPr>
          <w:b w:val="0"/>
          <w:noProof/>
          <w:sz w:val="16"/>
          <w:szCs w:val="16"/>
        </w:rPr>
      </w:pPr>
      <w:bookmarkStart w:id="375" w:name="OLE_LINK3"/>
      <w:bookmarkStart w:id="376" w:name="OLE_LINK4"/>
      <w:r>
        <w:rPr>
          <w:b w:val="0"/>
          <w:noProof/>
          <w:sz w:val="16"/>
          <w:szCs w:val="16"/>
        </w:rPr>
        <w:t>Credit risk on cash and cash equivalents</w:t>
      </w:r>
    </w:p>
    <w:p w:rsidR="005D6812" w:rsidRDefault="005D6812">
      <w:pPr>
        <w:pStyle w:val="Normal14"/>
        <w:spacing w:before="60" w:after="60"/>
        <w:rPr>
          <w:rFonts w:ascii="Arial" w:hAnsi="Arial"/>
          <w:noProof/>
          <w:sz w:val="16"/>
          <w:szCs w:val="16"/>
          <w:shd w:val="clear" w:color="auto" w:fill="00FF00"/>
        </w:rPr>
      </w:pPr>
    </w:p>
    <w:bookmarkEnd w:id="375"/>
    <w:bookmarkEnd w:id="376"/>
    <w:p w:rsidR="005D6812" w:rsidRDefault="00AB2A2B">
      <w:pPr>
        <w:pStyle w:val="Notes12"/>
        <w:numPr>
          <w:ilvl w:val="0"/>
          <w:numId w:val="0"/>
        </w:numPr>
        <w:tabs>
          <w:tab w:val="right" w:pos="-2700"/>
        </w:tabs>
        <w:spacing w:before="60" w:after="60"/>
        <w:rPr>
          <w:b w:val="0"/>
          <w:noProof/>
          <w:sz w:val="16"/>
          <w:szCs w:val="16"/>
          <w:lang w:val="en-GB"/>
        </w:rPr>
      </w:pPr>
      <w:r>
        <w:rPr>
          <w:b w:val="0"/>
          <w:noProof/>
          <w:sz w:val="16"/>
          <w:szCs w:val="16"/>
          <w:lang w:val="en-GB"/>
        </w:rPr>
        <w:t xml:space="preserve">Available funds are invested in accordance with the Facility’s schedule of contractual disbursement obligations. As of 31 December 2016 and 31 December 2015, investments were in the form of bank deposits, certificates of deposit and commercial papers. </w:t>
      </w:r>
    </w:p>
    <w:p w:rsidR="005D6812" w:rsidRDefault="005D6812">
      <w:pPr>
        <w:pStyle w:val="Notes12"/>
        <w:numPr>
          <w:ilvl w:val="0"/>
          <w:numId w:val="0"/>
        </w:numPr>
        <w:tabs>
          <w:tab w:val="right" w:pos="-2700"/>
        </w:tabs>
        <w:spacing w:before="60" w:after="60"/>
        <w:rPr>
          <w:b w:val="0"/>
          <w:noProof/>
          <w:sz w:val="16"/>
          <w:szCs w:val="16"/>
          <w:lang w:val="en-GB"/>
        </w:rPr>
      </w:pPr>
    </w:p>
    <w:p w:rsidR="005D6812" w:rsidRDefault="00AB2A2B">
      <w:pPr>
        <w:pStyle w:val="Notes12"/>
        <w:numPr>
          <w:ilvl w:val="0"/>
          <w:numId w:val="0"/>
        </w:numPr>
        <w:tabs>
          <w:tab w:val="right" w:pos="-2700"/>
        </w:tabs>
        <w:spacing w:before="60" w:after="60"/>
        <w:rPr>
          <w:b w:val="0"/>
          <w:noProof/>
          <w:sz w:val="16"/>
          <w:szCs w:val="16"/>
        </w:rPr>
      </w:pPr>
      <w:r>
        <w:rPr>
          <w:b w:val="0"/>
          <w:noProof/>
          <w:sz w:val="16"/>
          <w:szCs w:val="16"/>
          <w:lang w:val="en-GB"/>
        </w:rPr>
        <w:t>Th</w:t>
      </w:r>
      <w:r>
        <w:rPr>
          <w:b w:val="0"/>
          <w:noProof/>
          <w:sz w:val="16"/>
          <w:szCs w:val="16"/>
          <w:lang w:val="en-GB"/>
        </w:rPr>
        <w:t>e authorized entities have a rating similar to the short-term and long-term ratings required for the EIB’s own treasury placements. The minimum short term rating required for authorised entities is P-1/A-1/F1 (Moody’s, S&amp;P, Fitch). In case of different rat</w:t>
      </w:r>
      <w:r>
        <w:rPr>
          <w:b w:val="0"/>
          <w:noProof/>
          <w:sz w:val="16"/>
          <w:szCs w:val="16"/>
          <w:lang w:val="en-GB"/>
        </w:rPr>
        <w:t>ings being granted by more than one credit rating agency, the lowest rating governs. The maximum authorized limit for each authorised bank is currently</w:t>
      </w:r>
      <w:r>
        <w:rPr>
          <w:b w:val="0"/>
          <w:noProof/>
          <w:sz w:val="16"/>
          <w:szCs w:val="16"/>
          <w:lang w:val="en-GB"/>
        </w:rPr>
        <w:br/>
        <w:t>EUR 50,000,000 (fifty million euro). An exception to this rule has been granted to Societe Generale wher</w:t>
      </w:r>
      <w:r>
        <w:rPr>
          <w:b w:val="0"/>
          <w:noProof/>
          <w:sz w:val="16"/>
          <w:szCs w:val="16"/>
          <w:lang w:val="en-GB"/>
        </w:rPr>
        <w:t xml:space="preserve">e the Facility has its operational cash accounts. The short term credit limit for Societe Generale </w:t>
      </w:r>
      <w:r>
        <w:rPr>
          <w:b w:val="0"/>
          <w:noProof/>
          <w:sz w:val="16"/>
          <w:szCs w:val="16"/>
        </w:rPr>
        <w:t xml:space="preserve">as at </w:t>
      </w:r>
      <w:r>
        <w:rPr>
          <w:b w:val="0"/>
          <w:noProof/>
          <w:sz w:val="16"/>
          <w:szCs w:val="16"/>
          <w:lang w:val="en-GB"/>
        </w:rPr>
        <w:t xml:space="preserve">31 December 2016 and 31 December 2015 </w:t>
      </w:r>
      <w:r>
        <w:rPr>
          <w:b w:val="0"/>
          <w:noProof/>
          <w:sz w:val="16"/>
          <w:szCs w:val="16"/>
        </w:rPr>
        <w:t xml:space="preserve">amounts to </w:t>
      </w:r>
      <w:r>
        <w:rPr>
          <w:b w:val="0"/>
          <w:noProof/>
          <w:sz w:val="16"/>
          <w:szCs w:val="16"/>
        </w:rPr>
        <w:br/>
      </w:r>
      <w:r>
        <w:rPr>
          <w:b w:val="0"/>
          <w:noProof/>
          <w:sz w:val="16"/>
          <w:szCs w:val="16"/>
          <w:lang w:val="en-GB"/>
        </w:rPr>
        <w:t>EUR 110,000,000 (one hundred and ten million euro). The increased limit applies to the sum of the cas</w:t>
      </w:r>
      <w:r>
        <w:rPr>
          <w:b w:val="0"/>
          <w:noProof/>
          <w:sz w:val="16"/>
          <w:szCs w:val="16"/>
          <w:lang w:val="en-GB"/>
        </w:rPr>
        <w:t>h held at the operational cash accounts and the instruments issued by this counterpart and held by the treasury portfolio.</w:t>
      </w:r>
    </w:p>
    <w:p w:rsidR="005D6812" w:rsidRDefault="005D6812">
      <w:pPr>
        <w:pStyle w:val="Notes12"/>
        <w:numPr>
          <w:ilvl w:val="0"/>
          <w:numId w:val="0"/>
        </w:numPr>
        <w:tabs>
          <w:tab w:val="right" w:pos="-2700"/>
        </w:tabs>
        <w:spacing w:before="60" w:after="60"/>
        <w:rPr>
          <w:b w:val="0"/>
          <w:noProof/>
          <w:sz w:val="16"/>
          <w:szCs w:val="16"/>
          <w:lang w:val="en-GB"/>
        </w:rPr>
      </w:pPr>
    </w:p>
    <w:p w:rsidR="005D6812" w:rsidRDefault="00AB2A2B">
      <w:pPr>
        <w:pStyle w:val="Notes12"/>
        <w:numPr>
          <w:ilvl w:val="0"/>
          <w:numId w:val="0"/>
        </w:numPr>
        <w:tabs>
          <w:tab w:val="right" w:pos="-2700"/>
        </w:tabs>
        <w:spacing w:before="60" w:after="60"/>
        <w:rPr>
          <w:b w:val="0"/>
          <w:noProof/>
          <w:sz w:val="16"/>
          <w:szCs w:val="16"/>
          <w:lang w:val="en-GB"/>
        </w:rPr>
      </w:pPr>
      <w:r>
        <w:rPr>
          <w:b w:val="0"/>
          <w:noProof/>
          <w:sz w:val="16"/>
          <w:szCs w:val="16"/>
          <w:lang w:val="en-GB"/>
        </w:rPr>
        <w:t>All investments have been done with authorised entities with a maximum tenor of three months from value date and up to the credit ex</w:t>
      </w:r>
      <w:r>
        <w:rPr>
          <w:b w:val="0"/>
          <w:noProof/>
          <w:sz w:val="16"/>
          <w:szCs w:val="16"/>
          <w:lang w:val="en-GB"/>
        </w:rPr>
        <w:t xml:space="preserve">posure limit. As at 31 December 2016 and 31 December 2015 all term deposits, commercial papers and cash in hand held by the treasury portfolio of the Facility had a minimum rating of P-1 (Moody’s equivalent) at settlement day. </w:t>
      </w:r>
    </w:p>
    <w:p w:rsidR="005D6812" w:rsidRDefault="005D6812">
      <w:pPr>
        <w:pStyle w:val="Notes12"/>
        <w:numPr>
          <w:ilvl w:val="0"/>
          <w:numId w:val="0"/>
        </w:numPr>
        <w:tabs>
          <w:tab w:val="right" w:pos="-2700"/>
        </w:tabs>
        <w:spacing w:before="60" w:after="60"/>
        <w:rPr>
          <w:b w:val="0"/>
          <w:noProof/>
          <w:sz w:val="16"/>
          <w:szCs w:val="16"/>
          <w:lang w:val="en-GB"/>
        </w:rPr>
      </w:pPr>
    </w:p>
    <w:p w:rsidR="005D6812" w:rsidRDefault="00AB2A2B">
      <w:pPr>
        <w:pStyle w:val="Notes12"/>
        <w:numPr>
          <w:ilvl w:val="0"/>
          <w:numId w:val="0"/>
        </w:numPr>
        <w:tabs>
          <w:tab w:val="clear" w:pos="4320"/>
          <w:tab w:val="clear" w:pos="8640"/>
          <w:tab w:val="right" w:pos="-2700"/>
        </w:tabs>
        <w:spacing w:before="60" w:after="60"/>
        <w:rPr>
          <w:b w:val="0"/>
          <w:noProof/>
          <w:sz w:val="16"/>
          <w:szCs w:val="16"/>
          <w:lang w:val="en-GB"/>
        </w:rPr>
      </w:pPr>
      <w:r>
        <w:rPr>
          <w:b w:val="0"/>
          <w:noProof/>
          <w:sz w:val="16"/>
          <w:szCs w:val="16"/>
          <w:lang w:val="en-GB"/>
        </w:rPr>
        <w:t>The following table shows t</w:t>
      </w:r>
      <w:r>
        <w:rPr>
          <w:b w:val="0"/>
          <w:noProof/>
          <w:sz w:val="16"/>
          <w:szCs w:val="16"/>
          <w:lang w:val="en-GB"/>
        </w:rPr>
        <w:t>he situation of cash and cash equivalents including accrued interest (in EUR’000):</w:t>
      </w:r>
    </w:p>
    <w:p w:rsidR="005D6812" w:rsidRDefault="005D6812">
      <w:pPr>
        <w:pStyle w:val="Notes12"/>
        <w:numPr>
          <w:ilvl w:val="0"/>
          <w:numId w:val="0"/>
        </w:numPr>
        <w:tabs>
          <w:tab w:val="clear" w:pos="4320"/>
          <w:tab w:val="clear" w:pos="8640"/>
          <w:tab w:val="right" w:pos="-2700"/>
        </w:tabs>
        <w:spacing w:before="60" w:after="60"/>
        <w:rPr>
          <w:b w:val="0"/>
          <w:noProof/>
          <w:sz w:val="16"/>
          <w:szCs w:val="16"/>
          <w:lang w:val="en-GB"/>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0"/>
        <w:gridCol w:w="1980"/>
        <w:gridCol w:w="1500"/>
        <w:gridCol w:w="1500"/>
        <w:gridCol w:w="1500"/>
        <w:gridCol w:w="1500"/>
      </w:tblGrid>
      <w:tr w:rsidR="005D6812">
        <w:trPr>
          <w:trHeight w:val="615"/>
        </w:trPr>
        <w:tc>
          <w:tcPr>
            <w:tcW w:w="198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Minimum short-term rating</w:t>
            </w:r>
          </w:p>
        </w:tc>
        <w:tc>
          <w:tcPr>
            <w:tcW w:w="198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Minimum long-term rating</w:t>
            </w:r>
          </w:p>
        </w:tc>
        <w:tc>
          <w:tcPr>
            <w:tcW w:w="30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31.12.2016</w:t>
            </w:r>
          </w:p>
        </w:tc>
        <w:tc>
          <w:tcPr>
            <w:tcW w:w="30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31.12.2015</w:t>
            </w:r>
          </w:p>
        </w:tc>
      </w:tr>
      <w:tr w:rsidR="005D6812">
        <w:trPr>
          <w:trHeight w:val="300"/>
        </w:trPr>
        <w:tc>
          <w:tcPr>
            <w:tcW w:w="198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(Moody’s term)</w:t>
            </w:r>
          </w:p>
        </w:tc>
        <w:tc>
          <w:tcPr>
            <w:tcW w:w="198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(Moody’s term)</w:t>
            </w:r>
          </w:p>
        </w:tc>
        <w:tc>
          <w:tcPr>
            <w:tcW w:w="30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30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hRule="exact" w:val="300"/>
        </w:trPr>
        <w:tc>
          <w:tcPr>
            <w:tcW w:w="198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P-1</w:t>
            </w:r>
          </w:p>
        </w:tc>
        <w:tc>
          <w:tcPr>
            <w:tcW w:w="198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Aaa</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37,949</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49,999</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w:t>
            </w:r>
          </w:p>
        </w:tc>
      </w:tr>
      <w:tr w:rsidR="005D6812">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P-1</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Aa2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46,963</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13%</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26</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0%</w:t>
            </w:r>
          </w:p>
        </w:tc>
      </w:tr>
      <w:tr w:rsidR="005D6812">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P-1</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Aa3</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40,436</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0%</w:t>
            </w:r>
          </w:p>
        </w:tc>
      </w:tr>
      <w:tr w:rsidR="005D6812">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P-1</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A1</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100,012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28%</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115,705</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26%</w:t>
            </w:r>
          </w:p>
        </w:tc>
      </w:tr>
      <w:tr w:rsidR="005D6812">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P-1</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135,457</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38%</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283,265</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63%</w:t>
            </w:r>
          </w:p>
        </w:tc>
      </w:tr>
      <w:tr w:rsidR="005D6812">
        <w:trPr>
          <w:trHeight w:hRule="exact" w:val="300"/>
        </w:trPr>
        <w:tc>
          <w:tcPr>
            <w:tcW w:w="1980"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w:t>
            </w:r>
          </w:p>
        </w:tc>
        <w:tc>
          <w:tcPr>
            <w:tcW w:w="1980"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360,817</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100%</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448,995</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100%</w:t>
            </w:r>
          </w:p>
        </w:tc>
      </w:tr>
    </w:tbl>
    <w:p w:rsidR="005D6812" w:rsidRDefault="005D6812">
      <w:pPr>
        <w:pStyle w:val="Normal15"/>
        <w:spacing w:before="60" w:after="60"/>
        <w:rPr>
          <w:b/>
          <w:bCs/>
          <w:noProof/>
          <w:sz w:val="16"/>
          <w:szCs w:val="16"/>
        </w:rPr>
      </w:pPr>
    </w:p>
    <w:p w:rsidR="005D6812" w:rsidRDefault="00AB2A2B">
      <w:pPr>
        <w:pStyle w:val="Notes13"/>
        <w:numPr>
          <w:ilvl w:val="2"/>
          <w:numId w:val="66"/>
        </w:numPr>
        <w:tabs>
          <w:tab w:val="clear" w:pos="4320"/>
          <w:tab w:val="clear" w:pos="8640"/>
          <w:tab w:val="right" w:pos="-2700"/>
          <w:tab w:val="right" w:pos="720"/>
        </w:tabs>
        <w:spacing w:before="60" w:after="60"/>
        <w:jc w:val="left"/>
        <w:rPr>
          <w:b w:val="0"/>
          <w:bCs/>
          <w:noProof/>
          <w:sz w:val="16"/>
          <w:szCs w:val="16"/>
          <w:lang w:val="en-GB"/>
        </w:rPr>
      </w:pPr>
      <w:r>
        <w:rPr>
          <w:b w:val="0"/>
          <w:bCs/>
          <w:noProof/>
          <w:sz w:val="16"/>
          <w:szCs w:val="16"/>
          <w:lang w:val="en-GB"/>
        </w:rPr>
        <w:t>Credit risk on derivatives</w:t>
      </w:r>
    </w:p>
    <w:p w:rsidR="005D6812" w:rsidRDefault="005D6812">
      <w:pPr>
        <w:pStyle w:val="Notes13"/>
        <w:numPr>
          <w:ilvl w:val="0"/>
          <w:numId w:val="0"/>
        </w:numPr>
        <w:tabs>
          <w:tab w:val="clear" w:pos="4320"/>
          <w:tab w:val="clear" w:pos="8640"/>
          <w:tab w:val="right" w:pos="-2700"/>
        </w:tabs>
        <w:spacing w:before="60" w:after="60"/>
        <w:rPr>
          <w:b w:val="0"/>
          <w:noProof/>
          <w:sz w:val="16"/>
          <w:szCs w:val="16"/>
          <w:lang w:val="en-GB"/>
        </w:rPr>
      </w:pPr>
    </w:p>
    <w:p w:rsidR="005D6812" w:rsidRDefault="00AB2A2B">
      <w:pPr>
        <w:pStyle w:val="Notes13"/>
        <w:numPr>
          <w:ilvl w:val="3"/>
          <w:numId w:val="66"/>
        </w:numPr>
        <w:tabs>
          <w:tab w:val="clear" w:pos="4320"/>
          <w:tab w:val="clear" w:pos="8640"/>
          <w:tab w:val="right" w:pos="-2700"/>
          <w:tab w:val="right" w:pos="720"/>
        </w:tabs>
        <w:spacing w:before="60" w:after="60"/>
        <w:ind w:left="794" w:hanging="794"/>
        <w:jc w:val="left"/>
        <w:rPr>
          <w:b w:val="0"/>
          <w:bCs/>
          <w:noProof/>
          <w:sz w:val="16"/>
          <w:szCs w:val="16"/>
          <w:lang w:val="en-GB"/>
        </w:rPr>
      </w:pPr>
      <w:r>
        <w:rPr>
          <w:b w:val="0"/>
          <w:bCs/>
          <w:noProof/>
          <w:sz w:val="16"/>
          <w:szCs w:val="16"/>
          <w:lang w:val="en-GB"/>
        </w:rPr>
        <w:t>Credit risk policy of derivatives</w:t>
      </w:r>
    </w:p>
    <w:p w:rsidR="005D6812" w:rsidRDefault="005D6812">
      <w:pPr>
        <w:pStyle w:val="Notes13"/>
        <w:numPr>
          <w:ilvl w:val="0"/>
          <w:numId w:val="0"/>
        </w:numPr>
        <w:tabs>
          <w:tab w:val="clear" w:pos="4320"/>
          <w:tab w:val="clear" w:pos="8640"/>
          <w:tab w:val="right" w:pos="-2700"/>
        </w:tabs>
        <w:spacing w:before="60" w:after="60"/>
        <w:rPr>
          <w:b w:val="0"/>
          <w:noProof/>
          <w:sz w:val="16"/>
          <w:szCs w:val="16"/>
          <w:lang w:val="en-GB"/>
        </w:rPr>
      </w:pPr>
    </w:p>
    <w:p w:rsidR="005D6812" w:rsidRDefault="00AB2A2B">
      <w:pPr>
        <w:pStyle w:val="Notes13"/>
        <w:numPr>
          <w:ilvl w:val="0"/>
          <w:numId w:val="0"/>
        </w:numPr>
        <w:tabs>
          <w:tab w:val="clear" w:pos="4320"/>
          <w:tab w:val="clear" w:pos="8640"/>
          <w:tab w:val="right" w:pos="-2700"/>
        </w:tabs>
        <w:spacing w:before="60" w:after="60"/>
        <w:rPr>
          <w:b w:val="0"/>
          <w:noProof/>
          <w:sz w:val="16"/>
          <w:szCs w:val="16"/>
          <w:lang w:val="en-GB"/>
        </w:rPr>
      </w:pPr>
      <w:r>
        <w:rPr>
          <w:b w:val="0"/>
          <w:noProof/>
          <w:sz w:val="16"/>
          <w:szCs w:val="16"/>
          <w:lang w:val="en-GB"/>
        </w:rPr>
        <w:t xml:space="preserve">The credit risk with respect to derivatives is represented by the loss which </w:t>
      </w:r>
      <w:r>
        <w:rPr>
          <w:b w:val="0"/>
          <w:noProof/>
          <w:sz w:val="16"/>
          <w:szCs w:val="16"/>
          <w:lang w:val="en-GB"/>
        </w:rPr>
        <w:t>a given party would incur where the other counterparty to the deal would be unable to honour its contractual obligations. The credit risk associated with derivatives varies according to a number of factors (such as interest and exchange rates) and generall</w:t>
      </w:r>
      <w:r>
        <w:rPr>
          <w:b w:val="0"/>
          <w:noProof/>
          <w:sz w:val="16"/>
          <w:szCs w:val="16"/>
          <w:lang w:val="en-GB"/>
        </w:rPr>
        <w:t>y corresponds to only a small portion of their notional value.</w:t>
      </w:r>
    </w:p>
    <w:p w:rsidR="005D6812" w:rsidRDefault="005D6812">
      <w:pPr>
        <w:pStyle w:val="Notes13"/>
        <w:numPr>
          <w:ilvl w:val="0"/>
          <w:numId w:val="0"/>
        </w:numPr>
        <w:tabs>
          <w:tab w:val="clear" w:pos="4320"/>
          <w:tab w:val="clear" w:pos="8640"/>
          <w:tab w:val="right" w:pos="-2700"/>
        </w:tabs>
        <w:spacing w:before="60" w:after="60"/>
        <w:rPr>
          <w:b w:val="0"/>
          <w:noProof/>
          <w:sz w:val="16"/>
          <w:szCs w:val="16"/>
          <w:lang w:val="en-GB"/>
        </w:rPr>
      </w:pPr>
    </w:p>
    <w:p w:rsidR="005D6812" w:rsidRDefault="00AB2A2B">
      <w:pPr>
        <w:pStyle w:val="Notes13"/>
        <w:numPr>
          <w:ilvl w:val="0"/>
          <w:numId w:val="0"/>
        </w:numPr>
        <w:tabs>
          <w:tab w:val="clear" w:pos="4320"/>
          <w:tab w:val="clear" w:pos="8640"/>
          <w:tab w:val="right" w:pos="-2700"/>
        </w:tabs>
        <w:spacing w:before="60" w:after="60"/>
        <w:rPr>
          <w:b w:val="0"/>
          <w:noProof/>
          <w:sz w:val="16"/>
          <w:szCs w:val="16"/>
          <w:lang w:val="en-GB"/>
        </w:rPr>
      </w:pPr>
      <w:r>
        <w:rPr>
          <w:b w:val="0"/>
          <w:noProof/>
          <w:sz w:val="16"/>
          <w:szCs w:val="16"/>
          <w:lang w:val="en-GB"/>
        </w:rPr>
        <w:t>In the normal course of its activity, the Facility may enter into swap contracts with a view to hedge specific lending operations or into currency forward contracts, with a view to hedge its c</w:t>
      </w:r>
      <w:r>
        <w:rPr>
          <w:b w:val="0"/>
          <w:noProof/>
          <w:sz w:val="16"/>
          <w:szCs w:val="16"/>
          <w:lang w:val="en-GB"/>
        </w:rPr>
        <w:t>urrency positions denominated in actively traded currencies other than the Euro. All the swaps are executed by the European Investment Bank with an external counterpart. The swaps are arranged by the same Master Swap Agreements and Credit Support Annexes s</w:t>
      </w:r>
      <w:r>
        <w:rPr>
          <w:b w:val="0"/>
          <w:noProof/>
          <w:sz w:val="16"/>
          <w:szCs w:val="16"/>
          <w:lang w:val="en-GB"/>
        </w:rPr>
        <w:t xml:space="preserve">igned between the European Investment Bank and its external counterparts. </w:t>
      </w:r>
    </w:p>
    <w:p w:rsidR="005D6812" w:rsidRDefault="005D6812">
      <w:pPr>
        <w:pStyle w:val="Notes13"/>
        <w:numPr>
          <w:ilvl w:val="0"/>
          <w:numId w:val="0"/>
        </w:numPr>
        <w:tabs>
          <w:tab w:val="clear" w:pos="4320"/>
          <w:tab w:val="clear" w:pos="8640"/>
          <w:tab w:val="right" w:pos="-2700"/>
        </w:tabs>
        <w:spacing w:before="60" w:after="60"/>
        <w:jc w:val="left"/>
        <w:rPr>
          <w:b w:val="0"/>
          <w:noProof/>
          <w:sz w:val="16"/>
          <w:szCs w:val="16"/>
          <w:shd w:val="clear" w:color="auto" w:fill="FFFF00"/>
          <w:lang w:val="en-GB"/>
        </w:rPr>
      </w:pPr>
    </w:p>
    <w:p w:rsidR="005D6812" w:rsidRDefault="00AB2A2B">
      <w:pPr>
        <w:pStyle w:val="Notes13"/>
        <w:numPr>
          <w:ilvl w:val="3"/>
          <w:numId w:val="66"/>
        </w:numPr>
        <w:tabs>
          <w:tab w:val="clear" w:pos="4320"/>
          <w:tab w:val="clear" w:pos="8640"/>
          <w:tab w:val="right" w:pos="-2700"/>
          <w:tab w:val="right" w:pos="720"/>
        </w:tabs>
        <w:spacing w:before="60" w:after="60"/>
        <w:ind w:left="794" w:hanging="794"/>
        <w:jc w:val="left"/>
        <w:rPr>
          <w:b w:val="0"/>
          <w:bCs/>
          <w:noProof/>
          <w:sz w:val="16"/>
          <w:szCs w:val="16"/>
          <w:lang w:val="en-GB"/>
        </w:rPr>
      </w:pPr>
      <w:r>
        <w:rPr>
          <w:b w:val="0"/>
          <w:bCs/>
          <w:noProof/>
          <w:sz w:val="16"/>
          <w:szCs w:val="16"/>
          <w:lang w:val="en-GB"/>
        </w:rPr>
        <w:t>Credit risk measurement for derivatives</w:t>
      </w:r>
    </w:p>
    <w:p w:rsidR="005D6812" w:rsidRDefault="005D6812">
      <w:pPr>
        <w:pStyle w:val="Notes13"/>
        <w:numPr>
          <w:ilvl w:val="0"/>
          <w:numId w:val="0"/>
        </w:numPr>
        <w:tabs>
          <w:tab w:val="clear" w:pos="4320"/>
          <w:tab w:val="clear" w:pos="8640"/>
          <w:tab w:val="right" w:pos="-2700"/>
          <w:tab w:val="right" w:pos="720"/>
        </w:tabs>
        <w:spacing w:before="60" w:after="60"/>
        <w:rPr>
          <w:b w:val="0"/>
          <w:noProof/>
          <w:sz w:val="16"/>
          <w:szCs w:val="16"/>
          <w:lang w:val="en-GB"/>
        </w:rPr>
      </w:pPr>
    </w:p>
    <w:p w:rsidR="005D6812" w:rsidRDefault="00AB2A2B">
      <w:pPr>
        <w:pStyle w:val="Notes13"/>
        <w:numPr>
          <w:ilvl w:val="0"/>
          <w:numId w:val="0"/>
        </w:numPr>
        <w:tabs>
          <w:tab w:val="clear" w:pos="4320"/>
          <w:tab w:val="clear" w:pos="8640"/>
          <w:tab w:val="right" w:pos="-2700"/>
          <w:tab w:val="right" w:pos="720"/>
        </w:tabs>
        <w:spacing w:before="60" w:after="60"/>
        <w:rPr>
          <w:b w:val="0"/>
          <w:noProof/>
          <w:sz w:val="16"/>
          <w:szCs w:val="16"/>
          <w:lang w:val="en-GB"/>
        </w:rPr>
      </w:pPr>
      <w:r>
        <w:rPr>
          <w:b w:val="0"/>
          <w:noProof/>
          <w:sz w:val="16"/>
          <w:szCs w:val="16"/>
          <w:lang w:val="en-GB"/>
        </w:rPr>
        <w:t>All the swaps executed by the European Investment Bank that are related to the Facility are treated within the same contractual framework a</w:t>
      </w:r>
      <w:r>
        <w:rPr>
          <w:b w:val="0"/>
          <w:noProof/>
          <w:sz w:val="16"/>
          <w:szCs w:val="16"/>
          <w:lang w:val="en-GB"/>
        </w:rPr>
        <w:t>nd methodologies applied for the derivatives negotiated by the European Investment Bank for its own purposes. In particular, eligibility of swap counterparts is determined by the European Investment Bank based on the same eligibility conditions applied for</w:t>
      </w:r>
      <w:r>
        <w:rPr>
          <w:b w:val="0"/>
          <w:noProof/>
          <w:sz w:val="16"/>
          <w:szCs w:val="16"/>
          <w:lang w:val="en-GB"/>
        </w:rPr>
        <w:t xml:space="preserve"> its general swap purposes.</w:t>
      </w:r>
    </w:p>
    <w:p w:rsidR="005D6812" w:rsidRDefault="005D6812">
      <w:pPr>
        <w:pStyle w:val="Notes13"/>
        <w:numPr>
          <w:ilvl w:val="0"/>
          <w:numId w:val="0"/>
        </w:numPr>
        <w:tabs>
          <w:tab w:val="clear" w:pos="4320"/>
          <w:tab w:val="clear" w:pos="8640"/>
          <w:tab w:val="right" w:pos="-2700"/>
          <w:tab w:val="right" w:pos="720"/>
        </w:tabs>
        <w:spacing w:before="60" w:after="60"/>
        <w:rPr>
          <w:b w:val="0"/>
          <w:noProof/>
          <w:sz w:val="16"/>
          <w:szCs w:val="16"/>
          <w:lang w:val="en-GB"/>
        </w:rPr>
      </w:pPr>
    </w:p>
    <w:p w:rsidR="005D6812" w:rsidRDefault="00AB2A2B">
      <w:pPr>
        <w:pStyle w:val="Notes13"/>
        <w:numPr>
          <w:ilvl w:val="0"/>
          <w:numId w:val="0"/>
        </w:numPr>
        <w:tabs>
          <w:tab w:val="clear" w:pos="4320"/>
          <w:tab w:val="clear" w:pos="8640"/>
          <w:tab w:val="right" w:pos="-2700"/>
          <w:tab w:val="right" w:pos="720"/>
        </w:tabs>
        <w:spacing w:before="60" w:after="60"/>
        <w:rPr>
          <w:b w:val="0"/>
          <w:noProof/>
          <w:sz w:val="16"/>
          <w:szCs w:val="16"/>
          <w:lang w:val="en-GB"/>
        </w:rPr>
      </w:pPr>
      <w:r>
        <w:rPr>
          <w:b w:val="0"/>
          <w:noProof/>
          <w:sz w:val="16"/>
          <w:szCs w:val="16"/>
          <w:lang w:val="en-GB"/>
        </w:rPr>
        <w:t>The European Investment Bank measures the credit risk exposure related to swaps and derivatives transactions using the Net Market Exposure (“NME”) and Potential Future Exposure (“PFE”) approach for reporting and limit monitorin</w:t>
      </w:r>
      <w:r>
        <w:rPr>
          <w:b w:val="0"/>
          <w:noProof/>
          <w:sz w:val="16"/>
          <w:szCs w:val="16"/>
          <w:lang w:val="en-GB"/>
        </w:rPr>
        <w:t>g. The NME and the PFE fully include the derivatives related to the Investment Facility.</w:t>
      </w:r>
    </w:p>
    <w:p w:rsidR="005D6812" w:rsidRDefault="005D6812">
      <w:pPr>
        <w:pStyle w:val="Notes13"/>
        <w:numPr>
          <w:ilvl w:val="0"/>
          <w:numId w:val="0"/>
        </w:numPr>
        <w:tabs>
          <w:tab w:val="clear" w:pos="4320"/>
          <w:tab w:val="clear" w:pos="8640"/>
          <w:tab w:val="right" w:pos="-2700"/>
          <w:tab w:val="right" w:pos="720"/>
        </w:tabs>
        <w:spacing w:before="60" w:after="60"/>
        <w:jc w:val="left"/>
        <w:rPr>
          <w:b w:val="0"/>
          <w:noProof/>
          <w:sz w:val="16"/>
          <w:szCs w:val="16"/>
          <w:lang w:val="en-GB"/>
        </w:rPr>
      </w:pPr>
    </w:p>
    <w:p w:rsidR="005D6812" w:rsidRDefault="00AB2A2B">
      <w:pPr>
        <w:pStyle w:val="Notes14"/>
        <w:pageBreakBefore/>
        <w:numPr>
          <w:ilvl w:val="0"/>
          <w:numId w:val="68"/>
        </w:numPr>
        <w:tabs>
          <w:tab w:val="clear" w:pos="4320"/>
          <w:tab w:val="clear" w:pos="8640"/>
          <w:tab w:val="right" w:pos="-2700"/>
          <w:tab w:val="right" w:pos="720"/>
        </w:tabs>
        <w:spacing w:before="60" w:after="60"/>
        <w:jc w:val="left"/>
        <w:rPr>
          <w:b w:val="0"/>
          <w:noProof/>
          <w:sz w:val="16"/>
          <w:szCs w:val="16"/>
          <w:lang w:val="en-GB"/>
        </w:rPr>
      </w:pPr>
      <w:r>
        <w:rPr>
          <w:b w:val="0"/>
          <w:noProof/>
          <w:sz w:val="16"/>
          <w:szCs w:val="16"/>
          <w:lang w:val="en-GB"/>
        </w:rPr>
        <w:t>The following table shows the maturities of cross currency interest rate swaps, sub-divided according to their notional amount and fair value:</w:t>
      </w:r>
    </w:p>
    <w:p w:rsidR="005D6812" w:rsidRDefault="005D6812">
      <w:pPr>
        <w:pStyle w:val="Notes14"/>
        <w:numPr>
          <w:ilvl w:val="0"/>
          <w:numId w:val="0"/>
        </w:numPr>
        <w:tabs>
          <w:tab w:val="clear" w:pos="4320"/>
          <w:tab w:val="clear" w:pos="8640"/>
          <w:tab w:val="right" w:pos="-2700"/>
          <w:tab w:val="right" w:pos="720"/>
        </w:tabs>
        <w:spacing w:before="60" w:after="60"/>
        <w:jc w:val="left"/>
        <w:rPr>
          <w:b w:val="0"/>
          <w:noProof/>
          <w:sz w:val="16"/>
          <w:szCs w:val="16"/>
          <w:lang w:val="en-GB"/>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75"/>
        <w:gridCol w:w="1200"/>
        <w:gridCol w:w="1200"/>
        <w:gridCol w:w="1200"/>
        <w:gridCol w:w="1200"/>
        <w:gridCol w:w="1200"/>
      </w:tblGrid>
      <w:tr w:rsidR="005D6812">
        <w:trPr>
          <w:trHeight w:hRule="exact" w:val="300"/>
        </w:trPr>
        <w:tc>
          <w:tcPr>
            <w:tcW w:w="3975"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Swap contracts at </w:t>
            </w:r>
            <w:r>
              <w:rPr>
                <w:rFonts w:ascii="Arial" w:eastAsia="Arial" w:hAnsi="Arial" w:cs="Arial"/>
                <w:b/>
                <w:noProof/>
                <w:color w:val="000000"/>
                <w:sz w:val="16"/>
              </w:rPr>
              <w:t>31.12.2016</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less than</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 year</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5 years</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more than</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Total 2016</w:t>
            </w:r>
          </w:p>
        </w:tc>
      </w:tr>
      <w:tr w:rsidR="005D6812">
        <w:trPr>
          <w:trHeight w:hRule="exact" w:val="300"/>
        </w:trPr>
        <w:tc>
          <w:tcPr>
            <w:tcW w:w="3975"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In EUR’000</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 year</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 5 years</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 10 years</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 10 years</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hRule="exact" w:val="300"/>
        </w:trPr>
        <w:tc>
          <w:tcPr>
            <w:tcW w:w="3975"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Notional amount</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7,430</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7,430</w:t>
            </w:r>
          </w:p>
        </w:tc>
      </w:tr>
      <w:tr w:rsidR="005D6812">
        <w:trPr>
          <w:trHeight w:hRule="exact" w:val="300"/>
        </w:trPr>
        <w:tc>
          <w:tcPr>
            <w:tcW w:w="3975"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Fair Value (i.e. net discounted value)</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-3,051</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-3,051</w:t>
            </w:r>
          </w:p>
        </w:tc>
      </w:tr>
      <w:tr w:rsidR="005D6812">
        <w:trPr>
          <w:trHeight w:hRule="exact" w:val="300"/>
        </w:trPr>
        <w:tc>
          <w:tcPr>
            <w:tcW w:w="3975"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hRule="exact" w:val="300"/>
        </w:trPr>
        <w:tc>
          <w:tcPr>
            <w:tcW w:w="3975"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hRule="exact" w:val="300"/>
        </w:trPr>
        <w:tc>
          <w:tcPr>
            <w:tcW w:w="3975"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Swap contracts at 31.12.2015</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less </w:t>
            </w:r>
            <w:r>
              <w:rPr>
                <w:rFonts w:ascii="Arial" w:eastAsia="Arial" w:hAnsi="Arial" w:cs="Arial"/>
                <w:b/>
                <w:noProof/>
                <w:color w:val="000000"/>
                <w:sz w:val="16"/>
              </w:rPr>
              <w:t>than</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 year</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5 years</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more than</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Total 2015</w:t>
            </w:r>
          </w:p>
        </w:tc>
      </w:tr>
      <w:tr w:rsidR="005D6812">
        <w:trPr>
          <w:trHeight w:hRule="exact" w:val="300"/>
        </w:trPr>
        <w:tc>
          <w:tcPr>
            <w:tcW w:w="3975"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In EUR’000</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 year</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 5 years</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 10 years</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 10 years</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hRule="exact" w:val="300"/>
        </w:trPr>
        <w:tc>
          <w:tcPr>
            <w:tcW w:w="3975"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Notional amount</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9,589</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9,589</w:t>
            </w:r>
          </w:p>
        </w:tc>
      </w:tr>
      <w:tr w:rsidR="005D6812">
        <w:trPr>
          <w:trHeight w:hRule="exact" w:val="300"/>
        </w:trPr>
        <w:tc>
          <w:tcPr>
            <w:tcW w:w="3975"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Fair Value (i.e. net discounted value)</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-3,835</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-3,835</w:t>
            </w:r>
          </w:p>
        </w:tc>
      </w:tr>
    </w:tbl>
    <w:p w:rsidR="005D6812" w:rsidRDefault="005D6812">
      <w:pPr>
        <w:pStyle w:val="Normal17"/>
        <w:spacing w:before="60" w:after="60"/>
        <w:rPr>
          <w:b/>
          <w:bCs/>
          <w:noProof/>
          <w:sz w:val="16"/>
          <w:szCs w:val="16"/>
        </w:rPr>
      </w:pPr>
    </w:p>
    <w:p w:rsidR="005D6812" w:rsidRDefault="00AB2A2B">
      <w:pPr>
        <w:pStyle w:val="Notes15"/>
        <w:numPr>
          <w:ilvl w:val="0"/>
          <w:numId w:val="70"/>
        </w:numPr>
        <w:tabs>
          <w:tab w:val="right" w:pos="-2700"/>
        </w:tabs>
        <w:spacing w:before="60" w:after="60"/>
        <w:rPr>
          <w:b w:val="0"/>
          <w:noProof/>
          <w:sz w:val="16"/>
          <w:szCs w:val="16"/>
          <w:lang w:val="en-GB"/>
        </w:rPr>
      </w:pPr>
      <w:r>
        <w:rPr>
          <w:b w:val="0"/>
          <w:noProof/>
          <w:sz w:val="16"/>
          <w:szCs w:val="16"/>
          <w:lang w:val="en-GB"/>
        </w:rPr>
        <w:t xml:space="preserve">The Facility enters into foreign exchange short term currency </w:t>
      </w:r>
      <w:r>
        <w:rPr>
          <w:b w:val="0"/>
          <w:noProof/>
          <w:sz w:val="16"/>
          <w:szCs w:val="16"/>
          <w:lang w:val="en-GB"/>
        </w:rPr>
        <w:t>swaps (“FX swaps”) contracts in order to hedge currency risk on loan disbursements in currencies other than EUR. FX swaps have a maturity of maximum three months and are regularly rolled-over. The notional amount of FX swaps stood at EUR</w:t>
      </w:r>
      <w:r>
        <w:rPr>
          <w:noProof/>
        </w:rPr>
        <w:t xml:space="preserve"> </w:t>
      </w:r>
      <w:r>
        <w:rPr>
          <w:b w:val="0"/>
          <w:noProof/>
          <w:sz w:val="16"/>
          <w:szCs w:val="16"/>
          <w:lang w:val="en-GB"/>
        </w:rPr>
        <w:t>1,611.0 million at</w:t>
      </w:r>
      <w:r>
        <w:rPr>
          <w:b w:val="0"/>
          <w:noProof/>
          <w:sz w:val="16"/>
          <w:szCs w:val="16"/>
          <w:lang w:val="en-GB"/>
        </w:rPr>
        <w:t xml:space="preserve"> 31 December 2016 against EUR 1,400.0 million at 31 December 2015. The fair value of FX swaps amounts to EUR -15.3 million at 31 December 2016 against EUR -3.7 million at 31 December 2015.</w:t>
      </w:r>
    </w:p>
    <w:p w:rsidR="005D6812" w:rsidRDefault="005D6812">
      <w:pPr>
        <w:pStyle w:val="Notes15"/>
        <w:numPr>
          <w:ilvl w:val="0"/>
          <w:numId w:val="0"/>
        </w:numPr>
        <w:tabs>
          <w:tab w:val="right" w:pos="-2700"/>
        </w:tabs>
        <w:spacing w:before="60" w:after="60"/>
        <w:rPr>
          <w:b w:val="0"/>
          <w:noProof/>
          <w:sz w:val="16"/>
          <w:szCs w:val="16"/>
          <w:lang w:val="en-GB"/>
        </w:rPr>
      </w:pPr>
    </w:p>
    <w:p w:rsidR="005D6812" w:rsidRDefault="00AB2A2B">
      <w:pPr>
        <w:pStyle w:val="Notes15"/>
        <w:numPr>
          <w:ilvl w:val="0"/>
          <w:numId w:val="70"/>
        </w:numPr>
        <w:tabs>
          <w:tab w:val="right" w:pos="-2700"/>
        </w:tabs>
        <w:spacing w:before="60" w:after="60"/>
        <w:rPr>
          <w:b w:val="0"/>
          <w:noProof/>
          <w:sz w:val="16"/>
          <w:szCs w:val="16"/>
          <w:lang w:val="en-GB"/>
        </w:rPr>
      </w:pPr>
      <w:r>
        <w:rPr>
          <w:b w:val="0"/>
          <w:noProof/>
          <w:sz w:val="16"/>
          <w:szCs w:val="16"/>
          <w:lang w:val="en-GB"/>
        </w:rPr>
        <w:t xml:space="preserve">The Facility enters into interest rate swap contracts in order to </w:t>
      </w:r>
      <w:r>
        <w:rPr>
          <w:b w:val="0"/>
          <w:noProof/>
          <w:sz w:val="16"/>
          <w:szCs w:val="16"/>
          <w:lang w:val="en-GB"/>
        </w:rPr>
        <w:t>hedge the interest rate risk on loans disbursed. As at 31 December 2016 there are two interest rate swaps outstanding with a notional amount of EUR 41.2 million (2015: EUR 44.9 million) and a fair value of EUR 0.1 million (2015: EUR -0.3 million).</w:t>
      </w:r>
    </w:p>
    <w:p w:rsidR="005D6812" w:rsidRDefault="005D6812">
      <w:pPr>
        <w:pStyle w:val="Notes15"/>
        <w:numPr>
          <w:ilvl w:val="0"/>
          <w:numId w:val="0"/>
        </w:numPr>
        <w:tabs>
          <w:tab w:val="right" w:pos="-2700"/>
        </w:tabs>
        <w:spacing w:before="60" w:after="60"/>
        <w:rPr>
          <w:b w:val="0"/>
          <w:noProof/>
          <w:sz w:val="16"/>
          <w:szCs w:val="16"/>
          <w:lang w:val="en-GB"/>
        </w:rPr>
      </w:pPr>
    </w:p>
    <w:p w:rsidR="005D6812" w:rsidRDefault="00AB2A2B">
      <w:pPr>
        <w:pStyle w:val="Title3213"/>
        <w:tabs>
          <w:tab w:val="clear" w:pos="822"/>
          <w:tab w:val="num" w:pos="709"/>
        </w:tabs>
        <w:ind w:left="709" w:hanging="709"/>
        <w:rPr>
          <w:b w:val="0"/>
          <w:noProof/>
          <w:sz w:val="16"/>
          <w:szCs w:val="16"/>
        </w:rPr>
      </w:pPr>
      <w:r>
        <w:rPr>
          <w:b w:val="0"/>
          <w:noProof/>
          <w:sz w:val="16"/>
          <w:szCs w:val="16"/>
        </w:rPr>
        <w:t xml:space="preserve">Credit </w:t>
      </w:r>
      <w:r>
        <w:rPr>
          <w:b w:val="0"/>
          <w:noProof/>
          <w:sz w:val="16"/>
          <w:szCs w:val="16"/>
        </w:rPr>
        <w:t>risk on held-to-maturity financial assets</w:t>
      </w:r>
    </w:p>
    <w:p w:rsidR="005D6812" w:rsidRDefault="005D6812">
      <w:pPr>
        <w:pStyle w:val="Notes16"/>
        <w:numPr>
          <w:ilvl w:val="0"/>
          <w:numId w:val="0"/>
        </w:numPr>
        <w:tabs>
          <w:tab w:val="clear" w:pos="4320"/>
          <w:tab w:val="clear" w:pos="8640"/>
          <w:tab w:val="right" w:pos="-2700"/>
        </w:tabs>
        <w:spacing w:before="60" w:after="60"/>
        <w:jc w:val="left"/>
        <w:rPr>
          <w:b w:val="0"/>
          <w:noProof/>
          <w:sz w:val="16"/>
          <w:szCs w:val="16"/>
          <w:lang w:val="en-GB"/>
        </w:rPr>
      </w:pPr>
    </w:p>
    <w:p w:rsidR="005D6812" w:rsidRDefault="00AB2A2B">
      <w:pPr>
        <w:pStyle w:val="Notes16"/>
        <w:numPr>
          <w:ilvl w:val="0"/>
          <w:numId w:val="0"/>
        </w:numPr>
        <w:tabs>
          <w:tab w:val="clear" w:pos="4320"/>
          <w:tab w:val="clear" w:pos="8640"/>
          <w:tab w:val="right" w:pos="-2700"/>
        </w:tabs>
        <w:spacing w:before="60" w:after="60"/>
        <w:rPr>
          <w:b w:val="0"/>
          <w:noProof/>
          <w:sz w:val="16"/>
          <w:szCs w:val="16"/>
          <w:lang w:val="en-GB"/>
        </w:rPr>
      </w:pPr>
      <w:r>
        <w:rPr>
          <w:b w:val="0"/>
          <w:noProof/>
          <w:sz w:val="16"/>
          <w:szCs w:val="16"/>
          <w:lang w:val="en-GB"/>
        </w:rPr>
        <w:t xml:space="preserve">The following table shows the situation of the held-to-maturity portfolio entirely composed of treasury bills issued by Italy, Portugal and Spain with remaining maturities of less than three months. EU Member </w:t>
      </w:r>
      <w:r>
        <w:rPr>
          <w:b w:val="0"/>
          <w:noProof/>
          <w:sz w:val="16"/>
          <w:szCs w:val="16"/>
          <w:lang w:val="en-GB"/>
        </w:rPr>
        <w:t>States are eligible issuers. The maximum authorized limit for each authorised issuer is EUR 50,000,000 (fifty million euro). Investments in medium and long-term bonds could also be eligible, according to the investment guidelines and depending on liquidity</w:t>
      </w:r>
      <w:r>
        <w:rPr>
          <w:b w:val="0"/>
          <w:noProof/>
          <w:sz w:val="16"/>
          <w:szCs w:val="16"/>
          <w:lang w:val="en-GB"/>
        </w:rPr>
        <w:t xml:space="preserve"> requirements:</w:t>
      </w:r>
    </w:p>
    <w:p w:rsidR="005D6812" w:rsidRDefault="005D6812">
      <w:pPr>
        <w:pStyle w:val="Notes16"/>
        <w:numPr>
          <w:ilvl w:val="0"/>
          <w:numId w:val="0"/>
        </w:numPr>
        <w:tabs>
          <w:tab w:val="clear" w:pos="4320"/>
          <w:tab w:val="clear" w:pos="8640"/>
          <w:tab w:val="right" w:pos="-2700"/>
        </w:tabs>
        <w:spacing w:before="60" w:after="60"/>
        <w:rPr>
          <w:b w:val="0"/>
          <w:noProof/>
          <w:sz w:val="16"/>
          <w:szCs w:val="16"/>
          <w:lang w:val="en-GB"/>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0"/>
        <w:gridCol w:w="1980"/>
        <w:gridCol w:w="1500"/>
        <w:gridCol w:w="1500"/>
        <w:gridCol w:w="1500"/>
        <w:gridCol w:w="1500"/>
      </w:tblGrid>
      <w:tr w:rsidR="005D6812">
        <w:trPr>
          <w:trHeight w:val="450"/>
        </w:trPr>
        <w:tc>
          <w:tcPr>
            <w:tcW w:w="198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Minimum short-term rating</w:t>
            </w:r>
          </w:p>
        </w:tc>
        <w:tc>
          <w:tcPr>
            <w:tcW w:w="198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Minimum long-term rating</w:t>
            </w:r>
          </w:p>
        </w:tc>
        <w:tc>
          <w:tcPr>
            <w:tcW w:w="30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31.12.2016</w:t>
            </w:r>
          </w:p>
        </w:tc>
        <w:tc>
          <w:tcPr>
            <w:tcW w:w="30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31.12.2015</w:t>
            </w:r>
          </w:p>
        </w:tc>
      </w:tr>
      <w:tr w:rsidR="005D6812">
        <w:trPr>
          <w:trHeight w:val="300"/>
        </w:trPr>
        <w:tc>
          <w:tcPr>
            <w:tcW w:w="198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(Moody’s term)</w:t>
            </w:r>
          </w:p>
        </w:tc>
        <w:tc>
          <w:tcPr>
            <w:tcW w:w="198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(Moody’s term)</w:t>
            </w:r>
          </w:p>
        </w:tc>
        <w:tc>
          <w:tcPr>
            <w:tcW w:w="30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b/>
                <w:noProof/>
                <w:color w:val="000000"/>
                <w:sz w:val="16"/>
              </w:rPr>
            </w:pPr>
          </w:p>
        </w:tc>
        <w:tc>
          <w:tcPr>
            <w:tcW w:w="30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b/>
                <w:noProof/>
                <w:color w:val="000000"/>
                <w:sz w:val="16"/>
              </w:rPr>
            </w:pPr>
          </w:p>
        </w:tc>
      </w:tr>
      <w:tr w:rsidR="005D6812">
        <w:trPr>
          <w:trHeight w:hRule="exact" w:val="300"/>
        </w:trPr>
        <w:tc>
          <w:tcPr>
            <w:tcW w:w="198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P-1</w:t>
            </w:r>
          </w:p>
        </w:tc>
        <w:tc>
          <w:tcPr>
            <w:tcW w:w="198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Aa2</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18,012</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0%</w:t>
            </w:r>
          </w:p>
        </w:tc>
      </w:tr>
      <w:tr w:rsidR="005D6812">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P-1</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A1</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30,002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18%</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10,000</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w:t>
            </w:r>
          </w:p>
        </w:tc>
      </w:tr>
      <w:tr w:rsidR="005D6812">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P-1</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0%</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69,502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31%</w:t>
            </w:r>
          </w:p>
        </w:tc>
      </w:tr>
      <w:tr w:rsidR="005D6812">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P-2</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Baa2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0%</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50,007</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w:t>
            </w:r>
          </w:p>
        </w:tc>
      </w:tr>
      <w:tr w:rsidR="005D6812">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P-2</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Non-Rated</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20,025</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0%</w:t>
            </w:r>
          </w:p>
        </w:tc>
      </w:tr>
      <w:tr w:rsidR="005D6812">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P-3</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Baa3</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0%</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50,012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w:t>
            </w:r>
          </w:p>
        </w:tc>
      </w:tr>
      <w:tr w:rsidR="005D6812">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NP</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Ba1</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50,005</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30%</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49,000</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21%</w:t>
            </w:r>
          </w:p>
        </w:tc>
      </w:tr>
      <w:tr w:rsidR="005D6812">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Non-Rated</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Baa2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51,354</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30%</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0%</w:t>
            </w:r>
          </w:p>
        </w:tc>
      </w:tr>
      <w:tr w:rsidR="005D6812">
        <w:trPr>
          <w:trHeight w:hRule="exact" w:val="300"/>
        </w:trPr>
        <w:tc>
          <w:tcPr>
            <w:tcW w:w="1980"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w:t>
            </w:r>
          </w:p>
        </w:tc>
        <w:tc>
          <w:tcPr>
            <w:tcW w:w="1980"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  </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169,398</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100%</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228,521</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100%</w:t>
            </w:r>
          </w:p>
        </w:tc>
      </w:tr>
    </w:tbl>
    <w:p w:rsidR="005D6812" w:rsidRDefault="005D6812">
      <w:pPr>
        <w:pStyle w:val="Title1117"/>
        <w:numPr>
          <w:ilvl w:val="0"/>
          <w:numId w:val="0"/>
        </w:numPr>
        <w:ind w:left="431"/>
        <w:rPr>
          <w:noProof/>
          <w:sz w:val="16"/>
          <w:szCs w:val="16"/>
        </w:rPr>
      </w:pPr>
    </w:p>
    <w:p w:rsidR="005D6812" w:rsidRDefault="00AB2A2B">
      <w:pPr>
        <w:rPr>
          <w:rFonts w:ascii="Arial" w:hAnsi="Arial"/>
          <w:noProof/>
          <w:sz w:val="16"/>
          <w:szCs w:val="16"/>
          <w:lang w:eastAsia="ar-SA"/>
        </w:rPr>
      </w:pPr>
      <w:r>
        <w:rPr>
          <w:noProof/>
          <w:sz w:val="16"/>
          <w:szCs w:val="16"/>
        </w:rPr>
        <w:br w:type="page"/>
      </w:r>
    </w:p>
    <w:p w:rsidR="005D6812" w:rsidRDefault="005D6812">
      <w:pPr>
        <w:pStyle w:val="Title1117"/>
        <w:numPr>
          <w:ilvl w:val="0"/>
          <w:numId w:val="0"/>
        </w:numPr>
        <w:ind w:left="431"/>
        <w:rPr>
          <w:noProof/>
          <w:sz w:val="16"/>
          <w:szCs w:val="16"/>
        </w:rPr>
      </w:pPr>
    </w:p>
    <w:p w:rsidR="005D6812" w:rsidRDefault="00AB2A2B">
      <w:pPr>
        <w:pStyle w:val="Title113"/>
        <w:rPr>
          <w:noProof/>
          <w:sz w:val="16"/>
          <w:szCs w:val="16"/>
        </w:rPr>
      </w:pPr>
      <w:r>
        <w:rPr>
          <w:noProof/>
          <w:sz w:val="16"/>
          <w:szCs w:val="16"/>
        </w:rPr>
        <w:t>Liquidity risk</w:t>
      </w:r>
    </w:p>
    <w:p w:rsidR="005D6812" w:rsidRDefault="005D6812">
      <w:pPr>
        <w:pStyle w:val="Notes17"/>
        <w:numPr>
          <w:ilvl w:val="0"/>
          <w:numId w:val="0"/>
        </w:numPr>
        <w:tabs>
          <w:tab w:val="right" w:pos="-2700"/>
        </w:tabs>
        <w:spacing w:before="60" w:after="60"/>
        <w:rPr>
          <w:b w:val="0"/>
          <w:noProof/>
          <w:sz w:val="16"/>
          <w:szCs w:val="16"/>
          <w:lang w:val="en-GB"/>
        </w:rPr>
      </w:pPr>
    </w:p>
    <w:p w:rsidR="005D6812" w:rsidRDefault="00AB2A2B">
      <w:pPr>
        <w:pStyle w:val="Notes17"/>
        <w:numPr>
          <w:ilvl w:val="0"/>
          <w:numId w:val="0"/>
        </w:numPr>
        <w:tabs>
          <w:tab w:val="right" w:pos="-2700"/>
        </w:tabs>
        <w:spacing w:before="60" w:after="60"/>
        <w:rPr>
          <w:b w:val="0"/>
          <w:noProof/>
          <w:sz w:val="16"/>
          <w:szCs w:val="16"/>
          <w:lang w:val="en-GB"/>
        </w:rPr>
      </w:pPr>
      <w:r>
        <w:rPr>
          <w:b w:val="0"/>
          <w:noProof/>
          <w:sz w:val="16"/>
          <w:szCs w:val="16"/>
          <w:lang w:val="en-GB"/>
        </w:rPr>
        <w:t xml:space="preserve">Liquidity risk refers to an enitity’s ability to fund increases in assets and meet obligations as they come </w:t>
      </w:r>
      <w:r>
        <w:rPr>
          <w:b w:val="0"/>
          <w:noProof/>
          <w:sz w:val="16"/>
          <w:szCs w:val="16"/>
          <w:lang w:val="en-GB"/>
        </w:rPr>
        <w:t>due, without incurring unacceptable losses. It can be split into funding liquidity risk and market liquidity risk. Funding liquidity risk is the risk that an entity will not be able to meet efficiently both expected and unexpected current and future cash f</w:t>
      </w:r>
      <w:r>
        <w:rPr>
          <w:b w:val="0"/>
          <w:noProof/>
          <w:sz w:val="16"/>
          <w:szCs w:val="16"/>
          <w:lang w:val="en-GB"/>
        </w:rPr>
        <w:t>low needs without affecting its daily operations or its financial condition. Market liquidity risk is the risk that an entity cannot easily offset or eliminate a position at the market price because of inadequate market depth or market disruption.</w:t>
      </w:r>
    </w:p>
    <w:p w:rsidR="005D6812" w:rsidRDefault="005D6812">
      <w:pPr>
        <w:pStyle w:val="Title1117"/>
        <w:numPr>
          <w:ilvl w:val="0"/>
          <w:numId w:val="0"/>
        </w:numPr>
        <w:spacing w:before="60" w:after="60"/>
        <w:rPr>
          <w:noProof/>
          <w:sz w:val="16"/>
          <w:szCs w:val="16"/>
        </w:rPr>
      </w:pPr>
    </w:p>
    <w:p w:rsidR="005D6812" w:rsidRDefault="00AB2A2B">
      <w:pPr>
        <w:pStyle w:val="Title113"/>
        <w:numPr>
          <w:ilvl w:val="2"/>
          <w:numId w:val="41"/>
        </w:numPr>
        <w:rPr>
          <w:noProof/>
          <w:sz w:val="16"/>
          <w:szCs w:val="16"/>
        </w:rPr>
      </w:pPr>
      <w:r>
        <w:rPr>
          <w:noProof/>
          <w:sz w:val="16"/>
          <w:szCs w:val="16"/>
        </w:rPr>
        <w:t>Liquidi</w:t>
      </w:r>
      <w:r>
        <w:rPr>
          <w:noProof/>
          <w:sz w:val="16"/>
          <w:szCs w:val="16"/>
        </w:rPr>
        <w:t>ty risk management</w:t>
      </w:r>
    </w:p>
    <w:p w:rsidR="005D6812" w:rsidRDefault="005D6812">
      <w:pPr>
        <w:pStyle w:val="Notes17"/>
        <w:numPr>
          <w:ilvl w:val="0"/>
          <w:numId w:val="0"/>
        </w:numPr>
        <w:tabs>
          <w:tab w:val="clear" w:pos="4320"/>
          <w:tab w:val="clear" w:pos="8640"/>
          <w:tab w:val="right" w:pos="-2700"/>
        </w:tabs>
        <w:spacing w:before="60" w:after="60"/>
        <w:rPr>
          <w:b w:val="0"/>
          <w:noProof/>
          <w:sz w:val="16"/>
          <w:szCs w:val="16"/>
          <w:lang w:val="en-GB"/>
        </w:rPr>
      </w:pPr>
    </w:p>
    <w:p w:rsidR="005D6812" w:rsidRDefault="00AB2A2B">
      <w:pPr>
        <w:pStyle w:val="Notes17"/>
        <w:numPr>
          <w:ilvl w:val="0"/>
          <w:numId w:val="0"/>
        </w:numPr>
        <w:tabs>
          <w:tab w:val="right" w:pos="-2700"/>
        </w:tabs>
        <w:spacing w:before="60" w:after="60"/>
        <w:rPr>
          <w:b w:val="0"/>
          <w:noProof/>
          <w:sz w:val="16"/>
          <w:szCs w:val="16"/>
          <w:lang w:val="en-GB"/>
        </w:rPr>
      </w:pPr>
      <w:r>
        <w:rPr>
          <w:b w:val="0"/>
          <w:noProof/>
          <w:sz w:val="16"/>
          <w:szCs w:val="16"/>
          <w:lang w:val="en-GB"/>
        </w:rPr>
        <w:t xml:space="preserve">The Facility is primarily funded by annual contributions from Member States as well as by reflows stemming from the Facility’s operations. The Facility manages its funding liquidity risk primarily by planning of its net liquidity needs </w:t>
      </w:r>
      <w:r>
        <w:rPr>
          <w:b w:val="0"/>
          <w:noProof/>
          <w:sz w:val="16"/>
          <w:szCs w:val="16"/>
          <w:lang w:val="en-GB"/>
        </w:rPr>
        <w:t>and the required Member States annual contributions.</w:t>
      </w:r>
    </w:p>
    <w:p w:rsidR="005D6812" w:rsidRDefault="005D6812">
      <w:pPr>
        <w:pStyle w:val="Notes17"/>
        <w:numPr>
          <w:ilvl w:val="0"/>
          <w:numId w:val="0"/>
        </w:numPr>
        <w:tabs>
          <w:tab w:val="clear" w:pos="4320"/>
          <w:tab w:val="clear" w:pos="8640"/>
          <w:tab w:val="right" w:pos="-2700"/>
        </w:tabs>
        <w:spacing w:before="60" w:after="60"/>
        <w:rPr>
          <w:b w:val="0"/>
          <w:noProof/>
          <w:sz w:val="16"/>
          <w:szCs w:val="16"/>
          <w:lang w:val="en-GB"/>
        </w:rPr>
      </w:pPr>
    </w:p>
    <w:p w:rsidR="005D6812" w:rsidRDefault="00AB2A2B">
      <w:pPr>
        <w:pStyle w:val="Notes17"/>
        <w:numPr>
          <w:ilvl w:val="0"/>
          <w:numId w:val="0"/>
        </w:numPr>
        <w:tabs>
          <w:tab w:val="clear" w:pos="4320"/>
          <w:tab w:val="clear" w:pos="8640"/>
          <w:tab w:val="right" w:pos="-2700"/>
        </w:tabs>
        <w:spacing w:before="60" w:after="60"/>
        <w:rPr>
          <w:b w:val="0"/>
          <w:noProof/>
          <w:sz w:val="16"/>
          <w:szCs w:val="16"/>
          <w:lang w:val="en-GB"/>
        </w:rPr>
      </w:pPr>
      <w:r>
        <w:rPr>
          <w:b w:val="0"/>
          <w:noProof/>
          <w:sz w:val="16"/>
          <w:szCs w:val="16"/>
          <w:lang w:val="en-GB"/>
        </w:rPr>
        <w:t>In order to calculate Member States’ annual contributions, disbursement patterns of the existing and pipelined portfolio is analysed and followed up throughout the year. Special events, such as early re</w:t>
      </w:r>
      <w:r>
        <w:rPr>
          <w:b w:val="0"/>
          <w:noProof/>
          <w:sz w:val="16"/>
          <w:szCs w:val="16"/>
          <w:lang w:val="en-GB"/>
        </w:rPr>
        <w:t xml:space="preserve">imbursements, sales of shares or default cases are taken into account to correct annual liquidity requirements. </w:t>
      </w:r>
    </w:p>
    <w:p w:rsidR="005D6812" w:rsidRDefault="005D6812">
      <w:pPr>
        <w:pStyle w:val="Notes17"/>
        <w:numPr>
          <w:ilvl w:val="0"/>
          <w:numId w:val="0"/>
        </w:numPr>
        <w:tabs>
          <w:tab w:val="clear" w:pos="4320"/>
          <w:tab w:val="clear" w:pos="8640"/>
          <w:tab w:val="right" w:pos="-2700"/>
        </w:tabs>
        <w:spacing w:before="60" w:after="60"/>
        <w:rPr>
          <w:b w:val="0"/>
          <w:noProof/>
          <w:sz w:val="16"/>
          <w:szCs w:val="16"/>
          <w:lang w:val="en-GB"/>
        </w:rPr>
      </w:pPr>
    </w:p>
    <w:p w:rsidR="005D6812" w:rsidRDefault="00AB2A2B">
      <w:pPr>
        <w:pStyle w:val="Notes17"/>
        <w:numPr>
          <w:ilvl w:val="0"/>
          <w:numId w:val="0"/>
        </w:numPr>
        <w:tabs>
          <w:tab w:val="right" w:pos="-2700"/>
        </w:tabs>
        <w:spacing w:before="60" w:after="60"/>
        <w:rPr>
          <w:b w:val="0"/>
          <w:noProof/>
          <w:sz w:val="16"/>
          <w:szCs w:val="16"/>
          <w:lang w:val="en-GB"/>
        </w:rPr>
      </w:pPr>
      <w:r>
        <w:rPr>
          <w:b w:val="0"/>
          <w:noProof/>
          <w:sz w:val="16"/>
          <w:szCs w:val="16"/>
          <w:lang w:val="en-GB"/>
        </w:rPr>
        <w:t>To further minimize the liquidity risk, the Facility maintains a liquidity reserve sufficient to cover at any point in time forecasted cash di</w:t>
      </w:r>
      <w:r>
        <w:rPr>
          <w:b w:val="0"/>
          <w:noProof/>
          <w:sz w:val="16"/>
          <w:szCs w:val="16"/>
          <w:lang w:val="en-GB"/>
        </w:rPr>
        <w:t>sbursements, as communicated periodically by EIB’s Lending Department. Funds are invested on the money market and bond markets in the form of interbank deposits and other short term financial instruments by taking into consideration the Facility’s cash dis</w:t>
      </w:r>
      <w:r>
        <w:rPr>
          <w:b w:val="0"/>
          <w:noProof/>
          <w:sz w:val="16"/>
          <w:szCs w:val="16"/>
          <w:lang w:val="en-GB"/>
        </w:rPr>
        <w:t xml:space="preserve">bursement obligations. The Facility’s liquid assets are managed by the Bank’s Treasury Department with a view to maintain appropriate liquidity to enable the Facility to meet its obligations.   </w:t>
      </w:r>
    </w:p>
    <w:p w:rsidR="005D6812" w:rsidRDefault="005D6812">
      <w:pPr>
        <w:pStyle w:val="Notes17"/>
        <w:numPr>
          <w:ilvl w:val="0"/>
          <w:numId w:val="0"/>
        </w:numPr>
        <w:tabs>
          <w:tab w:val="right" w:pos="-2700"/>
        </w:tabs>
        <w:spacing w:before="60" w:after="60"/>
        <w:ind w:left="432" w:hanging="432"/>
        <w:rPr>
          <w:b w:val="0"/>
          <w:noProof/>
          <w:sz w:val="16"/>
          <w:szCs w:val="16"/>
          <w:lang w:val="en-GB"/>
        </w:rPr>
      </w:pPr>
    </w:p>
    <w:p w:rsidR="005D6812" w:rsidRDefault="00AB2A2B">
      <w:pPr>
        <w:pStyle w:val="Notes17"/>
        <w:numPr>
          <w:ilvl w:val="0"/>
          <w:numId w:val="0"/>
        </w:numPr>
        <w:tabs>
          <w:tab w:val="right" w:pos="-2700"/>
        </w:tabs>
        <w:spacing w:before="60" w:after="60"/>
        <w:rPr>
          <w:b w:val="0"/>
          <w:noProof/>
          <w:sz w:val="16"/>
          <w:szCs w:val="16"/>
          <w:lang w:val="en-GB"/>
        </w:rPr>
      </w:pPr>
      <w:r>
        <w:rPr>
          <w:b w:val="0"/>
          <w:noProof/>
          <w:sz w:val="16"/>
          <w:szCs w:val="16"/>
          <w:lang w:val="en-GB"/>
        </w:rPr>
        <w:t>In accordance with the principle of segregation of duties be</w:t>
      </w:r>
      <w:r>
        <w:rPr>
          <w:b w:val="0"/>
          <w:noProof/>
          <w:sz w:val="16"/>
          <w:szCs w:val="16"/>
          <w:lang w:val="en-GB"/>
        </w:rPr>
        <w:t>tween the Front and Back Office, settlement operations related to the investment of these assets are under the responsibility of the EIB’s Planning and Settlement of Operations Department. Furthermore, the authorisation of counterparts and limits for treas</w:t>
      </w:r>
      <w:r>
        <w:rPr>
          <w:b w:val="0"/>
          <w:noProof/>
          <w:sz w:val="16"/>
          <w:szCs w:val="16"/>
          <w:lang w:val="en-GB"/>
        </w:rPr>
        <w:t xml:space="preserve">ury investments, as well as the monitoring of such limits, are the responsibility of the Bank’s Risk Management Directorate. </w:t>
      </w:r>
    </w:p>
    <w:p w:rsidR="005D6812" w:rsidRDefault="005D6812">
      <w:pPr>
        <w:pStyle w:val="Notes17"/>
        <w:numPr>
          <w:ilvl w:val="0"/>
          <w:numId w:val="0"/>
        </w:numPr>
        <w:tabs>
          <w:tab w:val="clear" w:pos="4320"/>
          <w:tab w:val="clear" w:pos="8640"/>
          <w:tab w:val="right" w:pos="-2700"/>
        </w:tabs>
        <w:spacing w:before="60" w:after="60"/>
        <w:rPr>
          <w:b w:val="0"/>
          <w:noProof/>
          <w:sz w:val="16"/>
          <w:szCs w:val="16"/>
          <w:lang w:val="en-GB"/>
        </w:rPr>
      </w:pPr>
    </w:p>
    <w:p w:rsidR="005D6812" w:rsidRDefault="00AB2A2B">
      <w:pPr>
        <w:pStyle w:val="Title113"/>
        <w:numPr>
          <w:ilvl w:val="2"/>
          <w:numId w:val="41"/>
        </w:numPr>
        <w:rPr>
          <w:noProof/>
          <w:sz w:val="16"/>
          <w:szCs w:val="16"/>
        </w:rPr>
      </w:pPr>
      <w:r>
        <w:rPr>
          <w:noProof/>
          <w:sz w:val="16"/>
          <w:szCs w:val="16"/>
        </w:rPr>
        <w:t>Liquidity risk measurement</w:t>
      </w:r>
    </w:p>
    <w:p w:rsidR="005D6812" w:rsidRDefault="005D6812">
      <w:pPr>
        <w:pStyle w:val="Notes17"/>
        <w:numPr>
          <w:ilvl w:val="0"/>
          <w:numId w:val="0"/>
        </w:numPr>
        <w:tabs>
          <w:tab w:val="clear" w:pos="4320"/>
          <w:tab w:val="clear" w:pos="8640"/>
          <w:tab w:val="right" w:pos="-2700"/>
        </w:tabs>
        <w:spacing w:before="60" w:after="60"/>
        <w:rPr>
          <w:b w:val="0"/>
          <w:noProof/>
          <w:sz w:val="16"/>
          <w:szCs w:val="16"/>
          <w:lang w:val="en-GB"/>
        </w:rPr>
      </w:pPr>
    </w:p>
    <w:p w:rsidR="005D6812" w:rsidRDefault="00AB2A2B">
      <w:pPr>
        <w:pStyle w:val="Notes17"/>
        <w:numPr>
          <w:ilvl w:val="0"/>
          <w:numId w:val="0"/>
        </w:numPr>
        <w:tabs>
          <w:tab w:val="clear" w:pos="4320"/>
          <w:tab w:val="clear" w:pos="8640"/>
          <w:tab w:val="right" w:pos="-2700"/>
        </w:tabs>
        <w:spacing w:before="60" w:after="60"/>
        <w:rPr>
          <w:b w:val="0"/>
          <w:noProof/>
          <w:sz w:val="16"/>
          <w:szCs w:val="16"/>
          <w:lang w:val="en-GB"/>
        </w:rPr>
      </w:pPr>
      <w:r>
        <w:rPr>
          <w:b w:val="0"/>
          <w:noProof/>
          <w:sz w:val="16"/>
          <w:szCs w:val="16"/>
          <w:lang w:val="en-GB"/>
        </w:rPr>
        <w:t>The tables in this section analyse the financial liabilities of the Facility by maturity on the basis</w:t>
      </w:r>
      <w:r>
        <w:rPr>
          <w:b w:val="0"/>
          <w:noProof/>
          <w:sz w:val="16"/>
          <w:szCs w:val="16"/>
          <w:lang w:val="en-GB"/>
        </w:rPr>
        <w:t xml:space="preserve"> of the period remaining between the balance sheet date and the contractual maturity date (based on undiscounted cash flows).</w:t>
      </w:r>
    </w:p>
    <w:p w:rsidR="005D6812" w:rsidRDefault="005D6812">
      <w:pPr>
        <w:pStyle w:val="Notes17"/>
        <w:numPr>
          <w:ilvl w:val="0"/>
          <w:numId w:val="0"/>
        </w:numPr>
        <w:tabs>
          <w:tab w:val="clear" w:pos="4320"/>
          <w:tab w:val="clear" w:pos="8640"/>
          <w:tab w:val="right" w:pos="-2700"/>
        </w:tabs>
        <w:spacing w:before="60" w:after="60"/>
        <w:rPr>
          <w:b w:val="0"/>
          <w:noProof/>
          <w:sz w:val="16"/>
          <w:szCs w:val="16"/>
          <w:lang w:val="en-GB"/>
        </w:rPr>
      </w:pPr>
    </w:p>
    <w:p w:rsidR="005D6812" w:rsidRDefault="00AB2A2B">
      <w:pPr>
        <w:pStyle w:val="Notes17"/>
        <w:numPr>
          <w:ilvl w:val="0"/>
          <w:numId w:val="0"/>
        </w:numPr>
        <w:tabs>
          <w:tab w:val="clear" w:pos="4320"/>
          <w:tab w:val="clear" w:pos="8640"/>
          <w:tab w:val="right" w:pos="-2700"/>
        </w:tabs>
        <w:spacing w:before="60" w:after="60"/>
        <w:rPr>
          <w:b w:val="0"/>
          <w:noProof/>
          <w:sz w:val="16"/>
          <w:szCs w:val="16"/>
          <w:lang w:val="en-GB"/>
        </w:rPr>
      </w:pPr>
      <w:r>
        <w:rPr>
          <w:b w:val="0"/>
          <w:noProof/>
          <w:sz w:val="16"/>
          <w:szCs w:val="16"/>
          <w:lang w:val="en-GB"/>
        </w:rPr>
        <w:t>In terms of non-derivative financial liabilities, the Facility holds commitments in form of un-disbursed portions of the credit u</w:t>
      </w:r>
      <w:r>
        <w:rPr>
          <w:b w:val="0"/>
          <w:noProof/>
          <w:sz w:val="16"/>
          <w:szCs w:val="16"/>
          <w:lang w:val="en-GB"/>
        </w:rPr>
        <w:t xml:space="preserve">nder signed loan agreements, of un-disbursed portions of signed capital subscription/investment agreements, of loan guarantees granted, or of committed interest subsidies and TA. </w:t>
      </w:r>
    </w:p>
    <w:p w:rsidR="005D6812" w:rsidRDefault="005D6812">
      <w:pPr>
        <w:pStyle w:val="Notes17"/>
        <w:numPr>
          <w:ilvl w:val="0"/>
          <w:numId w:val="0"/>
        </w:numPr>
        <w:tabs>
          <w:tab w:val="right" w:pos="-2700"/>
        </w:tabs>
        <w:spacing w:before="60" w:after="60"/>
        <w:rPr>
          <w:b w:val="0"/>
          <w:noProof/>
          <w:sz w:val="16"/>
          <w:szCs w:val="16"/>
          <w:lang w:val="en-GB"/>
        </w:rPr>
      </w:pPr>
    </w:p>
    <w:p w:rsidR="005D6812" w:rsidRDefault="00AB2A2B">
      <w:pPr>
        <w:pStyle w:val="Notes17"/>
        <w:numPr>
          <w:ilvl w:val="0"/>
          <w:numId w:val="0"/>
        </w:numPr>
        <w:tabs>
          <w:tab w:val="clear" w:pos="4320"/>
          <w:tab w:val="clear" w:pos="8640"/>
          <w:tab w:val="right" w:pos="-2700"/>
        </w:tabs>
        <w:spacing w:before="60" w:after="60"/>
        <w:rPr>
          <w:b w:val="0"/>
          <w:noProof/>
          <w:sz w:val="16"/>
          <w:szCs w:val="16"/>
          <w:lang w:val="en-GB"/>
        </w:rPr>
      </w:pPr>
      <w:r>
        <w:rPr>
          <w:b w:val="0"/>
          <w:noProof/>
          <w:sz w:val="16"/>
          <w:szCs w:val="16"/>
          <w:lang w:val="en-GB"/>
        </w:rPr>
        <w:t>Loans under the IF have a disbursement deadline. However, disbursements are</w:t>
      </w:r>
      <w:r>
        <w:rPr>
          <w:b w:val="0"/>
          <w:noProof/>
          <w:sz w:val="16"/>
          <w:szCs w:val="16"/>
          <w:lang w:val="en-GB"/>
        </w:rPr>
        <w:t xml:space="preserve"> made at times and in amounts reflecting the progress of underlying investment projects. Moreover, the IF’s loans are transactions performed in a relatively volatile operating environment, hence their disbursement schedule is subject to a significant degre</w:t>
      </w:r>
      <w:r>
        <w:rPr>
          <w:b w:val="0"/>
          <w:noProof/>
          <w:sz w:val="16"/>
          <w:szCs w:val="16"/>
          <w:lang w:val="en-GB"/>
        </w:rPr>
        <w:t xml:space="preserve">e of uncertainty. </w:t>
      </w:r>
    </w:p>
    <w:p w:rsidR="005D6812" w:rsidRDefault="005D6812">
      <w:pPr>
        <w:pStyle w:val="Notes17"/>
        <w:numPr>
          <w:ilvl w:val="0"/>
          <w:numId w:val="0"/>
        </w:numPr>
        <w:tabs>
          <w:tab w:val="clear" w:pos="4320"/>
          <w:tab w:val="clear" w:pos="8640"/>
          <w:tab w:val="right" w:pos="-2700"/>
        </w:tabs>
        <w:spacing w:before="60" w:after="60"/>
        <w:rPr>
          <w:b w:val="0"/>
          <w:noProof/>
          <w:sz w:val="16"/>
          <w:szCs w:val="16"/>
          <w:lang w:val="en-GB"/>
        </w:rPr>
      </w:pPr>
    </w:p>
    <w:p w:rsidR="005D6812" w:rsidRDefault="00AB2A2B">
      <w:pPr>
        <w:pStyle w:val="Notes17"/>
        <w:numPr>
          <w:ilvl w:val="0"/>
          <w:numId w:val="0"/>
        </w:numPr>
        <w:tabs>
          <w:tab w:val="clear" w:pos="4320"/>
          <w:tab w:val="clear" w:pos="8640"/>
          <w:tab w:val="right" w:pos="-2700"/>
        </w:tabs>
        <w:spacing w:before="60" w:after="60"/>
        <w:rPr>
          <w:b w:val="0"/>
          <w:noProof/>
          <w:sz w:val="16"/>
          <w:szCs w:val="16"/>
          <w:lang w:val="en-GB"/>
        </w:rPr>
      </w:pPr>
      <w:r>
        <w:rPr>
          <w:b w:val="0"/>
          <w:noProof/>
          <w:sz w:val="16"/>
          <w:szCs w:val="16"/>
          <w:lang w:val="en-GB"/>
        </w:rPr>
        <w:t xml:space="preserve">Capital investments become due when and as soon as equity fund managers issue valid calls for capital, reflecting the progress in their investment activities. The drawdown period is usually of 3 years, with frequent prolongation by one </w:t>
      </w:r>
      <w:r>
        <w:rPr>
          <w:b w:val="0"/>
          <w:noProof/>
          <w:sz w:val="16"/>
          <w:szCs w:val="16"/>
          <w:lang w:val="en-GB"/>
        </w:rPr>
        <w:t>or two years. Some disbursement commitments usually survive the end of the drawdown period until full disposal of the fund’s underlying investments, as the fund’s liquidity may be insufficient from time to time to meet payment obligations arising in respec</w:t>
      </w:r>
      <w:r>
        <w:rPr>
          <w:b w:val="0"/>
          <w:noProof/>
          <w:sz w:val="16"/>
          <w:szCs w:val="16"/>
          <w:lang w:val="en-GB"/>
        </w:rPr>
        <w:t xml:space="preserve">t of fees or other expenses. </w:t>
      </w:r>
    </w:p>
    <w:p w:rsidR="005D6812" w:rsidRDefault="005D6812">
      <w:pPr>
        <w:pStyle w:val="Notes17"/>
        <w:numPr>
          <w:ilvl w:val="0"/>
          <w:numId w:val="0"/>
        </w:numPr>
        <w:tabs>
          <w:tab w:val="clear" w:pos="4320"/>
          <w:tab w:val="clear" w:pos="8640"/>
          <w:tab w:val="right" w:pos="-2700"/>
        </w:tabs>
        <w:spacing w:before="60" w:after="60"/>
        <w:rPr>
          <w:b w:val="0"/>
          <w:noProof/>
          <w:sz w:val="16"/>
          <w:szCs w:val="16"/>
          <w:lang w:val="en-GB"/>
        </w:rPr>
      </w:pPr>
    </w:p>
    <w:p w:rsidR="005D6812" w:rsidRDefault="00AB2A2B">
      <w:pPr>
        <w:pStyle w:val="Notes17"/>
        <w:numPr>
          <w:ilvl w:val="0"/>
          <w:numId w:val="0"/>
        </w:numPr>
        <w:tabs>
          <w:tab w:val="clear" w:pos="4320"/>
          <w:tab w:val="clear" w:pos="8640"/>
          <w:tab w:val="right" w:pos="-2700"/>
        </w:tabs>
        <w:spacing w:before="60" w:after="60"/>
        <w:rPr>
          <w:b w:val="0"/>
          <w:noProof/>
          <w:sz w:val="16"/>
          <w:szCs w:val="16"/>
          <w:lang w:val="en-GB"/>
        </w:rPr>
      </w:pPr>
      <w:r>
        <w:rPr>
          <w:b w:val="0"/>
          <w:noProof/>
          <w:sz w:val="16"/>
          <w:szCs w:val="16"/>
          <w:lang w:val="en-GB"/>
        </w:rPr>
        <w:t>Guarantees are not subject to specific disbursement commitments unless a guarantee is called. The amount of guarantees outstanding is reduced alongside the repayment schedule of guaranteed loans.</w:t>
      </w:r>
    </w:p>
    <w:p w:rsidR="005D6812" w:rsidRDefault="005D6812">
      <w:pPr>
        <w:pStyle w:val="Notes17"/>
        <w:numPr>
          <w:ilvl w:val="0"/>
          <w:numId w:val="0"/>
        </w:numPr>
        <w:tabs>
          <w:tab w:val="clear" w:pos="4320"/>
          <w:tab w:val="clear" w:pos="8640"/>
          <w:tab w:val="right" w:pos="-2700"/>
        </w:tabs>
        <w:spacing w:before="60" w:after="60"/>
        <w:rPr>
          <w:b w:val="0"/>
          <w:noProof/>
          <w:sz w:val="16"/>
          <w:szCs w:val="16"/>
          <w:lang w:val="en-GB"/>
        </w:rPr>
      </w:pPr>
    </w:p>
    <w:p w:rsidR="005D6812" w:rsidRDefault="00AB2A2B">
      <w:pPr>
        <w:pStyle w:val="Notes17"/>
        <w:numPr>
          <w:ilvl w:val="0"/>
          <w:numId w:val="0"/>
        </w:numPr>
        <w:tabs>
          <w:tab w:val="right" w:pos="-2700"/>
        </w:tabs>
        <w:spacing w:before="60" w:after="60"/>
        <w:rPr>
          <w:b w:val="0"/>
          <w:noProof/>
          <w:sz w:val="16"/>
          <w:szCs w:val="16"/>
        </w:rPr>
      </w:pPr>
      <w:r>
        <w:rPr>
          <w:b w:val="0"/>
          <w:noProof/>
          <w:sz w:val="16"/>
          <w:szCs w:val="16"/>
          <w:lang w:val="en-GB"/>
        </w:rPr>
        <w:t xml:space="preserve">Committed interest </w:t>
      </w:r>
      <w:r>
        <w:rPr>
          <w:b w:val="0"/>
          <w:noProof/>
          <w:sz w:val="16"/>
          <w:szCs w:val="16"/>
          <w:lang w:val="en-GB"/>
        </w:rPr>
        <w:t>subsidies’ cash outflows occur in the case of subsidized loans financed by the Bank’s own resources. Therefore, reported outflows represent only commitments related to these loans rather than the total amount of committed un-disbursed interest subsidies.</w:t>
      </w:r>
      <w:r>
        <w:rPr>
          <w:b w:val="0"/>
          <w:noProof/>
          <w:sz w:val="16"/>
          <w:szCs w:val="16"/>
        </w:rPr>
        <w:t xml:space="preserve"> </w:t>
      </w:r>
      <w:r>
        <w:rPr>
          <w:b w:val="0"/>
          <w:noProof/>
          <w:sz w:val="16"/>
          <w:szCs w:val="16"/>
          <w:lang w:val="en-GB"/>
        </w:rPr>
        <w:t>A</w:t>
      </w:r>
      <w:r>
        <w:rPr>
          <w:b w:val="0"/>
          <w:noProof/>
          <w:sz w:val="16"/>
          <w:szCs w:val="16"/>
          <w:lang w:val="en-GB"/>
        </w:rPr>
        <w:t>s in the case of loans, their disbursement schedule is uncertain.</w:t>
      </w:r>
      <w:r>
        <w:rPr>
          <w:b w:val="0"/>
          <w:noProof/>
          <w:sz w:val="16"/>
          <w:szCs w:val="16"/>
        </w:rPr>
        <w:t xml:space="preserve">  </w:t>
      </w:r>
    </w:p>
    <w:p w:rsidR="005D6812" w:rsidRDefault="005D6812">
      <w:pPr>
        <w:pStyle w:val="Notes17"/>
        <w:numPr>
          <w:ilvl w:val="0"/>
          <w:numId w:val="0"/>
        </w:numPr>
        <w:tabs>
          <w:tab w:val="right" w:pos="-2700"/>
        </w:tabs>
        <w:spacing w:before="60" w:after="60"/>
        <w:ind w:left="432" w:hanging="432"/>
        <w:rPr>
          <w:b w:val="0"/>
          <w:noProof/>
          <w:sz w:val="16"/>
          <w:szCs w:val="16"/>
          <w:lang w:val="en-GB"/>
        </w:rPr>
      </w:pPr>
    </w:p>
    <w:p w:rsidR="005D6812" w:rsidRDefault="00AB2A2B">
      <w:pPr>
        <w:pStyle w:val="Notes17"/>
        <w:numPr>
          <w:ilvl w:val="0"/>
          <w:numId w:val="0"/>
        </w:numPr>
        <w:tabs>
          <w:tab w:val="right" w:pos="-2700"/>
        </w:tabs>
        <w:spacing w:before="60" w:after="60"/>
        <w:rPr>
          <w:b w:val="0"/>
          <w:noProof/>
          <w:sz w:val="16"/>
          <w:szCs w:val="16"/>
          <w:lang w:val="en-GB"/>
        </w:rPr>
      </w:pPr>
      <w:r>
        <w:rPr>
          <w:b w:val="0"/>
          <w:noProof/>
          <w:sz w:val="16"/>
          <w:szCs w:val="16"/>
          <w:lang w:val="en-GB"/>
        </w:rPr>
        <w:t>Committed TA “gross nominal outflow” in the “Maturity profile of non-derivative financial liabilities” table refers to the total un-disbursed portion of signed TA contracts. The disbursem</w:t>
      </w:r>
      <w:r>
        <w:rPr>
          <w:b w:val="0"/>
          <w:noProof/>
          <w:sz w:val="16"/>
          <w:szCs w:val="16"/>
          <w:lang w:val="en-GB"/>
        </w:rPr>
        <w:t xml:space="preserve">ent time pattern is subject to a significant degree of uncertainty. Cash outflows classified in the “3 months or less” bucket represent the amount of outstanding invoices received by the reporting date. </w:t>
      </w:r>
    </w:p>
    <w:p w:rsidR="005D6812" w:rsidRDefault="005D6812">
      <w:pPr>
        <w:pStyle w:val="Notes17"/>
        <w:numPr>
          <w:ilvl w:val="0"/>
          <w:numId w:val="0"/>
        </w:numPr>
        <w:tabs>
          <w:tab w:val="right" w:pos="-2700"/>
        </w:tabs>
        <w:spacing w:before="60" w:after="60"/>
        <w:rPr>
          <w:b w:val="0"/>
          <w:noProof/>
          <w:sz w:val="16"/>
          <w:szCs w:val="16"/>
          <w:lang w:val="en-GB"/>
        </w:rPr>
      </w:pPr>
    </w:p>
    <w:p w:rsidR="005D6812" w:rsidRDefault="00AB2A2B">
      <w:pPr>
        <w:pStyle w:val="Notes17"/>
        <w:numPr>
          <w:ilvl w:val="0"/>
          <w:numId w:val="0"/>
        </w:numPr>
        <w:tabs>
          <w:tab w:val="right" w:pos="-2700"/>
        </w:tabs>
        <w:spacing w:before="60" w:after="60"/>
        <w:rPr>
          <w:b w:val="0"/>
          <w:noProof/>
          <w:sz w:val="16"/>
          <w:szCs w:val="16"/>
          <w:lang w:val="en-GB"/>
        </w:rPr>
      </w:pPr>
      <w:r>
        <w:rPr>
          <w:b w:val="0"/>
          <w:noProof/>
          <w:sz w:val="16"/>
          <w:szCs w:val="16"/>
          <w:lang w:val="en-GB"/>
        </w:rPr>
        <w:t xml:space="preserve">Commitments for non-derivative financial </w:t>
      </w:r>
      <w:r>
        <w:rPr>
          <w:b w:val="0"/>
          <w:noProof/>
          <w:sz w:val="16"/>
          <w:szCs w:val="16"/>
          <w:lang w:val="en-GB"/>
        </w:rPr>
        <w:t>liabilities for which there is no defined contractual maturity date are classified under “Maturity Undefined”. Commitments, for which there is a recorded cash disbursement request at the reporting date, are classified under the relevant time bucket.</w:t>
      </w:r>
    </w:p>
    <w:p w:rsidR="005D6812" w:rsidRDefault="005D6812">
      <w:pPr>
        <w:pStyle w:val="Notes17"/>
        <w:numPr>
          <w:ilvl w:val="0"/>
          <w:numId w:val="0"/>
        </w:numPr>
        <w:tabs>
          <w:tab w:val="right" w:pos="-2700"/>
        </w:tabs>
        <w:spacing w:before="60" w:after="60"/>
        <w:rPr>
          <w:b w:val="0"/>
          <w:noProof/>
          <w:sz w:val="16"/>
          <w:szCs w:val="16"/>
          <w:lang w:val="en-GB"/>
        </w:rPr>
      </w:pPr>
    </w:p>
    <w:p w:rsidR="005D6812" w:rsidRDefault="00AB2A2B">
      <w:pPr>
        <w:pStyle w:val="Notes17"/>
        <w:numPr>
          <w:ilvl w:val="0"/>
          <w:numId w:val="0"/>
        </w:numPr>
        <w:tabs>
          <w:tab w:val="clear" w:pos="4320"/>
          <w:tab w:val="clear" w:pos="8640"/>
          <w:tab w:val="right" w:pos="-2700"/>
        </w:tabs>
        <w:spacing w:before="60" w:after="60"/>
        <w:rPr>
          <w:b w:val="0"/>
          <w:noProof/>
          <w:sz w:val="16"/>
          <w:szCs w:val="16"/>
        </w:rPr>
      </w:pPr>
      <w:r>
        <w:rPr>
          <w:b w:val="0"/>
          <w:noProof/>
          <w:sz w:val="16"/>
          <w:szCs w:val="16"/>
        </w:rPr>
        <w:t>In te</w:t>
      </w:r>
      <w:r>
        <w:rPr>
          <w:b w:val="0"/>
          <w:noProof/>
          <w:sz w:val="16"/>
          <w:szCs w:val="16"/>
        </w:rPr>
        <w:t xml:space="preserve">rms of derivative financial liabilities, the maturity profile represents the contractual undiscounted gross cash flows of swap contracts including cross currency swaps (CCS), cross currency interest rate swaps (CCIRS), </w:t>
      </w:r>
      <w:r>
        <w:rPr>
          <w:b w:val="0"/>
          <w:noProof/>
          <w:sz w:val="16"/>
          <w:szCs w:val="16"/>
          <w:lang w:val="en-GB"/>
        </w:rPr>
        <w:t xml:space="preserve">short term currency swaps </w:t>
      </w:r>
      <w:r>
        <w:rPr>
          <w:b w:val="0"/>
          <w:noProof/>
          <w:sz w:val="16"/>
          <w:szCs w:val="16"/>
        </w:rPr>
        <w:t>and interes</w:t>
      </w:r>
      <w:r>
        <w:rPr>
          <w:b w:val="0"/>
          <w:noProof/>
          <w:sz w:val="16"/>
          <w:szCs w:val="16"/>
        </w:rPr>
        <w:t>t rate swaps.</w:t>
      </w:r>
    </w:p>
    <w:p w:rsidR="005D6812" w:rsidRDefault="005D6812">
      <w:pPr>
        <w:pStyle w:val="Notes17"/>
        <w:numPr>
          <w:ilvl w:val="0"/>
          <w:numId w:val="0"/>
        </w:numPr>
        <w:tabs>
          <w:tab w:val="clear" w:pos="4320"/>
          <w:tab w:val="clear" w:pos="8640"/>
          <w:tab w:val="right" w:pos="-2700"/>
        </w:tabs>
        <w:spacing w:before="60" w:after="60"/>
        <w:rPr>
          <w:b w:val="0"/>
          <w:noProof/>
          <w:sz w:val="16"/>
          <w:szCs w:val="16"/>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35"/>
        <w:gridCol w:w="960"/>
        <w:gridCol w:w="180"/>
        <w:gridCol w:w="720"/>
        <w:gridCol w:w="375"/>
        <w:gridCol w:w="525"/>
        <w:gridCol w:w="555"/>
        <w:gridCol w:w="345"/>
        <w:gridCol w:w="765"/>
        <w:gridCol w:w="210"/>
        <w:gridCol w:w="960"/>
      </w:tblGrid>
      <w:tr w:rsidR="005D6812">
        <w:trPr>
          <w:trHeight w:val="570"/>
        </w:trPr>
        <w:tc>
          <w:tcPr>
            <w:tcW w:w="463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Maturity profile of non-derivative financial liabilities</w:t>
            </w:r>
          </w:p>
        </w:tc>
        <w:tc>
          <w:tcPr>
            <w:tcW w:w="96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 3 months or less</w:t>
            </w:r>
          </w:p>
        </w:tc>
        <w:tc>
          <w:tcPr>
            <w:tcW w:w="9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More than 3 months to 1 year</w:t>
            </w:r>
          </w:p>
        </w:tc>
        <w:tc>
          <w:tcPr>
            <w:tcW w:w="9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More than 1 year to 5 years</w:t>
            </w:r>
          </w:p>
        </w:tc>
        <w:tc>
          <w:tcPr>
            <w:tcW w:w="9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More than 5 years</w:t>
            </w:r>
          </w:p>
        </w:tc>
        <w:tc>
          <w:tcPr>
            <w:tcW w:w="975"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Maturity Undefined</w:t>
            </w:r>
          </w:p>
        </w:tc>
        <w:tc>
          <w:tcPr>
            <w:tcW w:w="96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Gross nominal outflow</w:t>
            </w:r>
          </w:p>
        </w:tc>
      </w:tr>
      <w:tr w:rsidR="005D6812">
        <w:trPr>
          <w:trHeight w:val="300"/>
        </w:trPr>
        <w:tc>
          <w:tcPr>
            <w:tcW w:w="463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In EUR’000 as at 31.12.2016</w:t>
            </w:r>
          </w:p>
        </w:tc>
        <w:tc>
          <w:tcPr>
            <w:tcW w:w="96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75"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6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240"/>
        </w:trPr>
        <w:tc>
          <w:tcPr>
            <w:tcW w:w="463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Outflows for </w:t>
            </w:r>
            <w:r>
              <w:rPr>
                <w:rFonts w:ascii="Arial" w:eastAsia="Arial" w:hAnsi="Arial" w:cs="Arial"/>
                <w:noProof/>
                <w:color w:val="000000"/>
                <w:sz w:val="16"/>
              </w:rPr>
              <w:t>committed but un-disbursed loans</w:t>
            </w:r>
          </w:p>
        </w:tc>
        <w:tc>
          <w:tcPr>
            <w:tcW w:w="96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82,405</w:t>
            </w:r>
          </w:p>
        </w:tc>
        <w:tc>
          <w:tcPr>
            <w:tcW w:w="900"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819,494</w:t>
            </w:r>
          </w:p>
        </w:tc>
        <w:tc>
          <w:tcPr>
            <w:tcW w:w="96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901,899</w:t>
            </w:r>
          </w:p>
        </w:tc>
      </w:tr>
      <w:tr w:rsidR="005D6812">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Outflows for committed investment funds and share subscription</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4,592</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239,458</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244,050</w:t>
            </w:r>
          </w:p>
        </w:tc>
      </w:tr>
      <w:tr w:rsidR="005D6812">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Others (signed non-issued guarantees, issued guarantees)</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43,964</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43,964</w:t>
            </w:r>
          </w:p>
        </w:tc>
      </w:tr>
      <w:tr w:rsidR="005D6812">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Outflows for </w:t>
            </w:r>
            <w:r>
              <w:rPr>
                <w:rFonts w:ascii="Arial" w:eastAsia="Arial" w:hAnsi="Arial" w:cs="Arial"/>
                <w:noProof/>
                <w:color w:val="000000"/>
                <w:sz w:val="16"/>
              </w:rPr>
              <w:t>committed interest subsidies</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275,917</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275,917</w:t>
            </w:r>
          </w:p>
        </w:tc>
      </w:tr>
      <w:tr w:rsidR="005D6812">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Outflows for committed TA </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2,671</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24,807</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27,478</w:t>
            </w:r>
          </w:p>
        </w:tc>
      </w:tr>
      <w:tr w:rsidR="005D6812">
        <w:trPr>
          <w:trHeight w:val="300"/>
        </w:trPr>
        <w:tc>
          <w:tcPr>
            <w:tcW w:w="463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Total </w:t>
            </w:r>
          </w:p>
        </w:tc>
        <w:tc>
          <w:tcPr>
            <w:tcW w:w="96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89,668</w:t>
            </w:r>
          </w:p>
        </w:tc>
        <w:tc>
          <w:tcPr>
            <w:tcW w:w="900" w:type="dxa"/>
            <w:gridSpan w:val="2"/>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900" w:type="dxa"/>
            <w:gridSpan w:val="2"/>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900" w:type="dxa"/>
            <w:gridSpan w:val="2"/>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975" w:type="dxa"/>
            <w:gridSpan w:val="2"/>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1,403,640</w:t>
            </w:r>
          </w:p>
        </w:tc>
        <w:tc>
          <w:tcPr>
            <w:tcW w:w="96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1,493,308</w:t>
            </w:r>
          </w:p>
        </w:tc>
      </w:tr>
      <w:tr w:rsidR="005D6812">
        <w:trPr>
          <w:trHeight w:val="300"/>
        </w:trPr>
        <w:tc>
          <w:tcPr>
            <w:tcW w:w="4635" w:type="dxa"/>
            <w:tcBorders>
              <w:top w:val="nil"/>
              <w:left w:val="nil"/>
              <w:bottom w:val="single" w:sz="8" w:space="0" w:color="000000"/>
              <w:right w:val="nil"/>
              <w:tl2br w:val="nil"/>
              <w:tr2bl w:val="nil"/>
            </w:tcBorders>
            <w:shd w:val="clear" w:color="auto" w:fill="auto"/>
            <w:tcMar>
              <w:left w:w="40" w:type="dxa"/>
              <w:right w:w="40" w:type="dxa"/>
            </w:tcMar>
            <w:vAlign w:val="bottom"/>
          </w:tcPr>
          <w:p w:rsidR="005D6812" w:rsidRDefault="005D6812">
            <w:pPr>
              <w:rPr>
                <w:rFonts w:ascii="Arial" w:eastAsia="Arial" w:hAnsi="Arial" w:cs="Arial"/>
                <w:noProof/>
                <w:color w:val="000000"/>
                <w:sz w:val="20"/>
              </w:rPr>
            </w:pPr>
          </w:p>
        </w:tc>
        <w:tc>
          <w:tcPr>
            <w:tcW w:w="96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gridSpan w:val="2"/>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gridSpan w:val="2"/>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gridSpan w:val="2"/>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75" w:type="dxa"/>
            <w:gridSpan w:val="2"/>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6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val="435"/>
        </w:trPr>
        <w:tc>
          <w:tcPr>
            <w:tcW w:w="463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Maturity profile of non-derivative financial liabilities</w:t>
            </w:r>
          </w:p>
        </w:tc>
        <w:tc>
          <w:tcPr>
            <w:tcW w:w="96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 3 months or less</w:t>
            </w:r>
          </w:p>
        </w:tc>
        <w:tc>
          <w:tcPr>
            <w:tcW w:w="9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More than 3 months to 1 </w:t>
            </w:r>
            <w:r>
              <w:rPr>
                <w:rFonts w:ascii="Arial" w:eastAsia="Arial" w:hAnsi="Arial" w:cs="Arial"/>
                <w:b/>
                <w:noProof/>
                <w:color w:val="000000"/>
                <w:sz w:val="16"/>
              </w:rPr>
              <w:t>year</w:t>
            </w:r>
          </w:p>
        </w:tc>
        <w:tc>
          <w:tcPr>
            <w:tcW w:w="9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More than 1 year to 5 years</w:t>
            </w:r>
          </w:p>
        </w:tc>
        <w:tc>
          <w:tcPr>
            <w:tcW w:w="9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More than 5 years</w:t>
            </w:r>
          </w:p>
        </w:tc>
        <w:tc>
          <w:tcPr>
            <w:tcW w:w="975"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Maturity Undefined</w:t>
            </w:r>
          </w:p>
        </w:tc>
        <w:tc>
          <w:tcPr>
            <w:tcW w:w="96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Gross nominal outflow</w:t>
            </w:r>
          </w:p>
        </w:tc>
      </w:tr>
      <w:tr w:rsidR="005D6812">
        <w:trPr>
          <w:trHeight w:val="465"/>
        </w:trPr>
        <w:tc>
          <w:tcPr>
            <w:tcW w:w="463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In EUR’000 as at 31.12.2015</w:t>
            </w:r>
          </w:p>
        </w:tc>
        <w:tc>
          <w:tcPr>
            <w:tcW w:w="96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75"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60" w:type="dxa"/>
            <w:vMerge/>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240"/>
        </w:trPr>
        <w:tc>
          <w:tcPr>
            <w:tcW w:w="463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Outflows for committed but un-disbursed loans</w:t>
            </w:r>
          </w:p>
        </w:tc>
        <w:tc>
          <w:tcPr>
            <w:tcW w:w="96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41,028</w:t>
            </w:r>
          </w:p>
        </w:tc>
        <w:tc>
          <w:tcPr>
            <w:tcW w:w="900"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1,148,536</w:t>
            </w:r>
          </w:p>
        </w:tc>
        <w:tc>
          <w:tcPr>
            <w:tcW w:w="96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1,189,564</w:t>
            </w:r>
          </w:p>
        </w:tc>
      </w:tr>
      <w:tr w:rsidR="005D6812">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Outflows for committed investment funds and </w:t>
            </w:r>
            <w:r>
              <w:rPr>
                <w:rFonts w:ascii="Arial" w:eastAsia="Arial" w:hAnsi="Arial" w:cs="Arial"/>
                <w:noProof/>
                <w:color w:val="000000"/>
                <w:sz w:val="16"/>
              </w:rPr>
              <w:t>share subscription</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23,371</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274,984</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298,355</w:t>
            </w:r>
          </w:p>
        </w:tc>
      </w:tr>
      <w:tr w:rsidR="005D6812">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Others (signed non-issued guarantees, issued guarantees)</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10,798</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10,798</w:t>
            </w:r>
          </w:p>
        </w:tc>
      </w:tr>
      <w:tr w:rsidR="005D6812">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Outflows for committed interest subsidies</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281,682</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281,682</w:t>
            </w:r>
          </w:p>
        </w:tc>
      </w:tr>
      <w:tr w:rsidR="005D6812">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Outflows for committed TA </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811</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28,072</w:t>
            </w:r>
          </w:p>
        </w:tc>
        <w:tc>
          <w:tcPr>
            <w:tcW w:w="96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28,883</w:t>
            </w:r>
          </w:p>
        </w:tc>
      </w:tr>
      <w:tr w:rsidR="005D6812">
        <w:trPr>
          <w:trHeight w:val="240"/>
        </w:trPr>
        <w:tc>
          <w:tcPr>
            <w:tcW w:w="463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Total </w:t>
            </w:r>
          </w:p>
        </w:tc>
        <w:tc>
          <w:tcPr>
            <w:tcW w:w="96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65,210</w:t>
            </w:r>
          </w:p>
        </w:tc>
        <w:tc>
          <w:tcPr>
            <w:tcW w:w="900" w:type="dxa"/>
            <w:gridSpan w:val="2"/>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900" w:type="dxa"/>
            <w:gridSpan w:val="2"/>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900" w:type="dxa"/>
            <w:gridSpan w:val="2"/>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975" w:type="dxa"/>
            <w:gridSpan w:val="2"/>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1,744,072</w:t>
            </w:r>
          </w:p>
        </w:tc>
        <w:tc>
          <w:tcPr>
            <w:tcW w:w="96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1,809,282</w:t>
            </w:r>
          </w:p>
        </w:tc>
      </w:tr>
      <w:tr w:rsidR="005D6812">
        <w:trPr>
          <w:trHeight w:val="300"/>
        </w:trPr>
        <w:tc>
          <w:tcPr>
            <w:tcW w:w="463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96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6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300"/>
        </w:trPr>
        <w:tc>
          <w:tcPr>
            <w:tcW w:w="463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96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6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300"/>
        </w:trPr>
        <w:tc>
          <w:tcPr>
            <w:tcW w:w="463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Maturity profile of derivative financial liabilities</w:t>
            </w:r>
          </w:p>
        </w:tc>
        <w:tc>
          <w:tcPr>
            <w:tcW w:w="114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 3 months or less</w:t>
            </w:r>
          </w:p>
        </w:tc>
        <w:tc>
          <w:tcPr>
            <w:tcW w:w="1095"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More than 3 months to 1 year</w:t>
            </w:r>
          </w:p>
        </w:tc>
        <w:tc>
          <w:tcPr>
            <w:tcW w:w="108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More than 1 year to 5 years</w:t>
            </w:r>
          </w:p>
        </w:tc>
        <w:tc>
          <w:tcPr>
            <w:tcW w:w="111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More than 5 years</w:t>
            </w:r>
          </w:p>
        </w:tc>
        <w:tc>
          <w:tcPr>
            <w:tcW w:w="117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Gross nominal inflow/outflow</w:t>
            </w:r>
          </w:p>
        </w:tc>
      </w:tr>
      <w:tr w:rsidR="005D6812">
        <w:trPr>
          <w:trHeight w:val="300"/>
        </w:trPr>
        <w:tc>
          <w:tcPr>
            <w:tcW w:w="463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140" w:type="dxa"/>
            <w:gridSpan w:val="2"/>
            <w:vMerge/>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095" w:type="dxa"/>
            <w:gridSpan w:val="2"/>
            <w:vMerge/>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080" w:type="dxa"/>
            <w:gridSpan w:val="2"/>
            <w:vMerge/>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110" w:type="dxa"/>
            <w:gridSpan w:val="2"/>
            <w:vMerge/>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170" w:type="dxa"/>
            <w:gridSpan w:val="2"/>
            <w:vMerge/>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300"/>
        </w:trPr>
        <w:tc>
          <w:tcPr>
            <w:tcW w:w="463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In EUR’000 as at </w:t>
            </w:r>
            <w:r>
              <w:rPr>
                <w:rFonts w:ascii="Arial" w:eastAsia="Arial" w:hAnsi="Arial" w:cs="Arial"/>
                <w:b/>
                <w:noProof/>
                <w:color w:val="000000"/>
                <w:sz w:val="16"/>
              </w:rPr>
              <w:t>31.12.2016</w:t>
            </w:r>
          </w:p>
        </w:tc>
        <w:tc>
          <w:tcPr>
            <w:tcW w:w="114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095"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08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11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17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240"/>
        </w:trPr>
        <w:tc>
          <w:tcPr>
            <w:tcW w:w="463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CCS and CCIRS – Inflows</w:t>
            </w:r>
          </w:p>
        </w:tc>
        <w:tc>
          <w:tcPr>
            <w:tcW w:w="114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w:t>
            </w:r>
          </w:p>
        </w:tc>
        <w:tc>
          <w:tcPr>
            <w:tcW w:w="1095"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2,409</w:t>
            </w:r>
          </w:p>
        </w:tc>
        <w:tc>
          <w:tcPr>
            <w:tcW w:w="108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5,222</w:t>
            </w:r>
          </w:p>
        </w:tc>
        <w:tc>
          <w:tcPr>
            <w:tcW w:w="111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7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7,634</w:t>
            </w:r>
          </w:p>
        </w:tc>
      </w:tr>
      <w:tr w:rsidR="005D6812">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CCS and CCIRS – Outflows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-3,688</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-7,377</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-11,065</w:t>
            </w:r>
          </w:p>
        </w:tc>
      </w:tr>
      <w:tr w:rsidR="005D6812">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Short term currency swaps – Inflows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1,611,000</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1,611,000</w:t>
            </w:r>
          </w:p>
        </w:tc>
      </w:tr>
      <w:tr w:rsidR="005D6812">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Short term currency swaps – Outflows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-1,636,001</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-1,636,001</w:t>
            </w:r>
          </w:p>
        </w:tc>
      </w:tr>
      <w:tr w:rsidR="005D6812">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Interest </w:t>
            </w:r>
            <w:r>
              <w:rPr>
                <w:rFonts w:ascii="Arial" w:eastAsia="Arial" w:hAnsi="Arial" w:cs="Arial"/>
                <w:noProof/>
                <w:color w:val="000000"/>
                <w:sz w:val="16"/>
              </w:rPr>
              <w:t>Rate Swaps – Inflows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411</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1,234</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5,529</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1,550</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8,724</w:t>
            </w:r>
          </w:p>
        </w:tc>
      </w:tr>
      <w:tr w:rsidR="005D6812">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Interest Rate Swaps - Outflows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-1,962</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-5,316</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-1,329</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-8,607</w:t>
            </w:r>
          </w:p>
        </w:tc>
      </w:tr>
      <w:tr w:rsidR="005D6812">
        <w:trPr>
          <w:trHeight w:val="300"/>
        </w:trPr>
        <w:tc>
          <w:tcPr>
            <w:tcW w:w="463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Total </w:t>
            </w:r>
          </w:p>
        </w:tc>
        <w:tc>
          <w:tcPr>
            <w:tcW w:w="1140" w:type="dxa"/>
            <w:gridSpan w:val="2"/>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-24,587</w:t>
            </w:r>
          </w:p>
        </w:tc>
        <w:tc>
          <w:tcPr>
            <w:tcW w:w="1095" w:type="dxa"/>
            <w:gridSpan w:val="2"/>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-2,007</w:t>
            </w:r>
          </w:p>
        </w:tc>
        <w:tc>
          <w:tcPr>
            <w:tcW w:w="1080" w:type="dxa"/>
            <w:gridSpan w:val="2"/>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-1,942</w:t>
            </w:r>
          </w:p>
        </w:tc>
        <w:tc>
          <w:tcPr>
            <w:tcW w:w="1110" w:type="dxa"/>
            <w:gridSpan w:val="2"/>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221</w:t>
            </w:r>
          </w:p>
        </w:tc>
        <w:tc>
          <w:tcPr>
            <w:tcW w:w="1170" w:type="dxa"/>
            <w:gridSpan w:val="2"/>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-28,315</w:t>
            </w:r>
          </w:p>
        </w:tc>
      </w:tr>
      <w:tr w:rsidR="005D6812">
        <w:trPr>
          <w:trHeight w:val="285"/>
        </w:trPr>
        <w:tc>
          <w:tcPr>
            <w:tcW w:w="463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140" w:type="dxa"/>
            <w:gridSpan w:val="2"/>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095" w:type="dxa"/>
            <w:gridSpan w:val="2"/>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080" w:type="dxa"/>
            <w:gridSpan w:val="2"/>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110" w:type="dxa"/>
            <w:gridSpan w:val="2"/>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170" w:type="dxa"/>
            <w:gridSpan w:val="2"/>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r w:rsidR="005D6812">
        <w:trPr>
          <w:trHeight w:val="300"/>
        </w:trPr>
        <w:tc>
          <w:tcPr>
            <w:tcW w:w="463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Maturity profile of derivative financial liabilities</w:t>
            </w:r>
          </w:p>
        </w:tc>
        <w:tc>
          <w:tcPr>
            <w:tcW w:w="114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 3 months or less</w:t>
            </w:r>
          </w:p>
        </w:tc>
        <w:tc>
          <w:tcPr>
            <w:tcW w:w="1095"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More than 3 months to 1 </w:t>
            </w:r>
            <w:r>
              <w:rPr>
                <w:rFonts w:ascii="Arial" w:eastAsia="Arial" w:hAnsi="Arial" w:cs="Arial"/>
                <w:b/>
                <w:noProof/>
                <w:color w:val="000000"/>
                <w:sz w:val="16"/>
              </w:rPr>
              <w:t>year</w:t>
            </w:r>
          </w:p>
        </w:tc>
        <w:tc>
          <w:tcPr>
            <w:tcW w:w="108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More than 1 year to 5 years</w:t>
            </w:r>
          </w:p>
        </w:tc>
        <w:tc>
          <w:tcPr>
            <w:tcW w:w="111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More than 5 years</w:t>
            </w:r>
          </w:p>
        </w:tc>
        <w:tc>
          <w:tcPr>
            <w:tcW w:w="117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Gross nominal inflow/outflow</w:t>
            </w:r>
          </w:p>
        </w:tc>
      </w:tr>
      <w:tr w:rsidR="005D6812">
        <w:trPr>
          <w:trHeight w:val="300"/>
        </w:trPr>
        <w:tc>
          <w:tcPr>
            <w:tcW w:w="463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140" w:type="dxa"/>
            <w:gridSpan w:val="2"/>
            <w:vMerge/>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095" w:type="dxa"/>
            <w:gridSpan w:val="2"/>
            <w:vMerge/>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080" w:type="dxa"/>
            <w:gridSpan w:val="2"/>
            <w:vMerge/>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110" w:type="dxa"/>
            <w:gridSpan w:val="2"/>
            <w:vMerge/>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170" w:type="dxa"/>
            <w:gridSpan w:val="2"/>
            <w:vMerge/>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300"/>
        </w:trPr>
        <w:tc>
          <w:tcPr>
            <w:tcW w:w="463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In EUR’000 as at 31.12.2015</w:t>
            </w:r>
          </w:p>
        </w:tc>
        <w:tc>
          <w:tcPr>
            <w:tcW w:w="114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095"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08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11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17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240"/>
        </w:trPr>
        <w:tc>
          <w:tcPr>
            <w:tcW w:w="463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CCS and CCIRS – Inflows</w:t>
            </w:r>
          </w:p>
        </w:tc>
        <w:tc>
          <w:tcPr>
            <w:tcW w:w="114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w:t>
            </w:r>
          </w:p>
        </w:tc>
        <w:tc>
          <w:tcPr>
            <w:tcW w:w="1095"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2,307</w:t>
            </w:r>
          </w:p>
        </w:tc>
        <w:tc>
          <w:tcPr>
            <w:tcW w:w="108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7,671</w:t>
            </w:r>
          </w:p>
        </w:tc>
        <w:tc>
          <w:tcPr>
            <w:tcW w:w="111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7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9,983</w:t>
            </w:r>
          </w:p>
        </w:tc>
      </w:tr>
      <w:tr w:rsidR="005D6812">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CCS and CCIRS – Outflows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-3,571</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-10,714</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-14,285</w:t>
            </w:r>
          </w:p>
        </w:tc>
      </w:tr>
      <w:tr w:rsidR="005D6812">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Short term currency swaps – </w:t>
            </w:r>
            <w:r>
              <w:rPr>
                <w:rFonts w:ascii="Arial" w:eastAsia="Arial" w:hAnsi="Arial" w:cs="Arial"/>
                <w:noProof/>
                <w:color w:val="000000"/>
                <w:sz w:val="16"/>
              </w:rPr>
              <w:t>Inflows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1,400,000</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1,400,000</w:t>
            </w:r>
          </w:p>
        </w:tc>
      </w:tr>
      <w:tr w:rsidR="005D6812">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Short term currency swaps – Outflows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-1,407,763</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-1,407,763</w:t>
            </w:r>
          </w:p>
        </w:tc>
      </w:tr>
      <w:tr w:rsidR="005D6812">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Interest Rate Swaps – Inflows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383</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1,269</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6,059</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2,524</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10,235</w:t>
            </w:r>
          </w:p>
        </w:tc>
      </w:tr>
      <w:tr w:rsidR="005D6812">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Interest Rate Swaps - Outflows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-2,145</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-6,127</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-2,206</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-10,478</w:t>
            </w:r>
          </w:p>
        </w:tc>
      </w:tr>
      <w:tr w:rsidR="005D6812">
        <w:trPr>
          <w:trHeight w:val="300"/>
        </w:trPr>
        <w:tc>
          <w:tcPr>
            <w:tcW w:w="463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Total </w:t>
            </w:r>
          </w:p>
        </w:tc>
        <w:tc>
          <w:tcPr>
            <w:tcW w:w="1140" w:type="dxa"/>
            <w:gridSpan w:val="2"/>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-7,375</w:t>
            </w:r>
          </w:p>
        </w:tc>
        <w:tc>
          <w:tcPr>
            <w:tcW w:w="1095" w:type="dxa"/>
            <w:gridSpan w:val="2"/>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-2,140</w:t>
            </w:r>
          </w:p>
        </w:tc>
        <w:tc>
          <w:tcPr>
            <w:tcW w:w="1080" w:type="dxa"/>
            <w:gridSpan w:val="2"/>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-3,111</w:t>
            </w:r>
          </w:p>
        </w:tc>
        <w:tc>
          <w:tcPr>
            <w:tcW w:w="1110" w:type="dxa"/>
            <w:gridSpan w:val="2"/>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318</w:t>
            </w:r>
          </w:p>
        </w:tc>
        <w:tc>
          <w:tcPr>
            <w:tcW w:w="1170" w:type="dxa"/>
            <w:gridSpan w:val="2"/>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-12,308</w:t>
            </w:r>
          </w:p>
        </w:tc>
      </w:tr>
    </w:tbl>
    <w:p w:rsidR="005D6812" w:rsidRDefault="005D6812">
      <w:pPr>
        <w:pStyle w:val="ListParagraph2"/>
        <w:tabs>
          <w:tab w:val="right" w:pos="-2700"/>
        </w:tabs>
        <w:ind w:left="0"/>
        <w:contextualSpacing w:val="0"/>
        <w:jc w:val="both"/>
        <w:rPr>
          <w:noProof/>
        </w:rPr>
      </w:pPr>
    </w:p>
    <w:p w:rsidR="005D6812" w:rsidRDefault="00AB2A2B">
      <w:pPr>
        <w:rPr>
          <w:rFonts w:ascii="Calibri" w:hAnsi="Calibri"/>
          <w:noProof/>
          <w:lang w:eastAsia="ar-SA"/>
        </w:rPr>
      </w:pPr>
      <w:r>
        <w:rPr>
          <w:noProof/>
        </w:rPr>
        <w:br w:type="page"/>
      </w:r>
    </w:p>
    <w:p w:rsidR="005D6812" w:rsidRDefault="00AB2A2B">
      <w:pPr>
        <w:pStyle w:val="Title113"/>
        <w:numPr>
          <w:ilvl w:val="2"/>
          <w:numId w:val="41"/>
        </w:numPr>
        <w:rPr>
          <w:noProof/>
          <w:sz w:val="16"/>
          <w:szCs w:val="16"/>
        </w:rPr>
      </w:pPr>
      <w:r>
        <w:rPr>
          <w:noProof/>
          <w:sz w:val="16"/>
          <w:szCs w:val="16"/>
        </w:rPr>
        <w:t>Long term financial assets and liabilities</w:t>
      </w:r>
    </w:p>
    <w:p w:rsidR="005D6812" w:rsidRDefault="005D6812">
      <w:pPr>
        <w:pStyle w:val="Notes18"/>
        <w:numPr>
          <w:ilvl w:val="0"/>
          <w:numId w:val="0"/>
        </w:numPr>
        <w:tabs>
          <w:tab w:val="right" w:pos="-2700"/>
        </w:tabs>
        <w:spacing w:before="60" w:after="60"/>
        <w:rPr>
          <w:b w:val="0"/>
          <w:noProof/>
          <w:sz w:val="16"/>
          <w:szCs w:val="16"/>
          <w:lang w:val="en-GB"/>
        </w:rPr>
      </w:pPr>
    </w:p>
    <w:p w:rsidR="005D6812" w:rsidRDefault="00AB2A2B">
      <w:pPr>
        <w:pStyle w:val="Notes18"/>
        <w:numPr>
          <w:ilvl w:val="0"/>
          <w:numId w:val="0"/>
        </w:numPr>
        <w:tabs>
          <w:tab w:val="right" w:pos="-2700"/>
        </w:tabs>
        <w:spacing w:before="60" w:after="60"/>
        <w:ind w:hanging="6"/>
        <w:rPr>
          <w:b w:val="0"/>
          <w:noProof/>
          <w:sz w:val="16"/>
          <w:szCs w:val="16"/>
          <w:lang w:val="en-GB"/>
        </w:rPr>
      </w:pPr>
      <w:r>
        <w:rPr>
          <w:b w:val="0"/>
          <w:noProof/>
          <w:sz w:val="16"/>
          <w:szCs w:val="16"/>
          <w:lang w:val="en-GB"/>
        </w:rPr>
        <w:t>The following table sets out the carrying amounts of non-derivative financial assets and financial liabilities expected to be recovered or settled more than 12 months after the reporting date.</w:t>
      </w:r>
    </w:p>
    <w:p w:rsidR="005D6812" w:rsidRDefault="005D6812">
      <w:pPr>
        <w:pStyle w:val="Notes18"/>
        <w:numPr>
          <w:ilvl w:val="0"/>
          <w:numId w:val="0"/>
        </w:numPr>
        <w:tabs>
          <w:tab w:val="right" w:pos="-2700"/>
        </w:tabs>
        <w:spacing w:before="60" w:after="60"/>
        <w:rPr>
          <w:b w:val="0"/>
          <w:noProof/>
          <w:sz w:val="16"/>
          <w:szCs w:val="16"/>
          <w:lang w:val="en-GB"/>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5D6812">
        <w:trPr>
          <w:trHeight w:val="465"/>
        </w:trPr>
        <w:tc>
          <w:tcPr>
            <w:tcW w:w="6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In </w:t>
            </w:r>
            <w:r>
              <w:rPr>
                <w:rFonts w:ascii="Arial" w:eastAsia="Arial" w:hAnsi="Arial" w:cs="Arial"/>
                <w:b/>
                <w:noProof/>
                <w:color w:val="000000"/>
                <w:sz w:val="16"/>
              </w:rPr>
              <w:t>EUR’000</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31.12.2015</w:t>
            </w:r>
          </w:p>
        </w:tc>
      </w:tr>
      <w:tr w:rsidR="005D6812">
        <w:trPr>
          <w:trHeight w:val="255"/>
        </w:trPr>
        <w:tc>
          <w:tcPr>
            <w:tcW w:w="6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Financial assets: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Loans and receivables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1,692,867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1,423,368</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Available-for-sale financial assets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516,884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419,353</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Other assets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Total </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2,209,892</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1,842,721</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Financial liabilities: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Provisions for guarantees </w:t>
            </w:r>
            <w:r>
              <w:rPr>
                <w:rFonts w:ascii="Arial" w:eastAsia="Arial" w:hAnsi="Arial" w:cs="Arial"/>
                <w:noProof/>
                <w:color w:val="000000"/>
                <w:sz w:val="16"/>
              </w:rPr>
              <w:t>issued</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497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Amount owed to third parties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69,960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57,346</w:t>
            </w:r>
          </w:p>
        </w:tc>
      </w:tr>
      <w:tr w:rsidR="005D6812">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Total </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70,457</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57,346</w:t>
            </w:r>
          </w:p>
        </w:tc>
      </w:tr>
    </w:tbl>
    <w:p w:rsidR="005D6812" w:rsidRDefault="005D6812">
      <w:pPr>
        <w:pStyle w:val="Normal21"/>
        <w:pageBreakBefore/>
        <w:rPr>
          <w:noProof/>
        </w:rPr>
      </w:pPr>
    </w:p>
    <w:p w:rsidR="005D6812" w:rsidRDefault="00AB2A2B">
      <w:pPr>
        <w:pStyle w:val="Title113"/>
        <w:rPr>
          <w:noProof/>
          <w:sz w:val="16"/>
          <w:szCs w:val="16"/>
        </w:rPr>
      </w:pPr>
      <w:r>
        <w:rPr>
          <w:noProof/>
          <w:sz w:val="16"/>
          <w:szCs w:val="16"/>
        </w:rPr>
        <w:t>Market risk</w:t>
      </w:r>
    </w:p>
    <w:p w:rsidR="005D6812" w:rsidRDefault="005D6812">
      <w:pPr>
        <w:pStyle w:val="Notes19"/>
        <w:numPr>
          <w:ilvl w:val="0"/>
          <w:numId w:val="0"/>
        </w:numPr>
        <w:tabs>
          <w:tab w:val="clear" w:pos="4320"/>
          <w:tab w:val="clear" w:pos="8640"/>
          <w:tab w:val="right" w:pos="-2700"/>
          <w:tab w:val="right" w:pos="720"/>
        </w:tabs>
        <w:spacing w:before="60" w:after="60"/>
        <w:rPr>
          <w:b w:val="0"/>
          <w:noProof/>
          <w:sz w:val="16"/>
          <w:szCs w:val="16"/>
          <w:lang w:val="en-GB"/>
        </w:rPr>
      </w:pPr>
    </w:p>
    <w:p w:rsidR="005D6812" w:rsidRDefault="00AB2A2B">
      <w:pPr>
        <w:pStyle w:val="Notes19"/>
        <w:numPr>
          <w:ilvl w:val="0"/>
          <w:numId w:val="0"/>
        </w:numPr>
        <w:tabs>
          <w:tab w:val="clear" w:pos="4320"/>
          <w:tab w:val="clear" w:pos="8640"/>
          <w:tab w:val="right" w:pos="-2700"/>
          <w:tab w:val="right" w:pos="720"/>
        </w:tabs>
        <w:spacing w:before="60" w:after="60"/>
        <w:rPr>
          <w:b w:val="0"/>
          <w:noProof/>
          <w:sz w:val="16"/>
          <w:szCs w:val="16"/>
          <w:lang w:val="en-GB"/>
        </w:rPr>
      </w:pPr>
      <w:r>
        <w:rPr>
          <w:b w:val="0"/>
          <w:noProof/>
          <w:sz w:val="16"/>
          <w:szCs w:val="16"/>
          <w:lang w:val="en-GB"/>
        </w:rPr>
        <w:t xml:space="preserve">Market risk represents the risk that changes in market prices and rates, such as interest rates, equity prices and foreign exchange rates will affect an entity’s </w:t>
      </w:r>
      <w:r>
        <w:rPr>
          <w:b w:val="0"/>
          <w:noProof/>
          <w:sz w:val="16"/>
          <w:szCs w:val="16"/>
          <w:lang w:val="en-GB"/>
        </w:rPr>
        <w:t>income or the value of its holdings in financial instruments.</w:t>
      </w:r>
    </w:p>
    <w:p w:rsidR="005D6812" w:rsidRDefault="005D6812">
      <w:pPr>
        <w:pStyle w:val="Notes19"/>
        <w:numPr>
          <w:ilvl w:val="0"/>
          <w:numId w:val="0"/>
        </w:numPr>
        <w:tabs>
          <w:tab w:val="clear" w:pos="4320"/>
          <w:tab w:val="clear" w:pos="8640"/>
          <w:tab w:val="right" w:pos="-2700"/>
          <w:tab w:val="right" w:pos="720"/>
        </w:tabs>
        <w:spacing w:before="60" w:after="60"/>
        <w:rPr>
          <w:b w:val="0"/>
          <w:noProof/>
          <w:sz w:val="16"/>
          <w:szCs w:val="16"/>
          <w:lang w:val="en-GB"/>
        </w:rPr>
      </w:pPr>
    </w:p>
    <w:p w:rsidR="005D6812" w:rsidRDefault="00AB2A2B">
      <w:pPr>
        <w:pStyle w:val="Title113"/>
        <w:numPr>
          <w:ilvl w:val="2"/>
          <w:numId w:val="41"/>
        </w:numPr>
        <w:rPr>
          <w:noProof/>
          <w:sz w:val="16"/>
          <w:szCs w:val="16"/>
        </w:rPr>
      </w:pPr>
      <w:r>
        <w:rPr>
          <w:noProof/>
          <w:sz w:val="16"/>
          <w:szCs w:val="16"/>
        </w:rPr>
        <w:t>Interest rate risk</w:t>
      </w:r>
    </w:p>
    <w:p w:rsidR="005D6812" w:rsidRDefault="005D6812">
      <w:pPr>
        <w:pStyle w:val="Normal21"/>
        <w:spacing w:before="60" w:after="60"/>
        <w:jc w:val="both"/>
        <w:rPr>
          <w:rFonts w:ascii="Arial" w:hAnsi="Arial"/>
          <w:noProof/>
          <w:sz w:val="16"/>
          <w:szCs w:val="16"/>
        </w:rPr>
      </w:pPr>
    </w:p>
    <w:p w:rsidR="005D6812" w:rsidRDefault="00AB2A2B">
      <w:pPr>
        <w:pStyle w:val="Normal21"/>
        <w:spacing w:before="60" w:after="60"/>
        <w:jc w:val="both"/>
        <w:rPr>
          <w:rFonts w:ascii="Arial" w:hAnsi="Arial"/>
          <w:noProof/>
          <w:sz w:val="16"/>
          <w:szCs w:val="16"/>
        </w:rPr>
      </w:pPr>
      <w:r>
        <w:rPr>
          <w:rFonts w:ascii="Arial" w:hAnsi="Arial"/>
          <w:noProof/>
          <w:sz w:val="16"/>
          <w:szCs w:val="16"/>
        </w:rPr>
        <w:t>Interest rate risk arises from the volatility in the economic value of, or in the income derived from, interest rate bearing positions due to adverse movements in interest r</w:t>
      </w:r>
      <w:r>
        <w:rPr>
          <w:rFonts w:ascii="Arial" w:hAnsi="Arial"/>
          <w:noProof/>
          <w:sz w:val="16"/>
          <w:szCs w:val="16"/>
        </w:rPr>
        <w:t xml:space="preserve">ates. </w:t>
      </w:r>
    </w:p>
    <w:p w:rsidR="005D6812" w:rsidRDefault="005D6812">
      <w:pPr>
        <w:pStyle w:val="Normal21"/>
        <w:spacing w:before="60" w:after="60"/>
        <w:jc w:val="both"/>
        <w:rPr>
          <w:rFonts w:ascii="Arial" w:hAnsi="Arial"/>
          <w:noProof/>
          <w:sz w:val="16"/>
          <w:szCs w:val="16"/>
        </w:rPr>
      </w:pPr>
    </w:p>
    <w:p w:rsidR="005D6812" w:rsidRDefault="00AB2A2B">
      <w:pPr>
        <w:pStyle w:val="Normal170"/>
        <w:spacing w:before="60" w:after="60"/>
        <w:jc w:val="both"/>
        <w:rPr>
          <w:rFonts w:ascii="Arial" w:hAnsi="Arial"/>
          <w:noProof/>
          <w:sz w:val="16"/>
          <w:szCs w:val="16"/>
        </w:rPr>
      </w:pPr>
      <w:r>
        <w:rPr>
          <w:rFonts w:ascii="Arial" w:hAnsi="Arial"/>
          <w:noProof/>
          <w:sz w:val="16"/>
          <w:szCs w:val="16"/>
        </w:rPr>
        <w:t xml:space="preserve">The Facility is not directly impacted by the fluctuation of its economic value or to pricing mismatches between different assets, liabilities and hedge instruments because (i) it does not have any direct borrowing costs or interest rate bearing </w:t>
      </w:r>
      <w:r>
        <w:rPr>
          <w:rFonts w:ascii="Arial" w:hAnsi="Arial"/>
          <w:noProof/>
          <w:sz w:val="16"/>
          <w:szCs w:val="16"/>
        </w:rPr>
        <w:t>liabilities and (ii) it accepts the impact of interest rate fluctuations on the revenues from its investments.</w:t>
      </w:r>
    </w:p>
    <w:p w:rsidR="005D6812" w:rsidRDefault="005D6812">
      <w:pPr>
        <w:pStyle w:val="Normal21"/>
        <w:spacing w:before="60" w:after="60"/>
        <w:jc w:val="both"/>
        <w:rPr>
          <w:rFonts w:ascii="Arial" w:hAnsi="Arial"/>
          <w:noProof/>
          <w:sz w:val="16"/>
          <w:szCs w:val="16"/>
        </w:rPr>
      </w:pPr>
    </w:p>
    <w:p w:rsidR="005D6812" w:rsidRDefault="00AB2A2B">
      <w:pPr>
        <w:pStyle w:val="Normal21"/>
        <w:spacing w:before="60" w:after="60"/>
        <w:jc w:val="both"/>
        <w:rPr>
          <w:rFonts w:ascii="Arial" w:hAnsi="Arial"/>
          <w:noProof/>
          <w:sz w:val="16"/>
          <w:szCs w:val="16"/>
        </w:rPr>
      </w:pPr>
      <w:r>
        <w:rPr>
          <w:rFonts w:ascii="Arial" w:hAnsi="Arial"/>
          <w:noProof/>
          <w:sz w:val="16"/>
          <w:szCs w:val="16"/>
        </w:rPr>
        <w:t xml:space="preserve">The Facility measures the sensitivity of its loan portfolio and micro hedging swaps to interest rate fluctuations via a Basis Point Value (BPV) </w:t>
      </w:r>
      <w:r>
        <w:rPr>
          <w:rFonts w:ascii="Arial" w:hAnsi="Arial"/>
          <w:noProof/>
          <w:sz w:val="16"/>
          <w:szCs w:val="16"/>
        </w:rPr>
        <w:t>calculation.</w:t>
      </w:r>
    </w:p>
    <w:p w:rsidR="005D6812" w:rsidRDefault="005D6812">
      <w:pPr>
        <w:pStyle w:val="Normal21"/>
        <w:spacing w:before="60" w:after="60"/>
        <w:jc w:val="both"/>
        <w:rPr>
          <w:rFonts w:ascii="Arial" w:hAnsi="Arial"/>
          <w:noProof/>
          <w:sz w:val="16"/>
          <w:szCs w:val="16"/>
        </w:rPr>
      </w:pPr>
    </w:p>
    <w:p w:rsidR="005D6812" w:rsidRDefault="00AB2A2B">
      <w:pPr>
        <w:pStyle w:val="Normal21"/>
        <w:spacing w:before="60" w:after="60"/>
        <w:jc w:val="both"/>
        <w:rPr>
          <w:rFonts w:ascii="Arial" w:hAnsi="Arial"/>
          <w:noProof/>
          <w:sz w:val="16"/>
          <w:szCs w:val="16"/>
        </w:rPr>
      </w:pPr>
      <w:r>
        <w:rPr>
          <w:rFonts w:ascii="Arial" w:hAnsi="Arial"/>
          <w:noProof/>
          <w:sz w:val="16"/>
          <w:szCs w:val="16"/>
        </w:rPr>
        <w:t xml:space="preserve">The BPV measures the gain or loss in the net present value of the relevant portfolio, due to a 1 basis point (0.01%) increase in interest rates tenors ranging within a specified time bucket “money market – up to one year”, “very short – 2 to </w:t>
      </w:r>
      <w:r>
        <w:rPr>
          <w:rFonts w:ascii="Arial" w:hAnsi="Arial"/>
          <w:noProof/>
          <w:sz w:val="16"/>
          <w:szCs w:val="16"/>
        </w:rPr>
        <w:t xml:space="preserve">3 years”, “short – 4 to 6 years”, </w:t>
      </w:r>
      <w:r>
        <w:rPr>
          <w:rFonts w:ascii="Arial" w:hAnsi="Arial"/>
          <w:noProof/>
          <w:sz w:val="16"/>
          <w:szCs w:val="16"/>
          <w:lang w:val="en-US"/>
        </w:rPr>
        <w:t xml:space="preserve">“medium – 7 to 11 years”, </w:t>
      </w:r>
      <w:r>
        <w:rPr>
          <w:rFonts w:ascii="Arial" w:hAnsi="Arial"/>
          <w:noProof/>
          <w:sz w:val="16"/>
          <w:szCs w:val="16"/>
        </w:rPr>
        <w:t>“long – 12 to 20 years” or “extra-long – more than 21 years”.</w:t>
      </w:r>
    </w:p>
    <w:p w:rsidR="005D6812" w:rsidRDefault="005D6812">
      <w:pPr>
        <w:pStyle w:val="Normal21"/>
        <w:spacing w:before="60" w:after="60"/>
        <w:jc w:val="both"/>
        <w:rPr>
          <w:rFonts w:ascii="Arial" w:hAnsi="Arial"/>
          <w:noProof/>
          <w:sz w:val="16"/>
          <w:szCs w:val="16"/>
        </w:rPr>
      </w:pPr>
    </w:p>
    <w:p w:rsidR="005D6812" w:rsidRDefault="00AB2A2B">
      <w:pPr>
        <w:pStyle w:val="Normal21"/>
        <w:spacing w:before="60" w:after="60"/>
        <w:jc w:val="both"/>
        <w:rPr>
          <w:rFonts w:ascii="Arial" w:hAnsi="Arial"/>
          <w:noProof/>
          <w:sz w:val="16"/>
          <w:szCs w:val="16"/>
          <w:lang w:val="en-US"/>
        </w:rPr>
      </w:pPr>
      <w:r>
        <w:rPr>
          <w:rFonts w:ascii="Arial" w:hAnsi="Arial"/>
          <w:noProof/>
          <w:sz w:val="16"/>
          <w:szCs w:val="16"/>
          <w:lang w:val="en-US"/>
        </w:rPr>
        <w:t xml:space="preserve">To determine the net present value (NPV) of the loans’ cash flows denominated in EUR, the Facility uses the EIB’s EUR base funding </w:t>
      </w:r>
      <w:r>
        <w:rPr>
          <w:rFonts w:ascii="Arial" w:hAnsi="Arial"/>
          <w:noProof/>
          <w:sz w:val="16"/>
          <w:szCs w:val="16"/>
          <w:lang w:val="en-US"/>
        </w:rPr>
        <w:t>curve (EUR swap curve adjusted with EIB’s global funding spread). The EIB’s USD funding curve is used for the calculation of the NPV of loan’s cash flows denominated in USD. The NPV of the loans’ cash flows denominated in currencies for which a reliable an</w:t>
      </w:r>
      <w:r>
        <w:rPr>
          <w:rFonts w:ascii="Arial" w:hAnsi="Arial"/>
          <w:noProof/>
          <w:sz w:val="16"/>
          <w:szCs w:val="16"/>
          <w:lang w:val="en-US"/>
        </w:rPr>
        <w:t>d sufficiently complete discount curve is not available, is determined by using EIB’s EUR base funding curve as a proxy</w:t>
      </w:r>
      <w:r>
        <w:rPr>
          <w:rFonts w:ascii="Arial" w:hAnsi="Arial"/>
          <w:noProof/>
          <w:sz w:val="16"/>
          <w:szCs w:val="16"/>
        </w:rPr>
        <w:t xml:space="preserve">. </w:t>
      </w:r>
    </w:p>
    <w:p w:rsidR="005D6812" w:rsidRDefault="005D6812">
      <w:pPr>
        <w:pStyle w:val="Normal21"/>
        <w:spacing w:before="60" w:after="60"/>
        <w:jc w:val="both"/>
        <w:rPr>
          <w:rFonts w:ascii="Arial" w:hAnsi="Arial"/>
          <w:noProof/>
          <w:sz w:val="16"/>
          <w:szCs w:val="16"/>
        </w:rPr>
      </w:pPr>
    </w:p>
    <w:p w:rsidR="005D6812" w:rsidRDefault="00AB2A2B">
      <w:pPr>
        <w:pStyle w:val="Normal21"/>
        <w:spacing w:before="60" w:after="60"/>
        <w:jc w:val="both"/>
        <w:rPr>
          <w:rFonts w:ascii="Arial" w:hAnsi="Arial"/>
          <w:noProof/>
          <w:sz w:val="16"/>
          <w:szCs w:val="16"/>
        </w:rPr>
      </w:pPr>
      <w:r>
        <w:rPr>
          <w:rFonts w:ascii="Arial" w:hAnsi="Arial"/>
          <w:noProof/>
          <w:sz w:val="16"/>
          <w:szCs w:val="16"/>
        </w:rPr>
        <w:t>To calculate the net present value of the micro hedging swaps, the facility uses the EUR swap curve for cash flows denominated in EUR</w:t>
      </w:r>
      <w:r>
        <w:rPr>
          <w:rFonts w:ascii="Arial" w:hAnsi="Arial"/>
          <w:noProof/>
          <w:sz w:val="16"/>
          <w:szCs w:val="16"/>
        </w:rPr>
        <w:t xml:space="preserve"> and the USD swap curve for cash flows denominated in USD.</w:t>
      </w:r>
    </w:p>
    <w:p w:rsidR="005D6812" w:rsidRDefault="005D6812">
      <w:pPr>
        <w:pStyle w:val="Normal21"/>
        <w:spacing w:before="60" w:after="60"/>
        <w:jc w:val="both"/>
        <w:rPr>
          <w:rFonts w:ascii="Arial" w:hAnsi="Arial"/>
          <w:noProof/>
          <w:sz w:val="16"/>
          <w:szCs w:val="16"/>
        </w:rPr>
      </w:pPr>
    </w:p>
    <w:p w:rsidR="005D6812" w:rsidRDefault="00AB2A2B">
      <w:pPr>
        <w:pStyle w:val="Normal21"/>
        <w:spacing w:before="60" w:after="60"/>
        <w:jc w:val="both"/>
        <w:rPr>
          <w:rFonts w:ascii="Arial" w:hAnsi="Arial"/>
          <w:noProof/>
          <w:sz w:val="16"/>
          <w:szCs w:val="16"/>
        </w:rPr>
      </w:pPr>
      <w:r>
        <w:rPr>
          <w:rFonts w:ascii="Arial" w:hAnsi="Arial"/>
          <w:noProof/>
          <w:sz w:val="16"/>
          <w:szCs w:val="16"/>
        </w:rPr>
        <w:t>As shown in the following table the net present value of the loan portfolio including related micro-hedging swaps as at 31 December 2016 would decrease by EUR 516k (as at 31 December 2015: decreas</w:t>
      </w:r>
      <w:r>
        <w:rPr>
          <w:rFonts w:ascii="Arial" w:hAnsi="Arial"/>
          <w:noProof/>
          <w:sz w:val="16"/>
          <w:szCs w:val="16"/>
        </w:rPr>
        <w:t>e by EUR 532k) if all relevant interest rates curves are simultaneously shifted upwards in parallel by 1 basis point.</w:t>
      </w:r>
    </w:p>
    <w:p w:rsidR="005D6812" w:rsidRDefault="005D6812">
      <w:pPr>
        <w:pStyle w:val="Normal21"/>
        <w:spacing w:before="60" w:after="60"/>
        <w:jc w:val="both"/>
        <w:rPr>
          <w:rFonts w:ascii="Arial" w:hAnsi="Arial"/>
          <w:noProof/>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75"/>
        <w:gridCol w:w="1200"/>
        <w:gridCol w:w="1200"/>
        <w:gridCol w:w="1200"/>
        <w:gridCol w:w="1200"/>
        <w:gridCol w:w="1200"/>
        <w:gridCol w:w="1200"/>
        <w:gridCol w:w="1200"/>
      </w:tblGrid>
      <w:tr w:rsidR="005D6812">
        <w:trPr>
          <w:trHeight w:val="300"/>
        </w:trPr>
        <w:tc>
          <w:tcPr>
            <w:tcW w:w="1575" w:type="dxa"/>
            <w:tcBorders>
              <w:top w:val="single" w:sz="8" w:space="0" w:color="000000"/>
              <w:left w:val="nil"/>
              <w:bottom w:val="nil"/>
              <w:right w:val="nil"/>
              <w:tl2br w:val="nil"/>
              <w:tr2bl w:val="nil"/>
            </w:tcBorders>
            <w:shd w:val="clear" w:color="FFFFFF" w:fill="FFFFFF"/>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Basis point value</w:t>
            </w:r>
          </w:p>
        </w:tc>
        <w:tc>
          <w:tcPr>
            <w:tcW w:w="1200" w:type="dxa"/>
            <w:tcBorders>
              <w:top w:val="single" w:sz="8" w:space="0" w:color="000000"/>
              <w:left w:val="nil"/>
              <w:bottom w:val="nil"/>
              <w:right w:val="nil"/>
              <w:tl2br w:val="nil"/>
              <w:tr2bl w:val="nil"/>
            </w:tcBorders>
            <w:shd w:val="clear" w:color="FFFFFF" w:fill="FFFFFF"/>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Money</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 xml:space="preserve">Very Short </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Short</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Medium</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Long</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 xml:space="preserve">Extra Long </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Total</w:t>
            </w:r>
          </w:p>
        </w:tc>
      </w:tr>
      <w:tr w:rsidR="005D6812">
        <w:trPr>
          <w:trHeight w:val="300"/>
        </w:trPr>
        <w:tc>
          <w:tcPr>
            <w:tcW w:w="157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In EUR’000</w:t>
            </w:r>
          </w:p>
        </w:tc>
        <w:tc>
          <w:tcPr>
            <w:tcW w:w="120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Market</w:t>
            </w: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rsidR="005D6812" w:rsidRDefault="005D6812">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rsidR="005D6812" w:rsidRDefault="005D6812">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rsidR="005D6812" w:rsidRDefault="005D6812">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rsidR="005D6812" w:rsidRDefault="005D6812">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rsidR="005D6812" w:rsidRDefault="005D6812">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rsidR="005D6812" w:rsidRDefault="005D6812">
            <w:pPr>
              <w:jc w:val="center"/>
              <w:rPr>
                <w:rFonts w:ascii="Arial" w:eastAsia="Arial" w:hAnsi="Arial" w:cs="Arial"/>
                <w:b/>
                <w:noProof/>
                <w:color w:val="000000"/>
                <w:sz w:val="16"/>
              </w:rPr>
            </w:pPr>
          </w:p>
        </w:tc>
      </w:tr>
      <w:tr w:rsidR="005D6812">
        <w:trPr>
          <w:trHeight w:hRule="exact" w:val="300"/>
        </w:trPr>
        <w:tc>
          <w:tcPr>
            <w:tcW w:w="1575"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As at 31.12.2016</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1 year</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2 to 3 years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 xml:space="preserve">4 </w:t>
            </w:r>
            <w:r>
              <w:rPr>
                <w:rFonts w:ascii="Arial" w:eastAsia="Arial" w:hAnsi="Arial" w:cs="Arial"/>
                <w:b/>
                <w:noProof/>
                <w:color w:val="000000"/>
                <w:sz w:val="16"/>
              </w:rPr>
              <w:t>to 6 years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7 to 11 years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12 to 20 years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21 years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675"/>
        </w:trPr>
        <w:tc>
          <w:tcPr>
            <w:tcW w:w="1575" w:type="dxa"/>
            <w:tcBorders>
              <w:top w:val="single" w:sz="8" w:space="0" w:color="000000"/>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Total sensitivity of loans and micro hedging swaps</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-46</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-101</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-164</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-175</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-30</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-516</w:t>
            </w:r>
          </w:p>
        </w:tc>
      </w:tr>
      <w:tr w:rsidR="005D6812">
        <w:trPr>
          <w:trHeight w:val="300"/>
        </w:trPr>
        <w:tc>
          <w:tcPr>
            <w:tcW w:w="15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rsidR="005D6812" w:rsidRDefault="005D6812">
            <w:pPr>
              <w:rPr>
                <w:rFonts w:ascii="Arial" w:eastAsia="Arial" w:hAnsi="Arial" w:cs="Arial"/>
                <w:noProof/>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val="300"/>
        </w:trPr>
        <w:tc>
          <w:tcPr>
            <w:tcW w:w="1575" w:type="dxa"/>
            <w:tcBorders>
              <w:top w:val="single" w:sz="8" w:space="0" w:color="000000"/>
              <w:left w:val="nil"/>
              <w:bottom w:val="nil"/>
              <w:right w:val="nil"/>
              <w:tl2br w:val="nil"/>
              <w:tr2bl w:val="nil"/>
            </w:tcBorders>
            <w:shd w:val="clear" w:color="FFFFFF" w:fill="FFFFFF"/>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Basis point value</w:t>
            </w:r>
          </w:p>
        </w:tc>
        <w:tc>
          <w:tcPr>
            <w:tcW w:w="1200" w:type="dxa"/>
            <w:tcBorders>
              <w:top w:val="single" w:sz="8" w:space="0" w:color="000000"/>
              <w:left w:val="nil"/>
              <w:bottom w:val="nil"/>
              <w:right w:val="nil"/>
              <w:tl2br w:val="nil"/>
              <w:tr2bl w:val="nil"/>
            </w:tcBorders>
            <w:shd w:val="clear" w:color="FFFFFF" w:fill="FFFFFF"/>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Money</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 xml:space="preserve">Very Short </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Short</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Medium</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Long</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 xml:space="preserve">Extra Long </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Total</w:t>
            </w:r>
          </w:p>
        </w:tc>
      </w:tr>
      <w:tr w:rsidR="005D6812">
        <w:trPr>
          <w:trHeight w:val="300"/>
        </w:trPr>
        <w:tc>
          <w:tcPr>
            <w:tcW w:w="157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In EUR’000</w:t>
            </w:r>
          </w:p>
        </w:tc>
        <w:tc>
          <w:tcPr>
            <w:tcW w:w="120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Market</w:t>
            </w: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rsidR="005D6812" w:rsidRDefault="005D6812">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rsidR="005D6812" w:rsidRDefault="005D6812">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rsidR="005D6812" w:rsidRDefault="005D6812">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rsidR="005D6812" w:rsidRDefault="005D6812">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rsidR="005D6812" w:rsidRDefault="005D6812">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rsidR="005D6812" w:rsidRDefault="005D6812">
            <w:pPr>
              <w:jc w:val="center"/>
              <w:rPr>
                <w:rFonts w:ascii="Arial" w:eastAsia="Arial" w:hAnsi="Arial" w:cs="Arial"/>
                <w:b/>
                <w:noProof/>
                <w:color w:val="000000"/>
                <w:sz w:val="16"/>
              </w:rPr>
            </w:pPr>
          </w:p>
        </w:tc>
      </w:tr>
      <w:tr w:rsidR="005D6812">
        <w:trPr>
          <w:trHeight w:val="300"/>
        </w:trPr>
        <w:tc>
          <w:tcPr>
            <w:tcW w:w="157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As at 31.12.2015</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1 year</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2 to 3 years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4 to 6 years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7 to 11 years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12 to 20 years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21 years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675"/>
        </w:trPr>
        <w:tc>
          <w:tcPr>
            <w:tcW w:w="1575" w:type="dxa"/>
            <w:tcBorders>
              <w:top w:val="single" w:sz="8" w:space="0" w:color="000000"/>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Total sensitivity of loans and micro hedging swaps</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-37</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-72</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-252</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-139</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-32</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-532</w:t>
            </w:r>
          </w:p>
        </w:tc>
      </w:tr>
    </w:tbl>
    <w:p w:rsidR="005D6812" w:rsidRDefault="00AB2A2B">
      <w:pPr>
        <w:pStyle w:val="Normal22"/>
        <w:pageBreakBefore/>
        <w:numPr>
          <w:ilvl w:val="2"/>
          <w:numId w:val="76"/>
        </w:numPr>
        <w:suppressAutoHyphens w:val="0"/>
        <w:spacing w:before="60" w:after="60"/>
        <w:jc w:val="both"/>
        <w:rPr>
          <w:rFonts w:ascii="Arial" w:hAnsi="Arial"/>
          <w:noProof/>
          <w:sz w:val="16"/>
          <w:szCs w:val="16"/>
        </w:rPr>
      </w:pPr>
      <w:r>
        <w:rPr>
          <w:rFonts w:ascii="Arial" w:hAnsi="Arial"/>
          <w:noProof/>
          <w:sz w:val="16"/>
          <w:szCs w:val="16"/>
        </w:rPr>
        <w:t>Foreign exchange risk</w:t>
      </w:r>
    </w:p>
    <w:p w:rsidR="005D6812" w:rsidRDefault="005D6812">
      <w:pPr>
        <w:pStyle w:val="Notes20"/>
        <w:numPr>
          <w:ilvl w:val="0"/>
          <w:numId w:val="0"/>
        </w:numPr>
        <w:tabs>
          <w:tab w:val="clear" w:pos="4320"/>
          <w:tab w:val="clear" w:pos="8640"/>
          <w:tab w:val="right" w:pos="-2700"/>
        </w:tabs>
        <w:spacing w:before="60" w:after="60"/>
        <w:rPr>
          <w:b w:val="0"/>
          <w:noProof/>
          <w:sz w:val="16"/>
          <w:szCs w:val="16"/>
          <w:lang w:val="en-GB"/>
        </w:rPr>
      </w:pPr>
    </w:p>
    <w:p w:rsidR="005D6812" w:rsidRDefault="00AB2A2B">
      <w:pPr>
        <w:pStyle w:val="Notes20"/>
        <w:numPr>
          <w:ilvl w:val="0"/>
          <w:numId w:val="0"/>
        </w:numPr>
        <w:tabs>
          <w:tab w:val="clear" w:pos="4320"/>
          <w:tab w:val="clear" w:pos="8640"/>
          <w:tab w:val="right" w:pos="-2700"/>
        </w:tabs>
        <w:spacing w:before="60" w:after="60"/>
        <w:rPr>
          <w:b w:val="0"/>
          <w:noProof/>
          <w:sz w:val="16"/>
          <w:szCs w:val="16"/>
          <w:lang w:val="en-GB"/>
        </w:rPr>
      </w:pPr>
      <w:r>
        <w:rPr>
          <w:b w:val="0"/>
          <w:noProof/>
          <w:sz w:val="16"/>
          <w:szCs w:val="16"/>
          <w:lang w:val="en-GB"/>
        </w:rPr>
        <w:t xml:space="preserve">Foreign exchange (“FX”) risk for the IF is the risk of loss in earnings or </w:t>
      </w:r>
      <w:r>
        <w:rPr>
          <w:b w:val="0"/>
          <w:noProof/>
          <w:sz w:val="16"/>
          <w:szCs w:val="16"/>
          <w:lang w:val="en-GB"/>
        </w:rPr>
        <w:t>economic value due to adverse movements of FX rates.</w:t>
      </w:r>
    </w:p>
    <w:p w:rsidR="005D6812" w:rsidRDefault="005D6812">
      <w:pPr>
        <w:pStyle w:val="Notes20"/>
        <w:numPr>
          <w:ilvl w:val="0"/>
          <w:numId w:val="0"/>
        </w:numPr>
        <w:tabs>
          <w:tab w:val="clear" w:pos="4320"/>
          <w:tab w:val="clear" w:pos="8640"/>
          <w:tab w:val="right" w:pos="-2700"/>
        </w:tabs>
        <w:spacing w:before="60" w:after="60"/>
        <w:rPr>
          <w:b w:val="0"/>
          <w:noProof/>
          <w:sz w:val="16"/>
          <w:szCs w:val="16"/>
          <w:lang w:val="en-GB"/>
        </w:rPr>
      </w:pPr>
    </w:p>
    <w:p w:rsidR="005D6812" w:rsidRDefault="00AB2A2B">
      <w:pPr>
        <w:pStyle w:val="Normal22"/>
        <w:suppressAutoHyphens w:val="0"/>
        <w:spacing w:before="60" w:after="60"/>
        <w:jc w:val="both"/>
        <w:rPr>
          <w:rFonts w:ascii="Arial" w:hAnsi="Arial"/>
          <w:noProof/>
          <w:sz w:val="16"/>
          <w:szCs w:val="16"/>
        </w:rPr>
      </w:pPr>
      <w:r>
        <w:rPr>
          <w:rFonts w:ascii="Arial" w:hAnsi="Arial"/>
          <w:noProof/>
          <w:sz w:val="16"/>
          <w:szCs w:val="16"/>
        </w:rPr>
        <w:t>Given a reference accounting currency (EUR for the IF), the Facility is exposed to FX risk whenever there is a mismatch between assets and liabilities denominated in a non-reference accounting currency.</w:t>
      </w:r>
      <w:r>
        <w:rPr>
          <w:rFonts w:ascii="Arial" w:hAnsi="Arial"/>
          <w:noProof/>
          <w:sz w:val="16"/>
          <w:szCs w:val="16"/>
        </w:rPr>
        <w:t xml:space="preserve"> FX risk also includes the effect of changes in the value of future cash flows denominated in non-reference accounting currency, e.g. interest and dividend payments, due to fluctuations in exchange rates.</w:t>
      </w:r>
    </w:p>
    <w:p w:rsidR="005D6812" w:rsidRDefault="005D6812">
      <w:pPr>
        <w:pStyle w:val="Normal22"/>
        <w:suppressAutoHyphens w:val="0"/>
        <w:spacing w:before="60" w:after="60"/>
        <w:jc w:val="both"/>
        <w:rPr>
          <w:rFonts w:ascii="Arial" w:hAnsi="Arial"/>
          <w:noProof/>
          <w:sz w:val="16"/>
          <w:szCs w:val="16"/>
          <w:highlight w:val="green"/>
        </w:rPr>
      </w:pPr>
    </w:p>
    <w:p w:rsidR="005D6812" w:rsidRDefault="00AB2A2B">
      <w:pPr>
        <w:pStyle w:val="Normal22"/>
        <w:numPr>
          <w:ilvl w:val="3"/>
          <w:numId w:val="76"/>
        </w:numPr>
        <w:suppressAutoHyphens w:val="0"/>
        <w:spacing w:before="60" w:after="60"/>
        <w:jc w:val="both"/>
        <w:rPr>
          <w:rFonts w:ascii="Arial" w:hAnsi="Arial"/>
          <w:noProof/>
          <w:sz w:val="16"/>
          <w:szCs w:val="16"/>
        </w:rPr>
      </w:pPr>
      <w:r>
        <w:rPr>
          <w:rFonts w:ascii="Arial" w:hAnsi="Arial"/>
          <w:noProof/>
          <w:sz w:val="16"/>
          <w:szCs w:val="16"/>
        </w:rPr>
        <w:t>Foreign exchange risk and treasury assets</w:t>
      </w:r>
    </w:p>
    <w:p w:rsidR="005D6812" w:rsidRDefault="005D6812">
      <w:pPr>
        <w:pStyle w:val="Normal22"/>
        <w:suppressAutoHyphens w:val="0"/>
        <w:spacing w:before="60" w:after="60"/>
        <w:jc w:val="both"/>
        <w:rPr>
          <w:rFonts w:ascii="Arial" w:hAnsi="Arial"/>
          <w:noProof/>
          <w:sz w:val="16"/>
          <w:szCs w:val="16"/>
          <w:u w:val="single"/>
        </w:rPr>
      </w:pPr>
    </w:p>
    <w:p w:rsidR="005D6812" w:rsidRDefault="00AB2A2B">
      <w:pPr>
        <w:pStyle w:val="Normal22"/>
        <w:suppressAutoHyphens w:val="0"/>
        <w:spacing w:before="60" w:after="60"/>
        <w:jc w:val="both"/>
        <w:rPr>
          <w:rFonts w:ascii="Arial" w:hAnsi="Arial"/>
          <w:noProof/>
          <w:sz w:val="16"/>
          <w:szCs w:val="16"/>
        </w:rPr>
      </w:pPr>
      <w:r>
        <w:rPr>
          <w:rFonts w:ascii="Arial" w:hAnsi="Arial"/>
          <w:noProof/>
          <w:sz w:val="16"/>
          <w:szCs w:val="16"/>
        </w:rPr>
        <w:t xml:space="preserve">The </w:t>
      </w:r>
      <w:r>
        <w:rPr>
          <w:rFonts w:ascii="Arial" w:hAnsi="Arial"/>
          <w:noProof/>
          <w:sz w:val="16"/>
          <w:szCs w:val="16"/>
        </w:rPr>
        <w:t>IF’s treasury assets are denominated either in EUR or USD.</w:t>
      </w:r>
    </w:p>
    <w:p w:rsidR="005D6812" w:rsidRDefault="005D6812">
      <w:pPr>
        <w:pStyle w:val="Normal22"/>
        <w:suppressAutoHyphens w:val="0"/>
        <w:spacing w:before="60" w:after="60"/>
        <w:jc w:val="both"/>
        <w:rPr>
          <w:rFonts w:ascii="Arial" w:hAnsi="Arial"/>
          <w:noProof/>
          <w:sz w:val="16"/>
          <w:szCs w:val="16"/>
        </w:rPr>
      </w:pPr>
    </w:p>
    <w:p w:rsidR="005D6812" w:rsidRDefault="00AB2A2B">
      <w:pPr>
        <w:pStyle w:val="Normal22"/>
        <w:suppressAutoHyphens w:val="0"/>
        <w:spacing w:before="60" w:after="60"/>
        <w:jc w:val="both"/>
        <w:rPr>
          <w:rFonts w:ascii="Arial" w:hAnsi="Arial"/>
          <w:noProof/>
          <w:sz w:val="16"/>
          <w:szCs w:val="16"/>
        </w:rPr>
      </w:pPr>
      <w:r>
        <w:rPr>
          <w:rFonts w:ascii="Arial" w:hAnsi="Arial"/>
          <w:noProof/>
          <w:sz w:val="16"/>
          <w:szCs w:val="16"/>
        </w:rPr>
        <w:t>FX risk is hedged by means of FX cross currency spot or forward transactions, FX swaps or cross-currency swaps. The EIB’s Treasury Department can, where deemed necessary and appropriate, use any o</w:t>
      </w:r>
      <w:r>
        <w:rPr>
          <w:rFonts w:ascii="Arial" w:hAnsi="Arial"/>
          <w:noProof/>
          <w:sz w:val="16"/>
          <w:szCs w:val="16"/>
        </w:rPr>
        <w:t>ther instrument, in line with the Bank’s policy, that provide protection against market risks incurred in connection with the IF’s financial activities.</w:t>
      </w:r>
    </w:p>
    <w:p w:rsidR="005D6812" w:rsidRDefault="005D6812">
      <w:pPr>
        <w:pStyle w:val="Normal22"/>
        <w:suppressAutoHyphens w:val="0"/>
        <w:spacing w:before="60" w:after="60"/>
        <w:jc w:val="both"/>
        <w:rPr>
          <w:rFonts w:ascii="Arial" w:hAnsi="Arial"/>
          <w:noProof/>
          <w:sz w:val="16"/>
          <w:szCs w:val="16"/>
        </w:rPr>
      </w:pPr>
    </w:p>
    <w:p w:rsidR="005D6812" w:rsidRDefault="00AB2A2B">
      <w:pPr>
        <w:pStyle w:val="Normal22"/>
        <w:numPr>
          <w:ilvl w:val="3"/>
          <w:numId w:val="76"/>
        </w:numPr>
        <w:suppressAutoHyphens w:val="0"/>
        <w:spacing w:before="60" w:after="60"/>
        <w:jc w:val="both"/>
        <w:rPr>
          <w:rFonts w:ascii="Arial" w:hAnsi="Arial"/>
          <w:noProof/>
          <w:sz w:val="16"/>
          <w:szCs w:val="16"/>
        </w:rPr>
      </w:pPr>
      <w:r>
        <w:rPr>
          <w:rFonts w:ascii="Arial" w:hAnsi="Arial"/>
          <w:noProof/>
          <w:sz w:val="16"/>
          <w:szCs w:val="16"/>
        </w:rPr>
        <w:t>Foreign exchange risk and operations financed or guaranteed by the IF</w:t>
      </w:r>
    </w:p>
    <w:p w:rsidR="005D6812" w:rsidRDefault="005D6812">
      <w:pPr>
        <w:pStyle w:val="Normal22"/>
        <w:suppressAutoHyphens w:val="0"/>
        <w:spacing w:before="60" w:after="60"/>
        <w:jc w:val="both"/>
        <w:rPr>
          <w:rFonts w:ascii="Arial" w:hAnsi="Arial"/>
          <w:noProof/>
          <w:sz w:val="16"/>
          <w:szCs w:val="16"/>
          <w:u w:val="single"/>
        </w:rPr>
      </w:pPr>
    </w:p>
    <w:p w:rsidR="005D6812" w:rsidRDefault="00AB2A2B">
      <w:pPr>
        <w:pStyle w:val="Normal22"/>
        <w:suppressAutoHyphens w:val="0"/>
        <w:spacing w:before="60" w:after="60"/>
        <w:jc w:val="both"/>
        <w:rPr>
          <w:rFonts w:ascii="Arial" w:hAnsi="Arial"/>
          <w:noProof/>
          <w:sz w:val="16"/>
          <w:szCs w:val="16"/>
          <w:lang w:eastAsia="en-GB"/>
        </w:rPr>
      </w:pPr>
      <w:r>
        <w:rPr>
          <w:rFonts w:ascii="Arial" w:hAnsi="Arial"/>
          <w:noProof/>
          <w:sz w:val="16"/>
          <w:szCs w:val="16"/>
          <w:lang w:eastAsia="en-GB"/>
        </w:rPr>
        <w:t>Member States’ IF contributions</w:t>
      </w:r>
      <w:r>
        <w:rPr>
          <w:rFonts w:ascii="Arial" w:hAnsi="Arial"/>
          <w:noProof/>
          <w:sz w:val="16"/>
          <w:szCs w:val="16"/>
          <w:lang w:eastAsia="en-GB"/>
        </w:rPr>
        <w:t xml:space="preserve"> are received in EUR. The operations financed or guaranteed by the IF as well as interest subsidies can be denominated in EUR, USD or any other authorized currency.</w:t>
      </w:r>
    </w:p>
    <w:p w:rsidR="005D6812" w:rsidRDefault="005D6812">
      <w:pPr>
        <w:pStyle w:val="Normal22"/>
        <w:suppressAutoHyphens w:val="0"/>
        <w:spacing w:before="60" w:after="60"/>
        <w:jc w:val="both"/>
        <w:rPr>
          <w:rFonts w:ascii="Arial" w:hAnsi="Arial"/>
          <w:noProof/>
          <w:sz w:val="16"/>
          <w:szCs w:val="16"/>
          <w:lang w:eastAsia="en-GB"/>
        </w:rPr>
      </w:pPr>
    </w:p>
    <w:p w:rsidR="005D6812" w:rsidRDefault="00AB2A2B">
      <w:pPr>
        <w:pStyle w:val="Normal22"/>
        <w:suppressAutoHyphens w:val="0"/>
        <w:spacing w:before="60" w:after="60"/>
        <w:jc w:val="both"/>
        <w:rPr>
          <w:rFonts w:ascii="Arial" w:hAnsi="Arial"/>
          <w:noProof/>
          <w:sz w:val="16"/>
          <w:szCs w:val="16"/>
          <w:lang w:eastAsia="en-GB"/>
        </w:rPr>
      </w:pPr>
      <w:r>
        <w:rPr>
          <w:rFonts w:ascii="Arial" w:hAnsi="Arial"/>
          <w:noProof/>
          <w:sz w:val="16"/>
          <w:szCs w:val="16"/>
          <w:lang w:eastAsia="en-GB"/>
        </w:rPr>
        <w:t>A foreign exchange risk exposure (against the EUR reference currency) arises whenever tran</w:t>
      </w:r>
      <w:r>
        <w:rPr>
          <w:rFonts w:ascii="Arial" w:hAnsi="Arial"/>
          <w:noProof/>
          <w:sz w:val="16"/>
          <w:szCs w:val="16"/>
          <w:lang w:eastAsia="en-GB"/>
        </w:rPr>
        <w:t>sactions denominated in currencies other than the EUR are left un-hedged. The IF’s foreign exchange risk hedging guidelines are set out below. </w:t>
      </w:r>
    </w:p>
    <w:p w:rsidR="005D6812" w:rsidRDefault="005D6812">
      <w:pPr>
        <w:pStyle w:val="Normal22"/>
        <w:suppressAutoHyphens w:val="0"/>
        <w:spacing w:before="60" w:after="60"/>
        <w:jc w:val="both"/>
        <w:rPr>
          <w:rFonts w:ascii="Arial" w:hAnsi="Arial"/>
          <w:noProof/>
          <w:sz w:val="16"/>
          <w:szCs w:val="16"/>
        </w:rPr>
      </w:pPr>
    </w:p>
    <w:p w:rsidR="005D6812" w:rsidRDefault="00AB2A2B">
      <w:pPr>
        <w:pStyle w:val="Notes20"/>
        <w:numPr>
          <w:ilvl w:val="4"/>
          <w:numId w:val="78"/>
        </w:numPr>
        <w:tabs>
          <w:tab w:val="clear" w:pos="4320"/>
          <w:tab w:val="clear" w:pos="8640"/>
          <w:tab w:val="right" w:pos="-2700"/>
        </w:tabs>
        <w:spacing w:before="60" w:after="60"/>
        <w:rPr>
          <w:b w:val="0"/>
          <w:noProof/>
          <w:sz w:val="16"/>
          <w:szCs w:val="16"/>
          <w:lang w:val="en-GB"/>
        </w:rPr>
      </w:pPr>
      <w:r>
        <w:rPr>
          <w:b w:val="0"/>
          <w:noProof/>
          <w:sz w:val="16"/>
          <w:szCs w:val="16"/>
          <w:lang w:val="en-GB"/>
        </w:rPr>
        <w:t>Hedging of operations denominated in USD</w:t>
      </w:r>
    </w:p>
    <w:p w:rsidR="005D6812" w:rsidRDefault="005D6812">
      <w:pPr>
        <w:pStyle w:val="Normal22"/>
        <w:suppressAutoHyphens w:val="0"/>
        <w:spacing w:before="60" w:after="60"/>
        <w:jc w:val="both"/>
        <w:rPr>
          <w:rFonts w:ascii="Arial" w:hAnsi="Arial"/>
          <w:noProof/>
          <w:sz w:val="16"/>
          <w:szCs w:val="16"/>
          <w:lang w:eastAsia="en-GB"/>
        </w:rPr>
      </w:pPr>
    </w:p>
    <w:p w:rsidR="005D6812" w:rsidRDefault="00AB2A2B">
      <w:pPr>
        <w:pStyle w:val="Normal180"/>
        <w:suppressAutoHyphens w:val="0"/>
        <w:spacing w:before="60" w:after="60"/>
        <w:jc w:val="both"/>
        <w:rPr>
          <w:rFonts w:ascii="Arial" w:hAnsi="Arial"/>
          <w:noProof/>
          <w:sz w:val="16"/>
          <w:szCs w:val="16"/>
          <w:lang w:eastAsia="en-GB"/>
        </w:rPr>
      </w:pPr>
      <w:r>
        <w:rPr>
          <w:rFonts w:ascii="Arial" w:hAnsi="Arial"/>
          <w:noProof/>
          <w:sz w:val="16"/>
          <w:szCs w:val="16"/>
          <w:lang w:eastAsia="en-GB"/>
        </w:rPr>
        <w:t>The FX risk generated by IF operations denominated in USD shall be co</w:t>
      </w:r>
      <w:r>
        <w:rPr>
          <w:rFonts w:ascii="Arial" w:hAnsi="Arial"/>
          <w:noProof/>
          <w:sz w:val="16"/>
          <w:szCs w:val="16"/>
          <w:lang w:eastAsia="en-GB"/>
        </w:rPr>
        <w:t>vered on an aggregated basis via the use of USD/EUR FX swaps, rolled over and adjusted in terms of amount on a periodic basis. The use of FX swaps serves a dual purpose. On one side the necessary liquidity for new disbursements (loans and equity) is genera</w:t>
      </w:r>
      <w:r>
        <w:rPr>
          <w:rFonts w:ascii="Arial" w:hAnsi="Arial"/>
          <w:noProof/>
          <w:sz w:val="16"/>
          <w:szCs w:val="16"/>
          <w:lang w:eastAsia="en-GB"/>
        </w:rPr>
        <w:t>ted and on the other side an FX macro hedging is maintained.</w:t>
      </w:r>
    </w:p>
    <w:p w:rsidR="005D6812" w:rsidRDefault="00AB2A2B">
      <w:pPr>
        <w:pStyle w:val="Normal180"/>
        <w:suppressAutoHyphens w:val="0"/>
        <w:spacing w:before="60" w:after="60"/>
        <w:jc w:val="both"/>
        <w:rPr>
          <w:rFonts w:ascii="Arial" w:hAnsi="Arial"/>
          <w:noProof/>
          <w:sz w:val="16"/>
          <w:szCs w:val="16"/>
          <w:lang w:eastAsia="en-GB"/>
        </w:rPr>
      </w:pPr>
      <w:r>
        <w:rPr>
          <w:rFonts w:ascii="Arial" w:hAnsi="Arial"/>
          <w:noProof/>
          <w:sz w:val="16"/>
          <w:szCs w:val="16"/>
          <w:lang w:eastAsia="en-GB"/>
        </w:rPr>
        <w:t>At the beginning of each period, the cash flows to be received or paid in USD during the next period shall be estimated on the basis of planned or expected reflows/disbursements. Subsequently, th</w:t>
      </w:r>
      <w:r>
        <w:rPr>
          <w:rFonts w:ascii="Arial" w:hAnsi="Arial"/>
          <w:noProof/>
          <w:sz w:val="16"/>
          <w:szCs w:val="16"/>
          <w:lang w:eastAsia="en-GB"/>
        </w:rPr>
        <w:t xml:space="preserve">e maturing FX swaps shall be rolled over, their amount being adjusted to cover at least the USD liquidity needs projected over the next period. </w:t>
      </w:r>
    </w:p>
    <w:p w:rsidR="005D6812" w:rsidRDefault="005D6812">
      <w:pPr>
        <w:pStyle w:val="Normal180"/>
        <w:suppressAutoHyphens w:val="0"/>
        <w:spacing w:before="60" w:after="60"/>
        <w:jc w:val="both"/>
        <w:rPr>
          <w:rFonts w:ascii="Arial" w:hAnsi="Arial"/>
          <w:noProof/>
          <w:sz w:val="16"/>
          <w:szCs w:val="16"/>
          <w:lang w:eastAsia="en-GB"/>
        </w:rPr>
      </w:pPr>
    </w:p>
    <w:p w:rsidR="005D6812" w:rsidRDefault="00AB2A2B">
      <w:pPr>
        <w:pStyle w:val="Normal22"/>
        <w:numPr>
          <w:ilvl w:val="0"/>
          <w:numId w:val="79"/>
        </w:numPr>
        <w:suppressAutoHyphens w:val="0"/>
        <w:spacing w:before="60" w:after="60"/>
        <w:jc w:val="both"/>
        <w:rPr>
          <w:rFonts w:ascii="Arial" w:hAnsi="Arial"/>
          <w:noProof/>
          <w:sz w:val="16"/>
          <w:szCs w:val="16"/>
          <w:lang w:eastAsia="en-GB"/>
        </w:rPr>
      </w:pPr>
      <w:r>
        <w:rPr>
          <w:rFonts w:ascii="Arial" w:hAnsi="Arial"/>
          <w:noProof/>
          <w:sz w:val="16"/>
          <w:szCs w:val="16"/>
          <w:lang w:eastAsia="en-GB"/>
        </w:rPr>
        <w:t xml:space="preserve">On a monthly basis, the USD FX position shall be hedged, if exceeding the relevant limits, by means of a spot </w:t>
      </w:r>
      <w:r>
        <w:rPr>
          <w:rFonts w:ascii="Arial" w:hAnsi="Arial"/>
          <w:noProof/>
          <w:sz w:val="16"/>
          <w:szCs w:val="16"/>
          <w:lang w:eastAsia="en-GB"/>
        </w:rPr>
        <w:t>or forward operation.</w:t>
      </w:r>
    </w:p>
    <w:p w:rsidR="005D6812" w:rsidRDefault="005D6812">
      <w:pPr>
        <w:pStyle w:val="Normal180"/>
        <w:suppressAutoHyphens w:val="0"/>
        <w:spacing w:before="60" w:after="60"/>
        <w:jc w:val="both"/>
        <w:rPr>
          <w:rFonts w:ascii="Arial" w:hAnsi="Arial"/>
          <w:noProof/>
          <w:sz w:val="16"/>
          <w:szCs w:val="16"/>
          <w:lang w:eastAsia="en-GB"/>
        </w:rPr>
      </w:pPr>
    </w:p>
    <w:p w:rsidR="005D6812" w:rsidRDefault="00AB2A2B">
      <w:pPr>
        <w:pStyle w:val="Normal22"/>
        <w:numPr>
          <w:ilvl w:val="0"/>
          <w:numId w:val="79"/>
        </w:numPr>
        <w:suppressAutoHyphens w:val="0"/>
        <w:spacing w:before="60" w:after="60"/>
        <w:jc w:val="both"/>
        <w:rPr>
          <w:rFonts w:ascii="Arial" w:hAnsi="Arial"/>
          <w:noProof/>
          <w:sz w:val="16"/>
          <w:szCs w:val="16"/>
          <w:lang w:eastAsia="en-GB"/>
        </w:rPr>
      </w:pPr>
      <w:r>
        <w:rPr>
          <w:rFonts w:ascii="Arial" w:hAnsi="Arial"/>
          <w:noProof/>
          <w:sz w:val="16"/>
          <w:szCs w:val="16"/>
          <w:lang w:eastAsia="en-GB"/>
        </w:rPr>
        <w:t>Within a roll-over period, unexpected USD liquidity deficits shall be covered by means of ad hoc FX swap operations while liquidity surpluses shall either be invested in treasury assets or converted into EUR if occurred from an incre</w:t>
      </w:r>
      <w:r>
        <w:rPr>
          <w:rFonts w:ascii="Arial" w:hAnsi="Arial"/>
          <w:noProof/>
          <w:sz w:val="16"/>
          <w:szCs w:val="16"/>
          <w:lang w:eastAsia="en-GB"/>
        </w:rPr>
        <w:t>ase of the FX position.</w:t>
      </w:r>
    </w:p>
    <w:p w:rsidR="005D6812" w:rsidRDefault="005D6812">
      <w:pPr>
        <w:pStyle w:val="Normal22"/>
        <w:suppressAutoHyphens w:val="0"/>
        <w:spacing w:before="60" w:after="60"/>
        <w:jc w:val="both"/>
        <w:rPr>
          <w:rFonts w:ascii="Arial" w:hAnsi="Arial"/>
          <w:noProof/>
          <w:sz w:val="16"/>
          <w:szCs w:val="16"/>
          <w:lang w:eastAsia="en-GB"/>
        </w:rPr>
      </w:pPr>
    </w:p>
    <w:p w:rsidR="005D6812" w:rsidRDefault="00AB2A2B">
      <w:pPr>
        <w:pStyle w:val="Notes20"/>
        <w:numPr>
          <w:ilvl w:val="4"/>
          <w:numId w:val="78"/>
        </w:numPr>
        <w:tabs>
          <w:tab w:val="clear" w:pos="4320"/>
          <w:tab w:val="clear" w:pos="8640"/>
          <w:tab w:val="right" w:pos="-2700"/>
        </w:tabs>
        <w:spacing w:before="60" w:after="60"/>
        <w:rPr>
          <w:b w:val="0"/>
          <w:noProof/>
          <w:sz w:val="16"/>
          <w:szCs w:val="16"/>
          <w:lang w:val="en-GB"/>
        </w:rPr>
      </w:pPr>
      <w:r>
        <w:rPr>
          <w:b w:val="0"/>
          <w:noProof/>
          <w:sz w:val="16"/>
          <w:szCs w:val="16"/>
          <w:lang w:val="en-GB"/>
        </w:rPr>
        <w:t>Hedging of operations denominated in currencies other than EUR or USD</w:t>
      </w:r>
    </w:p>
    <w:p w:rsidR="005D6812" w:rsidRDefault="005D6812">
      <w:pPr>
        <w:pStyle w:val="Normal22"/>
        <w:suppressAutoHyphens w:val="0"/>
        <w:spacing w:before="60" w:after="60"/>
        <w:jc w:val="both"/>
        <w:rPr>
          <w:rFonts w:ascii="Arial" w:hAnsi="Arial"/>
          <w:noProof/>
          <w:sz w:val="16"/>
          <w:szCs w:val="16"/>
          <w:lang w:eastAsia="en-GB"/>
        </w:rPr>
      </w:pPr>
    </w:p>
    <w:p w:rsidR="005D6812" w:rsidRDefault="00AB2A2B">
      <w:pPr>
        <w:pStyle w:val="Normal22"/>
        <w:numPr>
          <w:ilvl w:val="0"/>
          <w:numId w:val="79"/>
        </w:numPr>
        <w:suppressAutoHyphens w:val="0"/>
        <w:spacing w:before="60" w:after="60"/>
        <w:jc w:val="both"/>
        <w:rPr>
          <w:rFonts w:ascii="Arial" w:hAnsi="Arial"/>
          <w:noProof/>
          <w:sz w:val="16"/>
          <w:szCs w:val="16"/>
          <w:lang w:eastAsia="en-GB"/>
        </w:rPr>
      </w:pPr>
      <w:r>
        <w:rPr>
          <w:rFonts w:ascii="Arial" w:hAnsi="Arial"/>
          <w:noProof/>
          <w:sz w:val="16"/>
          <w:szCs w:val="16"/>
          <w:lang w:eastAsia="en-GB"/>
        </w:rPr>
        <w:t xml:space="preserve">IF operations denominated in currencies other than EUR and USD shall be hedged through cross-currency swap contracts with the same financial profile as the </w:t>
      </w:r>
      <w:r>
        <w:rPr>
          <w:rFonts w:ascii="Arial" w:hAnsi="Arial"/>
          <w:noProof/>
          <w:sz w:val="16"/>
          <w:szCs w:val="16"/>
          <w:lang w:eastAsia="en-GB"/>
        </w:rPr>
        <w:t>underlying Loan, provided that a swap market is operational.</w:t>
      </w:r>
    </w:p>
    <w:p w:rsidR="005D6812" w:rsidRDefault="005D6812">
      <w:pPr>
        <w:pStyle w:val="Normal22"/>
        <w:suppressAutoHyphens w:val="0"/>
        <w:spacing w:before="60" w:after="60"/>
        <w:jc w:val="both"/>
        <w:rPr>
          <w:rFonts w:ascii="Arial" w:hAnsi="Arial"/>
          <w:noProof/>
          <w:sz w:val="16"/>
          <w:szCs w:val="16"/>
          <w:lang w:eastAsia="en-GB"/>
        </w:rPr>
      </w:pPr>
    </w:p>
    <w:p w:rsidR="005D6812" w:rsidRDefault="00AB2A2B">
      <w:pPr>
        <w:pStyle w:val="Normal1800"/>
        <w:numPr>
          <w:ilvl w:val="0"/>
          <w:numId w:val="80"/>
        </w:numPr>
        <w:suppressAutoHyphens w:val="0"/>
        <w:spacing w:before="60" w:after="60"/>
        <w:jc w:val="both"/>
        <w:rPr>
          <w:rFonts w:ascii="Arial" w:hAnsi="Arial"/>
          <w:noProof/>
          <w:sz w:val="16"/>
          <w:szCs w:val="16"/>
          <w:lang w:eastAsia="en-GB"/>
        </w:rPr>
      </w:pPr>
      <w:r>
        <w:rPr>
          <w:rFonts w:ascii="Arial" w:hAnsi="Arial"/>
          <w:noProof/>
          <w:sz w:val="16"/>
          <w:szCs w:val="16"/>
          <w:lang w:eastAsia="en-GB"/>
        </w:rPr>
        <w:t>IF has operations denominated in currencies for which hedging possibilities are either not efficiently available or available at a high cost. These operations are denominated in local currencies</w:t>
      </w:r>
      <w:r>
        <w:rPr>
          <w:rFonts w:ascii="Arial" w:hAnsi="Arial"/>
          <w:noProof/>
          <w:sz w:val="16"/>
          <w:szCs w:val="16"/>
          <w:lang w:eastAsia="en-GB"/>
        </w:rPr>
        <w:t xml:space="preserve"> (LCs) but settled in EUR or USD. IF’s financial risk framework, which was approved by the IF Committee on 22 January 2015, offers the possibility to hedge the FX exposure in LCs that exhibit a significant positive correlation with the USD synthetically vi</w:t>
      </w:r>
      <w:r>
        <w:rPr>
          <w:rFonts w:ascii="Arial" w:hAnsi="Arial"/>
          <w:noProof/>
          <w:sz w:val="16"/>
          <w:szCs w:val="16"/>
          <w:lang w:eastAsia="en-GB"/>
        </w:rPr>
        <w:t>a USD-denominated derivatives. The LCs hedged synthetically with USD denominated derivatives are reported in the table in section 3.4.2.2.3 below under item “Local currencies (under synthetic hedge)”, while the LCs not hedged synthetically with the USD are</w:t>
      </w:r>
      <w:r>
        <w:rPr>
          <w:rFonts w:ascii="Arial" w:hAnsi="Arial"/>
          <w:noProof/>
          <w:sz w:val="16"/>
          <w:szCs w:val="16"/>
          <w:lang w:eastAsia="en-GB"/>
        </w:rPr>
        <w:t xml:space="preserve"> reported in the same table under item “Local currencies (not under synthetic hedge)”.</w:t>
      </w:r>
    </w:p>
    <w:p w:rsidR="005D6812" w:rsidRDefault="005D6812">
      <w:pPr>
        <w:pStyle w:val="Normal180"/>
        <w:suppressAutoHyphens w:val="0"/>
        <w:spacing w:before="60" w:after="60"/>
        <w:ind w:left="720"/>
        <w:jc w:val="both"/>
        <w:rPr>
          <w:rFonts w:ascii="Arial" w:hAnsi="Arial"/>
          <w:noProof/>
          <w:sz w:val="16"/>
          <w:szCs w:val="16"/>
          <w:lang w:eastAsia="en-GB"/>
        </w:rPr>
      </w:pPr>
    </w:p>
    <w:p w:rsidR="005D6812" w:rsidRDefault="005D6812">
      <w:pPr>
        <w:pStyle w:val="Notes20"/>
        <w:numPr>
          <w:ilvl w:val="0"/>
          <w:numId w:val="0"/>
        </w:numPr>
        <w:tabs>
          <w:tab w:val="clear" w:pos="4320"/>
          <w:tab w:val="clear" w:pos="8640"/>
          <w:tab w:val="right" w:pos="-2700"/>
        </w:tabs>
        <w:spacing w:before="60" w:after="60"/>
        <w:rPr>
          <w:b w:val="0"/>
          <w:noProof/>
          <w:sz w:val="16"/>
          <w:szCs w:val="16"/>
          <w:lang w:val="en-GB"/>
        </w:rPr>
      </w:pPr>
    </w:p>
    <w:p w:rsidR="005D6812" w:rsidRDefault="005D6812">
      <w:pPr>
        <w:pStyle w:val="Normal23"/>
        <w:pageBreakBefore/>
        <w:suppressAutoHyphens w:val="0"/>
        <w:spacing w:before="60" w:after="60"/>
        <w:jc w:val="both"/>
        <w:rPr>
          <w:b/>
          <w:noProof/>
          <w:sz w:val="16"/>
          <w:szCs w:val="16"/>
        </w:rPr>
      </w:pPr>
    </w:p>
    <w:p w:rsidR="005D6812" w:rsidRDefault="00AB2A2B">
      <w:pPr>
        <w:pStyle w:val="Notes21"/>
        <w:numPr>
          <w:ilvl w:val="4"/>
          <w:numId w:val="82"/>
        </w:numPr>
        <w:tabs>
          <w:tab w:val="clear" w:pos="4320"/>
          <w:tab w:val="clear" w:pos="8640"/>
          <w:tab w:val="right" w:pos="-2700"/>
        </w:tabs>
        <w:spacing w:before="60" w:after="60"/>
        <w:rPr>
          <w:noProof/>
          <w:sz w:val="16"/>
          <w:szCs w:val="16"/>
        </w:rPr>
      </w:pPr>
      <w:r>
        <w:rPr>
          <w:b w:val="0"/>
          <w:noProof/>
          <w:sz w:val="16"/>
          <w:szCs w:val="16"/>
          <w:lang w:val="en-GB"/>
        </w:rPr>
        <w:t>Foreign exchange position (in EUR’000)</w:t>
      </w:r>
    </w:p>
    <w:p w:rsidR="005D6812" w:rsidRDefault="005D6812">
      <w:pPr>
        <w:pStyle w:val="Notes21"/>
        <w:numPr>
          <w:ilvl w:val="0"/>
          <w:numId w:val="0"/>
        </w:numPr>
        <w:tabs>
          <w:tab w:val="clear" w:pos="4320"/>
          <w:tab w:val="clear" w:pos="8640"/>
          <w:tab w:val="right" w:pos="-2700"/>
        </w:tabs>
        <w:spacing w:before="60" w:after="60"/>
        <w:rPr>
          <w:b w:val="0"/>
          <w:noProof/>
          <w:sz w:val="16"/>
          <w:szCs w:val="16"/>
          <w:lang w:val="en-GB"/>
        </w:rPr>
      </w:pPr>
    </w:p>
    <w:p w:rsidR="005D6812" w:rsidRDefault="00AB2A2B">
      <w:pPr>
        <w:pStyle w:val="Notes21"/>
        <w:numPr>
          <w:ilvl w:val="0"/>
          <w:numId w:val="0"/>
        </w:numPr>
        <w:tabs>
          <w:tab w:val="clear" w:pos="4320"/>
          <w:tab w:val="clear" w:pos="8640"/>
          <w:tab w:val="right" w:pos="-2700"/>
        </w:tabs>
        <w:spacing w:before="60" w:after="60"/>
        <w:rPr>
          <w:b w:val="0"/>
          <w:noProof/>
          <w:sz w:val="16"/>
          <w:szCs w:val="16"/>
          <w:lang w:val="en-GB"/>
        </w:rPr>
      </w:pPr>
      <w:r>
        <w:rPr>
          <w:b w:val="0"/>
          <w:noProof/>
          <w:sz w:val="16"/>
          <w:szCs w:val="16"/>
          <w:lang w:val="en-GB"/>
        </w:rPr>
        <w:t>The tables of this note show the Facility’s foreign exchange position.</w:t>
      </w:r>
    </w:p>
    <w:p w:rsidR="005D6812" w:rsidRDefault="005D6812">
      <w:pPr>
        <w:pStyle w:val="Notes21"/>
        <w:numPr>
          <w:ilvl w:val="0"/>
          <w:numId w:val="0"/>
        </w:numPr>
        <w:tabs>
          <w:tab w:val="clear" w:pos="4320"/>
          <w:tab w:val="clear" w:pos="8640"/>
          <w:tab w:val="right" w:pos="-2700"/>
        </w:tabs>
        <w:spacing w:before="60" w:after="60"/>
        <w:rPr>
          <w:b w:val="0"/>
          <w:noProof/>
          <w:sz w:val="16"/>
          <w:szCs w:val="16"/>
          <w:lang w:val="en-GB"/>
        </w:rPr>
      </w:pPr>
    </w:p>
    <w:p w:rsidR="005D6812" w:rsidRDefault="00AB2A2B">
      <w:pPr>
        <w:pStyle w:val="Normal181"/>
        <w:suppressAutoHyphens w:val="0"/>
        <w:spacing w:before="60" w:after="60"/>
        <w:jc w:val="both"/>
        <w:rPr>
          <w:rFonts w:ascii="Arial" w:hAnsi="Arial"/>
          <w:noProof/>
          <w:sz w:val="16"/>
          <w:szCs w:val="16"/>
          <w:lang w:eastAsia="en-GB"/>
        </w:rPr>
      </w:pPr>
      <w:r>
        <w:rPr>
          <w:rFonts w:ascii="Arial" w:hAnsi="Arial"/>
          <w:noProof/>
          <w:sz w:val="16"/>
          <w:szCs w:val="16"/>
          <w:lang w:eastAsia="en-GB"/>
        </w:rPr>
        <w:t>The foreign exchange position is presented in the tabl</w:t>
      </w:r>
      <w:r>
        <w:rPr>
          <w:rFonts w:ascii="Arial" w:hAnsi="Arial"/>
          <w:noProof/>
          <w:sz w:val="16"/>
          <w:szCs w:val="16"/>
          <w:lang w:eastAsia="en-GB"/>
        </w:rPr>
        <w:t>es below in accordance with the IF’s Risk Policies (as described in the IF’s financial risk framework). The FX position as per Risk Policies is based on accounting figures and defined as the balance between selected assets and liabilities. The assets and l</w:t>
      </w:r>
      <w:r>
        <w:rPr>
          <w:rFonts w:ascii="Arial" w:hAnsi="Arial"/>
          <w:noProof/>
          <w:sz w:val="16"/>
          <w:szCs w:val="16"/>
          <w:lang w:eastAsia="en-GB"/>
        </w:rPr>
        <w:t>iabilities defined in the FX position as per Risk Policies are selected so as to ensure that the earnings will only be converted into the reporting currency (EUR) when received.</w:t>
      </w:r>
    </w:p>
    <w:p w:rsidR="005D6812" w:rsidRDefault="005D6812">
      <w:pPr>
        <w:pStyle w:val="Normal181"/>
        <w:suppressAutoHyphens w:val="0"/>
        <w:spacing w:before="60" w:after="60"/>
        <w:jc w:val="both"/>
        <w:rPr>
          <w:rFonts w:ascii="Arial" w:hAnsi="Arial"/>
          <w:noProof/>
          <w:sz w:val="16"/>
          <w:szCs w:val="16"/>
          <w:lang w:eastAsia="en-GB"/>
        </w:rPr>
      </w:pPr>
    </w:p>
    <w:p w:rsidR="005D6812" w:rsidRDefault="00AB2A2B">
      <w:pPr>
        <w:pStyle w:val="Normal181"/>
        <w:suppressAutoHyphens w:val="0"/>
        <w:spacing w:before="60" w:after="60"/>
        <w:jc w:val="both"/>
        <w:rPr>
          <w:rFonts w:ascii="Arial" w:hAnsi="Arial"/>
          <w:noProof/>
          <w:sz w:val="16"/>
          <w:szCs w:val="16"/>
          <w:lang w:eastAsia="en-GB"/>
        </w:rPr>
      </w:pPr>
      <w:r>
        <w:rPr>
          <w:rFonts w:ascii="Arial" w:hAnsi="Arial"/>
          <w:noProof/>
          <w:sz w:val="16"/>
          <w:szCs w:val="16"/>
          <w:lang w:eastAsia="en-GB"/>
        </w:rPr>
        <w:t>The unrealised gains/losses and impairment on available-for-sale financial as</w:t>
      </w:r>
      <w:r>
        <w:rPr>
          <w:rFonts w:ascii="Arial" w:hAnsi="Arial"/>
          <w:noProof/>
          <w:sz w:val="16"/>
          <w:szCs w:val="16"/>
          <w:lang w:eastAsia="en-GB"/>
        </w:rPr>
        <w:t>sets are included in the FX position as per Risk Policies, as well as impairments on loans and receivables. Derivatives included in the FX position as per Risk Policies are considered at their nominal value instead of their fair value, in order to be align</w:t>
      </w:r>
      <w:r>
        <w:rPr>
          <w:rFonts w:ascii="Arial" w:hAnsi="Arial"/>
          <w:noProof/>
          <w:sz w:val="16"/>
          <w:szCs w:val="16"/>
          <w:lang w:eastAsia="en-GB"/>
        </w:rPr>
        <w:t>ed with the retained value of the assets, considered also at their nominal value adjusted by the impairment for loans.</w:t>
      </w:r>
    </w:p>
    <w:p w:rsidR="005D6812" w:rsidRDefault="005D6812">
      <w:pPr>
        <w:pStyle w:val="Normal181"/>
        <w:suppressAutoHyphens w:val="0"/>
        <w:spacing w:before="60" w:after="60"/>
        <w:jc w:val="both"/>
        <w:rPr>
          <w:rFonts w:ascii="Arial" w:hAnsi="Arial"/>
          <w:noProof/>
          <w:sz w:val="16"/>
          <w:szCs w:val="16"/>
          <w:lang w:eastAsia="en-GB"/>
        </w:rPr>
      </w:pPr>
    </w:p>
    <w:p w:rsidR="005D6812" w:rsidRDefault="00AB2A2B">
      <w:pPr>
        <w:pStyle w:val="Normal181"/>
        <w:suppressAutoHyphens w:val="0"/>
        <w:spacing w:before="60" w:after="60"/>
        <w:jc w:val="both"/>
        <w:rPr>
          <w:rFonts w:ascii="Arial" w:hAnsi="Arial"/>
          <w:noProof/>
          <w:sz w:val="16"/>
          <w:szCs w:val="16"/>
          <w:lang w:eastAsia="en-GB"/>
        </w:rPr>
      </w:pPr>
      <w:r>
        <w:rPr>
          <w:rFonts w:ascii="Arial" w:hAnsi="Arial"/>
          <w:noProof/>
          <w:sz w:val="16"/>
          <w:szCs w:val="16"/>
          <w:lang w:eastAsia="en-GB"/>
        </w:rPr>
        <w:t xml:space="preserve">In the tables below the remaining part of the assets and liabilities, which includes mainly interest accruals on loans, derivatives and </w:t>
      </w:r>
      <w:r>
        <w:rPr>
          <w:rFonts w:ascii="Arial" w:hAnsi="Arial"/>
          <w:noProof/>
          <w:sz w:val="16"/>
          <w:szCs w:val="16"/>
          <w:lang w:eastAsia="en-GB"/>
        </w:rPr>
        <w:t>subsidies, is presented as “FX position excluded from Risk Policies”.</w:t>
      </w:r>
    </w:p>
    <w:p w:rsidR="005D6812" w:rsidRDefault="005D6812">
      <w:pPr>
        <w:pStyle w:val="Notes21"/>
        <w:numPr>
          <w:ilvl w:val="0"/>
          <w:numId w:val="0"/>
        </w:numPr>
        <w:tabs>
          <w:tab w:val="clear" w:pos="4320"/>
          <w:tab w:val="clear" w:pos="8640"/>
          <w:tab w:val="right" w:pos="-2700"/>
        </w:tabs>
        <w:spacing w:before="60" w:after="60"/>
        <w:rPr>
          <w:b w:val="0"/>
          <w:noProof/>
          <w:sz w:val="16"/>
          <w:szCs w:val="16"/>
          <w:lang w:val="en-GB"/>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25"/>
        <w:gridCol w:w="1800"/>
        <w:gridCol w:w="1800"/>
        <w:gridCol w:w="1800"/>
        <w:gridCol w:w="150"/>
        <w:gridCol w:w="1800"/>
      </w:tblGrid>
      <w:tr w:rsidR="005D6812">
        <w:trPr>
          <w:trHeight w:val="450"/>
        </w:trPr>
        <w:tc>
          <w:tcPr>
            <w:tcW w:w="2625"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At 31 December 2016</w:t>
            </w:r>
          </w:p>
        </w:tc>
        <w:tc>
          <w:tcPr>
            <w:tcW w:w="5400" w:type="dxa"/>
            <w:gridSpan w:val="3"/>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Assets and liabilities</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5D6812">
            <w:pPr>
              <w:jc w:val="center"/>
              <w:rPr>
                <w:rFonts w:ascii="Arial" w:eastAsia="Arial" w:hAnsi="Arial" w:cs="Arial"/>
                <w:b/>
                <w:noProof/>
                <w:color w:val="000000"/>
                <w:sz w:val="16"/>
              </w:rPr>
            </w:pPr>
          </w:p>
        </w:tc>
        <w:tc>
          <w:tcPr>
            <w:tcW w:w="1800" w:type="dxa"/>
            <w:tcBorders>
              <w:top w:val="single" w:sz="8" w:space="0" w:color="000000"/>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Commitments and contingent liabilities</w:t>
            </w:r>
          </w:p>
        </w:tc>
      </w:tr>
      <w:tr w:rsidR="005D6812">
        <w:trPr>
          <w:trHeight w:val="675"/>
        </w:trPr>
        <w:tc>
          <w:tcPr>
            <w:tcW w:w="2625" w:type="dxa"/>
            <w:tcBorders>
              <w:top w:val="single" w:sz="8" w:space="0" w:color="000000"/>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Currencies</w:t>
            </w:r>
          </w:p>
        </w:tc>
        <w:tc>
          <w:tcPr>
            <w:tcW w:w="1800" w:type="dxa"/>
            <w:tcBorders>
              <w:top w:val="single" w:sz="8" w:space="0" w:color="000000"/>
              <w:left w:val="nil"/>
              <w:bottom w:val="nil"/>
              <w:right w:val="nil"/>
              <w:tl2br w:val="nil"/>
              <w:tr2bl w:val="nil"/>
            </w:tcBorders>
            <w:shd w:val="clear" w:color="FFFFFF" w:fill="FFFFFF"/>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FX position as per Risk Policies</w:t>
            </w:r>
          </w:p>
        </w:tc>
        <w:tc>
          <w:tcPr>
            <w:tcW w:w="1800" w:type="dxa"/>
            <w:tcBorders>
              <w:top w:val="single" w:sz="8" w:space="0" w:color="000000"/>
              <w:left w:val="nil"/>
              <w:bottom w:val="nil"/>
              <w:right w:val="nil"/>
              <w:tl2br w:val="nil"/>
              <w:tr2bl w:val="nil"/>
            </w:tcBorders>
            <w:shd w:val="clear" w:color="FFFFFF" w:fill="FFFFFF"/>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FX position excluded from Risk Policies</w:t>
            </w:r>
          </w:p>
        </w:tc>
        <w:tc>
          <w:tcPr>
            <w:tcW w:w="1800" w:type="dxa"/>
            <w:tcBorders>
              <w:top w:val="single" w:sz="8" w:space="0" w:color="000000"/>
              <w:left w:val="nil"/>
              <w:bottom w:val="nil"/>
              <w:right w:val="nil"/>
              <w:tl2br w:val="nil"/>
              <w:tr2bl w:val="nil"/>
            </w:tcBorders>
            <w:shd w:val="clear" w:color="FFFFFF" w:fill="FFFFFF"/>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 xml:space="preserve">Balance sheet FX </w:t>
            </w:r>
            <w:r>
              <w:rPr>
                <w:rFonts w:ascii="Arial" w:eastAsia="Arial" w:hAnsi="Arial" w:cs="Arial"/>
                <w:b/>
                <w:noProof/>
                <w:color w:val="000000"/>
                <w:sz w:val="16"/>
              </w:rPr>
              <w:t>position</w:t>
            </w:r>
          </w:p>
        </w:tc>
        <w:tc>
          <w:tcPr>
            <w:tcW w:w="150" w:type="dxa"/>
            <w:tcBorders>
              <w:top w:val="nil"/>
              <w:left w:val="nil"/>
              <w:bottom w:val="nil"/>
              <w:right w:val="nil"/>
              <w:tl2br w:val="nil"/>
              <w:tr2bl w:val="nil"/>
            </w:tcBorders>
            <w:shd w:val="clear" w:color="FFFFFF" w:fill="FFFFFF"/>
            <w:tcMar>
              <w:left w:w="40" w:type="dxa"/>
              <w:right w:w="40" w:type="dxa"/>
            </w:tcMar>
            <w:vAlign w:val="center"/>
          </w:tcPr>
          <w:p w:rsidR="005D6812" w:rsidRDefault="005D6812">
            <w:pPr>
              <w:jc w:val="center"/>
              <w:rPr>
                <w:rFonts w:ascii="Arial" w:eastAsia="Arial" w:hAnsi="Arial" w:cs="Arial"/>
                <w:noProof/>
                <w:color w:val="000000"/>
                <w:sz w:val="16"/>
              </w:rPr>
            </w:pPr>
          </w:p>
        </w:tc>
        <w:tc>
          <w:tcPr>
            <w:tcW w:w="1800" w:type="dxa"/>
            <w:tcBorders>
              <w:top w:val="single" w:sz="8" w:space="0" w:color="000000"/>
              <w:left w:val="nil"/>
              <w:bottom w:val="nil"/>
              <w:right w:val="nil"/>
              <w:tl2br w:val="nil"/>
              <w:tr2bl w:val="nil"/>
            </w:tcBorders>
            <w:shd w:val="clear" w:color="FFFFFF" w:fill="FFFFFF"/>
            <w:noWrap/>
            <w:tcMar>
              <w:left w:w="40" w:type="dxa"/>
              <w:right w:w="40" w:type="dxa"/>
            </w:tcMar>
            <w:vAlign w:val="center"/>
          </w:tcPr>
          <w:p w:rsidR="005D6812" w:rsidRDefault="005D6812">
            <w:pPr>
              <w:rPr>
                <w:rFonts w:ascii="Arial" w:eastAsia="Arial" w:hAnsi="Arial" w:cs="Arial"/>
                <w:b/>
                <w:i/>
                <w:noProof/>
                <w:color w:val="000000"/>
                <w:sz w:val="16"/>
              </w:rPr>
            </w:pPr>
          </w:p>
        </w:tc>
      </w:tr>
      <w:tr w:rsidR="005D6812">
        <w:trPr>
          <w:trHeight w:hRule="exact" w:val="36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USD</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-258,496</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7,578</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-250,918</w:t>
            </w:r>
          </w:p>
        </w:tc>
        <w:tc>
          <w:tcPr>
            <w:tcW w:w="150" w:type="dxa"/>
            <w:tcBorders>
              <w:top w:val="nil"/>
              <w:left w:val="nil"/>
              <w:bottom w:val="nil"/>
              <w:right w:val="nil"/>
              <w:tl2br w:val="nil"/>
              <w:tr2bl w:val="nil"/>
            </w:tcBorders>
            <w:shd w:val="clear" w:color="FFFFFF" w:fill="FFFFFF"/>
            <w:noWrap/>
            <w:tcMar>
              <w:left w:w="40" w:type="dxa"/>
              <w:right w:w="40" w:type="dxa"/>
            </w:tcMar>
            <w:vAlign w:val="bottom"/>
          </w:tcPr>
          <w:p w:rsidR="005D6812" w:rsidRDefault="005D6812">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282,991</w:t>
            </w:r>
          </w:p>
        </w:tc>
      </w:tr>
      <w:tr w:rsidR="005D6812">
        <w:trPr>
          <w:trHeight w:val="450"/>
        </w:trPr>
        <w:tc>
          <w:tcPr>
            <w:tcW w:w="262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rPr>
                <w:rFonts w:ascii="Arial" w:eastAsia="Arial" w:hAnsi="Arial" w:cs="Arial"/>
                <w:i/>
                <w:noProof/>
                <w:color w:val="000000"/>
                <w:sz w:val="16"/>
              </w:rPr>
            </w:pPr>
            <w:r>
              <w:rPr>
                <w:rFonts w:ascii="Arial" w:eastAsia="Arial" w:hAnsi="Arial" w:cs="Arial"/>
                <w:i/>
                <w:noProof/>
                <w:color w:val="000000"/>
                <w:sz w:val="16"/>
              </w:rPr>
              <w:t xml:space="preserve">Local currencies </w:t>
            </w:r>
            <w:r>
              <w:rPr>
                <w:rFonts w:ascii="Arial" w:eastAsia="Arial" w:hAnsi="Arial" w:cs="Arial"/>
                <w:i/>
                <w:noProof/>
                <w:color w:val="000000"/>
                <w:sz w:val="16"/>
              </w:rPr>
              <w:br/>
              <w:t>(under synthetic hedge)*</w:t>
            </w:r>
          </w:p>
        </w:tc>
        <w:tc>
          <w:tcPr>
            <w:tcW w:w="1800" w:type="dxa"/>
            <w:tcBorders>
              <w:top w:val="nil"/>
              <w:left w:val="nil"/>
              <w:bottom w:val="nil"/>
              <w:right w:val="nil"/>
              <w:tl2br w:val="nil"/>
              <w:tr2bl w:val="nil"/>
            </w:tcBorders>
            <w:shd w:val="clear" w:color="FFFFFF" w:fill="FFFFFF"/>
            <w:tcMar>
              <w:left w:w="40" w:type="dxa"/>
              <w:right w:w="40" w:type="dxa"/>
            </w:tcMar>
            <w:vAlign w:val="center"/>
          </w:tcPr>
          <w:p w:rsidR="005D6812" w:rsidRDefault="005D6812">
            <w:pPr>
              <w:rPr>
                <w:rFonts w:ascii="Arial" w:eastAsia="Arial" w:hAnsi="Arial" w:cs="Arial"/>
                <w:i/>
                <w:noProof/>
                <w:color w:val="000000"/>
                <w:sz w:val="16"/>
              </w:rPr>
            </w:pPr>
          </w:p>
        </w:tc>
        <w:tc>
          <w:tcPr>
            <w:tcW w:w="1800" w:type="dxa"/>
            <w:tcBorders>
              <w:top w:val="nil"/>
              <w:left w:val="nil"/>
              <w:bottom w:val="nil"/>
              <w:right w:val="nil"/>
              <w:tl2br w:val="nil"/>
              <w:tr2bl w:val="nil"/>
            </w:tcBorders>
            <w:shd w:val="clear" w:color="FFFFFF" w:fill="FFFFFF"/>
            <w:tcMar>
              <w:left w:w="40" w:type="dxa"/>
              <w:right w:w="40" w:type="dxa"/>
            </w:tcMar>
            <w:vAlign w:val="center"/>
          </w:tcPr>
          <w:p w:rsidR="005D6812" w:rsidRDefault="005D6812">
            <w:pPr>
              <w:rPr>
                <w:rFonts w:ascii="Arial" w:eastAsia="Arial" w:hAnsi="Arial" w:cs="Arial"/>
                <w:i/>
                <w:noProof/>
                <w:color w:val="000000"/>
                <w:sz w:val="16"/>
              </w:rPr>
            </w:pPr>
          </w:p>
        </w:tc>
        <w:tc>
          <w:tcPr>
            <w:tcW w:w="1800" w:type="dxa"/>
            <w:tcBorders>
              <w:top w:val="nil"/>
              <w:left w:val="nil"/>
              <w:bottom w:val="nil"/>
              <w:right w:val="nil"/>
              <w:tl2br w:val="nil"/>
              <w:tr2bl w:val="nil"/>
            </w:tcBorders>
            <w:shd w:val="clear" w:color="FFFFFF" w:fill="FFFFFF"/>
            <w:tcMar>
              <w:left w:w="40" w:type="dxa"/>
              <w:right w:w="40" w:type="dxa"/>
            </w:tcMar>
            <w:vAlign w:val="center"/>
          </w:tcPr>
          <w:p w:rsidR="005D6812" w:rsidRDefault="005D6812">
            <w:pPr>
              <w:rPr>
                <w:rFonts w:ascii="Arial" w:eastAsia="Arial" w:hAnsi="Arial" w:cs="Arial"/>
                <w:i/>
                <w:noProof/>
                <w:color w:val="000000"/>
                <w:sz w:val="16"/>
              </w:rPr>
            </w:pPr>
          </w:p>
        </w:tc>
        <w:tc>
          <w:tcPr>
            <w:tcW w:w="150" w:type="dxa"/>
            <w:tcBorders>
              <w:top w:val="nil"/>
              <w:left w:val="nil"/>
              <w:bottom w:val="nil"/>
              <w:right w:val="nil"/>
              <w:tl2br w:val="nil"/>
              <w:tr2bl w:val="nil"/>
            </w:tcBorders>
            <w:shd w:val="clear" w:color="FFFFFF" w:fill="FFFFFF"/>
            <w:noWrap/>
            <w:tcMar>
              <w:left w:w="40" w:type="dxa"/>
              <w:right w:w="40" w:type="dxa"/>
            </w:tcMar>
            <w:vAlign w:val="bottom"/>
          </w:tcPr>
          <w:p w:rsidR="005D6812" w:rsidRDefault="005D6812">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5D6812">
            <w:pPr>
              <w:jc w:val="center"/>
              <w:rPr>
                <w:rFonts w:ascii="Arial" w:eastAsia="Arial" w:hAnsi="Arial" w:cs="Arial"/>
                <w:noProof/>
                <w:color w:val="000000"/>
                <w:sz w:val="16"/>
              </w:rPr>
            </w:pPr>
          </w:p>
        </w:tc>
      </w:tr>
      <w:tr w:rsidR="005D6812">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KES</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117,881</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3,869</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121,751</w:t>
            </w:r>
          </w:p>
        </w:tc>
        <w:tc>
          <w:tcPr>
            <w:tcW w:w="150" w:type="dxa"/>
            <w:tcBorders>
              <w:top w:val="nil"/>
              <w:left w:val="nil"/>
              <w:bottom w:val="nil"/>
              <w:right w:val="nil"/>
              <w:tl2br w:val="nil"/>
              <w:tr2bl w:val="nil"/>
            </w:tcBorders>
            <w:shd w:val="clear" w:color="FFFFFF" w:fill="FFFFFF"/>
            <w:noWrap/>
            <w:tcMar>
              <w:left w:w="40" w:type="dxa"/>
              <w:right w:w="40" w:type="dxa"/>
            </w:tcMar>
            <w:vAlign w:val="bottom"/>
          </w:tcPr>
          <w:p w:rsidR="005D6812" w:rsidRDefault="005D6812">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w:t>
            </w:r>
          </w:p>
        </w:tc>
      </w:tr>
      <w:tr w:rsidR="005D6812">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TZS</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97,116</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1,931</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99,046</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w:t>
            </w:r>
          </w:p>
        </w:tc>
      </w:tr>
      <w:tr w:rsidR="005D6812">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DOP</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52,553</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2,013</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54,566</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w:t>
            </w:r>
          </w:p>
        </w:tc>
      </w:tr>
      <w:tr w:rsidR="005D6812">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UGX</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36,776</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1,077</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37,854</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w:t>
            </w:r>
          </w:p>
        </w:tc>
      </w:tr>
      <w:tr w:rsidR="005D6812">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RWF</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22,258</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194</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22,452</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w:t>
            </w:r>
          </w:p>
        </w:tc>
      </w:tr>
      <w:tr w:rsidR="005D6812">
        <w:trPr>
          <w:trHeight w:val="450"/>
        </w:trPr>
        <w:tc>
          <w:tcPr>
            <w:tcW w:w="262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rPr>
                <w:rFonts w:ascii="Arial" w:eastAsia="Arial" w:hAnsi="Arial" w:cs="Arial"/>
                <w:i/>
                <w:noProof/>
                <w:color w:val="000000"/>
                <w:sz w:val="16"/>
              </w:rPr>
            </w:pPr>
            <w:r>
              <w:rPr>
                <w:rFonts w:ascii="Arial" w:eastAsia="Arial" w:hAnsi="Arial" w:cs="Arial"/>
                <w:i/>
                <w:noProof/>
                <w:color w:val="000000"/>
                <w:sz w:val="16"/>
              </w:rPr>
              <w:t xml:space="preserve">Local currencies </w:t>
            </w:r>
            <w:r>
              <w:rPr>
                <w:rFonts w:ascii="Arial" w:eastAsia="Arial" w:hAnsi="Arial" w:cs="Arial"/>
                <w:i/>
                <w:noProof/>
                <w:color w:val="000000"/>
                <w:sz w:val="16"/>
              </w:rPr>
              <w:br/>
              <w:t>(not under synthetic hedge)*</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rPr>
                <w:rFonts w:ascii="Arial" w:eastAsia="Arial" w:hAnsi="Arial" w:cs="Arial"/>
                <w:noProof/>
                <w:color w:val="000000"/>
                <w:sz w:val="16"/>
              </w:rPr>
            </w:pPr>
          </w:p>
        </w:tc>
      </w:tr>
      <w:tr w:rsidR="005D6812">
        <w:trPr>
          <w:trHeight w:hRule="exact" w:val="36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HTG, MUR, MZN, XOF, ZMW, BWP</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22,534</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252</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22,786</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246</w:t>
            </w:r>
          </w:p>
        </w:tc>
      </w:tr>
      <w:tr w:rsidR="005D6812">
        <w:trPr>
          <w:trHeight w:val="450"/>
        </w:trPr>
        <w:tc>
          <w:tcPr>
            <w:tcW w:w="262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non-EUR currencies</w:t>
            </w:r>
          </w:p>
        </w:tc>
        <w:tc>
          <w:tcPr>
            <w:tcW w:w="18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90,622</w:t>
            </w:r>
          </w:p>
        </w:tc>
        <w:tc>
          <w:tcPr>
            <w:tcW w:w="18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16,914</w:t>
            </w:r>
          </w:p>
        </w:tc>
        <w:tc>
          <w:tcPr>
            <w:tcW w:w="18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107,537</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5D6812">
            <w:pPr>
              <w:jc w:val="center"/>
              <w:rPr>
                <w:rFonts w:ascii="Arial" w:eastAsia="Arial" w:hAnsi="Arial" w:cs="Arial"/>
                <w:b/>
                <w:noProof/>
                <w:color w:val="000000"/>
                <w:sz w:val="16"/>
              </w:rPr>
            </w:pPr>
          </w:p>
        </w:tc>
        <w:tc>
          <w:tcPr>
            <w:tcW w:w="18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283,237</w:t>
            </w:r>
          </w:p>
        </w:tc>
      </w:tr>
      <w:tr w:rsidR="005D6812">
        <w:trPr>
          <w:trHeight w:hRule="exact" w:val="585"/>
        </w:trPr>
        <w:tc>
          <w:tcPr>
            <w:tcW w:w="2625"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EUR</w:t>
            </w:r>
          </w:p>
        </w:tc>
        <w:tc>
          <w:tcPr>
            <w:tcW w:w="18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w:t>
            </w:r>
          </w:p>
        </w:tc>
        <w:tc>
          <w:tcPr>
            <w:tcW w:w="18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2,591,845</w:t>
            </w:r>
          </w:p>
        </w:tc>
        <w:tc>
          <w:tcPr>
            <w:tcW w:w="18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2,591,845</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5D6812">
            <w:pPr>
              <w:jc w:val="center"/>
              <w:rPr>
                <w:rFonts w:ascii="Arial" w:eastAsia="Arial" w:hAnsi="Arial" w:cs="Arial"/>
                <w:b/>
                <w:noProof/>
                <w:color w:val="000000"/>
                <w:sz w:val="16"/>
              </w:rPr>
            </w:pPr>
          </w:p>
        </w:tc>
        <w:tc>
          <w:tcPr>
            <w:tcW w:w="18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1,241,229</w:t>
            </w:r>
          </w:p>
        </w:tc>
      </w:tr>
      <w:tr w:rsidR="005D6812">
        <w:trPr>
          <w:trHeight w:hRule="exact" w:val="450"/>
        </w:trPr>
        <w:tc>
          <w:tcPr>
            <w:tcW w:w="2625"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b/>
                <w:noProof/>
                <w:color w:val="000000"/>
                <w:sz w:val="16"/>
                <w:lang w:val="fr-BE"/>
              </w:rPr>
            </w:pPr>
            <w:r>
              <w:rPr>
                <w:rFonts w:ascii="Arial" w:eastAsia="Arial" w:hAnsi="Arial" w:cs="Arial"/>
                <w:b/>
                <w:noProof/>
                <w:color w:val="000000"/>
                <w:sz w:val="16"/>
                <w:lang w:val="fr-BE"/>
              </w:rPr>
              <w:t>Total EUR and non-EUR</w:t>
            </w:r>
          </w:p>
        </w:tc>
        <w:tc>
          <w:tcPr>
            <w:tcW w:w="180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90,622</w:t>
            </w:r>
          </w:p>
        </w:tc>
        <w:tc>
          <w:tcPr>
            <w:tcW w:w="180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2,608,759</w:t>
            </w:r>
          </w:p>
        </w:tc>
        <w:tc>
          <w:tcPr>
            <w:tcW w:w="180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2,699,382</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80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1,524,466</w:t>
            </w:r>
          </w:p>
        </w:tc>
      </w:tr>
      <w:tr w:rsidR="005D6812">
        <w:trPr>
          <w:trHeight w:val="135"/>
        </w:trPr>
        <w:tc>
          <w:tcPr>
            <w:tcW w:w="9975" w:type="dxa"/>
            <w:gridSpan w:val="6"/>
            <w:tcBorders>
              <w:top w:val="nil"/>
              <w:left w:val="nil"/>
              <w:bottom w:val="nil"/>
              <w:right w:val="nil"/>
              <w:tl2br w:val="nil"/>
              <w:tr2bl w:val="nil"/>
            </w:tcBorders>
            <w:shd w:val="clear" w:color="FFFFFF" w:fill="FFFFFF"/>
            <w:tcMar>
              <w:left w:w="40" w:type="dxa"/>
              <w:right w:w="40" w:type="dxa"/>
            </w:tcMar>
          </w:tcPr>
          <w:p w:rsidR="005D6812" w:rsidRDefault="005D6812">
            <w:pPr>
              <w:jc w:val="both"/>
              <w:rPr>
                <w:rFonts w:ascii="Arial" w:eastAsia="Arial" w:hAnsi="Arial" w:cs="Arial"/>
                <w:noProof/>
                <w:color w:val="000000"/>
                <w:sz w:val="16"/>
              </w:rPr>
            </w:pPr>
          </w:p>
        </w:tc>
      </w:tr>
      <w:tr w:rsidR="005D6812">
        <w:trPr>
          <w:trHeight w:val="300"/>
        </w:trPr>
        <w:tc>
          <w:tcPr>
            <w:tcW w:w="9975" w:type="dxa"/>
            <w:gridSpan w:val="6"/>
            <w:tcBorders>
              <w:top w:val="nil"/>
              <w:left w:val="nil"/>
              <w:bottom w:val="nil"/>
              <w:right w:val="nil"/>
              <w:tl2br w:val="nil"/>
              <w:tr2bl w:val="nil"/>
            </w:tcBorders>
            <w:shd w:val="clear" w:color="FFFFFF" w:fill="FFFFFF"/>
            <w:tcMar>
              <w:left w:w="40" w:type="dxa"/>
              <w:right w:w="40" w:type="dxa"/>
            </w:tcMar>
          </w:tcPr>
          <w:p w:rsidR="005D6812" w:rsidRDefault="00AB2A2B">
            <w:pPr>
              <w:jc w:val="both"/>
              <w:rPr>
                <w:rFonts w:ascii="Arial" w:eastAsia="Arial" w:hAnsi="Arial" w:cs="Arial"/>
                <w:noProof/>
                <w:color w:val="000000"/>
                <w:sz w:val="16"/>
              </w:rPr>
            </w:pPr>
            <w:r>
              <w:rPr>
                <w:rFonts w:ascii="Arial" w:eastAsia="Arial" w:hAnsi="Arial" w:cs="Arial"/>
                <w:noProof/>
                <w:color w:val="000000"/>
                <w:sz w:val="16"/>
              </w:rPr>
              <w:t xml:space="preserve">* See </w:t>
            </w:r>
            <w:r>
              <w:rPr>
                <w:rFonts w:ascii="Arial" w:eastAsia="Arial" w:hAnsi="Arial" w:cs="Arial"/>
                <w:noProof/>
                <w:color w:val="000000"/>
                <w:sz w:val="16"/>
              </w:rPr>
              <w:t>section 3.4.2.2.2 for explanations on synthetic hedge.</w:t>
            </w:r>
          </w:p>
        </w:tc>
      </w:tr>
      <w:tr w:rsidR="005D6812">
        <w:trPr>
          <w:trHeight w:val="450"/>
        </w:trPr>
        <w:tc>
          <w:tcPr>
            <w:tcW w:w="2625"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pageBreakBefore/>
              <w:rPr>
                <w:rFonts w:ascii="Arial" w:eastAsia="Arial" w:hAnsi="Arial" w:cs="Arial"/>
                <w:b/>
                <w:noProof/>
                <w:color w:val="000000"/>
                <w:sz w:val="16"/>
              </w:rPr>
            </w:pPr>
            <w:r>
              <w:rPr>
                <w:rFonts w:ascii="Arial" w:eastAsia="Arial" w:hAnsi="Arial" w:cs="Arial"/>
                <w:b/>
                <w:noProof/>
                <w:color w:val="000000"/>
                <w:sz w:val="16"/>
              </w:rPr>
              <w:t>At 31 December 2015</w:t>
            </w:r>
          </w:p>
        </w:tc>
        <w:tc>
          <w:tcPr>
            <w:tcW w:w="5400" w:type="dxa"/>
            <w:gridSpan w:val="3"/>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Assets and liabilities</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5D6812">
            <w:pPr>
              <w:jc w:val="center"/>
              <w:rPr>
                <w:rFonts w:ascii="Arial" w:eastAsia="Arial" w:hAnsi="Arial" w:cs="Arial"/>
                <w:b/>
                <w:noProof/>
                <w:color w:val="000000"/>
                <w:sz w:val="16"/>
              </w:rPr>
            </w:pPr>
          </w:p>
        </w:tc>
        <w:tc>
          <w:tcPr>
            <w:tcW w:w="1800" w:type="dxa"/>
            <w:tcBorders>
              <w:top w:val="single" w:sz="8" w:space="0" w:color="000000"/>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Commitments and contingent liabilities</w:t>
            </w:r>
          </w:p>
        </w:tc>
      </w:tr>
      <w:tr w:rsidR="005D6812">
        <w:trPr>
          <w:trHeight w:val="675"/>
        </w:trPr>
        <w:tc>
          <w:tcPr>
            <w:tcW w:w="2625" w:type="dxa"/>
            <w:tcBorders>
              <w:top w:val="single" w:sz="8" w:space="0" w:color="000000"/>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Currencies</w:t>
            </w:r>
          </w:p>
        </w:tc>
        <w:tc>
          <w:tcPr>
            <w:tcW w:w="1800" w:type="dxa"/>
            <w:tcBorders>
              <w:top w:val="single" w:sz="8" w:space="0" w:color="000000"/>
              <w:left w:val="nil"/>
              <w:bottom w:val="nil"/>
              <w:right w:val="nil"/>
              <w:tl2br w:val="nil"/>
              <w:tr2bl w:val="nil"/>
            </w:tcBorders>
            <w:shd w:val="clear" w:color="FFFFFF" w:fill="FFFFFF"/>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FX position as per Risk Policies</w:t>
            </w:r>
          </w:p>
        </w:tc>
        <w:tc>
          <w:tcPr>
            <w:tcW w:w="1800" w:type="dxa"/>
            <w:tcBorders>
              <w:top w:val="single" w:sz="8" w:space="0" w:color="000000"/>
              <w:left w:val="nil"/>
              <w:bottom w:val="nil"/>
              <w:right w:val="nil"/>
              <w:tl2br w:val="nil"/>
              <w:tr2bl w:val="nil"/>
            </w:tcBorders>
            <w:shd w:val="clear" w:color="FFFFFF" w:fill="FFFFFF"/>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FX position excluded from Risk Policies</w:t>
            </w:r>
          </w:p>
        </w:tc>
        <w:tc>
          <w:tcPr>
            <w:tcW w:w="1800" w:type="dxa"/>
            <w:tcBorders>
              <w:top w:val="single" w:sz="8" w:space="0" w:color="000000"/>
              <w:left w:val="nil"/>
              <w:bottom w:val="nil"/>
              <w:right w:val="nil"/>
              <w:tl2br w:val="nil"/>
              <w:tr2bl w:val="nil"/>
            </w:tcBorders>
            <w:shd w:val="clear" w:color="FFFFFF" w:fill="FFFFFF"/>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Balance sheet FX position</w:t>
            </w:r>
          </w:p>
        </w:tc>
        <w:tc>
          <w:tcPr>
            <w:tcW w:w="150" w:type="dxa"/>
            <w:tcBorders>
              <w:top w:val="nil"/>
              <w:left w:val="nil"/>
              <w:bottom w:val="nil"/>
              <w:right w:val="nil"/>
              <w:tl2br w:val="nil"/>
              <w:tr2bl w:val="nil"/>
            </w:tcBorders>
            <w:shd w:val="clear" w:color="FFFFFF" w:fill="FFFFFF"/>
            <w:tcMar>
              <w:left w:w="40" w:type="dxa"/>
              <w:right w:w="40" w:type="dxa"/>
            </w:tcMar>
            <w:vAlign w:val="center"/>
          </w:tcPr>
          <w:p w:rsidR="005D6812" w:rsidRDefault="005D6812">
            <w:pPr>
              <w:jc w:val="center"/>
              <w:rPr>
                <w:rFonts w:ascii="Arial" w:eastAsia="Arial" w:hAnsi="Arial" w:cs="Arial"/>
                <w:noProof/>
                <w:color w:val="000000"/>
                <w:sz w:val="16"/>
              </w:rPr>
            </w:pPr>
          </w:p>
        </w:tc>
        <w:tc>
          <w:tcPr>
            <w:tcW w:w="1800" w:type="dxa"/>
            <w:tcBorders>
              <w:top w:val="single" w:sz="8" w:space="0" w:color="000000"/>
              <w:left w:val="nil"/>
              <w:bottom w:val="nil"/>
              <w:right w:val="nil"/>
              <w:tl2br w:val="nil"/>
              <w:tr2bl w:val="nil"/>
            </w:tcBorders>
            <w:shd w:val="clear" w:color="FFFFFF" w:fill="FFFFFF"/>
            <w:noWrap/>
            <w:tcMar>
              <w:left w:w="40" w:type="dxa"/>
              <w:right w:w="40" w:type="dxa"/>
            </w:tcMar>
            <w:vAlign w:val="center"/>
          </w:tcPr>
          <w:p w:rsidR="005D6812" w:rsidRDefault="005D6812">
            <w:pPr>
              <w:rPr>
                <w:rFonts w:ascii="Arial" w:eastAsia="Arial" w:hAnsi="Arial" w:cs="Arial"/>
                <w:b/>
                <w:i/>
                <w:noProof/>
                <w:color w:val="000000"/>
                <w:sz w:val="16"/>
              </w:rPr>
            </w:pPr>
          </w:p>
        </w:tc>
      </w:tr>
      <w:tr w:rsidR="005D6812">
        <w:trPr>
          <w:trHeight w:hRule="exact" w:val="36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USD</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-207,050</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5,023</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-202,027</w:t>
            </w:r>
          </w:p>
        </w:tc>
        <w:tc>
          <w:tcPr>
            <w:tcW w:w="150" w:type="dxa"/>
            <w:tcBorders>
              <w:top w:val="nil"/>
              <w:left w:val="nil"/>
              <w:bottom w:val="nil"/>
              <w:right w:val="nil"/>
              <w:tl2br w:val="nil"/>
              <w:tr2bl w:val="nil"/>
            </w:tcBorders>
            <w:shd w:val="clear" w:color="FFFFFF" w:fill="FFFFFF"/>
            <w:noWrap/>
            <w:tcMar>
              <w:left w:w="40" w:type="dxa"/>
              <w:right w:w="40" w:type="dxa"/>
            </w:tcMar>
            <w:vAlign w:val="bottom"/>
          </w:tcPr>
          <w:p w:rsidR="005D6812" w:rsidRDefault="005D6812">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270,236</w:t>
            </w:r>
          </w:p>
        </w:tc>
      </w:tr>
      <w:tr w:rsidR="005D6812">
        <w:trPr>
          <w:trHeight w:val="450"/>
        </w:trPr>
        <w:tc>
          <w:tcPr>
            <w:tcW w:w="262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rPr>
                <w:rFonts w:ascii="Arial" w:eastAsia="Arial" w:hAnsi="Arial" w:cs="Arial"/>
                <w:i/>
                <w:noProof/>
                <w:color w:val="000000"/>
                <w:sz w:val="16"/>
              </w:rPr>
            </w:pPr>
            <w:r>
              <w:rPr>
                <w:rFonts w:ascii="Arial" w:eastAsia="Arial" w:hAnsi="Arial" w:cs="Arial"/>
                <w:i/>
                <w:noProof/>
                <w:color w:val="000000"/>
                <w:sz w:val="16"/>
              </w:rPr>
              <w:t xml:space="preserve">Local currencies </w:t>
            </w:r>
            <w:r>
              <w:rPr>
                <w:rFonts w:ascii="Arial" w:eastAsia="Arial" w:hAnsi="Arial" w:cs="Arial"/>
                <w:i/>
                <w:noProof/>
                <w:color w:val="000000"/>
                <w:sz w:val="16"/>
              </w:rPr>
              <w:br/>
              <w:t>(under synthetic hedge)*</w:t>
            </w:r>
          </w:p>
        </w:tc>
        <w:tc>
          <w:tcPr>
            <w:tcW w:w="1800" w:type="dxa"/>
            <w:tcBorders>
              <w:top w:val="nil"/>
              <w:left w:val="nil"/>
              <w:bottom w:val="nil"/>
              <w:right w:val="nil"/>
              <w:tl2br w:val="nil"/>
              <w:tr2bl w:val="nil"/>
            </w:tcBorders>
            <w:shd w:val="clear" w:color="FFFFFF" w:fill="FFFFFF"/>
            <w:tcMar>
              <w:left w:w="40" w:type="dxa"/>
              <w:right w:w="40" w:type="dxa"/>
            </w:tcMar>
            <w:vAlign w:val="center"/>
          </w:tcPr>
          <w:p w:rsidR="005D6812" w:rsidRDefault="005D6812">
            <w:pPr>
              <w:rPr>
                <w:rFonts w:ascii="Arial" w:eastAsia="Arial" w:hAnsi="Arial" w:cs="Arial"/>
                <w:i/>
                <w:noProof/>
                <w:color w:val="000000"/>
                <w:sz w:val="16"/>
              </w:rPr>
            </w:pPr>
          </w:p>
        </w:tc>
        <w:tc>
          <w:tcPr>
            <w:tcW w:w="1800" w:type="dxa"/>
            <w:tcBorders>
              <w:top w:val="nil"/>
              <w:left w:val="nil"/>
              <w:bottom w:val="nil"/>
              <w:right w:val="nil"/>
              <w:tl2br w:val="nil"/>
              <w:tr2bl w:val="nil"/>
            </w:tcBorders>
            <w:shd w:val="clear" w:color="FFFFFF" w:fill="FFFFFF"/>
            <w:tcMar>
              <w:left w:w="40" w:type="dxa"/>
              <w:right w:w="40" w:type="dxa"/>
            </w:tcMar>
            <w:vAlign w:val="center"/>
          </w:tcPr>
          <w:p w:rsidR="005D6812" w:rsidRDefault="005D6812">
            <w:pPr>
              <w:rPr>
                <w:rFonts w:ascii="Arial" w:eastAsia="Arial" w:hAnsi="Arial" w:cs="Arial"/>
                <w:i/>
                <w:noProof/>
                <w:color w:val="000000"/>
                <w:sz w:val="16"/>
              </w:rPr>
            </w:pPr>
          </w:p>
        </w:tc>
        <w:tc>
          <w:tcPr>
            <w:tcW w:w="1800" w:type="dxa"/>
            <w:tcBorders>
              <w:top w:val="nil"/>
              <w:left w:val="nil"/>
              <w:bottom w:val="nil"/>
              <w:right w:val="nil"/>
              <w:tl2br w:val="nil"/>
              <w:tr2bl w:val="nil"/>
            </w:tcBorders>
            <w:shd w:val="clear" w:color="FFFFFF" w:fill="FFFFFF"/>
            <w:tcMar>
              <w:left w:w="40" w:type="dxa"/>
              <w:right w:w="40" w:type="dxa"/>
            </w:tcMar>
            <w:vAlign w:val="center"/>
          </w:tcPr>
          <w:p w:rsidR="005D6812" w:rsidRDefault="005D6812">
            <w:pPr>
              <w:rPr>
                <w:rFonts w:ascii="Arial" w:eastAsia="Arial" w:hAnsi="Arial" w:cs="Arial"/>
                <w:i/>
                <w:noProof/>
                <w:color w:val="000000"/>
                <w:sz w:val="16"/>
              </w:rPr>
            </w:pPr>
          </w:p>
        </w:tc>
        <w:tc>
          <w:tcPr>
            <w:tcW w:w="150" w:type="dxa"/>
            <w:tcBorders>
              <w:top w:val="nil"/>
              <w:left w:val="nil"/>
              <w:bottom w:val="nil"/>
              <w:right w:val="nil"/>
              <w:tl2br w:val="nil"/>
              <w:tr2bl w:val="nil"/>
            </w:tcBorders>
            <w:shd w:val="clear" w:color="FFFFFF" w:fill="FFFFFF"/>
            <w:noWrap/>
            <w:tcMar>
              <w:left w:w="40" w:type="dxa"/>
              <w:right w:w="40" w:type="dxa"/>
            </w:tcMar>
            <w:vAlign w:val="bottom"/>
          </w:tcPr>
          <w:p w:rsidR="005D6812" w:rsidRDefault="005D6812">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5D6812">
            <w:pPr>
              <w:jc w:val="center"/>
              <w:rPr>
                <w:rFonts w:ascii="Arial" w:eastAsia="Arial" w:hAnsi="Arial" w:cs="Arial"/>
                <w:noProof/>
                <w:color w:val="000000"/>
                <w:sz w:val="16"/>
              </w:rPr>
            </w:pPr>
          </w:p>
        </w:tc>
      </w:tr>
      <w:tr w:rsidR="005D6812">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KES</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129,862</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3,101</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132,963</w:t>
            </w:r>
          </w:p>
        </w:tc>
        <w:tc>
          <w:tcPr>
            <w:tcW w:w="150" w:type="dxa"/>
            <w:tcBorders>
              <w:top w:val="nil"/>
              <w:left w:val="nil"/>
              <w:bottom w:val="nil"/>
              <w:right w:val="nil"/>
              <w:tl2br w:val="nil"/>
              <w:tr2bl w:val="nil"/>
            </w:tcBorders>
            <w:shd w:val="clear" w:color="FFFFFF" w:fill="FFFFFF"/>
            <w:noWrap/>
            <w:tcMar>
              <w:left w:w="40" w:type="dxa"/>
              <w:right w:w="40" w:type="dxa"/>
            </w:tcMar>
            <w:vAlign w:val="bottom"/>
          </w:tcPr>
          <w:p w:rsidR="005D6812" w:rsidRDefault="005D6812">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w:t>
            </w:r>
          </w:p>
        </w:tc>
      </w:tr>
      <w:tr w:rsidR="005D6812">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TZS</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46,246</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780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47,025</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w:t>
            </w:r>
          </w:p>
        </w:tc>
      </w:tr>
      <w:tr w:rsidR="005D6812">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DOP</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40,799</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1,274</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42,073</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w:t>
            </w:r>
          </w:p>
        </w:tc>
      </w:tr>
      <w:tr w:rsidR="005D6812">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UGX</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30,182</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565</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30,747</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w:t>
            </w:r>
          </w:p>
        </w:tc>
      </w:tr>
      <w:tr w:rsidR="005D6812">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RWF</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11,979</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164</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12,143</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w:t>
            </w:r>
          </w:p>
        </w:tc>
      </w:tr>
      <w:tr w:rsidR="005D6812">
        <w:trPr>
          <w:trHeight w:val="450"/>
        </w:trPr>
        <w:tc>
          <w:tcPr>
            <w:tcW w:w="262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rPr>
                <w:rFonts w:ascii="Arial" w:eastAsia="Arial" w:hAnsi="Arial" w:cs="Arial"/>
                <w:i/>
                <w:noProof/>
                <w:color w:val="000000"/>
                <w:sz w:val="16"/>
              </w:rPr>
            </w:pPr>
            <w:r>
              <w:rPr>
                <w:rFonts w:ascii="Arial" w:eastAsia="Arial" w:hAnsi="Arial" w:cs="Arial"/>
                <w:i/>
                <w:noProof/>
                <w:color w:val="000000"/>
                <w:sz w:val="16"/>
              </w:rPr>
              <w:t xml:space="preserve">Local currencies </w:t>
            </w:r>
            <w:r>
              <w:rPr>
                <w:rFonts w:ascii="Arial" w:eastAsia="Arial" w:hAnsi="Arial" w:cs="Arial"/>
                <w:i/>
                <w:noProof/>
                <w:color w:val="000000"/>
                <w:sz w:val="16"/>
              </w:rPr>
              <w:br/>
              <w:t xml:space="preserve">(not under </w:t>
            </w:r>
            <w:r>
              <w:rPr>
                <w:rFonts w:ascii="Arial" w:eastAsia="Arial" w:hAnsi="Arial" w:cs="Arial"/>
                <w:i/>
                <w:noProof/>
                <w:color w:val="000000"/>
                <w:sz w:val="16"/>
              </w:rPr>
              <w:t>synthetic hedge)*</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5D6812">
            <w:pPr>
              <w:rPr>
                <w:rFonts w:ascii="Arial" w:eastAsia="Arial" w:hAnsi="Arial" w:cs="Arial"/>
                <w:noProof/>
                <w:color w:val="000000"/>
                <w:sz w:val="16"/>
              </w:rPr>
            </w:pPr>
          </w:p>
        </w:tc>
      </w:tr>
      <w:tr w:rsidR="005D6812">
        <w:trPr>
          <w:trHeight w:hRule="exact" w:val="36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HTG, MUR, MZN, XOF, ZMW</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15,474</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201</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15,675</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noProof/>
                <w:color w:val="000000"/>
                <w:sz w:val="16"/>
              </w:rPr>
            </w:pPr>
            <w:r>
              <w:rPr>
                <w:rFonts w:ascii="Arial" w:eastAsia="Arial" w:hAnsi="Arial" w:cs="Arial"/>
                <w:noProof/>
                <w:color w:val="000000"/>
                <w:sz w:val="16"/>
              </w:rPr>
              <w:t>798</w:t>
            </w:r>
          </w:p>
        </w:tc>
      </w:tr>
      <w:tr w:rsidR="005D6812">
        <w:trPr>
          <w:trHeight w:val="450"/>
        </w:trPr>
        <w:tc>
          <w:tcPr>
            <w:tcW w:w="262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non-EUR currencies</w:t>
            </w:r>
          </w:p>
        </w:tc>
        <w:tc>
          <w:tcPr>
            <w:tcW w:w="18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67,492</w:t>
            </w:r>
          </w:p>
        </w:tc>
        <w:tc>
          <w:tcPr>
            <w:tcW w:w="18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11,108</w:t>
            </w:r>
          </w:p>
        </w:tc>
        <w:tc>
          <w:tcPr>
            <w:tcW w:w="18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78,599</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5D6812">
            <w:pPr>
              <w:jc w:val="center"/>
              <w:rPr>
                <w:rFonts w:ascii="Arial" w:eastAsia="Arial" w:hAnsi="Arial" w:cs="Arial"/>
                <w:b/>
                <w:noProof/>
                <w:color w:val="000000"/>
                <w:sz w:val="16"/>
              </w:rPr>
            </w:pPr>
          </w:p>
        </w:tc>
        <w:tc>
          <w:tcPr>
            <w:tcW w:w="18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271,034</w:t>
            </w:r>
          </w:p>
        </w:tc>
      </w:tr>
      <w:tr w:rsidR="005D6812">
        <w:trPr>
          <w:trHeight w:hRule="exact" w:val="585"/>
        </w:trPr>
        <w:tc>
          <w:tcPr>
            <w:tcW w:w="2625"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EUR</w:t>
            </w:r>
          </w:p>
        </w:tc>
        <w:tc>
          <w:tcPr>
            <w:tcW w:w="18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w:t>
            </w:r>
          </w:p>
        </w:tc>
        <w:tc>
          <w:tcPr>
            <w:tcW w:w="18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2,337,555</w:t>
            </w:r>
          </w:p>
        </w:tc>
        <w:tc>
          <w:tcPr>
            <w:tcW w:w="18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2,337,555</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5D6812">
            <w:pPr>
              <w:jc w:val="center"/>
              <w:rPr>
                <w:rFonts w:ascii="Arial" w:eastAsia="Arial" w:hAnsi="Arial" w:cs="Arial"/>
                <w:b/>
                <w:noProof/>
                <w:color w:val="000000"/>
                <w:sz w:val="16"/>
              </w:rPr>
            </w:pPr>
          </w:p>
        </w:tc>
        <w:tc>
          <w:tcPr>
            <w:tcW w:w="18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1,579,719</w:t>
            </w:r>
          </w:p>
        </w:tc>
      </w:tr>
      <w:tr w:rsidR="005D6812">
        <w:trPr>
          <w:trHeight w:hRule="exact" w:val="450"/>
        </w:trPr>
        <w:tc>
          <w:tcPr>
            <w:tcW w:w="2625"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b/>
                <w:noProof/>
                <w:color w:val="000000"/>
                <w:sz w:val="16"/>
                <w:lang w:val="fr-BE"/>
              </w:rPr>
            </w:pPr>
            <w:r>
              <w:rPr>
                <w:rFonts w:ascii="Arial" w:eastAsia="Arial" w:hAnsi="Arial" w:cs="Arial"/>
                <w:b/>
                <w:noProof/>
                <w:color w:val="000000"/>
                <w:sz w:val="16"/>
                <w:lang w:val="fr-BE"/>
              </w:rPr>
              <w:t>Total EUR and non-EUR</w:t>
            </w:r>
          </w:p>
        </w:tc>
        <w:tc>
          <w:tcPr>
            <w:tcW w:w="180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67,492</w:t>
            </w:r>
          </w:p>
        </w:tc>
        <w:tc>
          <w:tcPr>
            <w:tcW w:w="180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2,348,663</w:t>
            </w:r>
          </w:p>
        </w:tc>
        <w:tc>
          <w:tcPr>
            <w:tcW w:w="180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2,416,154</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5D6812">
            <w:pPr>
              <w:jc w:val="center"/>
              <w:rPr>
                <w:rFonts w:ascii="Arial" w:eastAsia="Arial" w:hAnsi="Arial" w:cs="Arial"/>
                <w:noProof/>
                <w:color w:val="000000"/>
                <w:sz w:val="16"/>
              </w:rPr>
            </w:pPr>
          </w:p>
        </w:tc>
        <w:tc>
          <w:tcPr>
            <w:tcW w:w="180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1,850,753</w:t>
            </w:r>
          </w:p>
        </w:tc>
      </w:tr>
    </w:tbl>
    <w:p w:rsidR="005D6812" w:rsidRDefault="005D6812">
      <w:pPr>
        <w:pStyle w:val="Normal24"/>
        <w:jc w:val="both"/>
        <w:rPr>
          <w:rFonts w:ascii="Arial" w:hAnsi="Arial"/>
          <w:noProof/>
          <w:sz w:val="16"/>
          <w:szCs w:val="16"/>
        </w:rPr>
      </w:pPr>
    </w:p>
    <w:p w:rsidR="005D6812" w:rsidRDefault="00AB2A2B">
      <w:pPr>
        <w:pStyle w:val="ListParagraph4"/>
        <w:numPr>
          <w:ilvl w:val="3"/>
          <w:numId w:val="83"/>
        </w:numPr>
        <w:jc w:val="both"/>
        <w:rPr>
          <w:rFonts w:ascii="Arial" w:hAnsi="Arial"/>
          <w:noProof/>
          <w:sz w:val="16"/>
          <w:szCs w:val="16"/>
        </w:rPr>
      </w:pPr>
      <w:r>
        <w:rPr>
          <w:rFonts w:ascii="Arial" w:hAnsi="Arial"/>
          <w:noProof/>
          <w:sz w:val="16"/>
          <w:szCs w:val="16"/>
        </w:rPr>
        <w:t>Foreign exchange sensitivity</w:t>
      </w:r>
      <w:r>
        <w:rPr>
          <w:rFonts w:ascii="Arial" w:hAnsi="Arial"/>
          <w:noProof/>
          <w:sz w:val="16"/>
          <w:szCs w:val="16"/>
        </w:rPr>
        <w:t xml:space="preserve"> analysis</w:t>
      </w:r>
    </w:p>
    <w:p w:rsidR="005D6812" w:rsidRDefault="005D6812">
      <w:pPr>
        <w:pStyle w:val="Normal24"/>
        <w:jc w:val="both"/>
        <w:rPr>
          <w:rFonts w:ascii="Arial" w:hAnsi="Arial"/>
          <w:noProof/>
          <w:sz w:val="16"/>
          <w:szCs w:val="16"/>
        </w:rPr>
      </w:pPr>
    </w:p>
    <w:p w:rsidR="005D6812" w:rsidRDefault="00AB2A2B">
      <w:pPr>
        <w:pStyle w:val="Normal24"/>
        <w:spacing w:before="60" w:after="60"/>
        <w:jc w:val="both"/>
        <w:rPr>
          <w:rFonts w:ascii="Arial" w:hAnsi="Arial"/>
          <w:noProof/>
          <w:sz w:val="16"/>
          <w:szCs w:val="16"/>
        </w:rPr>
      </w:pPr>
      <w:r>
        <w:rPr>
          <w:rFonts w:ascii="Arial" w:hAnsi="Arial"/>
          <w:noProof/>
          <w:sz w:val="16"/>
          <w:szCs w:val="16"/>
        </w:rPr>
        <w:t xml:space="preserve">As at 31 December 2016 a 10 percent depreciation of EUR versus  all non EUR currencies  would result in an  increase  of the contributors’ resources amounting to EUR 12.0 million (31 December 2015: EUR 8.7 million). A 10 percent appreciation of </w:t>
      </w:r>
      <w:r>
        <w:rPr>
          <w:rFonts w:ascii="Arial" w:hAnsi="Arial"/>
          <w:noProof/>
          <w:sz w:val="16"/>
          <w:szCs w:val="16"/>
        </w:rPr>
        <w:t>the EUR versus all non EUR currencies would result in a decrease of the contributors’ resources amounting to EUR 9.9 million (31 December 2015: EUR 7.1 million).</w:t>
      </w:r>
    </w:p>
    <w:p w:rsidR="005D6812" w:rsidRDefault="005D6812">
      <w:pPr>
        <w:pStyle w:val="Normal24"/>
        <w:spacing w:before="60" w:after="60"/>
        <w:jc w:val="both"/>
        <w:rPr>
          <w:rFonts w:ascii="Arial" w:hAnsi="Arial"/>
          <w:noProof/>
          <w:sz w:val="16"/>
          <w:szCs w:val="16"/>
        </w:rPr>
      </w:pPr>
    </w:p>
    <w:p w:rsidR="005D6812" w:rsidRDefault="00AB2A2B">
      <w:pPr>
        <w:pStyle w:val="ListParagraph5"/>
        <w:numPr>
          <w:ilvl w:val="3"/>
          <w:numId w:val="84"/>
        </w:numPr>
        <w:jc w:val="both"/>
        <w:rPr>
          <w:rFonts w:ascii="Arial" w:hAnsi="Arial"/>
          <w:noProof/>
          <w:sz w:val="16"/>
          <w:szCs w:val="16"/>
        </w:rPr>
      </w:pPr>
      <w:r>
        <w:rPr>
          <w:rFonts w:ascii="Arial" w:hAnsi="Arial"/>
          <w:noProof/>
          <w:sz w:val="16"/>
          <w:szCs w:val="16"/>
        </w:rPr>
        <w:t>Conversion rates</w:t>
      </w:r>
    </w:p>
    <w:p w:rsidR="005D6812" w:rsidRDefault="005D6812">
      <w:pPr>
        <w:pStyle w:val="ListParagraph5"/>
        <w:ind w:left="794"/>
        <w:jc w:val="both"/>
        <w:rPr>
          <w:rFonts w:ascii="Arial" w:hAnsi="Arial"/>
          <w:noProof/>
          <w:sz w:val="16"/>
          <w:szCs w:val="16"/>
        </w:rPr>
      </w:pPr>
    </w:p>
    <w:p w:rsidR="005D6812" w:rsidRDefault="00AB2A2B">
      <w:pPr>
        <w:pStyle w:val="Normal25"/>
        <w:jc w:val="both"/>
        <w:rPr>
          <w:rFonts w:ascii="Arial" w:hAnsi="Arial"/>
          <w:noProof/>
          <w:sz w:val="16"/>
          <w:szCs w:val="16"/>
        </w:rPr>
      </w:pPr>
      <w:r>
        <w:rPr>
          <w:rFonts w:ascii="Arial" w:hAnsi="Arial"/>
          <w:noProof/>
          <w:sz w:val="16"/>
          <w:szCs w:val="16"/>
        </w:rPr>
        <w:t>The following conversion rates were used for establishing the balance sheet</w:t>
      </w:r>
      <w:r>
        <w:rPr>
          <w:rFonts w:ascii="Arial" w:hAnsi="Arial"/>
          <w:noProof/>
          <w:sz w:val="16"/>
          <w:szCs w:val="16"/>
        </w:rPr>
        <w:t xml:space="preserve"> at 31 December 2016 and 31 December 2015:</w:t>
      </w:r>
    </w:p>
    <w:p w:rsidR="005D6812" w:rsidRDefault="005D6812">
      <w:pPr>
        <w:pStyle w:val="Normal25"/>
        <w:jc w:val="both"/>
        <w:rPr>
          <w:rFonts w:ascii="Arial" w:hAnsi="Arial"/>
          <w:noProof/>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75"/>
        <w:gridCol w:w="2250"/>
        <w:gridCol w:w="2250"/>
      </w:tblGrid>
      <w:tr w:rsidR="005D6812">
        <w:trPr>
          <w:trHeight w:val="300"/>
        </w:trPr>
        <w:tc>
          <w:tcPr>
            <w:tcW w:w="5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22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 December 2016</w:t>
            </w:r>
          </w:p>
        </w:tc>
        <w:tc>
          <w:tcPr>
            <w:tcW w:w="22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 December 2015</w:t>
            </w:r>
          </w:p>
        </w:tc>
      </w:tr>
      <w:tr w:rsidR="005D6812">
        <w:trPr>
          <w:trHeight w:val="300"/>
        </w:trPr>
        <w:tc>
          <w:tcPr>
            <w:tcW w:w="54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Non-EU currencies</w:t>
            </w:r>
          </w:p>
        </w:tc>
        <w:tc>
          <w:tcPr>
            <w:tcW w:w="22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22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Botswana Pula (BWP)</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11.2657</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11.9451</w:t>
            </w:r>
          </w:p>
        </w:tc>
      </w:tr>
      <w:tr w:rsidR="005D6812">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Dominican Republic Pesos (DOP)</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48.7476</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49.0144</w:t>
            </w:r>
          </w:p>
        </w:tc>
      </w:tr>
      <w:tr w:rsidR="005D6812">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Haitian Gourde (HTG)</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68.78</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61.19</w:t>
            </w:r>
          </w:p>
        </w:tc>
      </w:tr>
      <w:tr w:rsidR="005D6812">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Kenya Shillings (KES)</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108.06</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111.3</w:t>
            </w:r>
          </w:p>
        </w:tc>
      </w:tr>
      <w:tr w:rsidR="005D6812">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Mauritania Ouguiyas (MRO)</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375.79</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326.46</w:t>
            </w:r>
          </w:p>
        </w:tc>
      </w:tr>
      <w:tr w:rsidR="005D6812">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Mauritius Rupees (MUR)</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37.85</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38.85</w:t>
            </w:r>
          </w:p>
        </w:tc>
      </w:tr>
      <w:tr w:rsidR="005D6812">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Mozambican Metical (MZN)</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75.25</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50.59</w:t>
            </w:r>
          </w:p>
        </w:tc>
      </w:tr>
      <w:tr w:rsidR="005D6812">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Rwanda Francs (RWF)</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856.8</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806.36</w:t>
            </w:r>
          </w:p>
        </w:tc>
      </w:tr>
      <w:tr w:rsidR="005D6812">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Tanzania Shillings (TZS)</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2,296.99</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2,344.42</w:t>
            </w:r>
          </w:p>
        </w:tc>
      </w:tr>
      <w:tr w:rsidR="005D6812">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Uganda Shillings (UGX)</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3,805.00</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3,665.00</w:t>
            </w:r>
          </w:p>
        </w:tc>
      </w:tr>
      <w:tr w:rsidR="005D6812">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United States Dollars</w:t>
            </w:r>
            <w:r>
              <w:rPr>
                <w:rFonts w:ascii="Arial" w:eastAsia="Arial" w:hAnsi="Arial" w:cs="Arial"/>
                <w:noProof/>
                <w:color w:val="000000"/>
                <w:sz w:val="16"/>
              </w:rPr>
              <w:t xml:space="preserve"> (USD)</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1.0541</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1.0887</w:t>
            </w:r>
          </w:p>
        </w:tc>
      </w:tr>
      <w:tr w:rsidR="005D6812">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lang w:val="fr-BE"/>
              </w:rPr>
            </w:pPr>
            <w:r>
              <w:rPr>
                <w:rFonts w:ascii="Arial" w:eastAsia="Arial" w:hAnsi="Arial" w:cs="Arial"/>
                <w:noProof/>
                <w:color w:val="000000"/>
                <w:sz w:val="16"/>
                <w:lang w:val="fr-BE"/>
              </w:rPr>
              <w:t>Franc CFA Francs (XAF/XOF)</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655.957</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655.957</w:t>
            </w:r>
          </w:p>
        </w:tc>
      </w:tr>
      <w:tr w:rsidR="005D6812">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South Africa Rand (ZAR)</w:t>
            </w:r>
          </w:p>
        </w:tc>
        <w:tc>
          <w:tcPr>
            <w:tcW w:w="22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14.457</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16.953</w:t>
            </w:r>
          </w:p>
        </w:tc>
      </w:tr>
      <w:tr w:rsidR="005D6812">
        <w:trPr>
          <w:trHeight w:val="300"/>
        </w:trPr>
        <w:tc>
          <w:tcPr>
            <w:tcW w:w="5475"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Zambia Kvacha (ZMW)</w:t>
            </w:r>
          </w:p>
        </w:tc>
        <w:tc>
          <w:tcPr>
            <w:tcW w:w="225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10.4653</w:t>
            </w:r>
          </w:p>
        </w:tc>
        <w:tc>
          <w:tcPr>
            <w:tcW w:w="225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11.9571</w:t>
            </w:r>
          </w:p>
        </w:tc>
      </w:tr>
    </w:tbl>
    <w:p w:rsidR="005D6812" w:rsidRDefault="00AB2A2B">
      <w:pPr>
        <w:pStyle w:val="Notes22"/>
        <w:pageBreakBefore/>
        <w:numPr>
          <w:ilvl w:val="2"/>
          <w:numId w:val="86"/>
        </w:numPr>
        <w:tabs>
          <w:tab w:val="clear" w:pos="4320"/>
          <w:tab w:val="clear" w:pos="8640"/>
          <w:tab w:val="right" w:pos="-2700"/>
        </w:tabs>
        <w:spacing w:before="60" w:after="60"/>
        <w:rPr>
          <w:b w:val="0"/>
          <w:noProof/>
          <w:sz w:val="16"/>
          <w:szCs w:val="16"/>
          <w:lang w:val="en-GB"/>
        </w:rPr>
      </w:pPr>
      <w:r>
        <w:rPr>
          <w:b w:val="0"/>
          <w:noProof/>
          <w:sz w:val="16"/>
          <w:szCs w:val="16"/>
          <w:lang w:val="en-GB"/>
        </w:rPr>
        <w:t>Equity price risk</w:t>
      </w:r>
    </w:p>
    <w:p w:rsidR="005D6812" w:rsidRDefault="005D6812">
      <w:pPr>
        <w:pStyle w:val="Notes22"/>
        <w:numPr>
          <w:ilvl w:val="0"/>
          <w:numId w:val="0"/>
        </w:numPr>
        <w:tabs>
          <w:tab w:val="clear" w:pos="4320"/>
          <w:tab w:val="clear" w:pos="8640"/>
          <w:tab w:val="right" w:pos="-2700"/>
        </w:tabs>
        <w:spacing w:before="60" w:after="60"/>
        <w:ind w:left="432" w:hanging="432"/>
        <w:rPr>
          <w:b w:val="0"/>
          <w:noProof/>
          <w:sz w:val="16"/>
          <w:szCs w:val="16"/>
          <w:lang w:val="en-GB"/>
        </w:rPr>
      </w:pPr>
    </w:p>
    <w:p w:rsidR="005D6812" w:rsidRDefault="00AB2A2B">
      <w:pPr>
        <w:pStyle w:val="Normal26"/>
        <w:spacing w:before="60" w:after="60"/>
        <w:jc w:val="both"/>
        <w:rPr>
          <w:rFonts w:ascii="Arial" w:hAnsi="Arial"/>
          <w:noProof/>
          <w:sz w:val="16"/>
          <w:szCs w:val="16"/>
        </w:rPr>
      </w:pPr>
      <w:r>
        <w:rPr>
          <w:rFonts w:ascii="Arial" w:hAnsi="Arial"/>
          <w:noProof/>
          <w:sz w:val="16"/>
          <w:szCs w:val="16"/>
        </w:rPr>
        <w:t>Equity price risk refers to the risk that the fair values of equity investments decrease as the</w:t>
      </w:r>
      <w:r>
        <w:rPr>
          <w:rFonts w:ascii="Arial" w:hAnsi="Arial"/>
          <w:noProof/>
          <w:sz w:val="16"/>
          <w:szCs w:val="16"/>
        </w:rPr>
        <w:t xml:space="preserve"> result of changes in the levels of equity prices and/or the value of equity investments.</w:t>
      </w:r>
    </w:p>
    <w:p w:rsidR="005D6812" w:rsidRDefault="005D6812">
      <w:pPr>
        <w:pStyle w:val="Normal26"/>
        <w:spacing w:before="60" w:after="60"/>
        <w:jc w:val="both"/>
        <w:rPr>
          <w:rFonts w:ascii="Arial" w:hAnsi="Arial"/>
          <w:noProof/>
          <w:sz w:val="16"/>
          <w:szCs w:val="16"/>
        </w:rPr>
      </w:pPr>
    </w:p>
    <w:p w:rsidR="005D6812" w:rsidRDefault="00AB2A2B">
      <w:pPr>
        <w:pStyle w:val="Normal26"/>
        <w:spacing w:before="60" w:after="60"/>
        <w:jc w:val="both"/>
        <w:rPr>
          <w:rFonts w:ascii="Arial" w:hAnsi="Arial"/>
          <w:noProof/>
          <w:sz w:val="16"/>
          <w:szCs w:val="16"/>
        </w:rPr>
      </w:pPr>
      <w:r>
        <w:rPr>
          <w:rFonts w:ascii="Arial" w:hAnsi="Arial"/>
          <w:noProof/>
          <w:sz w:val="16"/>
          <w:szCs w:val="16"/>
        </w:rPr>
        <w:t>The IF is exposed to equity price risk via its investments in direct equity and venture capital funds.</w:t>
      </w:r>
    </w:p>
    <w:p w:rsidR="005D6812" w:rsidRDefault="005D6812">
      <w:pPr>
        <w:pStyle w:val="Normal26"/>
        <w:spacing w:before="60" w:after="60"/>
        <w:jc w:val="both"/>
        <w:rPr>
          <w:rFonts w:ascii="Arial" w:hAnsi="Arial"/>
          <w:noProof/>
          <w:sz w:val="16"/>
          <w:szCs w:val="16"/>
        </w:rPr>
      </w:pPr>
    </w:p>
    <w:p w:rsidR="005D6812" w:rsidRDefault="00AB2A2B">
      <w:pPr>
        <w:pStyle w:val="Normal26"/>
        <w:spacing w:before="60" w:after="60"/>
        <w:jc w:val="both"/>
        <w:rPr>
          <w:rFonts w:ascii="Arial" w:hAnsi="Arial"/>
          <w:noProof/>
          <w:sz w:val="16"/>
          <w:szCs w:val="16"/>
        </w:rPr>
      </w:pPr>
      <w:r>
        <w:rPr>
          <w:rFonts w:ascii="Arial" w:hAnsi="Arial"/>
          <w:noProof/>
          <w:sz w:val="16"/>
          <w:szCs w:val="16"/>
        </w:rPr>
        <w:t>The value of non-listed equity positions is not readily avail</w:t>
      </w:r>
      <w:r>
        <w:rPr>
          <w:rFonts w:ascii="Arial" w:hAnsi="Arial"/>
          <w:noProof/>
          <w:sz w:val="16"/>
          <w:szCs w:val="16"/>
        </w:rPr>
        <w:t>able for the purpose of monitoring and control on a continuous basis. For such positions, the best indications available include prices derived from any relevant valuation techniques.</w:t>
      </w:r>
    </w:p>
    <w:p w:rsidR="005D6812" w:rsidRDefault="005D6812">
      <w:pPr>
        <w:pStyle w:val="Normal26"/>
        <w:spacing w:before="60" w:after="60"/>
        <w:jc w:val="both"/>
        <w:rPr>
          <w:rFonts w:ascii="Arial" w:hAnsi="Arial"/>
          <w:noProof/>
          <w:sz w:val="16"/>
          <w:szCs w:val="16"/>
        </w:rPr>
      </w:pPr>
    </w:p>
    <w:p w:rsidR="005D6812" w:rsidRDefault="00AB2A2B">
      <w:pPr>
        <w:pStyle w:val="Normal26"/>
        <w:spacing w:before="60" w:after="60"/>
        <w:jc w:val="both"/>
        <w:rPr>
          <w:rFonts w:ascii="Arial" w:hAnsi="Arial"/>
          <w:noProof/>
          <w:sz w:val="16"/>
          <w:szCs w:val="16"/>
        </w:rPr>
      </w:pPr>
      <w:r>
        <w:rPr>
          <w:rFonts w:ascii="Arial" w:hAnsi="Arial"/>
          <w:noProof/>
          <w:sz w:val="16"/>
          <w:szCs w:val="16"/>
        </w:rPr>
        <w:t>The effects on the Facility’s contributors’ resources (as a result of a</w:t>
      </w:r>
      <w:r>
        <w:rPr>
          <w:rFonts w:ascii="Arial" w:hAnsi="Arial"/>
          <w:noProof/>
          <w:sz w:val="16"/>
          <w:szCs w:val="16"/>
        </w:rPr>
        <w:t xml:space="preserve"> change in the fair value of the available-for-sale equity portfolio) due to a +/-10% change in the value of individual direct equity and venture capital investments, with all other variables held constant, is </w:t>
      </w:r>
      <w:r>
        <w:rPr>
          <w:rFonts w:ascii="Arial" w:hAnsi="Arial"/>
          <w:noProof/>
          <w:sz w:val="16"/>
          <w:szCs w:val="16"/>
        </w:rPr>
        <w:br/>
        <w:t>EUR 51.7 million respectively EUR -51.7 milli</w:t>
      </w:r>
      <w:r>
        <w:rPr>
          <w:rFonts w:ascii="Arial" w:hAnsi="Arial"/>
          <w:noProof/>
          <w:sz w:val="16"/>
          <w:szCs w:val="16"/>
        </w:rPr>
        <w:t>on as at 31 December 2016 (EUR 41.9 million respectively EUR -41.9 million as at 31 December 2015).</w:t>
      </w:r>
    </w:p>
    <w:p w:rsidR="005D6812" w:rsidRDefault="005D6812">
      <w:pPr>
        <w:pStyle w:val="Normal26"/>
        <w:spacing w:before="60" w:after="60"/>
        <w:jc w:val="both"/>
        <w:rPr>
          <w:rFonts w:ascii="Arial" w:hAnsi="Arial"/>
          <w:noProof/>
          <w:sz w:val="16"/>
          <w:szCs w:val="16"/>
        </w:rPr>
        <w:sectPr w:rsidR="005D6812">
          <w:headerReference w:type="even" r:id="rId413"/>
          <w:headerReference w:type="default" r:id="rId414"/>
          <w:footerReference w:type="even" r:id="rId415"/>
          <w:footerReference w:type="default" r:id="rId416"/>
          <w:headerReference w:type="first" r:id="rId417"/>
          <w:footerReference w:type="first" r:id="rId418"/>
          <w:type w:val="continuous"/>
          <w:pgSz w:w="12240" w:h="15840" w:code="9"/>
          <w:pgMar w:top="765" w:right="1134" w:bottom="765" w:left="1134" w:header="709" w:footer="709" w:gutter="0"/>
          <w:pgBorders>
            <w:top w:val="nil"/>
            <w:left w:val="nil"/>
            <w:bottom w:val="nil"/>
            <w:right w:val="nil"/>
          </w:pgBorders>
          <w:cols w:space="720"/>
          <w:docGrid w:linePitch="360"/>
        </w:sectPr>
      </w:pPr>
    </w:p>
    <w:p w:rsidR="005D6812" w:rsidRDefault="00AB2A2B">
      <w:pPr>
        <w:pStyle w:val="Notes23"/>
        <w:numPr>
          <w:ilvl w:val="0"/>
          <w:numId w:val="0"/>
        </w:numPr>
        <w:ind w:left="432" w:hanging="432"/>
        <w:rPr>
          <w:noProof/>
        </w:rPr>
      </w:pPr>
      <w:r>
        <w:rPr>
          <w:noProof/>
        </w:rPr>
        <w:t>4</w:t>
      </w:r>
      <w:r>
        <w:rPr>
          <w:noProof/>
        </w:rPr>
        <w:tab/>
        <w:t>Fair values of financial instruments</w:t>
      </w:r>
    </w:p>
    <w:p w:rsidR="005D6812" w:rsidRDefault="005D6812">
      <w:pPr>
        <w:pStyle w:val="Title1123"/>
        <w:numPr>
          <w:ilvl w:val="0"/>
          <w:numId w:val="0"/>
        </w:numPr>
        <w:ind w:left="431"/>
        <w:rPr>
          <w:noProof/>
          <w:sz w:val="16"/>
          <w:szCs w:val="16"/>
        </w:rPr>
      </w:pPr>
    </w:p>
    <w:p w:rsidR="005D6812" w:rsidRDefault="00AB2A2B">
      <w:pPr>
        <w:pStyle w:val="Title1123"/>
        <w:rPr>
          <w:noProof/>
          <w:sz w:val="16"/>
          <w:szCs w:val="16"/>
        </w:rPr>
      </w:pPr>
      <w:r>
        <w:rPr>
          <w:noProof/>
          <w:sz w:val="16"/>
          <w:szCs w:val="16"/>
        </w:rPr>
        <w:t>Accounting classifications and fair values</w:t>
      </w:r>
    </w:p>
    <w:p w:rsidR="005D6812" w:rsidRDefault="005D6812">
      <w:pPr>
        <w:pStyle w:val="Title1123"/>
        <w:numPr>
          <w:ilvl w:val="0"/>
          <w:numId w:val="0"/>
        </w:numPr>
        <w:ind w:left="431"/>
        <w:rPr>
          <w:b/>
          <w:noProof/>
          <w:sz w:val="16"/>
          <w:szCs w:val="16"/>
        </w:rPr>
      </w:pPr>
    </w:p>
    <w:p w:rsidR="005D6812" w:rsidRDefault="00AB2A2B">
      <w:pPr>
        <w:pStyle w:val="Notes23"/>
        <w:numPr>
          <w:ilvl w:val="0"/>
          <w:numId w:val="0"/>
        </w:numPr>
        <w:tabs>
          <w:tab w:val="clear" w:pos="4320"/>
          <w:tab w:val="clear" w:pos="8640"/>
          <w:tab w:val="right" w:pos="-2700"/>
        </w:tabs>
        <w:spacing w:before="60" w:after="60"/>
        <w:rPr>
          <w:b w:val="0"/>
          <w:noProof/>
          <w:sz w:val="16"/>
          <w:szCs w:val="16"/>
        </w:rPr>
      </w:pPr>
      <w:r>
        <w:rPr>
          <w:b w:val="0"/>
          <w:noProof/>
          <w:sz w:val="16"/>
          <w:szCs w:val="16"/>
          <w:lang w:val="en-GB"/>
        </w:rPr>
        <w:t xml:space="preserve">The following table shows the carrying amounts and fair values of financial assets and financial liabilities, </w:t>
      </w:r>
      <w:r>
        <w:rPr>
          <w:b w:val="0"/>
          <w:noProof/>
          <w:sz w:val="16"/>
          <w:szCs w:val="16"/>
          <w:lang w:val="en-GB"/>
        </w:rPr>
        <w:t>including their levels in the fair value hierarchy.</w:t>
      </w:r>
      <w:r>
        <w:rPr>
          <w:b w:val="0"/>
          <w:noProof/>
          <w:sz w:val="16"/>
          <w:szCs w:val="16"/>
        </w:rPr>
        <w:t xml:space="preserve"> These do not</w:t>
      </w:r>
      <w:r>
        <w:rPr>
          <w:b w:val="0"/>
          <w:noProof/>
          <w:sz w:val="16"/>
          <w:szCs w:val="16"/>
          <w:lang w:val="en-GB"/>
        </w:rPr>
        <w:t xml:space="preserve"> include fair value information for financial assets and financial liabilities not carried at fair value if the carrying amount is a reasonable approximation of fair value.</w:t>
      </w:r>
    </w:p>
    <w:p w:rsidR="005D6812" w:rsidRDefault="005D6812">
      <w:pPr>
        <w:pStyle w:val="Notes23"/>
        <w:numPr>
          <w:ilvl w:val="0"/>
          <w:numId w:val="0"/>
        </w:numPr>
        <w:tabs>
          <w:tab w:val="clear" w:pos="4320"/>
          <w:tab w:val="clear" w:pos="8640"/>
          <w:tab w:val="right" w:pos="-2700"/>
        </w:tabs>
        <w:spacing w:before="60" w:after="60"/>
        <w:rPr>
          <w:b w:val="0"/>
          <w:noProof/>
          <w:sz w:val="16"/>
          <w:szCs w:val="16"/>
        </w:rPr>
      </w:pPr>
    </w:p>
    <w:tbl>
      <w:tblPr>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60"/>
        <w:gridCol w:w="975"/>
        <w:gridCol w:w="1050"/>
        <w:gridCol w:w="1140"/>
        <w:gridCol w:w="975"/>
        <w:gridCol w:w="1050"/>
        <w:gridCol w:w="1140"/>
        <w:gridCol w:w="150"/>
        <w:gridCol w:w="900"/>
        <w:gridCol w:w="900"/>
        <w:gridCol w:w="900"/>
        <w:gridCol w:w="900"/>
      </w:tblGrid>
      <w:tr w:rsidR="005D6812">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At 31 December </w:t>
            </w:r>
            <w:r>
              <w:rPr>
                <w:rFonts w:ascii="Arial" w:eastAsia="Arial" w:hAnsi="Arial" w:cs="Arial"/>
                <w:b/>
                <w:noProof/>
                <w:color w:val="000000"/>
                <w:sz w:val="16"/>
              </w:rPr>
              <w:t>2016</w:t>
            </w:r>
          </w:p>
        </w:tc>
        <w:tc>
          <w:tcPr>
            <w:tcW w:w="6330" w:type="dxa"/>
            <w:gridSpan w:val="6"/>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Carrying amount</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b/>
                <w:noProof/>
                <w:color w:val="000000"/>
                <w:sz w:val="16"/>
              </w:rPr>
            </w:pPr>
          </w:p>
        </w:tc>
        <w:tc>
          <w:tcPr>
            <w:tcW w:w="3600" w:type="dxa"/>
            <w:gridSpan w:val="4"/>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Fair value</w:t>
            </w:r>
          </w:p>
        </w:tc>
      </w:tr>
      <w:tr w:rsidR="005D6812">
        <w:trPr>
          <w:trHeight w:val="675"/>
        </w:trPr>
        <w:tc>
          <w:tcPr>
            <w:tcW w:w="366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In EUR’000</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Held for trading</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Available-for-sale</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Cash, loans and receivables</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Held to maturity</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Other financial liabilities</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Total</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Level 1</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Level 2</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Level 3</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Total</w:t>
            </w:r>
          </w:p>
        </w:tc>
      </w:tr>
      <w:tr w:rsidR="005D6812">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F</w:t>
            </w:r>
            <w:r>
              <w:rPr>
                <w:rFonts w:ascii="Arial" w:eastAsia="Arial" w:hAnsi="Arial" w:cs="Arial"/>
                <w:b/>
                <w:noProof/>
                <w:color w:val="000000"/>
                <w:sz w:val="16"/>
              </w:rPr>
              <w:t>inancial assets carried at fair value:</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366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Derivative financial instruments </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6,920</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6,920</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6,920</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6,920</w:t>
            </w:r>
          </w:p>
        </w:tc>
      </w:tr>
      <w:tr w:rsidR="005D6812">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Venture Capital Funds</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437,788</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437,788</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437,788</w:t>
            </w:r>
          </w:p>
        </w:tc>
        <w:tc>
          <w:tcPr>
            <w:tcW w:w="90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437,788</w:t>
            </w:r>
          </w:p>
        </w:tc>
      </w:tr>
      <w:tr w:rsidR="005D6812">
        <w:trPr>
          <w:trHeight w:val="255"/>
        </w:trPr>
        <w:tc>
          <w:tcPr>
            <w:tcW w:w="366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Direct Equity Investments</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79,096</w:t>
            </w: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79,096</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22,880</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56,216</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79,096</w:t>
            </w:r>
          </w:p>
        </w:tc>
      </w:tr>
      <w:tr w:rsidR="005D6812">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6</w:t>
            </w:r>
            <w:r>
              <w:rPr>
                <w:rFonts w:ascii="Arial" w:eastAsia="Arial" w:hAnsi="Arial" w:cs="Arial"/>
                <w:b/>
                <w:noProof/>
                <w:color w:val="000000"/>
                <w:sz w:val="16"/>
              </w:rPr>
              <w:t>,920</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516,884</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523,804</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22,880</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6,920</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494,004</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523,804</w:t>
            </w:r>
          </w:p>
        </w:tc>
      </w:tr>
      <w:tr w:rsidR="005D6812">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Financial assets not carried at fair value:</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Cash and</w:t>
            </w:r>
            <w:r>
              <w:rPr>
                <w:rFonts w:ascii="Arial" w:eastAsia="Arial" w:hAnsi="Arial" w:cs="Arial"/>
                <w:noProof/>
                <w:color w:val="000000"/>
                <w:sz w:val="16"/>
              </w:rPr>
              <w:t xml:space="preserve"> cash equivalents</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i/>
                <w:noProof/>
                <w:color w:val="000000"/>
                <w:sz w:val="16"/>
              </w:rPr>
            </w:pPr>
            <w:r>
              <w:rPr>
                <w:rFonts w:ascii="Arial" w:eastAsia="Arial" w:hAnsi="Arial" w:cs="Arial"/>
                <w:i/>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i/>
                <w:noProof/>
                <w:color w:val="000000"/>
                <w:sz w:val="16"/>
              </w:rPr>
            </w:pPr>
            <w:r>
              <w:rPr>
                <w:rFonts w:ascii="Arial" w:eastAsia="Arial" w:hAnsi="Arial" w:cs="Arial"/>
                <w:i/>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360,817</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360,817</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Loans and receivables</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i/>
                <w:noProof/>
                <w:color w:val="000000"/>
                <w:sz w:val="16"/>
              </w:rPr>
            </w:pPr>
            <w:r>
              <w:rPr>
                <w:rFonts w:ascii="Arial" w:eastAsia="Arial" w:hAnsi="Arial" w:cs="Arial"/>
                <w:i/>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i/>
                <w:noProof/>
                <w:color w:val="000000"/>
                <w:sz w:val="16"/>
              </w:rPr>
            </w:pPr>
            <w:r>
              <w:rPr>
                <w:rFonts w:ascii="Arial" w:eastAsia="Arial" w:hAnsi="Arial" w:cs="Arial"/>
                <w:i/>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1,729,380</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1,729,380</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1,951,786</w:t>
            </w:r>
          </w:p>
        </w:tc>
        <w:tc>
          <w:tcPr>
            <w:tcW w:w="90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1,951,786</w:t>
            </w:r>
          </w:p>
        </w:tc>
      </w:tr>
      <w:tr w:rsidR="005D6812">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Amounts receivable from contributors</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i/>
                <w:noProof/>
                <w:color w:val="000000"/>
                <w:sz w:val="16"/>
              </w:rPr>
            </w:pPr>
            <w:r>
              <w:rPr>
                <w:rFonts w:ascii="Arial" w:eastAsia="Arial" w:hAnsi="Arial" w:cs="Arial"/>
                <w:i/>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i/>
                <w:noProof/>
                <w:color w:val="000000"/>
                <w:sz w:val="16"/>
              </w:rPr>
            </w:pPr>
            <w:r>
              <w:rPr>
                <w:rFonts w:ascii="Arial" w:eastAsia="Arial" w:hAnsi="Arial" w:cs="Arial"/>
                <w:i/>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86,395</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86,395</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Bonds</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i/>
                <w:noProof/>
                <w:color w:val="000000"/>
                <w:sz w:val="16"/>
              </w:rPr>
            </w:pPr>
            <w:r>
              <w:rPr>
                <w:rFonts w:ascii="Arial" w:eastAsia="Arial" w:hAnsi="Arial" w:cs="Arial"/>
                <w:i/>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i/>
                <w:noProof/>
                <w:color w:val="000000"/>
                <w:sz w:val="16"/>
              </w:rPr>
            </w:pPr>
            <w:r>
              <w:rPr>
                <w:rFonts w:ascii="Arial" w:eastAsia="Arial" w:hAnsi="Arial" w:cs="Arial"/>
                <w:i/>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169,398</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169,398</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120,123</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48,031</w:t>
            </w:r>
          </w:p>
        </w:tc>
        <w:tc>
          <w:tcPr>
            <w:tcW w:w="90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168,154</w:t>
            </w:r>
          </w:p>
        </w:tc>
      </w:tr>
      <w:tr w:rsidR="005D6812">
        <w:trPr>
          <w:trHeight w:val="255"/>
        </w:trPr>
        <w:tc>
          <w:tcPr>
            <w:tcW w:w="366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Other </w:t>
            </w:r>
            <w:r>
              <w:rPr>
                <w:rFonts w:ascii="Arial" w:eastAsia="Arial" w:hAnsi="Arial" w:cs="Arial"/>
                <w:noProof/>
                <w:color w:val="000000"/>
                <w:sz w:val="16"/>
              </w:rPr>
              <w:t>assets</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i/>
                <w:noProof/>
                <w:color w:val="000000"/>
                <w:sz w:val="16"/>
              </w:rPr>
            </w:pPr>
            <w:r>
              <w:rPr>
                <w:rFonts w:ascii="Arial" w:eastAsia="Arial" w:hAnsi="Arial" w:cs="Arial"/>
                <w:i/>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i/>
                <w:noProof/>
                <w:color w:val="000000"/>
                <w:sz w:val="16"/>
              </w:rPr>
            </w:pPr>
            <w:r>
              <w:rPr>
                <w:rFonts w:ascii="Arial" w:eastAsia="Arial" w:hAnsi="Arial" w:cs="Arial"/>
                <w:i/>
                <w:noProof/>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345</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345</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2,176,937</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169,398</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2,346,335</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120,123</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1,999,817</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2,119,940</w:t>
            </w:r>
          </w:p>
        </w:tc>
      </w:tr>
      <w:tr w:rsidR="005D6812">
        <w:trPr>
          <w:trHeight w:val="255"/>
        </w:trPr>
        <w:tc>
          <w:tcPr>
            <w:tcW w:w="3660" w:type="dxa"/>
            <w:tcBorders>
              <w:top w:val="single" w:sz="8" w:space="0" w:color="000000"/>
              <w:left w:val="nil"/>
              <w:bottom w:val="nil"/>
              <w:right w:val="nil"/>
              <w:tl2br w:val="nil"/>
              <w:tr2bl w:val="nil"/>
            </w:tcBorders>
            <w:shd w:val="clear" w:color="FFFFFF" w:fill="C0C0C0"/>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financial assets</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6,920</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516,884</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2,176,937</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169,398</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2,870,139</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255"/>
        </w:trPr>
        <w:tc>
          <w:tcPr>
            <w:tcW w:w="366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5D6812">
            <w:pPr>
              <w:rPr>
                <w:rFonts w:ascii="Arial" w:eastAsia="Arial" w:hAnsi="Arial" w:cs="Arial"/>
                <w:noProof/>
                <w:color w:val="000000"/>
                <w:sz w:val="16"/>
              </w:rPr>
            </w:pP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Financial liabilities carried at fair value:</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366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Derivative financial instruments</w:t>
            </w: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-25,189</w:t>
            </w: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-25,189</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-25,189</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-25,189</w:t>
            </w:r>
          </w:p>
        </w:tc>
      </w:tr>
      <w:tr w:rsidR="005D6812">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r>
              <w:rPr>
                <w:rFonts w:ascii="Arial" w:eastAsia="Arial" w:hAnsi="Arial" w:cs="Arial"/>
                <w:b/>
                <w:noProof/>
                <w:color w:val="000000"/>
                <w:sz w:val="16"/>
              </w:rPr>
              <w:t>25,189</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-25,189</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-25,189</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-25,189</w:t>
            </w:r>
          </w:p>
        </w:tc>
      </w:tr>
      <w:tr w:rsidR="005D6812">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Financial liabilities not carried at fair value:</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Pr</w:t>
            </w:r>
            <w:r>
              <w:rPr>
                <w:rFonts w:ascii="Arial" w:eastAsia="Arial" w:hAnsi="Arial" w:cs="Arial"/>
                <w:noProof/>
                <w:color w:val="000000"/>
                <w:sz w:val="16"/>
              </w:rPr>
              <w:t>ovisions for guarantees issued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-625</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-625</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Amounts owed to third parties</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-116,114</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-116,114</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val="255"/>
        </w:trPr>
        <w:tc>
          <w:tcPr>
            <w:tcW w:w="366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Other liabilities</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-2,546</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-2,546</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-119,285</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-119,285</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val="255"/>
        </w:trPr>
        <w:tc>
          <w:tcPr>
            <w:tcW w:w="3660" w:type="dxa"/>
            <w:tcBorders>
              <w:top w:val="single" w:sz="8" w:space="0" w:color="000000"/>
              <w:left w:val="nil"/>
              <w:bottom w:val="nil"/>
              <w:right w:val="nil"/>
              <w:tl2br w:val="nil"/>
              <w:tr2bl w:val="nil"/>
            </w:tcBorders>
            <w:shd w:val="clear" w:color="FFFFFF" w:fill="C0C0C0"/>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financial liabilities</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-25,189</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-119,285</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-144,474</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bl>
    <w:p w:rsidR="005D6812" w:rsidRDefault="00AB2A2B">
      <w:pPr>
        <w:pStyle w:val="Notes24"/>
        <w:pageBreakBefore/>
        <w:numPr>
          <w:ilvl w:val="0"/>
          <w:numId w:val="0"/>
        </w:numPr>
        <w:ind w:left="432" w:hanging="432"/>
        <w:rPr>
          <w:noProof/>
        </w:rPr>
      </w:pPr>
      <w:r>
        <w:rPr>
          <w:noProof/>
        </w:rPr>
        <w:t>4</w:t>
      </w:r>
      <w:r>
        <w:rPr>
          <w:noProof/>
        </w:rPr>
        <w:tab/>
        <w:t>Fair values of financial instruments (continued)</w:t>
      </w:r>
    </w:p>
    <w:p w:rsidR="005D6812" w:rsidRDefault="005D6812">
      <w:pPr>
        <w:pStyle w:val="Title1124"/>
        <w:numPr>
          <w:ilvl w:val="0"/>
          <w:numId w:val="0"/>
        </w:numPr>
        <w:ind w:left="431"/>
        <w:rPr>
          <w:noProof/>
          <w:sz w:val="16"/>
          <w:szCs w:val="16"/>
        </w:rPr>
      </w:pPr>
    </w:p>
    <w:p w:rsidR="005D6812" w:rsidRDefault="00AB2A2B">
      <w:pPr>
        <w:pStyle w:val="Title1124"/>
        <w:rPr>
          <w:noProof/>
          <w:sz w:val="16"/>
          <w:szCs w:val="16"/>
        </w:rPr>
      </w:pPr>
      <w:r>
        <w:rPr>
          <w:noProof/>
          <w:sz w:val="16"/>
          <w:szCs w:val="16"/>
        </w:rPr>
        <w:t>Accounting classifications and fair values (continued)</w:t>
      </w:r>
    </w:p>
    <w:p w:rsidR="005D6812" w:rsidRDefault="005D6812">
      <w:pPr>
        <w:pStyle w:val="Title1124"/>
        <w:numPr>
          <w:ilvl w:val="0"/>
          <w:numId w:val="0"/>
        </w:numPr>
        <w:ind w:left="431"/>
        <w:rPr>
          <w:noProof/>
          <w:sz w:val="16"/>
          <w:szCs w:val="16"/>
        </w:rPr>
      </w:pPr>
    </w:p>
    <w:tbl>
      <w:tblPr>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60"/>
        <w:gridCol w:w="975"/>
        <w:gridCol w:w="1050"/>
        <w:gridCol w:w="1140"/>
        <w:gridCol w:w="975"/>
        <w:gridCol w:w="1050"/>
        <w:gridCol w:w="1140"/>
        <w:gridCol w:w="150"/>
        <w:gridCol w:w="900"/>
        <w:gridCol w:w="900"/>
        <w:gridCol w:w="900"/>
        <w:gridCol w:w="900"/>
      </w:tblGrid>
      <w:tr w:rsidR="005D6812">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At 31 December 2015</w:t>
            </w:r>
          </w:p>
        </w:tc>
        <w:tc>
          <w:tcPr>
            <w:tcW w:w="6330" w:type="dxa"/>
            <w:gridSpan w:val="6"/>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Carrying amount</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b/>
                <w:noProof/>
                <w:color w:val="000000"/>
                <w:sz w:val="16"/>
              </w:rPr>
            </w:pPr>
          </w:p>
        </w:tc>
        <w:tc>
          <w:tcPr>
            <w:tcW w:w="3600" w:type="dxa"/>
            <w:gridSpan w:val="4"/>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Fair value</w:t>
            </w:r>
          </w:p>
        </w:tc>
      </w:tr>
      <w:tr w:rsidR="005D6812">
        <w:trPr>
          <w:trHeight w:val="675"/>
        </w:trPr>
        <w:tc>
          <w:tcPr>
            <w:tcW w:w="366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In EUR’000</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Held for trading</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Available-for-sale</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Cash, loans and receivables</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 xml:space="preserve">Held to </w:t>
            </w:r>
            <w:r>
              <w:rPr>
                <w:rFonts w:ascii="Arial" w:eastAsia="Arial" w:hAnsi="Arial" w:cs="Arial"/>
                <w:b/>
                <w:noProof/>
                <w:color w:val="000000"/>
                <w:sz w:val="16"/>
              </w:rPr>
              <w:t>maturity</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Other financial liabilities</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Total</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Level 1</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Level 2</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Level 3</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Total</w:t>
            </w:r>
          </w:p>
        </w:tc>
      </w:tr>
      <w:tr w:rsidR="005D6812">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F</w:t>
            </w:r>
            <w:r>
              <w:rPr>
                <w:rFonts w:ascii="Arial" w:eastAsia="Arial" w:hAnsi="Arial" w:cs="Arial"/>
                <w:b/>
                <w:noProof/>
                <w:color w:val="000000"/>
                <w:sz w:val="16"/>
              </w:rPr>
              <w:t>inancial assets carried at fair value:</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3660" w:type="dxa"/>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Derivative financial instruments </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311</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311</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311</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311</w:t>
            </w:r>
          </w:p>
        </w:tc>
      </w:tr>
      <w:tr w:rsidR="005D6812">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Venture Capital Funds</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396,203</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396,203</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396,203</w:t>
            </w:r>
          </w:p>
        </w:tc>
        <w:tc>
          <w:tcPr>
            <w:tcW w:w="90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396,203</w:t>
            </w:r>
          </w:p>
        </w:tc>
      </w:tr>
      <w:tr w:rsidR="005D6812">
        <w:trPr>
          <w:trHeight w:val="255"/>
        </w:trPr>
        <w:tc>
          <w:tcPr>
            <w:tcW w:w="366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Direct Equity Investments</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23,150</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23,150</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178</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22,972</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23,150</w:t>
            </w:r>
          </w:p>
        </w:tc>
      </w:tr>
      <w:tr w:rsidR="005D6812">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w:t>
            </w:r>
            <w:r>
              <w:rPr>
                <w:rFonts w:ascii="Arial" w:eastAsia="Arial" w:hAnsi="Arial" w:cs="Arial"/>
                <w:b/>
                <w:noProof/>
                <w:color w:val="000000"/>
                <w:sz w:val="16"/>
              </w:rPr>
              <w:t>11</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419,353</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419,664</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178</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419,175</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419,664</w:t>
            </w:r>
          </w:p>
        </w:tc>
      </w:tr>
      <w:tr w:rsidR="005D6812">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Financial assets not carried at fair value:</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Cash and</w:t>
            </w:r>
            <w:r>
              <w:rPr>
                <w:rFonts w:ascii="Arial" w:eastAsia="Arial" w:hAnsi="Arial" w:cs="Arial"/>
                <w:noProof/>
                <w:color w:val="000000"/>
                <w:sz w:val="16"/>
              </w:rPr>
              <w:t xml:space="preserve"> cash equivalents</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i/>
                <w:noProof/>
                <w:color w:val="000000"/>
                <w:sz w:val="16"/>
              </w:rPr>
            </w:pPr>
            <w:r>
              <w:rPr>
                <w:rFonts w:ascii="Arial" w:eastAsia="Arial" w:hAnsi="Arial" w:cs="Arial"/>
                <w:i/>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i/>
                <w:noProof/>
                <w:color w:val="000000"/>
                <w:sz w:val="16"/>
              </w:rPr>
            </w:pPr>
            <w:r>
              <w:rPr>
                <w:rFonts w:ascii="Arial" w:eastAsia="Arial" w:hAnsi="Arial" w:cs="Arial"/>
                <w:i/>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448,995</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448,995</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Loans and receivables</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i/>
                <w:noProof/>
                <w:color w:val="000000"/>
                <w:sz w:val="16"/>
              </w:rPr>
            </w:pPr>
            <w:r>
              <w:rPr>
                <w:rFonts w:ascii="Arial" w:eastAsia="Arial" w:hAnsi="Arial" w:cs="Arial"/>
                <w:i/>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i/>
                <w:noProof/>
                <w:color w:val="000000"/>
                <w:sz w:val="16"/>
              </w:rPr>
            </w:pPr>
            <w:r>
              <w:rPr>
                <w:rFonts w:ascii="Arial" w:eastAsia="Arial" w:hAnsi="Arial" w:cs="Arial"/>
                <w:i/>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1,460,057</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1,460,057</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1,649,401</w:t>
            </w:r>
          </w:p>
        </w:tc>
        <w:tc>
          <w:tcPr>
            <w:tcW w:w="90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1,649,401</w:t>
            </w:r>
          </w:p>
        </w:tc>
      </w:tr>
      <w:tr w:rsidR="005D6812">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Bonds</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i/>
                <w:noProof/>
                <w:color w:val="000000"/>
                <w:sz w:val="16"/>
              </w:rPr>
            </w:pPr>
            <w:r>
              <w:rPr>
                <w:rFonts w:ascii="Arial" w:eastAsia="Arial" w:hAnsi="Arial" w:cs="Arial"/>
                <w:i/>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i/>
                <w:noProof/>
                <w:color w:val="000000"/>
                <w:sz w:val="16"/>
              </w:rPr>
            </w:pPr>
            <w:r>
              <w:rPr>
                <w:rFonts w:ascii="Arial" w:eastAsia="Arial" w:hAnsi="Arial" w:cs="Arial"/>
                <w:i/>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228,521</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228,521</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124,009</w:t>
            </w:r>
          </w:p>
        </w:tc>
        <w:tc>
          <w:tcPr>
            <w:tcW w:w="90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104,520</w:t>
            </w:r>
          </w:p>
        </w:tc>
        <w:tc>
          <w:tcPr>
            <w:tcW w:w="90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228,529</w:t>
            </w:r>
          </w:p>
        </w:tc>
      </w:tr>
      <w:tr w:rsidR="005D6812">
        <w:trPr>
          <w:trHeight w:val="255"/>
        </w:trPr>
        <w:tc>
          <w:tcPr>
            <w:tcW w:w="366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Other assets</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i/>
                <w:noProof/>
                <w:color w:val="000000"/>
                <w:sz w:val="16"/>
              </w:rPr>
            </w:pPr>
            <w:r>
              <w:rPr>
                <w:rFonts w:ascii="Arial" w:eastAsia="Arial" w:hAnsi="Arial" w:cs="Arial"/>
                <w:i/>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i/>
                <w:noProof/>
                <w:color w:val="000000"/>
                <w:sz w:val="16"/>
              </w:rPr>
            </w:pPr>
            <w:r>
              <w:rPr>
                <w:rFonts w:ascii="Arial" w:eastAsia="Arial" w:hAnsi="Arial" w:cs="Arial"/>
                <w:i/>
                <w:noProof/>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27</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27</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1,909,079</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228,521</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2,137,600</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124,009</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1,753,921</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1,877,930</w:t>
            </w:r>
          </w:p>
        </w:tc>
      </w:tr>
      <w:tr w:rsidR="005D6812">
        <w:trPr>
          <w:trHeight w:val="255"/>
        </w:trPr>
        <w:tc>
          <w:tcPr>
            <w:tcW w:w="3660" w:type="dxa"/>
            <w:tcBorders>
              <w:top w:val="single" w:sz="8" w:space="0" w:color="000000"/>
              <w:left w:val="nil"/>
              <w:bottom w:val="nil"/>
              <w:right w:val="nil"/>
              <w:tl2br w:val="nil"/>
              <w:tr2bl w:val="nil"/>
            </w:tcBorders>
            <w:shd w:val="clear" w:color="FFFFFF" w:fill="C0C0C0"/>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financial assets</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419,353</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1,909,079</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228,521</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2,557,264</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255"/>
        </w:trPr>
        <w:tc>
          <w:tcPr>
            <w:tcW w:w="366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5D6812">
            <w:pPr>
              <w:rPr>
                <w:rFonts w:ascii="Arial" w:eastAsia="Arial" w:hAnsi="Arial" w:cs="Arial"/>
                <w:noProof/>
                <w:color w:val="000000"/>
                <w:sz w:val="16"/>
              </w:rPr>
            </w:pP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Financial liabilities carried at fair value:</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366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Derivative financial instruments</w:t>
            </w: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-8,219</w:t>
            </w: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-8,219</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-8,219</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-8,219</w:t>
            </w:r>
          </w:p>
        </w:tc>
      </w:tr>
      <w:tr w:rsidR="005D6812">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r>
              <w:rPr>
                <w:rFonts w:ascii="Arial" w:eastAsia="Arial" w:hAnsi="Arial" w:cs="Arial"/>
                <w:b/>
                <w:noProof/>
                <w:color w:val="000000"/>
                <w:sz w:val="16"/>
              </w:rPr>
              <w:t>8,219</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-8,219</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-8,219</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-8,219</w:t>
            </w:r>
          </w:p>
        </w:tc>
      </w:tr>
      <w:tr w:rsidR="005D6812">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Financial liabilities not carried at fair value:</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single" w:sz="8" w:space="0" w:color="000000"/>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Pr</w:t>
            </w:r>
            <w:r>
              <w:rPr>
                <w:rFonts w:ascii="Arial" w:eastAsia="Arial" w:hAnsi="Arial" w:cs="Arial"/>
                <w:noProof/>
                <w:color w:val="000000"/>
                <w:sz w:val="16"/>
              </w:rPr>
              <w:t>ovisions for guarantees issued</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Amounts owed to third parties</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-101,202</w:t>
            </w:r>
          </w:p>
        </w:tc>
        <w:tc>
          <w:tcPr>
            <w:tcW w:w="1140" w:type="dxa"/>
            <w:tcBorders>
              <w:top w:val="nil"/>
              <w:left w:val="nil"/>
              <w:bottom w:val="nil"/>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-101,202</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val="255"/>
        </w:trPr>
        <w:tc>
          <w:tcPr>
            <w:tcW w:w="366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Other liabilities</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-2,364</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-2,364</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-103,566</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-103,566</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val="255"/>
        </w:trPr>
        <w:tc>
          <w:tcPr>
            <w:tcW w:w="3660" w:type="dxa"/>
            <w:tcBorders>
              <w:top w:val="single" w:sz="8" w:space="0" w:color="000000"/>
              <w:left w:val="nil"/>
              <w:bottom w:val="nil"/>
              <w:right w:val="nil"/>
              <w:tl2br w:val="nil"/>
              <w:tr2bl w:val="nil"/>
            </w:tcBorders>
            <w:shd w:val="clear" w:color="FFFFFF" w:fill="C0C0C0"/>
            <w:noWrap/>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financial liabilities</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-8,219</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-103,566</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-111,785</w:t>
            </w:r>
          </w:p>
        </w:tc>
        <w:tc>
          <w:tcPr>
            <w:tcW w:w="15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bl>
    <w:p w:rsidR="005D6812" w:rsidRDefault="005D6812">
      <w:pPr>
        <w:rPr>
          <w:noProof/>
        </w:rPr>
        <w:sectPr w:rsidR="005D6812">
          <w:headerReference w:type="even" r:id="rId419"/>
          <w:headerReference w:type="default" r:id="rId420"/>
          <w:footerReference w:type="even" r:id="rId421"/>
          <w:footerReference w:type="default" r:id="rId422"/>
          <w:headerReference w:type="first" r:id="rId423"/>
          <w:footerReference w:type="first" r:id="rId424"/>
          <w:type w:val="continuous"/>
          <w:pgSz w:w="15840" w:h="12240" w:orient="landscape"/>
          <w:pgMar w:top="765" w:right="1134" w:bottom="765" w:left="1134" w:header="720" w:footer="720" w:gutter="0"/>
          <w:pgBorders>
            <w:top w:val="nil"/>
            <w:left w:val="nil"/>
            <w:bottom w:val="nil"/>
            <w:right w:val="nil"/>
          </w:pgBorders>
          <w:cols w:space="720"/>
          <w:docGrid w:linePitch="360"/>
        </w:sectPr>
      </w:pPr>
    </w:p>
    <w:p w:rsidR="005D6812" w:rsidRDefault="00AB2A2B">
      <w:pPr>
        <w:pStyle w:val="Title1125"/>
        <w:rPr>
          <w:noProof/>
          <w:sz w:val="16"/>
          <w:szCs w:val="16"/>
        </w:rPr>
      </w:pPr>
      <w:r>
        <w:rPr>
          <w:noProof/>
          <w:sz w:val="16"/>
          <w:szCs w:val="16"/>
        </w:rPr>
        <w:t>Measurement of fair values</w:t>
      </w:r>
    </w:p>
    <w:p w:rsidR="005D6812" w:rsidRDefault="005D6812">
      <w:pPr>
        <w:pStyle w:val="Title1125"/>
        <w:numPr>
          <w:ilvl w:val="0"/>
          <w:numId w:val="0"/>
        </w:numPr>
        <w:ind w:left="431"/>
        <w:rPr>
          <w:noProof/>
          <w:sz w:val="16"/>
          <w:szCs w:val="16"/>
        </w:rPr>
      </w:pPr>
    </w:p>
    <w:p w:rsidR="005D6812" w:rsidRDefault="00AB2A2B">
      <w:pPr>
        <w:pStyle w:val="Title1125"/>
        <w:numPr>
          <w:ilvl w:val="2"/>
          <w:numId w:val="89"/>
        </w:numPr>
        <w:rPr>
          <w:noProof/>
          <w:sz w:val="16"/>
          <w:szCs w:val="16"/>
        </w:rPr>
      </w:pPr>
      <w:r>
        <w:rPr>
          <w:noProof/>
          <w:sz w:val="16"/>
          <w:szCs w:val="16"/>
        </w:rPr>
        <w:t xml:space="preserve">Valuation </w:t>
      </w:r>
      <w:r>
        <w:rPr>
          <w:noProof/>
          <w:sz w:val="16"/>
          <w:szCs w:val="16"/>
        </w:rPr>
        <w:t>techniques and significant unobservable inputs</w:t>
      </w:r>
    </w:p>
    <w:p w:rsidR="005D6812" w:rsidRDefault="005D6812">
      <w:pPr>
        <w:pStyle w:val="Normal29"/>
        <w:suppressAutoHyphens w:val="0"/>
        <w:spacing w:before="60" w:after="60"/>
        <w:jc w:val="both"/>
        <w:rPr>
          <w:rFonts w:ascii="Arial" w:hAnsi="Arial"/>
          <w:noProof/>
          <w:sz w:val="16"/>
          <w:szCs w:val="16"/>
        </w:rPr>
      </w:pPr>
    </w:p>
    <w:p w:rsidR="005D6812" w:rsidRDefault="00AB2A2B">
      <w:pPr>
        <w:pStyle w:val="Normal29"/>
        <w:rPr>
          <w:rFonts w:ascii="Arial" w:hAnsi="Arial"/>
          <w:noProof/>
          <w:sz w:val="16"/>
          <w:szCs w:val="16"/>
        </w:rPr>
      </w:pPr>
      <w:r>
        <w:rPr>
          <w:rFonts w:ascii="Arial" w:hAnsi="Arial"/>
          <w:noProof/>
          <w:sz w:val="16"/>
          <w:szCs w:val="16"/>
        </w:rPr>
        <w:t>The table below sets out information about the valuation techniques and significant unobservable inputs used in measuring financial instruments, categorised as level 2 and 3 in the fair value hierarchy:</w:t>
      </w:r>
    </w:p>
    <w:p w:rsidR="005D6812" w:rsidRDefault="005D6812">
      <w:pPr>
        <w:pStyle w:val="Normal29"/>
        <w:rPr>
          <w:rFonts w:ascii="Arial" w:hAnsi="Arial"/>
          <w:noProof/>
          <w:sz w:val="16"/>
          <w:szCs w:val="16"/>
        </w:rPr>
      </w:pPr>
    </w:p>
    <w:tbl>
      <w:tblPr>
        <w:tblW w:w="10787" w:type="dxa"/>
        <w:tblInd w:w="95" w:type="dxa"/>
        <w:tblLook w:val="0000" w:firstRow="0" w:lastRow="0" w:firstColumn="0" w:lastColumn="0" w:noHBand="0" w:noVBand="0"/>
      </w:tblPr>
      <w:tblGrid>
        <w:gridCol w:w="1431"/>
        <w:gridCol w:w="4394"/>
        <w:gridCol w:w="3119"/>
        <w:gridCol w:w="1843"/>
      </w:tblGrid>
      <w:tr w:rsidR="005D6812">
        <w:trPr>
          <w:trHeight w:val="454"/>
        </w:trPr>
        <w:tc>
          <w:tcPr>
            <w:tcW w:w="1431" w:type="dxa"/>
            <w:tcBorders>
              <w:top w:val="single" w:sz="4" w:space="0" w:color="auto"/>
              <w:left w:val="nil"/>
              <w:bottom w:val="single" w:sz="4" w:space="0" w:color="auto"/>
              <w:right w:val="nil"/>
            </w:tcBorders>
            <w:shd w:val="clear" w:color="auto" w:fill="auto"/>
            <w:noWrap/>
            <w:vAlign w:val="bottom"/>
          </w:tcPr>
          <w:p w:rsidR="005D6812" w:rsidRDefault="005D6812">
            <w:pPr>
              <w:pStyle w:val="Normal29"/>
              <w:suppressAutoHyphens w:val="0"/>
              <w:rPr>
                <w:rFonts w:ascii="Arial" w:hAnsi="Arial"/>
                <w:b/>
                <w:bCs/>
                <w:noProof/>
                <w:sz w:val="16"/>
                <w:szCs w:val="16"/>
                <w:lang w:eastAsia="en-GB"/>
              </w:rPr>
            </w:pPr>
          </w:p>
        </w:tc>
        <w:tc>
          <w:tcPr>
            <w:tcW w:w="4394" w:type="dxa"/>
            <w:tcBorders>
              <w:top w:val="single" w:sz="4" w:space="0" w:color="auto"/>
              <w:left w:val="nil"/>
              <w:bottom w:val="single" w:sz="4" w:space="0" w:color="auto"/>
              <w:right w:val="nil"/>
            </w:tcBorders>
            <w:shd w:val="clear" w:color="auto" w:fill="auto"/>
            <w:noWrap/>
            <w:vAlign w:val="bottom"/>
          </w:tcPr>
          <w:p w:rsidR="005D6812" w:rsidRDefault="00AB2A2B">
            <w:pPr>
              <w:pStyle w:val="Normal29"/>
              <w:suppressAutoHyphens w:val="0"/>
              <w:rPr>
                <w:rFonts w:ascii="Arial" w:hAnsi="Arial"/>
                <w:b/>
                <w:bCs/>
                <w:noProof/>
                <w:sz w:val="16"/>
                <w:szCs w:val="16"/>
                <w:lang w:eastAsia="en-GB"/>
              </w:rPr>
            </w:pPr>
            <w:r>
              <w:rPr>
                <w:rFonts w:ascii="Arial" w:hAnsi="Arial"/>
                <w:b/>
                <w:bCs/>
                <w:noProof/>
                <w:sz w:val="16"/>
                <w:szCs w:val="16"/>
                <w:lang w:eastAsia="en-GB"/>
              </w:rPr>
              <w:t>Val</w:t>
            </w:r>
            <w:r>
              <w:rPr>
                <w:rFonts w:ascii="Arial" w:hAnsi="Arial"/>
                <w:b/>
                <w:bCs/>
                <w:noProof/>
                <w:sz w:val="16"/>
                <w:szCs w:val="16"/>
                <w:lang w:eastAsia="en-GB"/>
              </w:rPr>
              <w:t>uation technique</w:t>
            </w:r>
          </w:p>
        </w:tc>
        <w:tc>
          <w:tcPr>
            <w:tcW w:w="3119" w:type="dxa"/>
            <w:tcBorders>
              <w:top w:val="single" w:sz="4" w:space="0" w:color="auto"/>
              <w:left w:val="nil"/>
              <w:bottom w:val="single" w:sz="4" w:space="0" w:color="auto"/>
              <w:right w:val="nil"/>
            </w:tcBorders>
            <w:shd w:val="clear" w:color="auto" w:fill="auto"/>
            <w:noWrap/>
            <w:vAlign w:val="bottom"/>
          </w:tcPr>
          <w:p w:rsidR="005D6812" w:rsidRDefault="00AB2A2B">
            <w:pPr>
              <w:pStyle w:val="Normal29"/>
              <w:suppressAutoHyphens w:val="0"/>
              <w:rPr>
                <w:rFonts w:ascii="Arial" w:hAnsi="Arial"/>
                <w:b/>
                <w:bCs/>
                <w:noProof/>
                <w:sz w:val="16"/>
                <w:szCs w:val="16"/>
                <w:lang w:eastAsia="en-GB"/>
              </w:rPr>
            </w:pPr>
            <w:r>
              <w:rPr>
                <w:rFonts w:ascii="Arial" w:hAnsi="Arial"/>
                <w:b/>
                <w:bCs/>
                <w:noProof/>
                <w:sz w:val="16"/>
                <w:szCs w:val="16"/>
                <w:lang w:eastAsia="en-GB"/>
              </w:rPr>
              <w:t>Significant unobservable inputs</w:t>
            </w:r>
          </w:p>
        </w:tc>
        <w:tc>
          <w:tcPr>
            <w:tcW w:w="1843" w:type="dxa"/>
            <w:tcBorders>
              <w:top w:val="single" w:sz="4" w:space="0" w:color="auto"/>
              <w:left w:val="nil"/>
              <w:bottom w:val="single" w:sz="4" w:space="0" w:color="auto"/>
              <w:right w:val="nil"/>
            </w:tcBorders>
            <w:shd w:val="clear" w:color="auto" w:fill="auto"/>
            <w:noWrap/>
            <w:vAlign w:val="bottom"/>
          </w:tcPr>
          <w:p w:rsidR="005D6812" w:rsidRDefault="00AB2A2B">
            <w:pPr>
              <w:pStyle w:val="Normal29"/>
              <w:suppressAutoHyphens w:val="0"/>
              <w:rPr>
                <w:rFonts w:ascii="Arial" w:hAnsi="Arial"/>
                <w:b/>
                <w:bCs/>
                <w:noProof/>
                <w:sz w:val="16"/>
                <w:szCs w:val="16"/>
                <w:lang w:eastAsia="en-GB"/>
              </w:rPr>
            </w:pPr>
            <w:r>
              <w:rPr>
                <w:rFonts w:ascii="Arial" w:hAnsi="Arial"/>
                <w:b/>
                <w:bCs/>
                <w:noProof/>
                <w:sz w:val="16"/>
                <w:szCs w:val="16"/>
                <w:lang w:eastAsia="en-GB"/>
              </w:rPr>
              <w:t>Relationship of unobservable inputs to fair value measurement</w:t>
            </w:r>
          </w:p>
        </w:tc>
      </w:tr>
      <w:tr w:rsidR="005D6812">
        <w:trPr>
          <w:trHeight w:val="379"/>
        </w:trPr>
        <w:tc>
          <w:tcPr>
            <w:tcW w:w="5825" w:type="dxa"/>
            <w:gridSpan w:val="2"/>
            <w:tcBorders>
              <w:top w:val="nil"/>
              <w:left w:val="nil"/>
              <w:right w:val="nil"/>
            </w:tcBorders>
            <w:shd w:val="clear" w:color="auto" w:fill="auto"/>
            <w:noWrap/>
          </w:tcPr>
          <w:p w:rsidR="005D6812" w:rsidRDefault="005D6812">
            <w:pPr>
              <w:pStyle w:val="Normal29"/>
              <w:suppressAutoHyphens w:val="0"/>
              <w:rPr>
                <w:rFonts w:ascii="Arial" w:hAnsi="Arial"/>
                <w:b/>
                <w:bCs/>
                <w:noProof/>
                <w:sz w:val="16"/>
                <w:szCs w:val="16"/>
                <w:lang w:eastAsia="en-GB"/>
              </w:rPr>
            </w:pPr>
          </w:p>
          <w:p w:rsidR="005D6812" w:rsidRDefault="00AB2A2B">
            <w:pPr>
              <w:pStyle w:val="Normal29"/>
              <w:suppressAutoHyphens w:val="0"/>
              <w:rPr>
                <w:rFonts w:ascii="Arial" w:hAnsi="Arial"/>
                <w:noProof/>
                <w:sz w:val="16"/>
                <w:szCs w:val="16"/>
                <w:lang w:eastAsia="en-GB"/>
              </w:rPr>
            </w:pPr>
            <w:r>
              <w:rPr>
                <w:rFonts w:ascii="Arial" w:hAnsi="Arial"/>
                <w:b/>
                <w:bCs/>
                <w:noProof/>
                <w:sz w:val="16"/>
                <w:szCs w:val="16"/>
                <w:lang w:eastAsia="en-GB"/>
              </w:rPr>
              <w:t>Financial instruments carried at fair value</w:t>
            </w:r>
          </w:p>
        </w:tc>
        <w:tc>
          <w:tcPr>
            <w:tcW w:w="3119" w:type="dxa"/>
            <w:tcBorders>
              <w:top w:val="nil"/>
              <w:left w:val="nil"/>
              <w:right w:val="nil"/>
            </w:tcBorders>
            <w:shd w:val="clear" w:color="auto" w:fill="auto"/>
            <w:noWrap/>
          </w:tcPr>
          <w:p w:rsidR="005D6812" w:rsidRDefault="005D6812">
            <w:pPr>
              <w:pStyle w:val="Normal29"/>
              <w:suppressAutoHyphens w:val="0"/>
              <w:rPr>
                <w:rFonts w:ascii="Arial" w:hAnsi="Arial"/>
                <w:noProof/>
                <w:sz w:val="16"/>
                <w:szCs w:val="16"/>
                <w:lang w:eastAsia="en-GB"/>
              </w:rPr>
            </w:pPr>
          </w:p>
        </w:tc>
        <w:tc>
          <w:tcPr>
            <w:tcW w:w="1843" w:type="dxa"/>
            <w:tcBorders>
              <w:top w:val="nil"/>
              <w:left w:val="nil"/>
              <w:right w:val="nil"/>
            </w:tcBorders>
            <w:shd w:val="clear" w:color="auto" w:fill="auto"/>
            <w:noWrap/>
          </w:tcPr>
          <w:p w:rsidR="005D6812" w:rsidRDefault="005D6812">
            <w:pPr>
              <w:pStyle w:val="Normal29"/>
              <w:suppressAutoHyphens w:val="0"/>
              <w:rPr>
                <w:rFonts w:ascii="Arial" w:hAnsi="Arial"/>
                <w:noProof/>
                <w:sz w:val="16"/>
                <w:szCs w:val="16"/>
                <w:lang w:eastAsia="en-GB"/>
              </w:rPr>
            </w:pPr>
          </w:p>
        </w:tc>
      </w:tr>
      <w:tr w:rsidR="005D6812">
        <w:trPr>
          <w:trHeight w:val="131"/>
        </w:trPr>
        <w:tc>
          <w:tcPr>
            <w:tcW w:w="1431" w:type="dxa"/>
            <w:tcBorders>
              <w:top w:val="nil"/>
              <w:left w:val="nil"/>
              <w:right w:val="nil"/>
            </w:tcBorders>
            <w:shd w:val="clear" w:color="auto" w:fill="auto"/>
            <w:noWrap/>
          </w:tcPr>
          <w:p w:rsidR="005D6812" w:rsidRDefault="005D6812">
            <w:pPr>
              <w:pStyle w:val="Normal29"/>
              <w:suppressAutoHyphens w:val="0"/>
              <w:rPr>
                <w:rFonts w:ascii="Arial" w:hAnsi="Arial"/>
                <w:noProof/>
                <w:sz w:val="16"/>
                <w:szCs w:val="16"/>
                <w:lang w:eastAsia="en-GB"/>
              </w:rPr>
            </w:pPr>
          </w:p>
        </w:tc>
        <w:tc>
          <w:tcPr>
            <w:tcW w:w="4394" w:type="dxa"/>
            <w:tcBorders>
              <w:top w:val="nil"/>
              <w:left w:val="nil"/>
              <w:right w:val="nil"/>
            </w:tcBorders>
            <w:shd w:val="clear" w:color="auto" w:fill="auto"/>
            <w:noWrap/>
          </w:tcPr>
          <w:p w:rsidR="005D6812" w:rsidRDefault="005D6812">
            <w:pPr>
              <w:pStyle w:val="Normal29"/>
              <w:suppressAutoHyphens w:val="0"/>
              <w:jc w:val="both"/>
              <w:rPr>
                <w:rFonts w:ascii="Arial" w:hAnsi="Arial"/>
                <w:noProof/>
                <w:sz w:val="16"/>
                <w:szCs w:val="16"/>
                <w:lang w:eastAsia="en-GB"/>
              </w:rPr>
            </w:pPr>
          </w:p>
        </w:tc>
        <w:tc>
          <w:tcPr>
            <w:tcW w:w="3119" w:type="dxa"/>
            <w:tcBorders>
              <w:top w:val="nil"/>
              <w:left w:val="nil"/>
              <w:right w:val="nil"/>
            </w:tcBorders>
            <w:shd w:val="clear" w:color="auto" w:fill="auto"/>
            <w:noWrap/>
          </w:tcPr>
          <w:p w:rsidR="005D6812" w:rsidRDefault="005D6812">
            <w:pPr>
              <w:pStyle w:val="Normal29"/>
              <w:suppressAutoHyphens w:val="0"/>
              <w:jc w:val="both"/>
              <w:rPr>
                <w:rFonts w:ascii="Arial" w:hAnsi="Arial"/>
                <w:noProof/>
                <w:sz w:val="16"/>
                <w:szCs w:val="16"/>
                <w:lang w:eastAsia="en-GB"/>
              </w:rPr>
            </w:pPr>
          </w:p>
        </w:tc>
        <w:tc>
          <w:tcPr>
            <w:tcW w:w="1843" w:type="dxa"/>
            <w:tcBorders>
              <w:top w:val="nil"/>
              <w:left w:val="nil"/>
              <w:right w:val="nil"/>
            </w:tcBorders>
            <w:shd w:val="clear" w:color="auto" w:fill="auto"/>
            <w:noWrap/>
          </w:tcPr>
          <w:p w:rsidR="005D6812" w:rsidRDefault="005D6812">
            <w:pPr>
              <w:pStyle w:val="Normal29"/>
              <w:suppressAutoHyphens w:val="0"/>
              <w:jc w:val="both"/>
              <w:rPr>
                <w:rFonts w:ascii="Arial" w:hAnsi="Arial"/>
                <w:noProof/>
                <w:sz w:val="16"/>
                <w:szCs w:val="16"/>
                <w:lang w:eastAsia="en-GB"/>
              </w:rPr>
            </w:pPr>
          </w:p>
        </w:tc>
      </w:tr>
      <w:tr w:rsidR="005D6812">
        <w:trPr>
          <w:trHeight w:val="284"/>
        </w:trPr>
        <w:tc>
          <w:tcPr>
            <w:tcW w:w="1431" w:type="dxa"/>
            <w:tcBorders>
              <w:top w:val="nil"/>
              <w:left w:val="nil"/>
              <w:right w:val="nil"/>
            </w:tcBorders>
            <w:shd w:val="clear" w:color="auto" w:fill="auto"/>
            <w:noWrap/>
          </w:tcPr>
          <w:p w:rsidR="005D6812" w:rsidRDefault="00AB2A2B">
            <w:pPr>
              <w:pStyle w:val="Normal29"/>
              <w:suppressAutoHyphens w:val="0"/>
              <w:rPr>
                <w:rFonts w:ascii="Arial" w:hAnsi="Arial"/>
                <w:noProof/>
                <w:sz w:val="16"/>
                <w:szCs w:val="16"/>
                <w:lang w:eastAsia="en-GB"/>
              </w:rPr>
            </w:pPr>
            <w:r>
              <w:rPr>
                <w:rFonts w:ascii="Arial" w:hAnsi="Arial"/>
                <w:noProof/>
                <w:sz w:val="16"/>
                <w:szCs w:val="16"/>
                <w:lang w:eastAsia="en-GB"/>
              </w:rPr>
              <w:t>Derivative financial instruments</w:t>
            </w:r>
          </w:p>
        </w:tc>
        <w:tc>
          <w:tcPr>
            <w:tcW w:w="4394" w:type="dxa"/>
            <w:tcBorders>
              <w:top w:val="nil"/>
              <w:left w:val="nil"/>
              <w:right w:val="nil"/>
            </w:tcBorders>
            <w:shd w:val="clear" w:color="auto" w:fill="auto"/>
            <w:noWrap/>
          </w:tcPr>
          <w:p w:rsidR="005D6812" w:rsidRDefault="00AB2A2B">
            <w:pPr>
              <w:pStyle w:val="Normal29"/>
              <w:suppressAutoHyphens w:val="0"/>
              <w:jc w:val="both"/>
              <w:rPr>
                <w:rFonts w:ascii="Arial" w:hAnsi="Arial"/>
                <w:noProof/>
                <w:sz w:val="16"/>
                <w:szCs w:val="16"/>
                <w:lang w:eastAsia="en-GB"/>
              </w:rPr>
            </w:pPr>
            <w:r>
              <w:rPr>
                <w:rFonts w:ascii="Arial" w:hAnsi="Arial"/>
                <w:noProof/>
                <w:sz w:val="16"/>
                <w:szCs w:val="16"/>
                <w:lang w:eastAsia="en-GB"/>
              </w:rPr>
              <w:t xml:space="preserve">Discounted cash flow: Future cash flows are estimated </w:t>
            </w:r>
            <w:r>
              <w:rPr>
                <w:rFonts w:ascii="Arial" w:hAnsi="Arial"/>
                <w:noProof/>
                <w:sz w:val="16"/>
                <w:szCs w:val="16"/>
                <w:lang w:eastAsia="en-GB"/>
              </w:rPr>
              <w:t>based on forward exchange/interest rates (from observable forward exchange rates and yield curves at the end of the reporting period) and contract forward/interest rates, discounted at a rate that reflects the credit risk of various counterparties.</w:t>
            </w:r>
          </w:p>
        </w:tc>
        <w:tc>
          <w:tcPr>
            <w:tcW w:w="3119" w:type="dxa"/>
            <w:tcBorders>
              <w:top w:val="nil"/>
              <w:left w:val="nil"/>
              <w:right w:val="nil"/>
            </w:tcBorders>
            <w:shd w:val="clear" w:color="auto" w:fill="auto"/>
            <w:noWrap/>
          </w:tcPr>
          <w:p w:rsidR="005D6812" w:rsidRDefault="00AB2A2B">
            <w:pPr>
              <w:pStyle w:val="Normal29"/>
              <w:suppressAutoHyphens w:val="0"/>
              <w:jc w:val="both"/>
              <w:rPr>
                <w:rFonts w:ascii="Arial" w:hAnsi="Arial"/>
                <w:noProof/>
                <w:sz w:val="16"/>
                <w:szCs w:val="16"/>
                <w:lang w:eastAsia="en-GB"/>
              </w:rPr>
            </w:pPr>
            <w:r>
              <w:rPr>
                <w:rFonts w:ascii="Arial" w:hAnsi="Arial"/>
                <w:noProof/>
                <w:sz w:val="16"/>
                <w:szCs w:val="16"/>
                <w:lang w:eastAsia="en-GB"/>
              </w:rPr>
              <w:t>Not app</w:t>
            </w:r>
            <w:r>
              <w:rPr>
                <w:rFonts w:ascii="Arial" w:hAnsi="Arial"/>
                <w:noProof/>
                <w:sz w:val="16"/>
                <w:szCs w:val="16"/>
                <w:lang w:eastAsia="en-GB"/>
              </w:rPr>
              <w:t>licable.</w:t>
            </w:r>
          </w:p>
        </w:tc>
        <w:tc>
          <w:tcPr>
            <w:tcW w:w="1843" w:type="dxa"/>
            <w:tcBorders>
              <w:top w:val="nil"/>
              <w:left w:val="nil"/>
              <w:right w:val="nil"/>
            </w:tcBorders>
            <w:shd w:val="clear" w:color="auto" w:fill="auto"/>
            <w:noWrap/>
          </w:tcPr>
          <w:p w:rsidR="005D6812" w:rsidRDefault="00AB2A2B">
            <w:pPr>
              <w:pStyle w:val="Normal29"/>
              <w:suppressAutoHyphens w:val="0"/>
              <w:jc w:val="both"/>
              <w:rPr>
                <w:rFonts w:ascii="Arial" w:hAnsi="Arial"/>
                <w:noProof/>
                <w:sz w:val="16"/>
                <w:szCs w:val="16"/>
                <w:lang w:eastAsia="en-GB"/>
              </w:rPr>
            </w:pPr>
            <w:r>
              <w:rPr>
                <w:rFonts w:ascii="Arial" w:hAnsi="Arial"/>
                <w:noProof/>
                <w:sz w:val="16"/>
                <w:szCs w:val="16"/>
                <w:lang w:eastAsia="en-GB"/>
              </w:rPr>
              <w:t>Not applicable.</w:t>
            </w:r>
          </w:p>
        </w:tc>
      </w:tr>
      <w:tr w:rsidR="005D6812">
        <w:trPr>
          <w:trHeight w:val="180"/>
        </w:trPr>
        <w:tc>
          <w:tcPr>
            <w:tcW w:w="1431" w:type="dxa"/>
            <w:tcBorders>
              <w:left w:val="nil"/>
              <w:right w:val="nil"/>
            </w:tcBorders>
            <w:shd w:val="clear" w:color="auto" w:fill="auto"/>
            <w:noWrap/>
          </w:tcPr>
          <w:p w:rsidR="005D6812" w:rsidRDefault="005D6812">
            <w:pPr>
              <w:pStyle w:val="Normal29"/>
              <w:suppressAutoHyphens w:val="0"/>
              <w:rPr>
                <w:rFonts w:ascii="Arial" w:hAnsi="Arial"/>
                <w:noProof/>
                <w:sz w:val="16"/>
                <w:szCs w:val="16"/>
                <w:lang w:eastAsia="en-GB"/>
              </w:rPr>
            </w:pPr>
          </w:p>
        </w:tc>
        <w:tc>
          <w:tcPr>
            <w:tcW w:w="4394" w:type="dxa"/>
            <w:tcBorders>
              <w:left w:val="nil"/>
              <w:right w:val="nil"/>
            </w:tcBorders>
            <w:shd w:val="clear" w:color="auto" w:fill="auto"/>
            <w:noWrap/>
          </w:tcPr>
          <w:p w:rsidR="005D6812" w:rsidRDefault="005D6812">
            <w:pPr>
              <w:pStyle w:val="Normal29"/>
              <w:suppressAutoHyphens w:val="0"/>
              <w:jc w:val="both"/>
              <w:rPr>
                <w:rFonts w:ascii="Arial" w:hAnsi="Arial"/>
                <w:noProof/>
                <w:sz w:val="16"/>
                <w:szCs w:val="16"/>
                <w:lang w:eastAsia="en-GB"/>
              </w:rPr>
            </w:pPr>
          </w:p>
        </w:tc>
        <w:tc>
          <w:tcPr>
            <w:tcW w:w="3119" w:type="dxa"/>
            <w:tcBorders>
              <w:left w:val="nil"/>
              <w:right w:val="nil"/>
            </w:tcBorders>
            <w:shd w:val="clear" w:color="auto" w:fill="auto"/>
            <w:noWrap/>
          </w:tcPr>
          <w:p w:rsidR="005D6812" w:rsidRDefault="005D6812">
            <w:pPr>
              <w:pStyle w:val="Normal29"/>
              <w:jc w:val="both"/>
              <w:rPr>
                <w:rFonts w:ascii="Arial" w:hAnsi="Arial"/>
                <w:noProof/>
                <w:sz w:val="16"/>
                <w:szCs w:val="16"/>
                <w:lang w:eastAsia="en-GB"/>
              </w:rPr>
            </w:pPr>
          </w:p>
        </w:tc>
        <w:tc>
          <w:tcPr>
            <w:tcW w:w="1843" w:type="dxa"/>
            <w:tcBorders>
              <w:left w:val="nil"/>
              <w:right w:val="nil"/>
            </w:tcBorders>
            <w:shd w:val="clear" w:color="auto" w:fill="auto"/>
            <w:noWrap/>
          </w:tcPr>
          <w:p w:rsidR="005D6812" w:rsidRDefault="005D6812">
            <w:pPr>
              <w:pStyle w:val="ListParagraph6"/>
              <w:suppressAutoHyphens w:val="0"/>
              <w:ind w:left="360"/>
              <w:jc w:val="both"/>
              <w:rPr>
                <w:rFonts w:ascii="Arial" w:hAnsi="Arial"/>
                <w:noProof/>
                <w:sz w:val="16"/>
                <w:szCs w:val="16"/>
                <w:lang w:eastAsia="en-GB"/>
              </w:rPr>
            </w:pPr>
          </w:p>
        </w:tc>
      </w:tr>
      <w:tr w:rsidR="005D6812">
        <w:trPr>
          <w:trHeight w:val="284"/>
        </w:trPr>
        <w:tc>
          <w:tcPr>
            <w:tcW w:w="1431" w:type="dxa"/>
            <w:tcBorders>
              <w:left w:val="nil"/>
              <w:right w:val="nil"/>
            </w:tcBorders>
            <w:shd w:val="clear" w:color="auto" w:fill="auto"/>
            <w:noWrap/>
          </w:tcPr>
          <w:p w:rsidR="005D6812" w:rsidRDefault="00AB2A2B">
            <w:pPr>
              <w:pStyle w:val="Normal29"/>
              <w:suppressAutoHyphens w:val="0"/>
              <w:rPr>
                <w:rFonts w:ascii="Arial" w:hAnsi="Arial"/>
                <w:bCs/>
                <w:noProof/>
                <w:sz w:val="16"/>
                <w:szCs w:val="16"/>
                <w:lang w:eastAsia="en-GB"/>
              </w:rPr>
            </w:pPr>
            <w:r>
              <w:rPr>
                <w:rFonts w:ascii="Arial" w:hAnsi="Arial"/>
                <w:noProof/>
                <w:sz w:val="16"/>
                <w:szCs w:val="16"/>
                <w:lang w:eastAsia="en-GB"/>
              </w:rPr>
              <w:t>Venture Capital Fund (VCF)</w:t>
            </w:r>
          </w:p>
        </w:tc>
        <w:tc>
          <w:tcPr>
            <w:tcW w:w="4394" w:type="dxa"/>
            <w:tcBorders>
              <w:left w:val="nil"/>
              <w:right w:val="nil"/>
            </w:tcBorders>
            <w:shd w:val="clear" w:color="auto" w:fill="auto"/>
            <w:noWrap/>
          </w:tcPr>
          <w:p w:rsidR="005D6812" w:rsidRDefault="00AB2A2B">
            <w:pPr>
              <w:pStyle w:val="Normal29"/>
              <w:suppressAutoHyphens w:val="0"/>
              <w:jc w:val="both"/>
              <w:rPr>
                <w:rFonts w:ascii="Arial" w:hAnsi="Arial"/>
                <w:noProof/>
                <w:sz w:val="16"/>
                <w:szCs w:val="16"/>
                <w:lang w:eastAsia="en-GB"/>
              </w:rPr>
            </w:pPr>
            <w:r>
              <w:rPr>
                <w:rFonts w:ascii="Arial" w:hAnsi="Arial"/>
                <w:noProof/>
                <w:sz w:val="16"/>
                <w:szCs w:val="16"/>
                <w:lang w:eastAsia="en-GB"/>
              </w:rPr>
              <w:t>Adjusted net assets method: The fair value is determined by applying either the Facility</w:t>
            </w:r>
            <w:r>
              <w:rPr>
                <w:rFonts w:ascii="Arial" w:hAnsi="Arial" w:hint="eastAsia"/>
                <w:noProof/>
                <w:sz w:val="16"/>
                <w:szCs w:val="16"/>
                <w:lang w:eastAsia="en-GB"/>
              </w:rPr>
              <w:t>’</w:t>
            </w:r>
            <w:r>
              <w:rPr>
                <w:rFonts w:ascii="Arial" w:hAnsi="Arial"/>
                <w:noProof/>
                <w:sz w:val="16"/>
                <w:szCs w:val="16"/>
                <w:lang w:eastAsia="en-GB"/>
              </w:rPr>
              <w:t xml:space="preserve">s percentage ownership in the underlying vehicle to the net asset value reflected in the most recent report </w:t>
            </w:r>
            <w:r>
              <w:rPr>
                <w:rFonts w:ascii="Arial" w:hAnsi="Arial"/>
                <w:noProof/>
                <w:sz w:val="16"/>
                <w:szCs w:val="16"/>
                <w:lang w:eastAsia="en-GB"/>
              </w:rPr>
              <w:t>adjusted for cash flows or, where available, the precise share value at the same date, submitted by the respective Fund Manager. In order to bridge the interval between the last available Net assets value (NAV) and the year-end reporting, a subsequent even</w:t>
            </w:r>
            <w:r>
              <w:rPr>
                <w:rFonts w:ascii="Arial" w:hAnsi="Arial"/>
                <w:noProof/>
                <w:sz w:val="16"/>
                <w:szCs w:val="16"/>
                <w:lang w:eastAsia="en-GB"/>
              </w:rPr>
              <w:t>t review procedure is performed and if necessary the reported NAV is adjusted.</w:t>
            </w:r>
          </w:p>
        </w:tc>
        <w:tc>
          <w:tcPr>
            <w:tcW w:w="3119" w:type="dxa"/>
            <w:tcBorders>
              <w:left w:val="nil"/>
              <w:right w:val="nil"/>
            </w:tcBorders>
            <w:shd w:val="clear" w:color="auto" w:fill="auto"/>
            <w:noWrap/>
          </w:tcPr>
          <w:p w:rsidR="005D6812" w:rsidRDefault="00AB2A2B">
            <w:pPr>
              <w:pStyle w:val="Normal29"/>
              <w:jc w:val="both"/>
              <w:rPr>
                <w:rFonts w:ascii="Arial" w:hAnsi="Arial"/>
                <w:noProof/>
                <w:sz w:val="16"/>
                <w:szCs w:val="16"/>
                <w:lang w:eastAsia="en-GB"/>
              </w:rPr>
            </w:pPr>
            <w:r>
              <w:rPr>
                <w:rFonts w:ascii="Arial" w:hAnsi="Arial"/>
                <w:noProof/>
                <w:sz w:val="16"/>
                <w:szCs w:val="16"/>
                <w:lang w:eastAsia="en-GB"/>
              </w:rPr>
              <w:t xml:space="preserve">Adjustment for time elapsed between the last reporting date of the VCF and the measurement date, taking into account: operating expenses and management fees, subsequent changes </w:t>
            </w:r>
            <w:r>
              <w:rPr>
                <w:rFonts w:ascii="Arial" w:hAnsi="Arial"/>
                <w:noProof/>
                <w:sz w:val="16"/>
                <w:szCs w:val="16"/>
                <w:lang w:eastAsia="en-GB"/>
              </w:rPr>
              <w:t>in the fair value of the VCF’s underlying assets, additional liabilities incurred, market changes or other economic condition changes.</w:t>
            </w:r>
          </w:p>
          <w:p w:rsidR="005D6812" w:rsidRDefault="005D6812">
            <w:pPr>
              <w:pStyle w:val="ListParagraph6"/>
              <w:suppressAutoHyphens w:val="0"/>
              <w:ind w:left="360"/>
              <w:jc w:val="both"/>
              <w:rPr>
                <w:rFonts w:ascii="Arial" w:hAnsi="Arial"/>
                <w:noProof/>
                <w:sz w:val="16"/>
                <w:szCs w:val="16"/>
                <w:lang w:eastAsia="en-GB"/>
              </w:rPr>
            </w:pPr>
          </w:p>
        </w:tc>
        <w:tc>
          <w:tcPr>
            <w:tcW w:w="1843" w:type="dxa"/>
            <w:tcBorders>
              <w:left w:val="nil"/>
              <w:right w:val="nil"/>
            </w:tcBorders>
            <w:shd w:val="clear" w:color="auto" w:fill="auto"/>
            <w:noWrap/>
          </w:tcPr>
          <w:p w:rsidR="005D6812" w:rsidRDefault="00AB2A2B">
            <w:pPr>
              <w:pStyle w:val="Normal29"/>
              <w:jc w:val="both"/>
              <w:rPr>
                <w:rFonts w:ascii="Arial" w:hAnsi="Arial"/>
                <w:b/>
                <w:noProof/>
                <w:sz w:val="16"/>
                <w:szCs w:val="16"/>
                <w:lang w:eastAsia="en-GB"/>
              </w:rPr>
            </w:pPr>
            <w:r>
              <w:rPr>
                <w:rFonts w:ascii="Arial" w:hAnsi="Arial"/>
                <w:noProof/>
                <w:sz w:val="16"/>
                <w:szCs w:val="16"/>
                <w:lang w:eastAsia="en-GB"/>
              </w:rPr>
              <w:t>The longer the period between the fair value measurement date and the last reporting date of the VCF, the higher the adj</w:t>
            </w:r>
            <w:r>
              <w:rPr>
                <w:rFonts w:ascii="Arial" w:hAnsi="Arial"/>
                <w:noProof/>
                <w:sz w:val="16"/>
                <w:szCs w:val="16"/>
                <w:lang w:eastAsia="en-GB"/>
              </w:rPr>
              <w:t>ustment for time elapsed.</w:t>
            </w:r>
          </w:p>
        </w:tc>
      </w:tr>
      <w:tr w:rsidR="005D6812">
        <w:trPr>
          <w:trHeight w:val="182"/>
        </w:trPr>
        <w:tc>
          <w:tcPr>
            <w:tcW w:w="1431" w:type="dxa"/>
            <w:tcBorders>
              <w:left w:val="nil"/>
              <w:bottom w:val="nil"/>
              <w:right w:val="nil"/>
            </w:tcBorders>
            <w:shd w:val="clear" w:color="auto" w:fill="auto"/>
            <w:noWrap/>
          </w:tcPr>
          <w:p w:rsidR="005D6812" w:rsidRDefault="005D6812">
            <w:pPr>
              <w:pStyle w:val="Normal29"/>
              <w:suppressAutoHyphens w:val="0"/>
              <w:rPr>
                <w:rFonts w:ascii="Arial" w:hAnsi="Arial"/>
                <w:noProof/>
                <w:sz w:val="16"/>
                <w:szCs w:val="16"/>
                <w:lang w:eastAsia="en-GB"/>
              </w:rPr>
            </w:pPr>
          </w:p>
        </w:tc>
        <w:tc>
          <w:tcPr>
            <w:tcW w:w="4394" w:type="dxa"/>
            <w:tcBorders>
              <w:left w:val="nil"/>
              <w:bottom w:val="nil"/>
              <w:right w:val="nil"/>
            </w:tcBorders>
            <w:shd w:val="clear" w:color="auto" w:fill="auto"/>
            <w:noWrap/>
          </w:tcPr>
          <w:p w:rsidR="005D6812" w:rsidRDefault="005D6812">
            <w:pPr>
              <w:pStyle w:val="Normal29"/>
              <w:suppressAutoHyphens w:val="0"/>
              <w:rPr>
                <w:rFonts w:ascii="Arial" w:hAnsi="Arial"/>
                <w:bCs/>
                <w:noProof/>
                <w:sz w:val="16"/>
                <w:szCs w:val="16"/>
                <w:lang w:eastAsia="en-GB"/>
              </w:rPr>
            </w:pPr>
          </w:p>
        </w:tc>
        <w:tc>
          <w:tcPr>
            <w:tcW w:w="3119" w:type="dxa"/>
            <w:tcBorders>
              <w:left w:val="nil"/>
              <w:bottom w:val="nil"/>
              <w:right w:val="nil"/>
            </w:tcBorders>
            <w:shd w:val="clear" w:color="auto" w:fill="auto"/>
            <w:noWrap/>
          </w:tcPr>
          <w:p w:rsidR="005D6812" w:rsidRDefault="005D6812">
            <w:pPr>
              <w:pStyle w:val="Normal29"/>
              <w:suppressAutoHyphens w:val="0"/>
              <w:rPr>
                <w:rFonts w:ascii="Arial" w:hAnsi="Arial"/>
                <w:bCs/>
                <w:noProof/>
                <w:sz w:val="16"/>
                <w:szCs w:val="16"/>
                <w:lang w:eastAsia="en-GB"/>
              </w:rPr>
            </w:pPr>
          </w:p>
        </w:tc>
        <w:tc>
          <w:tcPr>
            <w:tcW w:w="1843" w:type="dxa"/>
            <w:tcBorders>
              <w:left w:val="nil"/>
              <w:bottom w:val="nil"/>
              <w:right w:val="nil"/>
            </w:tcBorders>
            <w:shd w:val="clear" w:color="auto" w:fill="auto"/>
            <w:noWrap/>
          </w:tcPr>
          <w:p w:rsidR="005D6812" w:rsidRDefault="005D6812">
            <w:pPr>
              <w:pStyle w:val="Normal29"/>
              <w:suppressAutoHyphens w:val="0"/>
              <w:rPr>
                <w:rFonts w:ascii="Arial" w:hAnsi="Arial"/>
                <w:bCs/>
                <w:noProof/>
                <w:sz w:val="16"/>
                <w:szCs w:val="16"/>
                <w:lang w:eastAsia="en-GB"/>
              </w:rPr>
            </w:pPr>
          </w:p>
        </w:tc>
      </w:tr>
      <w:tr w:rsidR="005D6812">
        <w:trPr>
          <w:trHeight w:val="284"/>
        </w:trPr>
        <w:tc>
          <w:tcPr>
            <w:tcW w:w="1431" w:type="dxa"/>
            <w:tcBorders>
              <w:left w:val="nil"/>
              <w:bottom w:val="nil"/>
              <w:right w:val="nil"/>
            </w:tcBorders>
            <w:shd w:val="clear" w:color="auto" w:fill="auto"/>
            <w:noWrap/>
          </w:tcPr>
          <w:p w:rsidR="005D6812" w:rsidRDefault="00AB2A2B">
            <w:pPr>
              <w:pStyle w:val="Normal29"/>
              <w:suppressAutoHyphens w:val="0"/>
              <w:rPr>
                <w:rFonts w:ascii="Arial" w:hAnsi="Arial"/>
                <w:bCs/>
                <w:noProof/>
                <w:sz w:val="16"/>
                <w:szCs w:val="16"/>
                <w:lang w:eastAsia="en-GB"/>
              </w:rPr>
            </w:pPr>
            <w:r>
              <w:rPr>
                <w:rFonts w:ascii="Arial" w:hAnsi="Arial"/>
                <w:noProof/>
                <w:sz w:val="16"/>
                <w:szCs w:val="16"/>
                <w:lang w:eastAsia="en-GB"/>
              </w:rPr>
              <w:t>Direct Equity Investment</w:t>
            </w:r>
          </w:p>
        </w:tc>
        <w:tc>
          <w:tcPr>
            <w:tcW w:w="4394" w:type="dxa"/>
            <w:tcBorders>
              <w:left w:val="nil"/>
              <w:bottom w:val="nil"/>
              <w:right w:val="nil"/>
            </w:tcBorders>
            <w:shd w:val="clear" w:color="auto" w:fill="auto"/>
            <w:noWrap/>
          </w:tcPr>
          <w:p w:rsidR="005D6812" w:rsidRDefault="00AB2A2B">
            <w:pPr>
              <w:pStyle w:val="Normal29"/>
              <w:suppressAutoHyphens w:val="0"/>
              <w:rPr>
                <w:rFonts w:ascii="Arial" w:hAnsi="Arial"/>
                <w:bCs/>
                <w:noProof/>
                <w:sz w:val="16"/>
                <w:szCs w:val="16"/>
                <w:lang w:eastAsia="en-GB"/>
              </w:rPr>
            </w:pPr>
            <w:r>
              <w:rPr>
                <w:rFonts w:ascii="Arial" w:hAnsi="Arial"/>
                <w:bCs/>
                <w:noProof/>
                <w:sz w:val="16"/>
                <w:szCs w:val="16"/>
                <w:lang w:eastAsia="en-GB"/>
              </w:rPr>
              <w:t>Adjusted net assets.</w:t>
            </w:r>
          </w:p>
        </w:tc>
        <w:tc>
          <w:tcPr>
            <w:tcW w:w="3119" w:type="dxa"/>
            <w:tcBorders>
              <w:left w:val="nil"/>
              <w:bottom w:val="nil"/>
              <w:right w:val="nil"/>
            </w:tcBorders>
            <w:shd w:val="clear" w:color="auto" w:fill="auto"/>
            <w:noWrap/>
          </w:tcPr>
          <w:p w:rsidR="005D6812" w:rsidRDefault="00AB2A2B">
            <w:pPr>
              <w:pStyle w:val="Normal29"/>
              <w:jc w:val="both"/>
              <w:rPr>
                <w:rFonts w:ascii="Arial" w:hAnsi="Arial"/>
                <w:b/>
                <w:noProof/>
                <w:sz w:val="16"/>
                <w:szCs w:val="16"/>
                <w:lang w:eastAsia="en-GB"/>
              </w:rPr>
            </w:pPr>
            <w:r>
              <w:rPr>
                <w:rFonts w:ascii="Arial" w:hAnsi="Arial"/>
                <w:noProof/>
                <w:sz w:val="16"/>
                <w:szCs w:val="16"/>
                <w:lang w:eastAsia="en-GB"/>
              </w:rPr>
              <w:t xml:space="preserve">Adjustment for time elapsed between the last reporting date of the investee and the measurement date, taking into account: operating expenses, subsequent changes in the fair </w:t>
            </w:r>
            <w:r>
              <w:rPr>
                <w:rFonts w:ascii="Arial" w:hAnsi="Arial"/>
                <w:noProof/>
                <w:sz w:val="16"/>
                <w:szCs w:val="16"/>
                <w:lang w:eastAsia="en-GB"/>
              </w:rPr>
              <w:t>value of the investee’s underlying assets, additional liabilities incurred, market changes or other economic condition changes, c</w:t>
            </w:r>
            <w:r>
              <w:rPr>
                <w:rFonts w:ascii="Arial" w:hAnsi="Arial"/>
                <w:bCs/>
                <w:noProof/>
                <w:sz w:val="16"/>
                <w:szCs w:val="16"/>
                <w:lang w:eastAsia="en-GB"/>
              </w:rPr>
              <w:t>apital increase, sale/change of control.</w:t>
            </w:r>
          </w:p>
        </w:tc>
        <w:tc>
          <w:tcPr>
            <w:tcW w:w="1843" w:type="dxa"/>
            <w:tcBorders>
              <w:left w:val="nil"/>
              <w:bottom w:val="nil"/>
              <w:right w:val="nil"/>
            </w:tcBorders>
            <w:shd w:val="clear" w:color="auto" w:fill="auto"/>
            <w:noWrap/>
          </w:tcPr>
          <w:p w:rsidR="005D6812" w:rsidRDefault="00AB2A2B">
            <w:pPr>
              <w:pStyle w:val="Normal29"/>
              <w:jc w:val="both"/>
              <w:rPr>
                <w:rFonts w:ascii="Arial" w:hAnsi="Arial"/>
                <w:noProof/>
                <w:sz w:val="16"/>
                <w:szCs w:val="16"/>
                <w:lang w:eastAsia="en-GB"/>
              </w:rPr>
            </w:pPr>
            <w:r>
              <w:rPr>
                <w:rFonts w:ascii="Arial" w:hAnsi="Arial"/>
                <w:noProof/>
                <w:sz w:val="16"/>
                <w:szCs w:val="16"/>
                <w:lang w:eastAsia="en-GB"/>
              </w:rPr>
              <w:t>The longer the period between the fair value measurement date and the last reporting d</w:t>
            </w:r>
            <w:r>
              <w:rPr>
                <w:rFonts w:ascii="Arial" w:hAnsi="Arial"/>
                <w:noProof/>
                <w:sz w:val="16"/>
                <w:szCs w:val="16"/>
                <w:lang w:eastAsia="en-GB"/>
              </w:rPr>
              <w:t>ate of the investee, the higher the adjustment for time elapsed.</w:t>
            </w:r>
          </w:p>
        </w:tc>
      </w:tr>
      <w:tr w:rsidR="005D6812">
        <w:trPr>
          <w:trHeight w:val="139"/>
        </w:trPr>
        <w:tc>
          <w:tcPr>
            <w:tcW w:w="1431" w:type="dxa"/>
            <w:tcBorders>
              <w:left w:val="nil"/>
              <w:bottom w:val="nil"/>
              <w:right w:val="nil"/>
            </w:tcBorders>
            <w:shd w:val="clear" w:color="auto" w:fill="auto"/>
            <w:noWrap/>
          </w:tcPr>
          <w:p w:rsidR="005D6812" w:rsidRDefault="005D6812">
            <w:pPr>
              <w:pStyle w:val="Normal29"/>
              <w:suppressAutoHyphens w:val="0"/>
              <w:rPr>
                <w:rFonts w:ascii="Arial" w:hAnsi="Arial"/>
                <w:noProof/>
                <w:sz w:val="16"/>
                <w:szCs w:val="16"/>
                <w:lang w:eastAsia="en-GB"/>
              </w:rPr>
            </w:pPr>
          </w:p>
        </w:tc>
        <w:tc>
          <w:tcPr>
            <w:tcW w:w="4394" w:type="dxa"/>
            <w:tcBorders>
              <w:left w:val="nil"/>
              <w:bottom w:val="nil"/>
              <w:right w:val="nil"/>
            </w:tcBorders>
            <w:shd w:val="clear" w:color="auto" w:fill="auto"/>
            <w:noWrap/>
          </w:tcPr>
          <w:p w:rsidR="005D6812" w:rsidRDefault="005D6812">
            <w:pPr>
              <w:pStyle w:val="Normal29"/>
              <w:suppressAutoHyphens w:val="0"/>
              <w:rPr>
                <w:rFonts w:ascii="Arial" w:hAnsi="Arial"/>
                <w:bCs/>
                <w:noProof/>
                <w:sz w:val="16"/>
                <w:szCs w:val="16"/>
                <w:lang w:eastAsia="en-GB"/>
              </w:rPr>
            </w:pPr>
          </w:p>
        </w:tc>
        <w:tc>
          <w:tcPr>
            <w:tcW w:w="3119" w:type="dxa"/>
            <w:tcBorders>
              <w:left w:val="nil"/>
              <w:bottom w:val="nil"/>
              <w:right w:val="nil"/>
            </w:tcBorders>
            <w:shd w:val="clear" w:color="auto" w:fill="auto"/>
            <w:noWrap/>
          </w:tcPr>
          <w:p w:rsidR="005D6812" w:rsidRDefault="005D6812">
            <w:pPr>
              <w:pStyle w:val="Normal29"/>
              <w:jc w:val="both"/>
              <w:rPr>
                <w:rFonts w:ascii="Arial" w:hAnsi="Arial"/>
                <w:noProof/>
                <w:sz w:val="16"/>
                <w:szCs w:val="16"/>
                <w:lang w:eastAsia="en-GB"/>
              </w:rPr>
            </w:pPr>
          </w:p>
        </w:tc>
        <w:tc>
          <w:tcPr>
            <w:tcW w:w="1843" w:type="dxa"/>
            <w:tcBorders>
              <w:left w:val="nil"/>
              <w:bottom w:val="nil"/>
              <w:right w:val="nil"/>
            </w:tcBorders>
            <w:shd w:val="clear" w:color="auto" w:fill="auto"/>
            <w:noWrap/>
          </w:tcPr>
          <w:p w:rsidR="005D6812" w:rsidRDefault="005D6812">
            <w:pPr>
              <w:pStyle w:val="Normal29"/>
              <w:suppressAutoHyphens w:val="0"/>
              <w:rPr>
                <w:rFonts w:ascii="Arial" w:hAnsi="Arial"/>
                <w:noProof/>
                <w:sz w:val="16"/>
                <w:szCs w:val="16"/>
                <w:lang w:eastAsia="en-GB"/>
              </w:rPr>
            </w:pPr>
          </w:p>
        </w:tc>
      </w:tr>
      <w:tr w:rsidR="005D6812">
        <w:trPr>
          <w:trHeight w:val="284"/>
        </w:trPr>
        <w:tc>
          <w:tcPr>
            <w:tcW w:w="1431" w:type="dxa"/>
            <w:tcBorders>
              <w:left w:val="nil"/>
              <w:bottom w:val="nil"/>
              <w:right w:val="nil"/>
            </w:tcBorders>
            <w:shd w:val="clear" w:color="auto" w:fill="auto"/>
            <w:noWrap/>
          </w:tcPr>
          <w:p w:rsidR="005D6812" w:rsidRDefault="005D6812">
            <w:pPr>
              <w:pStyle w:val="Normal29"/>
              <w:suppressAutoHyphens w:val="0"/>
              <w:rPr>
                <w:rFonts w:ascii="Arial" w:hAnsi="Arial"/>
                <w:noProof/>
                <w:sz w:val="16"/>
                <w:szCs w:val="16"/>
                <w:lang w:eastAsia="en-GB"/>
              </w:rPr>
            </w:pPr>
          </w:p>
        </w:tc>
        <w:tc>
          <w:tcPr>
            <w:tcW w:w="4394" w:type="dxa"/>
            <w:tcBorders>
              <w:left w:val="nil"/>
              <w:bottom w:val="nil"/>
              <w:right w:val="nil"/>
            </w:tcBorders>
            <w:shd w:val="clear" w:color="auto" w:fill="auto"/>
            <w:noWrap/>
          </w:tcPr>
          <w:p w:rsidR="005D6812" w:rsidRDefault="005D6812">
            <w:pPr>
              <w:pStyle w:val="Normal29"/>
              <w:suppressAutoHyphens w:val="0"/>
              <w:rPr>
                <w:rFonts w:ascii="Arial" w:hAnsi="Arial"/>
                <w:bCs/>
                <w:noProof/>
                <w:sz w:val="16"/>
                <w:szCs w:val="16"/>
                <w:lang w:eastAsia="en-GB"/>
              </w:rPr>
            </w:pPr>
          </w:p>
        </w:tc>
        <w:tc>
          <w:tcPr>
            <w:tcW w:w="3119" w:type="dxa"/>
            <w:tcBorders>
              <w:left w:val="nil"/>
              <w:bottom w:val="nil"/>
              <w:right w:val="nil"/>
            </w:tcBorders>
            <w:shd w:val="clear" w:color="auto" w:fill="auto"/>
            <w:noWrap/>
          </w:tcPr>
          <w:p w:rsidR="005D6812" w:rsidRDefault="00AB2A2B">
            <w:pPr>
              <w:pStyle w:val="Normal29"/>
              <w:jc w:val="both"/>
              <w:rPr>
                <w:rFonts w:ascii="Arial" w:hAnsi="Arial"/>
                <w:noProof/>
                <w:sz w:val="16"/>
                <w:szCs w:val="16"/>
                <w:lang w:eastAsia="en-GB"/>
              </w:rPr>
            </w:pPr>
            <w:r>
              <w:rPr>
                <w:rFonts w:ascii="Arial" w:hAnsi="Arial"/>
                <w:noProof/>
                <w:sz w:val="16"/>
                <w:szCs w:val="16"/>
                <w:lang w:eastAsia="en-GB"/>
              </w:rPr>
              <w:t>Discount for lack of marketability (liquidity) determined by reference to previous transaction prices for similar equities in the country/region, ranging from 5 to 30%.</w:t>
            </w:r>
          </w:p>
        </w:tc>
        <w:tc>
          <w:tcPr>
            <w:tcW w:w="1843" w:type="dxa"/>
            <w:tcBorders>
              <w:left w:val="nil"/>
              <w:bottom w:val="nil"/>
              <w:right w:val="nil"/>
            </w:tcBorders>
            <w:shd w:val="clear" w:color="auto" w:fill="auto"/>
            <w:noWrap/>
          </w:tcPr>
          <w:p w:rsidR="005D6812" w:rsidRDefault="00AB2A2B">
            <w:pPr>
              <w:pStyle w:val="Normal29"/>
              <w:jc w:val="both"/>
              <w:rPr>
                <w:rFonts w:ascii="Arial" w:hAnsi="Arial"/>
                <w:b/>
                <w:noProof/>
                <w:sz w:val="16"/>
                <w:szCs w:val="16"/>
                <w:lang w:eastAsia="en-GB"/>
              </w:rPr>
            </w:pPr>
            <w:r>
              <w:rPr>
                <w:rFonts w:ascii="Arial" w:hAnsi="Arial"/>
                <w:noProof/>
                <w:sz w:val="16"/>
                <w:szCs w:val="16"/>
                <w:lang w:eastAsia="en-GB"/>
              </w:rPr>
              <w:t>The higher the</w:t>
            </w:r>
            <w:r>
              <w:rPr>
                <w:rFonts w:ascii="Arial" w:hAnsi="Arial"/>
                <w:noProof/>
                <w:sz w:val="16"/>
                <w:szCs w:val="16"/>
                <w:lang w:eastAsia="en-GB"/>
              </w:rPr>
              <w:t xml:space="preserve"> marketability discount, the lower the fair value.</w:t>
            </w:r>
          </w:p>
        </w:tc>
      </w:tr>
      <w:tr w:rsidR="005D6812">
        <w:trPr>
          <w:trHeight w:val="169"/>
        </w:trPr>
        <w:tc>
          <w:tcPr>
            <w:tcW w:w="1431" w:type="dxa"/>
            <w:tcBorders>
              <w:top w:val="nil"/>
              <w:left w:val="nil"/>
              <w:bottom w:val="single" w:sz="4" w:space="0" w:color="auto"/>
              <w:right w:val="nil"/>
            </w:tcBorders>
            <w:shd w:val="clear" w:color="auto" w:fill="auto"/>
            <w:noWrap/>
          </w:tcPr>
          <w:p w:rsidR="005D6812" w:rsidRDefault="005D6812">
            <w:pPr>
              <w:pStyle w:val="Normal29"/>
              <w:suppressAutoHyphens w:val="0"/>
              <w:rPr>
                <w:rFonts w:ascii="Arial" w:hAnsi="Arial"/>
                <w:b/>
                <w:noProof/>
                <w:sz w:val="16"/>
                <w:szCs w:val="16"/>
                <w:lang w:eastAsia="en-GB"/>
              </w:rPr>
            </w:pPr>
          </w:p>
        </w:tc>
        <w:tc>
          <w:tcPr>
            <w:tcW w:w="4394" w:type="dxa"/>
            <w:tcBorders>
              <w:top w:val="nil"/>
              <w:left w:val="nil"/>
              <w:bottom w:val="single" w:sz="4" w:space="0" w:color="auto"/>
              <w:right w:val="nil"/>
            </w:tcBorders>
            <w:shd w:val="clear" w:color="auto" w:fill="auto"/>
            <w:noWrap/>
          </w:tcPr>
          <w:p w:rsidR="005D6812" w:rsidRDefault="005D6812">
            <w:pPr>
              <w:pStyle w:val="Normal29"/>
              <w:suppressAutoHyphens w:val="0"/>
              <w:rPr>
                <w:rFonts w:ascii="Arial" w:hAnsi="Arial"/>
                <w:noProof/>
                <w:sz w:val="16"/>
                <w:szCs w:val="16"/>
                <w:lang w:eastAsia="en-GB"/>
              </w:rPr>
            </w:pPr>
          </w:p>
        </w:tc>
        <w:tc>
          <w:tcPr>
            <w:tcW w:w="3119" w:type="dxa"/>
            <w:tcBorders>
              <w:top w:val="nil"/>
              <w:left w:val="nil"/>
              <w:bottom w:val="single" w:sz="4" w:space="0" w:color="auto"/>
              <w:right w:val="nil"/>
            </w:tcBorders>
            <w:shd w:val="clear" w:color="auto" w:fill="auto"/>
            <w:noWrap/>
          </w:tcPr>
          <w:p w:rsidR="005D6812" w:rsidRDefault="005D6812">
            <w:pPr>
              <w:pStyle w:val="Normal29"/>
              <w:suppressAutoHyphens w:val="0"/>
              <w:rPr>
                <w:rFonts w:ascii="Arial" w:hAnsi="Arial"/>
                <w:noProof/>
                <w:sz w:val="16"/>
                <w:szCs w:val="16"/>
                <w:lang w:eastAsia="en-GB"/>
              </w:rPr>
            </w:pPr>
          </w:p>
        </w:tc>
        <w:tc>
          <w:tcPr>
            <w:tcW w:w="1843" w:type="dxa"/>
            <w:tcBorders>
              <w:top w:val="nil"/>
              <w:left w:val="nil"/>
              <w:bottom w:val="single" w:sz="4" w:space="0" w:color="auto"/>
              <w:right w:val="nil"/>
            </w:tcBorders>
            <w:shd w:val="clear" w:color="auto" w:fill="auto"/>
            <w:noWrap/>
          </w:tcPr>
          <w:p w:rsidR="005D6812" w:rsidRDefault="005D6812">
            <w:pPr>
              <w:pStyle w:val="Normal29"/>
              <w:suppressAutoHyphens w:val="0"/>
              <w:rPr>
                <w:rFonts w:ascii="Arial" w:hAnsi="Arial"/>
                <w:noProof/>
                <w:sz w:val="16"/>
                <w:szCs w:val="16"/>
                <w:lang w:eastAsia="en-GB"/>
              </w:rPr>
            </w:pPr>
          </w:p>
        </w:tc>
      </w:tr>
      <w:tr w:rsidR="005D6812">
        <w:trPr>
          <w:trHeight w:val="284"/>
        </w:trPr>
        <w:tc>
          <w:tcPr>
            <w:tcW w:w="5825" w:type="dxa"/>
            <w:gridSpan w:val="2"/>
            <w:tcBorders>
              <w:top w:val="single" w:sz="4" w:space="0" w:color="auto"/>
              <w:left w:val="nil"/>
              <w:bottom w:val="nil"/>
              <w:right w:val="nil"/>
            </w:tcBorders>
            <w:shd w:val="clear" w:color="auto" w:fill="auto"/>
            <w:noWrap/>
          </w:tcPr>
          <w:p w:rsidR="005D6812" w:rsidRDefault="005D6812">
            <w:pPr>
              <w:pStyle w:val="Normal29"/>
              <w:suppressAutoHyphens w:val="0"/>
              <w:rPr>
                <w:rFonts w:ascii="Arial" w:hAnsi="Arial"/>
                <w:b/>
                <w:bCs/>
                <w:noProof/>
                <w:sz w:val="16"/>
                <w:szCs w:val="16"/>
                <w:lang w:eastAsia="en-GB"/>
              </w:rPr>
            </w:pPr>
          </w:p>
          <w:p w:rsidR="005D6812" w:rsidRDefault="00AB2A2B">
            <w:pPr>
              <w:pStyle w:val="Normal29"/>
              <w:suppressAutoHyphens w:val="0"/>
              <w:rPr>
                <w:rFonts w:ascii="Arial" w:hAnsi="Arial"/>
                <w:noProof/>
                <w:sz w:val="16"/>
                <w:szCs w:val="16"/>
                <w:lang w:eastAsia="en-GB"/>
              </w:rPr>
            </w:pPr>
            <w:r>
              <w:rPr>
                <w:rFonts w:ascii="Arial" w:hAnsi="Arial"/>
                <w:b/>
                <w:bCs/>
                <w:noProof/>
                <w:sz w:val="16"/>
                <w:szCs w:val="16"/>
                <w:lang w:eastAsia="en-GB"/>
              </w:rPr>
              <w:t>Financial instruments not carried at fair value</w:t>
            </w:r>
          </w:p>
        </w:tc>
        <w:tc>
          <w:tcPr>
            <w:tcW w:w="3119" w:type="dxa"/>
            <w:tcBorders>
              <w:top w:val="single" w:sz="4" w:space="0" w:color="auto"/>
              <w:left w:val="nil"/>
              <w:bottom w:val="nil"/>
              <w:right w:val="nil"/>
            </w:tcBorders>
            <w:shd w:val="clear" w:color="auto" w:fill="auto"/>
            <w:noWrap/>
          </w:tcPr>
          <w:p w:rsidR="005D6812" w:rsidRDefault="005D6812">
            <w:pPr>
              <w:pStyle w:val="Normal29"/>
              <w:suppressAutoHyphens w:val="0"/>
              <w:rPr>
                <w:rFonts w:ascii="Arial" w:hAnsi="Arial"/>
                <w:noProof/>
                <w:sz w:val="16"/>
                <w:szCs w:val="16"/>
                <w:lang w:eastAsia="en-GB"/>
              </w:rPr>
            </w:pPr>
          </w:p>
        </w:tc>
        <w:tc>
          <w:tcPr>
            <w:tcW w:w="1843" w:type="dxa"/>
            <w:tcBorders>
              <w:top w:val="single" w:sz="4" w:space="0" w:color="auto"/>
              <w:left w:val="nil"/>
              <w:bottom w:val="nil"/>
              <w:right w:val="nil"/>
            </w:tcBorders>
            <w:shd w:val="clear" w:color="auto" w:fill="auto"/>
            <w:noWrap/>
          </w:tcPr>
          <w:p w:rsidR="005D6812" w:rsidRDefault="005D6812">
            <w:pPr>
              <w:pStyle w:val="Normal29"/>
              <w:suppressAutoHyphens w:val="0"/>
              <w:rPr>
                <w:rFonts w:ascii="Arial" w:hAnsi="Arial"/>
                <w:noProof/>
                <w:sz w:val="16"/>
                <w:szCs w:val="16"/>
                <w:lang w:eastAsia="en-GB"/>
              </w:rPr>
            </w:pPr>
          </w:p>
        </w:tc>
      </w:tr>
      <w:tr w:rsidR="005D6812">
        <w:trPr>
          <w:trHeight w:val="163"/>
        </w:trPr>
        <w:tc>
          <w:tcPr>
            <w:tcW w:w="1431" w:type="dxa"/>
            <w:tcBorders>
              <w:top w:val="nil"/>
              <w:left w:val="nil"/>
              <w:bottom w:val="nil"/>
              <w:right w:val="nil"/>
            </w:tcBorders>
            <w:shd w:val="clear" w:color="auto" w:fill="auto"/>
            <w:noWrap/>
          </w:tcPr>
          <w:p w:rsidR="005D6812" w:rsidRDefault="005D6812">
            <w:pPr>
              <w:pStyle w:val="Normal29"/>
              <w:suppressAutoHyphens w:val="0"/>
              <w:rPr>
                <w:rFonts w:ascii="Arial" w:hAnsi="Arial"/>
                <w:noProof/>
                <w:sz w:val="16"/>
                <w:szCs w:val="16"/>
                <w:lang w:eastAsia="en-GB"/>
              </w:rPr>
            </w:pPr>
          </w:p>
        </w:tc>
        <w:tc>
          <w:tcPr>
            <w:tcW w:w="4394" w:type="dxa"/>
            <w:tcBorders>
              <w:top w:val="nil"/>
              <w:left w:val="nil"/>
              <w:bottom w:val="nil"/>
              <w:right w:val="nil"/>
            </w:tcBorders>
            <w:shd w:val="clear" w:color="auto" w:fill="auto"/>
            <w:noWrap/>
          </w:tcPr>
          <w:p w:rsidR="005D6812" w:rsidRDefault="005D6812">
            <w:pPr>
              <w:pStyle w:val="Normal29"/>
              <w:suppressAutoHyphens w:val="0"/>
              <w:jc w:val="both"/>
              <w:rPr>
                <w:rFonts w:ascii="Arial" w:hAnsi="Arial"/>
                <w:noProof/>
                <w:sz w:val="16"/>
                <w:szCs w:val="16"/>
                <w:lang w:eastAsia="en-GB"/>
              </w:rPr>
            </w:pPr>
          </w:p>
        </w:tc>
        <w:tc>
          <w:tcPr>
            <w:tcW w:w="3119" w:type="dxa"/>
            <w:tcBorders>
              <w:top w:val="nil"/>
              <w:left w:val="nil"/>
              <w:bottom w:val="nil"/>
              <w:right w:val="nil"/>
            </w:tcBorders>
            <w:shd w:val="clear" w:color="auto" w:fill="auto"/>
            <w:noWrap/>
          </w:tcPr>
          <w:p w:rsidR="005D6812" w:rsidRDefault="005D6812">
            <w:pPr>
              <w:pStyle w:val="Normal29"/>
              <w:suppressAutoHyphens w:val="0"/>
              <w:rPr>
                <w:rFonts w:ascii="Arial" w:hAnsi="Arial"/>
                <w:noProof/>
                <w:sz w:val="16"/>
                <w:szCs w:val="16"/>
                <w:lang w:eastAsia="en-GB"/>
              </w:rPr>
            </w:pPr>
          </w:p>
        </w:tc>
        <w:tc>
          <w:tcPr>
            <w:tcW w:w="1843" w:type="dxa"/>
            <w:tcBorders>
              <w:top w:val="nil"/>
              <w:left w:val="nil"/>
              <w:bottom w:val="nil"/>
              <w:right w:val="nil"/>
            </w:tcBorders>
            <w:shd w:val="clear" w:color="auto" w:fill="auto"/>
            <w:noWrap/>
          </w:tcPr>
          <w:p w:rsidR="005D6812" w:rsidRDefault="005D6812">
            <w:pPr>
              <w:pStyle w:val="Normal29"/>
              <w:suppressAutoHyphens w:val="0"/>
              <w:rPr>
                <w:rFonts w:ascii="Arial" w:hAnsi="Arial"/>
                <w:noProof/>
                <w:sz w:val="16"/>
                <w:szCs w:val="16"/>
                <w:lang w:eastAsia="en-GB"/>
              </w:rPr>
            </w:pPr>
          </w:p>
        </w:tc>
      </w:tr>
      <w:tr w:rsidR="005D6812">
        <w:trPr>
          <w:trHeight w:val="284"/>
        </w:trPr>
        <w:tc>
          <w:tcPr>
            <w:tcW w:w="1431" w:type="dxa"/>
            <w:tcBorders>
              <w:top w:val="nil"/>
              <w:left w:val="nil"/>
              <w:bottom w:val="nil"/>
              <w:right w:val="nil"/>
            </w:tcBorders>
            <w:shd w:val="clear" w:color="auto" w:fill="auto"/>
            <w:noWrap/>
          </w:tcPr>
          <w:p w:rsidR="005D6812" w:rsidRDefault="00AB2A2B">
            <w:pPr>
              <w:pStyle w:val="Normal29"/>
              <w:suppressAutoHyphens w:val="0"/>
              <w:rPr>
                <w:rFonts w:ascii="Arial" w:hAnsi="Arial"/>
                <w:noProof/>
                <w:sz w:val="16"/>
                <w:szCs w:val="16"/>
                <w:lang w:eastAsia="en-GB"/>
              </w:rPr>
            </w:pPr>
            <w:r>
              <w:rPr>
                <w:rFonts w:ascii="Arial" w:hAnsi="Arial"/>
                <w:noProof/>
                <w:sz w:val="16"/>
                <w:szCs w:val="16"/>
                <w:lang w:eastAsia="en-GB"/>
              </w:rPr>
              <w:t>Loans and receivables</w:t>
            </w:r>
          </w:p>
        </w:tc>
        <w:tc>
          <w:tcPr>
            <w:tcW w:w="4394" w:type="dxa"/>
            <w:tcBorders>
              <w:top w:val="nil"/>
              <w:left w:val="nil"/>
              <w:bottom w:val="nil"/>
              <w:right w:val="nil"/>
            </w:tcBorders>
            <w:shd w:val="clear" w:color="auto" w:fill="auto"/>
            <w:noWrap/>
          </w:tcPr>
          <w:p w:rsidR="005D6812" w:rsidRDefault="00AB2A2B">
            <w:pPr>
              <w:pStyle w:val="Normal29"/>
              <w:suppressAutoHyphens w:val="0"/>
              <w:jc w:val="both"/>
              <w:rPr>
                <w:rFonts w:ascii="Arial" w:hAnsi="Arial"/>
                <w:bCs/>
                <w:noProof/>
                <w:sz w:val="16"/>
                <w:szCs w:val="16"/>
                <w:lang w:val="en-US" w:eastAsia="en-GB"/>
              </w:rPr>
            </w:pPr>
            <w:r>
              <w:rPr>
                <w:rFonts w:ascii="Arial" w:hAnsi="Arial"/>
                <w:noProof/>
                <w:sz w:val="16"/>
                <w:szCs w:val="16"/>
                <w:lang w:eastAsia="en-GB"/>
              </w:rPr>
              <w:t xml:space="preserve">Discounted cash flows: </w:t>
            </w:r>
            <w:r>
              <w:rPr>
                <w:rFonts w:ascii="Arial" w:hAnsi="Arial"/>
                <w:bCs/>
                <w:noProof/>
                <w:sz w:val="16"/>
                <w:szCs w:val="16"/>
                <w:lang w:eastAsia="en-GB"/>
              </w:rPr>
              <w:t xml:space="preserve">The valuation </w:t>
            </w:r>
            <w:r>
              <w:rPr>
                <w:rFonts w:ascii="Arial" w:hAnsi="Arial"/>
                <w:bCs/>
                <w:noProof/>
                <w:sz w:val="16"/>
                <w:szCs w:val="16"/>
                <w:lang w:val="en-US" w:eastAsia="en-GB"/>
              </w:rPr>
              <w:t xml:space="preserve">model uses contractual cash flows that are conditional upon the non-occurrence of default by the debtor and do not take into account any </w:t>
            </w:r>
            <w:r>
              <w:rPr>
                <w:rFonts w:ascii="Arial" w:hAnsi="Arial"/>
                <w:noProof/>
                <w:sz w:val="16"/>
                <w:szCs w:val="16"/>
                <w:lang w:eastAsia="en-GB"/>
              </w:rPr>
              <w:t>collateral</w:t>
            </w:r>
            <w:r>
              <w:rPr>
                <w:rFonts w:ascii="Arial" w:hAnsi="Arial"/>
                <w:bCs/>
                <w:noProof/>
                <w:sz w:val="16"/>
                <w:szCs w:val="16"/>
                <w:lang w:val="en-US" w:eastAsia="en-GB"/>
              </w:rPr>
              <w:t xml:space="preserve"> values or early repayments’ scenarios. To obtain the Net Present Value (NPV) of the loans, the model retaine</w:t>
            </w:r>
            <w:r>
              <w:rPr>
                <w:rFonts w:ascii="Arial" w:hAnsi="Arial"/>
                <w:bCs/>
                <w:noProof/>
                <w:sz w:val="16"/>
                <w:szCs w:val="16"/>
                <w:lang w:val="en-US" w:eastAsia="en-GB"/>
              </w:rPr>
              <w:t xml:space="preserve">d discounts the contractual cash flows of each loan using an adjusted market discount curve. The individual loan NPV is then adjusted to take into consideration the relevant associated Expected Loss. The results are then summed to obtain the fair value of </w:t>
            </w:r>
            <w:r>
              <w:rPr>
                <w:rFonts w:ascii="Arial" w:hAnsi="Arial"/>
                <w:bCs/>
                <w:noProof/>
                <w:sz w:val="16"/>
                <w:szCs w:val="16"/>
                <w:lang w:val="en-US" w:eastAsia="en-GB"/>
              </w:rPr>
              <w:t>Loans and receivables.</w:t>
            </w:r>
          </w:p>
        </w:tc>
        <w:tc>
          <w:tcPr>
            <w:tcW w:w="3119" w:type="dxa"/>
            <w:tcBorders>
              <w:top w:val="nil"/>
              <w:left w:val="nil"/>
              <w:bottom w:val="nil"/>
              <w:right w:val="nil"/>
            </w:tcBorders>
            <w:shd w:val="clear" w:color="auto" w:fill="auto"/>
            <w:noWrap/>
          </w:tcPr>
          <w:p w:rsidR="005D6812" w:rsidRDefault="00AB2A2B">
            <w:pPr>
              <w:pStyle w:val="Normal29"/>
              <w:suppressAutoHyphens w:val="0"/>
              <w:rPr>
                <w:rFonts w:ascii="Arial" w:hAnsi="Arial"/>
                <w:noProof/>
                <w:sz w:val="16"/>
                <w:szCs w:val="16"/>
                <w:lang w:eastAsia="en-GB"/>
              </w:rPr>
            </w:pPr>
            <w:r>
              <w:rPr>
                <w:rFonts w:ascii="Arial" w:hAnsi="Arial"/>
                <w:noProof/>
                <w:sz w:val="16"/>
                <w:szCs w:val="16"/>
                <w:lang w:eastAsia="en-GB"/>
              </w:rPr>
              <w:t>Not applicable.</w:t>
            </w:r>
          </w:p>
        </w:tc>
        <w:tc>
          <w:tcPr>
            <w:tcW w:w="1843" w:type="dxa"/>
            <w:tcBorders>
              <w:top w:val="nil"/>
              <w:left w:val="nil"/>
              <w:bottom w:val="nil"/>
              <w:right w:val="nil"/>
            </w:tcBorders>
            <w:shd w:val="clear" w:color="auto" w:fill="auto"/>
            <w:noWrap/>
          </w:tcPr>
          <w:p w:rsidR="005D6812" w:rsidRDefault="00AB2A2B">
            <w:pPr>
              <w:pStyle w:val="Normal29"/>
              <w:suppressAutoHyphens w:val="0"/>
              <w:rPr>
                <w:rFonts w:ascii="Arial" w:hAnsi="Arial"/>
                <w:noProof/>
                <w:sz w:val="16"/>
                <w:szCs w:val="16"/>
                <w:lang w:eastAsia="en-GB"/>
              </w:rPr>
            </w:pPr>
            <w:r>
              <w:rPr>
                <w:rFonts w:ascii="Arial" w:hAnsi="Arial"/>
                <w:noProof/>
                <w:sz w:val="16"/>
                <w:szCs w:val="16"/>
                <w:lang w:eastAsia="en-GB"/>
              </w:rPr>
              <w:t>Not applicable.</w:t>
            </w:r>
          </w:p>
        </w:tc>
      </w:tr>
      <w:tr w:rsidR="005D6812">
        <w:trPr>
          <w:trHeight w:val="205"/>
        </w:trPr>
        <w:tc>
          <w:tcPr>
            <w:tcW w:w="1431" w:type="dxa"/>
            <w:tcBorders>
              <w:top w:val="nil"/>
              <w:left w:val="nil"/>
              <w:bottom w:val="nil"/>
              <w:right w:val="nil"/>
            </w:tcBorders>
            <w:shd w:val="clear" w:color="auto" w:fill="auto"/>
            <w:noWrap/>
          </w:tcPr>
          <w:p w:rsidR="005D6812" w:rsidRDefault="005D6812">
            <w:pPr>
              <w:pStyle w:val="Normal29"/>
              <w:suppressAutoHyphens w:val="0"/>
              <w:rPr>
                <w:rFonts w:ascii="Arial" w:hAnsi="Arial"/>
                <w:noProof/>
                <w:sz w:val="16"/>
                <w:szCs w:val="16"/>
                <w:lang w:eastAsia="en-GB"/>
              </w:rPr>
            </w:pPr>
          </w:p>
        </w:tc>
        <w:tc>
          <w:tcPr>
            <w:tcW w:w="4394" w:type="dxa"/>
            <w:tcBorders>
              <w:top w:val="nil"/>
              <w:left w:val="nil"/>
              <w:bottom w:val="nil"/>
              <w:right w:val="nil"/>
            </w:tcBorders>
            <w:shd w:val="clear" w:color="auto" w:fill="auto"/>
            <w:noWrap/>
          </w:tcPr>
          <w:p w:rsidR="005D6812" w:rsidRDefault="005D6812">
            <w:pPr>
              <w:pStyle w:val="Normal29"/>
              <w:suppressAutoHyphens w:val="0"/>
              <w:rPr>
                <w:rFonts w:ascii="Arial" w:hAnsi="Arial"/>
                <w:noProof/>
                <w:sz w:val="16"/>
                <w:szCs w:val="16"/>
                <w:lang w:eastAsia="en-GB"/>
              </w:rPr>
            </w:pPr>
          </w:p>
        </w:tc>
        <w:tc>
          <w:tcPr>
            <w:tcW w:w="3119" w:type="dxa"/>
            <w:tcBorders>
              <w:top w:val="nil"/>
              <w:left w:val="nil"/>
              <w:bottom w:val="nil"/>
              <w:right w:val="nil"/>
            </w:tcBorders>
            <w:shd w:val="clear" w:color="auto" w:fill="auto"/>
            <w:noWrap/>
          </w:tcPr>
          <w:p w:rsidR="005D6812" w:rsidRDefault="005D6812">
            <w:pPr>
              <w:pStyle w:val="Normal29"/>
              <w:suppressAutoHyphens w:val="0"/>
              <w:rPr>
                <w:rFonts w:ascii="Arial" w:hAnsi="Arial"/>
                <w:noProof/>
                <w:sz w:val="16"/>
                <w:szCs w:val="16"/>
                <w:lang w:eastAsia="en-GB"/>
              </w:rPr>
            </w:pPr>
          </w:p>
        </w:tc>
        <w:tc>
          <w:tcPr>
            <w:tcW w:w="1843" w:type="dxa"/>
            <w:tcBorders>
              <w:top w:val="nil"/>
              <w:left w:val="nil"/>
              <w:bottom w:val="nil"/>
              <w:right w:val="nil"/>
            </w:tcBorders>
            <w:shd w:val="clear" w:color="auto" w:fill="auto"/>
            <w:noWrap/>
          </w:tcPr>
          <w:p w:rsidR="005D6812" w:rsidRDefault="005D6812">
            <w:pPr>
              <w:pStyle w:val="Normal29"/>
              <w:suppressAutoHyphens w:val="0"/>
              <w:rPr>
                <w:rFonts w:ascii="Arial" w:hAnsi="Arial"/>
                <w:noProof/>
                <w:sz w:val="16"/>
                <w:szCs w:val="16"/>
                <w:lang w:eastAsia="en-GB"/>
              </w:rPr>
            </w:pPr>
          </w:p>
        </w:tc>
      </w:tr>
      <w:tr w:rsidR="005D6812">
        <w:trPr>
          <w:trHeight w:val="284"/>
        </w:trPr>
        <w:tc>
          <w:tcPr>
            <w:tcW w:w="1431" w:type="dxa"/>
            <w:tcBorders>
              <w:top w:val="nil"/>
              <w:left w:val="nil"/>
              <w:bottom w:val="nil"/>
              <w:right w:val="nil"/>
            </w:tcBorders>
            <w:shd w:val="clear" w:color="auto" w:fill="auto"/>
            <w:noWrap/>
          </w:tcPr>
          <w:p w:rsidR="005D6812" w:rsidRDefault="00AB2A2B">
            <w:pPr>
              <w:pStyle w:val="Normal29"/>
              <w:suppressAutoHyphens w:val="0"/>
              <w:rPr>
                <w:rFonts w:ascii="Arial" w:hAnsi="Arial"/>
                <w:noProof/>
                <w:sz w:val="16"/>
                <w:szCs w:val="16"/>
                <w:lang w:eastAsia="en-GB"/>
              </w:rPr>
            </w:pPr>
            <w:r>
              <w:rPr>
                <w:rFonts w:ascii="Arial" w:hAnsi="Arial"/>
                <w:noProof/>
                <w:sz w:val="16"/>
                <w:szCs w:val="16"/>
                <w:lang w:eastAsia="en-GB"/>
              </w:rPr>
              <w:t>Held-to-maturity financial assets</w:t>
            </w:r>
          </w:p>
        </w:tc>
        <w:tc>
          <w:tcPr>
            <w:tcW w:w="4394" w:type="dxa"/>
            <w:tcBorders>
              <w:top w:val="nil"/>
              <w:left w:val="nil"/>
              <w:bottom w:val="nil"/>
              <w:right w:val="nil"/>
            </w:tcBorders>
            <w:shd w:val="clear" w:color="auto" w:fill="auto"/>
            <w:noWrap/>
          </w:tcPr>
          <w:p w:rsidR="005D6812" w:rsidRDefault="00AB2A2B">
            <w:pPr>
              <w:pStyle w:val="Normal29"/>
              <w:suppressAutoHyphens w:val="0"/>
              <w:rPr>
                <w:rFonts w:ascii="Arial" w:hAnsi="Arial"/>
                <w:noProof/>
                <w:sz w:val="16"/>
                <w:szCs w:val="16"/>
                <w:lang w:eastAsia="en-GB"/>
              </w:rPr>
            </w:pPr>
            <w:r>
              <w:rPr>
                <w:rFonts w:ascii="Arial" w:hAnsi="Arial"/>
                <w:noProof/>
                <w:sz w:val="16"/>
                <w:szCs w:val="16"/>
                <w:lang w:eastAsia="en-GB"/>
              </w:rPr>
              <w:t>Discounted cash flows.</w:t>
            </w:r>
          </w:p>
        </w:tc>
        <w:tc>
          <w:tcPr>
            <w:tcW w:w="3119" w:type="dxa"/>
            <w:tcBorders>
              <w:top w:val="nil"/>
              <w:left w:val="nil"/>
              <w:bottom w:val="nil"/>
              <w:right w:val="nil"/>
            </w:tcBorders>
            <w:shd w:val="clear" w:color="auto" w:fill="auto"/>
            <w:noWrap/>
          </w:tcPr>
          <w:p w:rsidR="005D6812" w:rsidRDefault="00AB2A2B">
            <w:pPr>
              <w:pStyle w:val="Normal29"/>
              <w:suppressAutoHyphens w:val="0"/>
              <w:rPr>
                <w:rFonts w:ascii="Arial" w:hAnsi="Arial"/>
                <w:noProof/>
                <w:sz w:val="16"/>
                <w:szCs w:val="16"/>
                <w:lang w:eastAsia="en-GB"/>
              </w:rPr>
            </w:pPr>
            <w:r>
              <w:rPr>
                <w:rFonts w:ascii="Arial" w:hAnsi="Arial"/>
                <w:noProof/>
                <w:sz w:val="16"/>
                <w:szCs w:val="16"/>
                <w:lang w:eastAsia="en-GB"/>
              </w:rPr>
              <w:t>Not applicable.</w:t>
            </w:r>
          </w:p>
        </w:tc>
        <w:tc>
          <w:tcPr>
            <w:tcW w:w="1843" w:type="dxa"/>
            <w:tcBorders>
              <w:top w:val="nil"/>
              <w:left w:val="nil"/>
              <w:bottom w:val="nil"/>
              <w:right w:val="nil"/>
            </w:tcBorders>
            <w:shd w:val="clear" w:color="auto" w:fill="auto"/>
            <w:noWrap/>
          </w:tcPr>
          <w:p w:rsidR="005D6812" w:rsidRDefault="00AB2A2B">
            <w:pPr>
              <w:pStyle w:val="Normal29"/>
              <w:suppressAutoHyphens w:val="0"/>
              <w:rPr>
                <w:rFonts w:ascii="Arial" w:hAnsi="Arial"/>
                <w:noProof/>
                <w:sz w:val="16"/>
                <w:szCs w:val="16"/>
                <w:lang w:eastAsia="en-GB"/>
              </w:rPr>
            </w:pPr>
            <w:r>
              <w:rPr>
                <w:rFonts w:ascii="Arial" w:hAnsi="Arial"/>
                <w:noProof/>
                <w:sz w:val="16"/>
                <w:szCs w:val="16"/>
                <w:lang w:eastAsia="en-GB"/>
              </w:rPr>
              <w:t>Not applicable.</w:t>
            </w:r>
          </w:p>
        </w:tc>
      </w:tr>
    </w:tbl>
    <w:p w:rsidR="005D6812" w:rsidRDefault="005D6812">
      <w:pPr>
        <w:pStyle w:val="Normal29"/>
        <w:jc w:val="both"/>
        <w:rPr>
          <w:rFonts w:ascii="Arial" w:hAnsi="Arial"/>
          <w:iCs/>
          <w:noProof/>
          <w:sz w:val="16"/>
          <w:szCs w:val="16"/>
        </w:rPr>
      </w:pPr>
    </w:p>
    <w:p w:rsidR="005D6812" w:rsidRDefault="00AB2A2B">
      <w:pPr>
        <w:pStyle w:val="Normal29"/>
        <w:suppressAutoHyphens w:val="0"/>
        <w:rPr>
          <w:rFonts w:ascii="Arial" w:hAnsi="Arial"/>
          <w:iCs/>
          <w:noProof/>
          <w:sz w:val="16"/>
          <w:szCs w:val="16"/>
        </w:rPr>
      </w:pPr>
      <w:r>
        <w:rPr>
          <w:rFonts w:ascii="Arial" w:hAnsi="Arial"/>
          <w:iCs/>
          <w:noProof/>
          <w:sz w:val="16"/>
          <w:szCs w:val="16"/>
        </w:rPr>
        <w:br w:type="page"/>
      </w:r>
    </w:p>
    <w:p w:rsidR="005D6812" w:rsidRDefault="005D6812">
      <w:pPr>
        <w:pStyle w:val="Normal29"/>
        <w:jc w:val="both"/>
        <w:rPr>
          <w:rFonts w:ascii="Arial" w:hAnsi="Arial"/>
          <w:iCs/>
          <w:noProof/>
          <w:sz w:val="16"/>
          <w:szCs w:val="16"/>
        </w:rPr>
      </w:pPr>
    </w:p>
    <w:p w:rsidR="005D6812" w:rsidRDefault="00AB2A2B">
      <w:pPr>
        <w:pStyle w:val="Normal29"/>
        <w:jc w:val="both"/>
        <w:rPr>
          <w:rFonts w:ascii="Arial" w:hAnsi="Arial"/>
          <w:iCs/>
          <w:noProof/>
          <w:sz w:val="16"/>
          <w:szCs w:val="16"/>
        </w:rPr>
      </w:pPr>
      <w:r>
        <w:rPr>
          <w:rFonts w:ascii="Arial" w:hAnsi="Arial"/>
          <w:iCs/>
          <w:noProof/>
          <w:sz w:val="16"/>
          <w:szCs w:val="16"/>
        </w:rPr>
        <w:t xml:space="preserve">With the application of IFRS 13, valuation adjustments are included in the fair value of derivatives </w:t>
      </w:r>
      <w:r>
        <w:rPr>
          <w:rFonts w:ascii="Arial" w:hAnsi="Arial"/>
          <w:iCs/>
          <w:noProof/>
          <w:sz w:val="16"/>
          <w:szCs w:val="16"/>
        </w:rPr>
        <w:t>at 31 December 2016 and 2015, namely:</w:t>
      </w:r>
    </w:p>
    <w:p w:rsidR="005D6812" w:rsidRDefault="005D6812">
      <w:pPr>
        <w:pStyle w:val="Normal29"/>
        <w:jc w:val="both"/>
        <w:rPr>
          <w:rFonts w:ascii="Arial" w:hAnsi="Arial"/>
          <w:iCs/>
          <w:noProof/>
          <w:sz w:val="16"/>
          <w:szCs w:val="16"/>
        </w:rPr>
      </w:pPr>
    </w:p>
    <w:p w:rsidR="005D6812" w:rsidRDefault="00AB2A2B">
      <w:pPr>
        <w:pStyle w:val="ListParagraph6"/>
        <w:numPr>
          <w:ilvl w:val="0"/>
          <w:numId w:val="90"/>
        </w:numPr>
        <w:jc w:val="both"/>
        <w:rPr>
          <w:rFonts w:ascii="Arial" w:hAnsi="Arial"/>
          <w:iCs/>
          <w:noProof/>
          <w:sz w:val="16"/>
          <w:szCs w:val="16"/>
        </w:rPr>
      </w:pPr>
      <w:r>
        <w:rPr>
          <w:rFonts w:ascii="Arial" w:hAnsi="Arial"/>
          <w:iCs/>
          <w:noProof/>
          <w:sz w:val="16"/>
          <w:szCs w:val="16"/>
        </w:rPr>
        <w:t xml:space="preserve">Credit valuation adjustments (CVA), reflecting counterparty credit risk on derivative transactions, amounting to EUR -76.4k as at  31 December 2016 and to EUR -121.7k  as at 31 December 2015. </w:t>
      </w:r>
    </w:p>
    <w:p w:rsidR="005D6812" w:rsidRDefault="00AB2A2B">
      <w:pPr>
        <w:pStyle w:val="ListParagraph6"/>
        <w:numPr>
          <w:ilvl w:val="0"/>
          <w:numId w:val="90"/>
        </w:numPr>
        <w:jc w:val="both"/>
        <w:rPr>
          <w:rFonts w:ascii="Arial" w:hAnsi="Arial"/>
          <w:iCs/>
          <w:noProof/>
          <w:sz w:val="16"/>
          <w:szCs w:val="16"/>
        </w:rPr>
      </w:pPr>
      <w:r>
        <w:rPr>
          <w:rFonts w:ascii="Arial" w:hAnsi="Arial"/>
          <w:iCs/>
          <w:noProof/>
          <w:sz w:val="16"/>
          <w:szCs w:val="16"/>
        </w:rPr>
        <w:t>Debit valuation adjustme</w:t>
      </w:r>
      <w:r>
        <w:rPr>
          <w:rFonts w:ascii="Arial" w:hAnsi="Arial"/>
          <w:iCs/>
          <w:noProof/>
          <w:sz w:val="16"/>
          <w:szCs w:val="16"/>
        </w:rPr>
        <w:t xml:space="preserve">nts (DVA), reflecting own credit risk on derivative transactions, amounting to EUR +42.9k as at </w:t>
      </w:r>
      <w:r>
        <w:rPr>
          <w:rFonts w:ascii="Arial" w:hAnsi="Arial"/>
          <w:iCs/>
          <w:noProof/>
          <w:sz w:val="16"/>
          <w:szCs w:val="16"/>
        </w:rPr>
        <w:br/>
        <w:t xml:space="preserve">31 December 2016 and EUR +64.4k as at 31 December 2015. </w:t>
      </w:r>
    </w:p>
    <w:p w:rsidR="005D6812" w:rsidRDefault="00AB2A2B">
      <w:pPr>
        <w:pStyle w:val="Title1126"/>
        <w:numPr>
          <w:ilvl w:val="2"/>
          <w:numId w:val="91"/>
        </w:numPr>
        <w:rPr>
          <w:noProof/>
          <w:sz w:val="16"/>
          <w:szCs w:val="16"/>
        </w:rPr>
      </w:pPr>
      <w:r>
        <w:rPr>
          <w:noProof/>
          <w:sz w:val="16"/>
          <w:szCs w:val="16"/>
        </w:rPr>
        <w:t>Transfers between Level 1 and 2</w:t>
      </w:r>
    </w:p>
    <w:p w:rsidR="005D6812" w:rsidRDefault="005D6812">
      <w:pPr>
        <w:pStyle w:val="Normal30"/>
        <w:jc w:val="both"/>
        <w:rPr>
          <w:rFonts w:ascii="Arial" w:hAnsi="Arial"/>
          <w:iCs/>
          <w:noProof/>
          <w:sz w:val="16"/>
          <w:szCs w:val="16"/>
        </w:rPr>
      </w:pPr>
    </w:p>
    <w:p w:rsidR="005D6812" w:rsidRDefault="00AB2A2B">
      <w:pPr>
        <w:pStyle w:val="Normal30"/>
        <w:jc w:val="both"/>
        <w:rPr>
          <w:rFonts w:ascii="Arial" w:hAnsi="Arial"/>
          <w:iCs/>
          <w:noProof/>
          <w:sz w:val="16"/>
          <w:szCs w:val="16"/>
        </w:rPr>
      </w:pPr>
      <w:r>
        <w:rPr>
          <w:rFonts w:ascii="Arial" w:hAnsi="Arial"/>
          <w:iCs/>
          <w:noProof/>
          <w:sz w:val="16"/>
          <w:szCs w:val="16"/>
        </w:rPr>
        <w:t>The Facility’s policy is to recognise the transfers between Levels as</w:t>
      </w:r>
      <w:r>
        <w:rPr>
          <w:rFonts w:ascii="Arial" w:hAnsi="Arial"/>
          <w:iCs/>
          <w:noProof/>
          <w:sz w:val="16"/>
          <w:szCs w:val="16"/>
        </w:rPr>
        <w:t xml:space="preserve"> of the date of the event or change in circumstances that caused the transfer.</w:t>
      </w:r>
    </w:p>
    <w:p w:rsidR="005D6812" w:rsidRDefault="005D6812">
      <w:pPr>
        <w:pStyle w:val="Normal30"/>
        <w:spacing w:before="60" w:after="60"/>
        <w:rPr>
          <w:rFonts w:ascii="Arial" w:hAnsi="Arial"/>
          <w:noProof/>
          <w:sz w:val="16"/>
          <w:szCs w:val="16"/>
        </w:rPr>
      </w:pPr>
    </w:p>
    <w:p w:rsidR="005D6812" w:rsidRDefault="00AB2A2B">
      <w:pPr>
        <w:pStyle w:val="Normal30"/>
        <w:spacing w:before="60" w:after="60"/>
        <w:rPr>
          <w:rFonts w:ascii="Arial" w:hAnsi="Arial"/>
          <w:noProof/>
          <w:sz w:val="16"/>
          <w:szCs w:val="16"/>
        </w:rPr>
      </w:pPr>
      <w:r>
        <w:rPr>
          <w:rFonts w:ascii="Arial" w:hAnsi="Arial"/>
          <w:noProof/>
          <w:sz w:val="16"/>
          <w:szCs w:val="16"/>
        </w:rPr>
        <w:t>In 2016 and 2015 the Facility did not make transfers from Level 1 to 2 or Level 2 to 1 of the fair value hierarchy.</w:t>
      </w:r>
    </w:p>
    <w:p w:rsidR="005D6812" w:rsidRDefault="005D6812">
      <w:pPr>
        <w:pStyle w:val="Normal30"/>
        <w:spacing w:before="60" w:after="60"/>
        <w:rPr>
          <w:rFonts w:ascii="Arial" w:hAnsi="Arial"/>
          <w:noProof/>
          <w:sz w:val="16"/>
          <w:szCs w:val="16"/>
        </w:rPr>
      </w:pPr>
    </w:p>
    <w:p w:rsidR="005D6812" w:rsidRDefault="00AB2A2B">
      <w:pPr>
        <w:pStyle w:val="Title1126"/>
        <w:numPr>
          <w:ilvl w:val="2"/>
          <w:numId w:val="91"/>
        </w:numPr>
        <w:rPr>
          <w:noProof/>
          <w:sz w:val="16"/>
          <w:szCs w:val="16"/>
        </w:rPr>
      </w:pPr>
      <w:r>
        <w:rPr>
          <w:noProof/>
          <w:sz w:val="16"/>
          <w:szCs w:val="16"/>
        </w:rPr>
        <w:t>Level 3 fair values</w:t>
      </w:r>
    </w:p>
    <w:p w:rsidR="005D6812" w:rsidRDefault="005D6812">
      <w:pPr>
        <w:pStyle w:val="Normal30"/>
        <w:spacing w:before="60" w:after="60"/>
        <w:rPr>
          <w:rFonts w:ascii="Arial" w:hAnsi="Arial"/>
          <w:noProof/>
          <w:sz w:val="16"/>
          <w:szCs w:val="16"/>
        </w:rPr>
      </w:pPr>
    </w:p>
    <w:p w:rsidR="005D6812" w:rsidRDefault="00AB2A2B">
      <w:pPr>
        <w:pStyle w:val="Normal30"/>
        <w:rPr>
          <w:rFonts w:ascii="Arial" w:hAnsi="Arial"/>
          <w:b/>
          <w:bCs/>
          <w:noProof/>
          <w:sz w:val="16"/>
          <w:szCs w:val="16"/>
          <w:lang w:eastAsia="en-GB"/>
        </w:rPr>
      </w:pPr>
      <w:r>
        <w:rPr>
          <w:rFonts w:ascii="Arial" w:hAnsi="Arial"/>
          <w:b/>
          <w:bCs/>
          <w:noProof/>
          <w:sz w:val="16"/>
          <w:szCs w:val="16"/>
          <w:lang w:eastAsia="en-GB"/>
        </w:rPr>
        <w:t>Reconciliation of Level 3 fair values</w:t>
      </w:r>
    </w:p>
    <w:p w:rsidR="005D6812" w:rsidRDefault="005D6812">
      <w:pPr>
        <w:pStyle w:val="Normal30"/>
        <w:rPr>
          <w:rFonts w:ascii="Arial" w:hAnsi="Arial"/>
          <w:b/>
          <w:bCs/>
          <w:noProof/>
          <w:sz w:val="16"/>
          <w:szCs w:val="16"/>
          <w:lang w:eastAsia="en-GB"/>
        </w:rPr>
      </w:pPr>
    </w:p>
    <w:p w:rsidR="005D6812" w:rsidRDefault="00AB2A2B">
      <w:pPr>
        <w:pStyle w:val="Normal30"/>
        <w:spacing w:before="60" w:after="60"/>
        <w:rPr>
          <w:rFonts w:ascii="Arial" w:hAnsi="Arial"/>
          <w:noProof/>
          <w:sz w:val="16"/>
          <w:szCs w:val="16"/>
        </w:rPr>
      </w:pPr>
      <w:r>
        <w:rPr>
          <w:rFonts w:ascii="Arial" w:hAnsi="Arial"/>
          <w:noProof/>
          <w:sz w:val="16"/>
          <w:szCs w:val="16"/>
        </w:rPr>
        <w:t>The following tables present the changes in Level 3 instruments for the year ended 31 December 2016 and 31 December 2015:</w:t>
      </w:r>
    </w:p>
    <w:p w:rsidR="005D6812" w:rsidRDefault="005D6812">
      <w:pPr>
        <w:pStyle w:val="Normal30"/>
        <w:spacing w:before="60" w:after="60"/>
        <w:rPr>
          <w:rFonts w:ascii="Arial" w:hAnsi="Arial"/>
          <w:noProof/>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75"/>
        <w:gridCol w:w="1500"/>
      </w:tblGrid>
      <w:tr w:rsidR="005D6812">
        <w:trPr>
          <w:trHeight w:val="570"/>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In EUR'000</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Available-for-sale financial assets</w:t>
            </w:r>
          </w:p>
        </w:tc>
      </w:tr>
      <w:tr w:rsidR="005D6812">
        <w:trPr>
          <w:trHeight w:val="300"/>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Balance at 1 January 2016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419,175</w:t>
            </w:r>
          </w:p>
        </w:tc>
      </w:tr>
      <w:tr w:rsidR="005D6812">
        <w:trPr>
          <w:trHeight w:val="300"/>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Gains or losses included in profit or loss: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300"/>
        </w:trPr>
        <w:tc>
          <w:tcPr>
            <w:tcW w:w="84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 </w:t>
            </w:r>
            <w:r>
              <w:rPr>
                <w:rFonts w:ascii="Arial" w:eastAsia="Arial" w:hAnsi="Arial" w:cs="Arial"/>
                <w:noProof/>
                <w:color w:val="000000"/>
                <w:sz w:val="16"/>
              </w:rPr>
              <w:t>net realised gains on available-for-sale financial assets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-6,504</w:t>
            </w:r>
          </w:p>
        </w:tc>
      </w:tr>
      <w:tr w:rsidR="005D6812">
        <w:trPr>
          <w:trHeight w:val="300"/>
        </w:trPr>
        <w:tc>
          <w:tcPr>
            <w:tcW w:w="847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 impairment on available-for-sale financial assets </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-2,493</w:t>
            </w:r>
          </w:p>
        </w:tc>
      </w:tr>
      <w:tr w:rsidR="005D6812">
        <w:trPr>
          <w:trHeight w:val="300"/>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-8,997</w:t>
            </w:r>
          </w:p>
        </w:tc>
      </w:tr>
      <w:tr w:rsidR="005D6812">
        <w:trPr>
          <w:trHeight w:val="300"/>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Gains or losses included in other comprehensive income:</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300"/>
        </w:trPr>
        <w:tc>
          <w:tcPr>
            <w:tcW w:w="847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 net change in fair value of available-for-sale </w:t>
            </w:r>
            <w:r>
              <w:rPr>
                <w:rFonts w:ascii="Arial" w:eastAsia="Arial" w:hAnsi="Arial" w:cs="Arial"/>
                <w:noProof/>
                <w:color w:val="000000"/>
                <w:sz w:val="16"/>
              </w:rPr>
              <w:t>financial assets</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-24,628</w:t>
            </w:r>
          </w:p>
        </w:tc>
      </w:tr>
      <w:tr w:rsidR="005D6812">
        <w:trPr>
          <w:trHeight w:val="300"/>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-24,628</w:t>
            </w:r>
          </w:p>
        </w:tc>
      </w:tr>
      <w:tr w:rsidR="005D6812">
        <w:trPr>
          <w:trHeight w:val="300"/>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Disbursements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153,986</w:t>
            </w:r>
          </w:p>
        </w:tc>
      </w:tr>
      <w:tr w:rsidR="005D6812">
        <w:trPr>
          <w:trHeight w:val="300"/>
        </w:trPr>
        <w:tc>
          <w:tcPr>
            <w:tcW w:w="84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Repayments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-37,978</w:t>
            </w:r>
          </w:p>
        </w:tc>
      </w:tr>
      <w:tr w:rsidR="005D6812">
        <w:trPr>
          <w:trHeight w:val="300"/>
        </w:trPr>
        <w:tc>
          <w:tcPr>
            <w:tcW w:w="84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Write offs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-7,554</w:t>
            </w:r>
          </w:p>
        </w:tc>
      </w:tr>
      <w:tr w:rsidR="005D6812">
        <w:trPr>
          <w:trHeight w:val="300"/>
        </w:trPr>
        <w:tc>
          <w:tcPr>
            <w:tcW w:w="847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Balance at 31 December 2016</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494,004</w:t>
            </w:r>
          </w:p>
        </w:tc>
      </w:tr>
      <w:tr w:rsidR="005D6812">
        <w:trPr>
          <w:trHeight w:hRule="exact" w:val="300"/>
        </w:trPr>
        <w:tc>
          <w:tcPr>
            <w:tcW w:w="8475"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val="570"/>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In EUR'000</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Available-for-sale financial assets</w:t>
            </w:r>
          </w:p>
        </w:tc>
      </w:tr>
      <w:tr w:rsidR="005D6812">
        <w:trPr>
          <w:trHeight w:val="300"/>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Balance at 1 January 2015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401,926</w:t>
            </w:r>
          </w:p>
        </w:tc>
      </w:tr>
      <w:tr w:rsidR="005D6812">
        <w:trPr>
          <w:trHeight w:val="300"/>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Gains or losses included in </w:t>
            </w:r>
            <w:r>
              <w:rPr>
                <w:rFonts w:ascii="Arial" w:eastAsia="Arial" w:hAnsi="Arial" w:cs="Arial"/>
                <w:b/>
                <w:noProof/>
                <w:color w:val="000000"/>
                <w:sz w:val="16"/>
              </w:rPr>
              <w:t>profit or loss: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300"/>
        </w:trPr>
        <w:tc>
          <w:tcPr>
            <w:tcW w:w="84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net realised gains on available-for-sale financial assets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-33,878</w:t>
            </w:r>
          </w:p>
        </w:tc>
      </w:tr>
      <w:tr w:rsidR="005D6812">
        <w:trPr>
          <w:trHeight w:val="300"/>
        </w:trPr>
        <w:tc>
          <w:tcPr>
            <w:tcW w:w="847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 impairment on available-for-sale financial assets </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-2,665</w:t>
            </w:r>
          </w:p>
        </w:tc>
      </w:tr>
      <w:tr w:rsidR="005D6812">
        <w:trPr>
          <w:trHeight w:val="300"/>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-36,543</w:t>
            </w:r>
          </w:p>
        </w:tc>
      </w:tr>
      <w:tr w:rsidR="005D6812">
        <w:trPr>
          <w:trHeight w:val="300"/>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Gains or losses included in other comprehensive income:</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300"/>
        </w:trPr>
        <w:tc>
          <w:tcPr>
            <w:tcW w:w="847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 net change in fair value of </w:t>
            </w:r>
            <w:r>
              <w:rPr>
                <w:rFonts w:ascii="Arial" w:eastAsia="Arial" w:hAnsi="Arial" w:cs="Arial"/>
                <w:noProof/>
                <w:color w:val="000000"/>
                <w:sz w:val="16"/>
              </w:rPr>
              <w:t>available-for-sale financial assets</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52,365</w:t>
            </w:r>
          </w:p>
        </w:tc>
      </w:tr>
      <w:tr w:rsidR="005D6812">
        <w:trPr>
          <w:trHeight w:val="300"/>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52,365</w:t>
            </w:r>
          </w:p>
        </w:tc>
      </w:tr>
      <w:tr w:rsidR="005D6812">
        <w:trPr>
          <w:trHeight w:val="300"/>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Disbursements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67,449</w:t>
            </w:r>
          </w:p>
        </w:tc>
      </w:tr>
      <w:tr w:rsidR="005D6812">
        <w:trPr>
          <w:trHeight w:val="300"/>
        </w:trPr>
        <w:tc>
          <w:tcPr>
            <w:tcW w:w="84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Repayments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-64,791</w:t>
            </w:r>
          </w:p>
        </w:tc>
      </w:tr>
      <w:tr w:rsidR="005D6812">
        <w:trPr>
          <w:trHeight w:val="300"/>
        </w:trPr>
        <w:tc>
          <w:tcPr>
            <w:tcW w:w="84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Write offs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-1,231</w:t>
            </w:r>
          </w:p>
        </w:tc>
      </w:tr>
      <w:tr w:rsidR="005D6812">
        <w:trPr>
          <w:trHeight w:val="300"/>
        </w:trPr>
        <w:tc>
          <w:tcPr>
            <w:tcW w:w="847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Balance at 31 December 2015</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419,175</w:t>
            </w:r>
          </w:p>
        </w:tc>
      </w:tr>
    </w:tbl>
    <w:p w:rsidR="005D6812" w:rsidRDefault="005D6812">
      <w:pPr>
        <w:pageBreakBefore/>
        <w:pBdr>
          <w:top w:val="nil"/>
          <w:left w:val="nil"/>
          <w:bottom w:val="nil"/>
          <w:right w:val="nil"/>
          <w:between w:val="nil"/>
          <w:bar w:val="nil"/>
        </w:pBdr>
        <w:jc w:val="both"/>
        <w:rPr>
          <w:rFonts w:ascii="Arial" w:hAnsi="Arial"/>
          <w:bCs/>
          <w:noProof/>
          <w:sz w:val="16"/>
          <w:szCs w:val="16"/>
          <w:bdr w:val="nil"/>
        </w:rPr>
      </w:pPr>
    </w:p>
    <w:p w:rsidR="005D6812" w:rsidRDefault="00AB2A2B">
      <w:pPr>
        <w:pBdr>
          <w:top w:val="nil"/>
          <w:left w:val="nil"/>
          <w:bottom w:val="nil"/>
          <w:right w:val="nil"/>
          <w:between w:val="nil"/>
          <w:bar w:val="nil"/>
        </w:pBdr>
        <w:jc w:val="both"/>
        <w:rPr>
          <w:rFonts w:ascii="Arial" w:hAnsi="Arial"/>
          <w:bCs/>
          <w:noProof/>
          <w:sz w:val="16"/>
          <w:szCs w:val="16"/>
          <w:bdr w:val="nil"/>
        </w:rPr>
      </w:pPr>
      <w:r>
        <w:rPr>
          <w:rFonts w:ascii="Arial" w:hAnsi="Arial"/>
          <w:bCs/>
          <w:noProof/>
          <w:sz w:val="16"/>
          <w:szCs w:val="16"/>
          <w:bdr w:val="nil"/>
        </w:rPr>
        <w:t>In 2016 and 2015 the Facility did not make transfers out or to Level 3 of the fair value hierarchy.</w:t>
      </w:r>
    </w:p>
    <w:p w:rsidR="005D6812" w:rsidRDefault="005D6812">
      <w:pPr>
        <w:pBdr>
          <w:top w:val="nil"/>
          <w:left w:val="nil"/>
          <w:bottom w:val="nil"/>
          <w:right w:val="nil"/>
          <w:between w:val="nil"/>
          <w:bar w:val="nil"/>
        </w:pBdr>
        <w:rPr>
          <w:rFonts w:ascii="Arial" w:hAnsi="Arial"/>
          <w:b/>
          <w:bCs/>
          <w:noProof/>
          <w:sz w:val="16"/>
          <w:szCs w:val="16"/>
          <w:bdr w:val="nil"/>
        </w:rPr>
      </w:pPr>
    </w:p>
    <w:p w:rsidR="005D6812" w:rsidRDefault="00AB2A2B">
      <w:pPr>
        <w:pBdr>
          <w:top w:val="nil"/>
          <w:left w:val="nil"/>
          <w:bottom w:val="nil"/>
          <w:right w:val="nil"/>
          <w:between w:val="nil"/>
          <w:bar w:val="nil"/>
        </w:pBdr>
        <w:rPr>
          <w:rFonts w:ascii="Arial" w:hAnsi="Arial"/>
          <w:b/>
          <w:bCs/>
          <w:noProof/>
          <w:sz w:val="16"/>
          <w:szCs w:val="16"/>
          <w:bdr w:val="nil"/>
        </w:rPr>
      </w:pPr>
      <w:r>
        <w:rPr>
          <w:rFonts w:ascii="Arial" w:hAnsi="Arial"/>
          <w:b/>
          <w:bCs/>
          <w:noProof/>
          <w:sz w:val="16"/>
          <w:szCs w:val="16"/>
          <w:bdr w:val="nil"/>
        </w:rPr>
        <w:t>Sensitivity analysis</w:t>
      </w:r>
    </w:p>
    <w:p w:rsidR="005D6812" w:rsidRDefault="005D6812">
      <w:pPr>
        <w:pBdr>
          <w:top w:val="nil"/>
          <w:left w:val="nil"/>
          <w:bottom w:val="nil"/>
          <w:right w:val="nil"/>
          <w:between w:val="nil"/>
          <w:bar w:val="nil"/>
        </w:pBdr>
        <w:rPr>
          <w:rFonts w:ascii="Arial" w:hAnsi="Arial"/>
          <w:bCs/>
          <w:noProof/>
          <w:sz w:val="16"/>
          <w:szCs w:val="16"/>
          <w:bdr w:val="nil"/>
        </w:rPr>
      </w:pPr>
    </w:p>
    <w:p w:rsidR="005D6812" w:rsidRDefault="00AB2A2B">
      <w:pPr>
        <w:pBdr>
          <w:top w:val="nil"/>
          <w:left w:val="nil"/>
          <w:bottom w:val="nil"/>
          <w:right w:val="nil"/>
          <w:between w:val="nil"/>
          <w:bar w:val="nil"/>
        </w:pBdr>
        <w:jc w:val="both"/>
        <w:rPr>
          <w:rFonts w:ascii="Arial" w:hAnsi="Arial"/>
          <w:bCs/>
          <w:noProof/>
          <w:sz w:val="16"/>
          <w:szCs w:val="16"/>
          <w:bdr w:val="nil"/>
        </w:rPr>
      </w:pPr>
      <w:r>
        <w:rPr>
          <w:rFonts w:ascii="Arial" w:hAnsi="Arial"/>
          <w:bCs/>
          <w:noProof/>
          <w:sz w:val="16"/>
          <w:szCs w:val="16"/>
          <w:bdr w:val="nil"/>
        </w:rPr>
        <w:t xml:space="preserve">A +/- 10 percent change at the reporting date to one of the significant unobservable inputs used to measure the fair values of the Venture Capital Funds and Direct Equity Investments, holding other inputs constant, would have the </w:t>
      </w:r>
      <w:r>
        <w:rPr>
          <w:rFonts w:ascii="Arial" w:hAnsi="Arial"/>
          <w:bCs/>
          <w:noProof/>
          <w:sz w:val="16"/>
          <w:szCs w:val="16"/>
          <w:bdr w:val="nil"/>
        </w:rPr>
        <w:t>following effects on the other comprehensive income:</w:t>
      </w:r>
    </w:p>
    <w:p w:rsidR="005D6812" w:rsidRDefault="005D6812">
      <w:pPr>
        <w:pBdr>
          <w:top w:val="nil"/>
          <w:left w:val="nil"/>
          <w:bottom w:val="nil"/>
          <w:right w:val="nil"/>
          <w:between w:val="nil"/>
          <w:bar w:val="nil"/>
        </w:pBdr>
        <w:jc w:val="both"/>
        <w:rPr>
          <w:rFonts w:ascii="Arial" w:hAnsi="Arial"/>
          <w:bCs/>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5D6812">
        <w:trPr>
          <w:trHeight w:val="300"/>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At 31 December 2016</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Increase</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Decrease</w:t>
            </w:r>
          </w:p>
        </w:tc>
      </w:tr>
      <w:tr w:rsidR="005D6812">
        <w:trPr>
          <w:trHeight w:val="300"/>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(in EUR’000)</w:t>
            </w: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Direct Equity Investments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w:t>
            </w:r>
          </w:p>
        </w:tc>
      </w:tr>
      <w:tr w:rsidR="005D6812">
        <w:trPr>
          <w:trHeight w:val="300"/>
        </w:trPr>
        <w:tc>
          <w:tcPr>
            <w:tcW w:w="697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w:t>
            </w:r>
          </w:p>
        </w:tc>
      </w:tr>
      <w:tr w:rsidR="005D6812">
        <w:trPr>
          <w:trHeight w:val="300"/>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300"/>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At 31 December 2015</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Increase</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Decrease</w:t>
            </w:r>
          </w:p>
        </w:tc>
      </w:tr>
      <w:tr w:rsidR="005D6812">
        <w:trPr>
          <w:trHeight w:val="300"/>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(in EUR’000)</w:t>
            </w: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Direct Equity Investments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-31</w:t>
            </w:r>
          </w:p>
        </w:tc>
      </w:tr>
      <w:tr w:rsidR="005D6812">
        <w:trPr>
          <w:trHeight w:val="300"/>
        </w:trPr>
        <w:tc>
          <w:tcPr>
            <w:tcW w:w="697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w:t>
            </w:r>
          </w:p>
        </w:tc>
      </w:tr>
    </w:tbl>
    <w:p w:rsidR="005D6812" w:rsidRDefault="005D6812">
      <w:pPr>
        <w:pBdr>
          <w:top w:val="nil"/>
          <w:left w:val="nil"/>
          <w:bottom w:val="nil"/>
          <w:right w:val="nil"/>
          <w:between w:val="nil"/>
          <w:bar w:val="nil"/>
        </w:pBdr>
        <w:rPr>
          <w:rFonts w:ascii="Arial" w:hAnsi="Arial"/>
          <w:noProof/>
          <w:sz w:val="16"/>
          <w:szCs w:val="16"/>
          <w:bdr w:val="nil"/>
        </w:rPr>
      </w:pPr>
    </w:p>
    <w:p w:rsidR="005D6812" w:rsidRDefault="00AB2A2B">
      <w:pPr>
        <w:pStyle w:val="Notes"/>
        <w:numPr>
          <w:ilvl w:val="0"/>
          <w:numId w:val="0"/>
        </w:numPr>
        <w:pBdr>
          <w:top w:val="nil"/>
          <w:left w:val="nil"/>
          <w:bottom w:val="nil"/>
          <w:right w:val="nil"/>
          <w:between w:val="nil"/>
          <w:bar w:val="nil"/>
        </w:pBdr>
        <w:ind w:left="432" w:hanging="432"/>
        <w:rPr>
          <w:noProof/>
          <w:bdr w:val="nil"/>
          <w:lang w:val="en-GB"/>
        </w:rPr>
      </w:pPr>
      <w:r>
        <w:rPr>
          <w:noProof/>
          <w:bdr w:val="nil"/>
          <w:lang w:val="en-GB"/>
        </w:rPr>
        <w:t>5</w:t>
      </w:r>
      <w:r>
        <w:rPr>
          <w:noProof/>
          <w:bdr w:val="nil"/>
          <w:lang w:val="en-GB"/>
        </w:rPr>
        <w:tab/>
      </w:r>
      <w:r>
        <w:rPr>
          <w:noProof/>
          <w:bdr w:val="nil"/>
        </w:rPr>
        <w:t>Cash and cash equivalents</w:t>
      </w:r>
      <w:r>
        <w:rPr>
          <w:noProof/>
          <w:bdr w:val="nil"/>
          <w:lang w:val="en-GB"/>
        </w:rPr>
        <w:t xml:space="preserve"> (in EUR’000)</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p w:rsidR="005D6812" w:rsidRDefault="00AB2A2B">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szCs w:val="16"/>
          <w:bdr w:val="nil"/>
        </w:rPr>
        <w:t>The cash and cash equivalents are composed of:</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5D6812">
        <w:trPr>
          <w:trHeight w:val="255"/>
        </w:trPr>
        <w:tc>
          <w:tcPr>
            <w:tcW w:w="6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31.12.2015</w:t>
            </w:r>
          </w:p>
        </w:tc>
      </w:tr>
      <w:tr w:rsidR="005D6812">
        <w:trPr>
          <w:trHeight w:val="255"/>
        </w:trPr>
        <w:tc>
          <w:tcPr>
            <w:tcW w:w="6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Cash in hand</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51,462</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71,405</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Term deposits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259,337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290,573</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Commercial papers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50,018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87,017</w:t>
            </w:r>
          </w:p>
        </w:tc>
      </w:tr>
      <w:tr w:rsidR="005D6812">
        <w:trPr>
          <w:trHeight w:val="255"/>
        </w:trPr>
        <w:tc>
          <w:tcPr>
            <w:tcW w:w="6975"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Cash and cash equivalents in the </w:t>
            </w:r>
            <w:r>
              <w:rPr>
                <w:rFonts w:ascii="Arial" w:eastAsia="Arial" w:hAnsi="Arial" w:cs="Arial"/>
                <w:b/>
                <w:noProof/>
                <w:color w:val="000000"/>
                <w:sz w:val="16"/>
              </w:rPr>
              <w:t>statement of financial position</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360,817</w:t>
            </w:r>
          </w:p>
        </w:tc>
        <w:tc>
          <w:tcPr>
            <w:tcW w:w="1500" w:type="dxa"/>
            <w:tcBorders>
              <w:top w:val="nil"/>
              <w:left w:val="nil"/>
              <w:bottom w:val="nil"/>
              <w:right w:val="nil"/>
              <w:tl2br w:val="nil"/>
              <w:tr2bl w:val="nil"/>
            </w:tcBorders>
            <w:shd w:val="clear" w:color="FFFFFF" w:fill="BFBFBF"/>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448,995</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Accrued interest </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w:t>
            </w:r>
          </w:p>
        </w:tc>
      </w:tr>
      <w:tr w:rsidR="005D6812">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Cash and cash equivalents in the cash flow statement</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360,822</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448,998</w:t>
            </w:r>
          </w:p>
        </w:tc>
      </w:tr>
    </w:tbl>
    <w:p w:rsidR="005D6812" w:rsidRDefault="005D6812">
      <w:pPr>
        <w:pBdr>
          <w:top w:val="nil"/>
          <w:left w:val="nil"/>
          <w:bottom w:val="nil"/>
          <w:right w:val="nil"/>
          <w:between w:val="nil"/>
          <w:bar w:val="nil"/>
        </w:pBdr>
        <w:rPr>
          <w:rFonts w:ascii="Arial" w:hAnsi="Arial"/>
          <w:noProof/>
          <w:sz w:val="16"/>
          <w:szCs w:val="16"/>
          <w:bdr w:val="nil"/>
        </w:rPr>
      </w:pPr>
    </w:p>
    <w:p w:rsidR="005D6812" w:rsidRDefault="00AB2A2B">
      <w:pPr>
        <w:pStyle w:val="Notes"/>
        <w:numPr>
          <w:ilvl w:val="0"/>
          <w:numId w:val="0"/>
        </w:numPr>
        <w:pBdr>
          <w:top w:val="nil"/>
          <w:left w:val="nil"/>
          <w:bottom w:val="nil"/>
          <w:right w:val="nil"/>
          <w:between w:val="nil"/>
          <w:bar w:val="nil"/>
        </w:pBdr>
        <w:ind w:left="432" w:hanging="432"/>
        <w:rPr>
          <w:noProof/>
          <w:bdr w:val="nil"/>
          <w:lang w:val="en-GB"/>
        </w:rPr>
      </w:pPr>
      <w:r>
        <w:rPr>
          <w:noProof/>
          <w:bdr w:val="nil"/>
          <w:lang w:val="en-GB"/>
        </w:rPr>
        <w:t>6</w:t>
      </w:r>
      <w:r>
        <w:rPr>
          <w:noProof/>
          <w:bdr w:val="nil"/>
          <w:lang w:val="en-GB"/>
        </w:rPr>
        <w:tab/>
      </w:r>
      <w:r>
        <w:rPr>
          <w:noProof/>
          <w:bdr w:val="nil"/>
        </w:rPr>
        <w:t>Derivative financial instruments</w:t>
      </w:r>
      <w:r>
        <w:rPr>
          <w:noProof/>
          <w:bdr w:val="nil"/>
          <w:lang w:val="en-GB"/>
        </w:rPr>
        <w:t xml:space="preserve"> (in EUR’000)</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p w:rsidR="005D6812" w:rsidRDefault="00AB2A2B">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szCs w:val="16"/>
          <w:bdr w:val="nil"/>
        </w:rPr>
        <w:t xml:space="preserve">The main components of derivative financial instruments, </w:t>
      </w:r>
      <w:r>
        <w:rPr>
          <w:rFonts w:ascii="Arial" w:hAnsi="Arial"/>
          <w:noProof/>
          <w:sz w:val="16"/>
          <w:szCs w:val="16"/>
          <w:bdr w:val="nil"/>
        </w:rPr>
        <w:t>classified as held for trading, are as follows:</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75"/>
        <w:gridCol w:w="1500"/>
        <w:gridCol w:w="1500"/>
        <w:gridCol w:w="1500"/>
      </w:tblGrid>
      <w:tr w:rsidR="005D6812">
        <w:trPr>
          <w:trHeight w:val="255"/>
        </w:trPr>
        <w:tc>
          <w:tcPr>
            <w:tcW w:w="5475"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At 31 December 2016</w:t>
            </w:r>
          </w:p>
        </w:tc>
        <w:tc>
          <w:tcPr>
            <w:tcW w:w="3000" w:type="dxa"/>
            <w:gridSpan w:val="2"/>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Fair Value</w:t>
            </w:r>
          </w:p>
        </w:tc>
        <w:tc>
          <w:tcPr>
            <w:tcW w:w="150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Notional amount</w:t>
            </w:r>
          </w:p>
        </w:tc>
      </w:tr>
      <w:tr w:rsidR="005D6812">
        <w:trPr>
          <w:trHeight w:val="255"/>
        </w:trPr>
        <w:tc>
          <w:tcPr>
            <w:tcW w:w="5475"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b/>
                <w:noProof/>
                <w:color w:val="000000"/>
                <w:sz w:val="16"/>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Assets</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Liabilities</w:t>
            </w: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b/>
                <w:noProof/>
                <w:color w:val="000000"/>
                <w:sz w:val="16"/>
              </w:rPr>
            </w:pPr>
          </w:p>
        </w:tc>
      </w:tr>
      <w:tr w:rsidR="005D6812">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Cross currency interest rate swaps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-3,051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7,430</w:t>
            </w:r>
          </w:p>
        </w:tc>
      </w:tr>
      <w:tr w:rsidR="005D6812">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Interest rate swaps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388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-335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41,233</w:t>
            </w:r>
          </w:p>
        </w:tc>
      </w:tr>
      <w:tr w:rsidR="005D6812">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FX swaps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6,532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-21,803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1,611,000</w:t>
            </w:r>
          </w:p>
        </w:tc>
      </w:tr>
      <w:tr w:rsidR="005D6812">
        <w:trPr>
          <w:trHeight w:val="255"/>
        </w:trPr>
        <w:tc>
          <w:tcPr>
            <w:tcW w:w="547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Total </w:t>
            </w:r>
            <w:r>
              <w:rPr>
                <w:rFonts w:ascii="Arial" w:eastAsia="Arial" w:hAnsi="Arial" w:cs="Arial"/>
                <w:b/>
                <w:noProof/>
                <w:color w:val="000000"/>
                <w:sz w:val="16"/>
              </w:rPr>
              <w:t>derivative financial instruments</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6,920</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-25,189</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1,659,663</w:t>
            </w:r>
          </w:p>
        </w:tc>
      </w:tr>
      <w:tr w:rsidR="005D6812">
        <w:trPr>
          <w:trHeight w:hRule="exact" w:val="255"/>
        </w:trPr>
        <w:tc>
          <w:tcPr>
            <w:tcW w:w="5475"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single" w:sz="8" w:space="0" w:color="000000"/>
              <w:right w:val="nil"/>
              <w:tl2br w:val="nil"/>
              <w:tr2bl w:val="nil"/>
            </w:tcBorders>
            <w:shd w:val="clear" w:color="auto" w:fill="auto"/>
            <w:noWrap/>
            <w:tcMar>
              <w:left w:w="40" w:type="dxa"/>
              <w:right w:w="40" w:type="dxa"/>
            </w:tcMar>
            <w:vAlign w:val="center"/>
          </w:tcPr>
          <w:p w:rsidR="005D6812" w:rsidRDefault="005D6812">
            <w:pPr>
              <w:rPr>
                <w:rFonts w:ascii="Arial" w:eastAsia="Arial" w:hAnsi="Arial" w:cs="Arial"/>
                <w:noProof/>
                <w:color w:val="000000"/>
                <w:sz w:val="20"/>
              </w:rPr>
            </w:pPr>
          </w:p>
        </w:tc>
      </w:tr>
      <w:tr w:rsidR="005D6812">
        <w:trPr>
          <w:trHeight w:val="255"/>
        </w:trPr>
        <w:tc>
          <w:tcPr>
            <w:tcW w:w="5475"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At 31 December 2015</w:t>
            </w:r>
          </w:p>
        </w:tc>
        <w:tc>
          <w:tcPr>
            <w:tcW w:w="3000" w:type="dxa"/>
            <w:gridSpan w:val="2"/>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Fair Value</w:t>
            </w:r>
          </w:p>
        </w:tc>
        <w:tc>
          <w:tcPr>
            <w:tcW w:w="150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center"/>
              <w:rPr>
                <w:rFonts w:ascii="Arial" w:eastAsia="Arial" w:hAnsi="Arial" w:cs="Arial"/>
                <w:b/>
                <w:noProof/>
                <w:color w:val="000000"/>
                <w:sz w:val="16"/>
              </w:rPr>
            </w:pPr>
            <w:r>
              <w:rPr>
                <w:rFonts w:ascii="Arial" w:eastAsia="Arial" w:hAnsi="Arial" w:cs="Arial"/>
                <w:b/>
                <w:noProof/>
                <w:color w:val="000000"/>
                <w:sz w:val="16"/>
              </w:rPr>
              <w:t>Notional amount</w:t>
            </w:r>
          </w:p>
        </w:tc>
      </w:tr>
      <w:tr w:rsidR="005D6812">
        <w:trPr>
          <w:trHeight w:val="255"/>
        </w:trPr>
        <w:tc>
          <w:tcPr>
            <w:tcW w:w="5475"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b/>
                <w:noProof/>
                <w:color w:val="000000"/>
                <w:sz w:val="16"/>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Assets</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Liabilities</w:t>
            </w: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center"/>
              <w:rPr>
                <w:rFonts w:ascii="Arial" w:eastAsia="Arial" w:hAnsi="Arial" w:cs="Arial"/>
                <w:b/>
                <w:noProof/>
                <w:color w:val="000000"/>
                <w:sz w:val="16"/>
              </w:rPr>
            </w:pPr>
          </w:p>
        </w:tc>
      </w:tr>
      <w:tr w:rsidR="005D6812">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Cross currency interest rate swaps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-3,835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9,589</w:t>
            </w:r>
          </w:p>
        </w:tc>
      </w:tr>
      <w:tr w:rsidR="005D6812">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Interest rate swaps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311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-639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44,913</w:t>
            </w:r>
          </w:p>
        </w:tc>
      </w:tr>
      <w:tr w:rsidR="005D6812">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FX swaps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-3,745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1,400,000</w:t>
            </w:r>
          </w:p>
        </w:tc>
      </w:tr>
      <w:tr w:rsidR="005D6812">
        <w:trPr>
          <w:trHeight w:val="255"/>
        </w:trPr>
        <w:tc>
          <w:tcPr>
            <w:tcW w:w="547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Total </w:t>
            </w:r>
            <w:r>
              <w:rPr>
                <w:rFonts w:ascii="Arial" w:eastAsia="Arial" w:hAnsi="Arial" w:cs="Arial"/>
                <w:b/>
                <w:noProof/>
                <w:color w:val="000000"/>
                <w:sz w:val="16"/>
              </w:rPr>
              <w:t>derivative financial instruments</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-8,219</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1,454,502</w:t>
            </w:r>
          </w:p>
        </w:tc>
      </w:tr>
    </w:tbl>
    <w:p w:rsidR="005D6812" w:rsidRDefault="00AB2A2B">
      <w:pPr>
        <w:pStyle w:val="Notes"/>
        <w:pageBreakBefore/>
        <w:numPr>
          <w:ilvl w:val="0"/>
          <w:numId w:val="0"/>
        </w:numPr>
        <w:pBdr>
          <w:top w:val="nil"/>
          <w:left w:val="nil"/>
          <w:bottom w:val="nil"/>
          <w:right w:val="nil"/>
          <w:between w:val="nil"/>
          <w:bar w:val="nil"/>
        </w:pBdr>
        <w:ind w:left="432" w:hanging="432"/>
        <w:rPr>
          <w:noProof/>
          <w:bdr w:val="nil"/>
          <w:lang w:val="en-GB"/>
        </w:rPr>
      </w:pPr>
      <w:r>
        <w:rPr>
          <w:noProof/>
          <w:bdr w:val="nil"/>
        </w:rPr>
        <w:t>7</w:t>
      </w:r>
      <w:r>
        <w:rPr>
          <w:noProof/>
          <w:bdr w:val="nil"/>
        </w:rPr>
        <w:tab/>
        <w:t>Loans and receivables</w:t>
      </w:r>
      <w:r>
        <w:rPr>
          <w:noProof/>
          <w:bdr w:val="nil"/>
          <w:lang w:val="en-GB"/>
        </w:rPr>
        <w:t xml:space="preserve"> (in EUR’000)</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p w:rsidR="005D6812" w:rsidRDefault="00AB2A2B">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szCs w:val="16"/>
          <w:bdr w:val="nil"/>
        </w:rPr>
        <w:t>The main components of loans and receivables are as follows:</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75"/>
        <w:gridCol w:w="1500"/>
        <w:gridCol w:w="1500"/>
        <w:gridCol w:w="1500"/>
        <w:gridCol w:w="1500"/>
      </w:tblGrid>
      <w:tr w:rsidR="005D6812">
        <w:trPr>
          <w:trHeight w:val="450"/>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Global loans(*)</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Senior loans</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Subordinated loans</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Total</w:t>
            </w:r>
          </w:p>
        </w:tc>
      </w:tr>
      <w:tr w:rsidR="005D6812">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Nominal as at 1 January 2016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661,792</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818,007</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160,555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1,640,354</w:t>
            </w:r>
          </w:p>
        </w:tc>
      </w:tr>
      <w:tr w:rsidR="005D6812">
        <w:trPr>
          <w:trHeight w:val="255"/>
        </w:trPr>
        <w:tc>
          <w:tcPr>
            <w:tcW w:w="3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Disbursements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476,685</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51,691</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528,376</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Write offs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-31,189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-31,298</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Repayments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-178,282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-107,259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-65,927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-351,468</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Interest capitalised</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7,183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7,183</w:t>
            </w:r>
          </w:p>
        </w:tc>
      </w:tr>
      <w:tr w:rsidR="005D6812">
        <w:trPr>
          <w:trHeight w:val="255"/>
        </w:trPr>
        <w:tc>
          <w:tcPr>
            <w:tcW w:w="397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Foreign exchange rates differences</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34,332</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2,009</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941</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37,282</w:t>
            </w:r>
          </w:p>
        </w:tc>
      </w:tr>
      <w:tr w:rsidR="005D6812">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Nominal as at 31 </w:t>
            </w:r>
            <w:r>
              <w:rPr>
                <w:rFonts w:ascii="Arial" w:eastAsia="Arial" w:hAnsi="Arial" w:cs="Arial"/>
                <w:b/>
                <w:noProof/>
                <w:color w:val="000000"/>
                <w:sz w:val="16"/>
              </w:rPr>
              <w:t>December 2016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994,527</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764,339</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71,563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1,830,429</w:t>
            </w:r>
          </w:p>
        </w:tc>
      </w:tr>
      <w:tr w:rsidR="005D6812">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r w:rsidR="005D6812">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Impairment as at 1 January 2016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-9,403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-22,445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-159,198</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-191,046</w:t>
            </w:r>
          </w:p>
        </w:tc>
      </w:tr>
      <w:tr w:rsidR="005D6812">
        <w:trPr>
          <w:trHeight w:val="450"/>
        </w:trPr>
        <w:tc>
          <w:tcPr>
            <w:tcW w:w="3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Impairment recorded in statement of profit or loss and other comprehensive income</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-8,794</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-11,999</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-20,793</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Write offs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31,189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31,298</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Reversal of impairment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360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6,100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58,698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65,158</w:t>
            </w:r>
          </w:p>
        </w:tc>
      </w:tr>
      <w:tr w:rsidR="005D6812">
        <w:trPr>
          <w:trHeight w:val="255"/>
        </w:trPr>
        <w:tc>
          <w:tcPr>
            <w:tcW w:w="397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Foreign exchange rates differences</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-348</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-59</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-1,850</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-2,257</w:t>
            </w:r>
          </w:p>
        </w:tc>
      </w:tr>
      <w:tr w:rsidR="005D6812">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Impairment as at 31 December 2016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-18,185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-28,294</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-71,161</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-117,640</w:t>
            </w:r>
          </w:p>
        </w:tc>
      </w:tr>
      <w:tr w:rsidR="005D6812">
        <w:trPr>
          <w:trHeight w:val="255"/>
        </w:trPr>
        <w:tc>
          <w:tcPr>
            <w:tcW w:w="3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Amortised Cost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-3,906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-3,682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-7,588</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Interest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14,807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9,371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24,179</w:t>
            </w:r>
          </w:p>
        </w:tc>
      </w:tr>
      <w:tr w:rsidR="005D6812">
        <w:trPr>
          <w:trHeight w:val="450"/>
        </w:trPr>
        <w:tc>
          <w:tcPr>
            <w:tcW w:w="397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Loans and receivables as at 31 December 2016</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987,243</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741,734</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403</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1,729,380</w:t>
            </w:r>
          </w:p>
        </w:tc>
      </w:tr>
      <w:tr w:rsidR="005D6812">
        <w:trPr>
          <w:trHeight w:val="120"/>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including agency agreements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bl>
    <w:p w:rsidR="005D6812" w:rsidRDefault="005D6812">
      <w:pPr>
        <w:rPr>
          <w:noProof/>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75"/>
        <w:gridCol w:w="1500"/>
        <w:gridCol w:w="1500"/>
        <w:gridCol w:w="1500"/>
        <w:gridCol w:w="1500"/>
      </w:tblGrid>
      <w:tr w:rsidR="005D6812">
        <w:trPr>
          <w:trHeight w:val="450"/>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Global loans(*)</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Senior loans</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Subordinated loans</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Total</w:t>
            </w:r>
          </w:p>
        </w:tc>
      </w:tr>
      <w:tr w:rsidR="005D6812">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Nominal as at 1 January 2015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542,506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782,563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146,643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1,471,712</w:t>
            </w:r>
          </w:p>
        </w:tc>
      </w:tr>
      <w:tr w:rsidR="005D6812">
        <w:trPr>
          <w:trHeight w:val="255"/>
        </w:trPr>
        <w:tc>
          <w:tcPr>
            <w:tcW w:w="3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Disbursements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196,607</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86,177</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282,784</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Repayments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-106,921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-96,147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-2,704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-205,772</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Interest capitalised</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13,262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13,262</w:t>
            </w:r>
          </w:p>
        </w:tc>
      </w:tr>
      <w:tr w:rsidR="005D6812">
        <w:trPr>
          <w:trHeight w:val="255"/>
        </w:trPr>
        <w:tc>
          <w:tcPr>
            <w:tcW w:w="397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Foreign exchange rates differences</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29,600</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45,414</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3,354</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78,368</w:t>
            </w:r>
          </w:p>
        </w:tc>
      </w:tr>
      <w:tr w:rsidR="005D6812">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Nominal as at 31 December 2015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661,792</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818,007</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160,555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1,640,354</w:t>
            </w:r>
          </w:p>
        </w:tc>
      </w:tr>
      <w:tr w:rsidR="005D6812">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r w:rsidR="005D6812">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Impairment as at 1 January 2015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-5,751</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-13,491</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-132,895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-152,137</w:t>
            </w:r>
          </w:p>
        </w:tc>
      </w:tr>
      <w:tr w:rsidR="005D6812">
        <w:trPr>
          <w:trHeight w:val="450"/>
        </w:trPr>
        <w:tc>
          <w:tcPr>
            <w:tcW w:w="3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Impairment recorded in statement of  profit or loss and other comprehensive income</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-3,692</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-7,576</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-24,995</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-36,263</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Reversal of impairment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381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1,837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2,275</w:t>
            </w:r>
          </w:p>
        </w:tc>
      </w:tr>
      <w:tr w:rsidR="005D6812">
        <w:trPr>
          <w:trHeight w:val="255"/>
        </w:trPr>
        <w:tc>
          <w:tcPr>
            <w:tcW w:w="397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Foreign exchange rates </w:t>
            </w:r>
            <w:r>
              <w:rPr>
                <w:rFonts w:ascii="Arial" w:eastAsia="Arial" w:hAnsi="Arial" w:cs="Arial"/>
                <w:noProof/>
                <w:color w:val="000000"/>
                <w:sz w:val="16"/>
              </w:rPr>
              <w:t>differences</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-341</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-1,435</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-3,145</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-4,921</w:t>
            </w:r>
          </w:p>
        </w:tc>
      </w:tr>
      <w:tr w:rsidR="005D6812">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Impairment as at 31 December 2015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-9,403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-22,445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-159,198</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-191,046</w:t>
            </w:r>
          </w:p>
        </w:tc>
      </w:tr>
      <w:tr w:rsidR="005D6812">
        <w:trPr>
          <w:trHeight w:val="255"/>
        </w:trPr>
        <w:tc>
          <w:tcPr>
            <w:tcW w:w="39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Amortised Cost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-3,129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-5,781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284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-8,626</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Interest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8,838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10,533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19,375</w:t>
            </w:r>
          </w:p>
        </w:tc>
      </w:tr>
      <w:tr w:rsidR="005D6812">
        <w:trPr>
          <w:trHeight w:val="450"/>
        </w:trPr>
        <w:tc>
          <w:tcPr>
            <w:tcW w:w="397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Loans and receivables as at 31 December 2015</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658,098</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800,314</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1,645</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1,460,057</w:t>
            </w:r>
          </w:p>
        </w:tc>
      </w:tr>
      <w:tr w:rsidR="005D6812">
        <w:trPr>
          <w:trHeight w:val="150"/>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including agency agreements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bl>
    <w:p w:rsidR="005D6812" w:rsidRDefault="00AB2A2B">
      <w:pPr>
        <w:pStyle w:val="Notes"/>
        <w:pageBreakBefore/>
        <w:numPr>
          <w:ilvl w:val="0"/>
          <w:numId w:val="0"/>
        </w:numPr>
        <w:pBdr>
          <w:top w:val="nil"/>
          <w:left w:val="nil"/>
          <w:bottom w:val="nil"/>
          <w:right w:val="nil"/>
          <w:between w:val="nil"/>
          <w:bar w:val="nil"/>
        </w:pBdr>
        <w:ind w:left="432" w:hanging="432"/>
        <w:rPr>
          <w:noProof/>
          <w:bdr w:val="nil"/>
        </w:rPr>
      </w:pPr>
      <w:r>
        <w:rPr>
          <w:noProof/>
          <w:bdr w:val="nil"/>
        </w:rPr>
        <w:t>8</w:t>
      </w:r>
      <w:r>
        <w:rPr>
          <w:noProof/>
          <w:bdr w:val="nil"/>
        </w:rPr>
        <w:tab/>
        <w:t>Available-for-sale financial assets (in EUR’000)</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p w:rsidR="005D6812" w:rsidRDefault="00AB2A2B">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szCs w:val="16"/>
          <w:bdr w:val="nil"/>
        </w:rPr>
        <w:t>The main components of available-for-sale financial assets are as follows:</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75"/>
        <w:gridCol w:w="1500"/>
        <w:gridCol w:w="1500"/>
        <w:gridCol w:w="1500"/>
      </w:tblGrid>
      <w:tr w:rsidR="005D6812">
        <w:trPr>
          <w:trHeight w:val="450"/>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Venture Capital Funds</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Direct Equity Investments</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Total</w:t>
            </w:r>
          </w:p>
        </w:tc>
      </w:tr>
      <w:tr w:rsidR="005D6812">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Cost as at 1 </w:t>
            </w:r>
            <w:r>
              <w:rPr>
                <w:rFonts w:ascii="Arial" w:eastAsia="Arial" w:hAnsi="Arial" w:cs="Arial"/>
                <w:b/>
                <w:noProof/>
                <w:color w:val="000000"/>
                <w:sz w:val="16"/>
              </w:rPr>
              <w:t>January 2016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267,331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22,979</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290,310</w:t>
            </w:r>
          </w:p>
        </w:tc>
      </w:tr>
      <w:tr w:rsidR="005D6812">
        <w:trPr>
          <w:trHeight w:val="255"/>
        </w:trPr>
        <w:tc>
          <w:tcPr>
            <w:tcW w:w="54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Disbursements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101,323</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52,663</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153,986</w:t>
            </w:r>
          </w:p>
        </w:tc>
      </w:tr>
      <w:tr w:rsidR="005D6812">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Repayments / sales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-37,948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-37,978</w:t>
            </w:r>
          </w:p>
        </w:tc>
      </w:tr>
      <w:tr w:rsidR="005D6812">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Write offs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-4,594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-2,960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-7,554</w:t>
            </w:r>
          </w:p>
        </w:tc>
      </w:tr>
      <w:tr w:rsidR="005D6812">
        <w:trPr>
          <w:trHeight w:val="255"/>
        </w:trPr>
        <w:tc>
          <w:tcPr>
            <w:tcW w:w="547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Foreign exchange rates differences on repayments / sales</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5,141</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5,125</w:t>
            </w:r>
          </w:p>
        </w:tc>
      </w:tr>
      <w:tr w:rsidR="005D6812">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Cost as at 31 December 2016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331,253</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72,636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403,889</w:t>
            </w:r>
          </w:p>
        </w:tc>
      </w:tr>
      <w:tr w:rsidR="005D6812">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Unrealised gains and losses as at 1 January 2016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153,901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10,092</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163,993</w:t>
            </w:r>
          </w:p>
        </w:tc>
      </w:tr>
      <w:tr w:rsidR="005D6812">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Net change in unrealised gains and losses</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-24,474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3,365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-21,109</w:t>
            </w:r>
          </w:p>
        </w:tc>
      </w:tr>
      <w:tr w:rsidR="005D6812">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Unrealised gains and losses as at 31 December 2016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129,427</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13,457</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142,884</w:t>
            </w:r>
          </w:p>
        </w:tc>
      </w:tr>
      <w:tr w:rsidR="005D6812">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Impairment as at 1 January 2016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-25,029</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-9,921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-34,950</w:t>
            </w:r>
          </w:p>
        </w:tc>
      </w:tr>
      <w:tr w:rsidR="005D6812">
        <w:trPr>
          <w:trHeight w:val="435"/>
        </w:trPr>
        <w:tc>
          <w:tcPr>
            <w:tcW w:w="54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Impairment recorded in statement of profit or loss and other comprehensive income during the year</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-2,457</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-2,493</w:t>
            </w:r>
          </w:p>
        </w:tc>
      </w:tr>
      <w:tr w:rsidR="005D6812">
        <w:trPr>
          <w:trHeight w:val="255"/>
        </w:trPr>
        <w:tc>
          <w:tcPr>
            <w:tcW w:w="547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Write offs</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4,594</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2,960</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7,554</w:t>
            </w:r>
          </w:p>
        </w:tc>
      </w:tr>
      <w:tr w:rsidR="005D6812">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Impairment as at 31 December 2016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-22,892</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-6,997</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-29,889</w:t>
            </w:r>
          </w:p>
        </w:tc>
      </w:tr>
      <w:tr w:rsidR="005D6812">
        <w:trPr>
          <w:trHeight w:val="255"/>
        </w:trPr>
        <w:tc>
          <w:tcPr>
            <w:tcW w:w="54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255"/>
        </w:trPr>
        <w:tc>
          <w:tcPr>
            <w:tcW w:w="547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Available-for-sale financial assets as at 31 December 2016</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437,788</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79,096</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516,884</w:t>
            </w:r>
          </w:p>
        </w:tc>
      </w:tr>
      <w:tr w:rsidR="005D6812">
        <w:trPr>
          <w:trHeight w:hRule="exact" w:val="255"/>
        </w:trPr>
        <w:tc>
          <w:tcPr>
            <w:tcW w:w="5475"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hRule="exact" w:val="255"/>
        </w:trPr>
        <w:tc>
          <w:tcPr>
            <w:tcW w:w="5475"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val="450"/>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Venture Capital Funds</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Direct Equity Investments</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Total</w:t>
            </w:r>
          </w:p>
        </w:tc>
      </w:tr>
      <w:tr w:rsidR="005D6812">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Cost as at 1 January 2015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259,784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19,714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279,498</w:t>
            </w:r>
          </w:p>
        </w:tc>
      </w:tr>
      <w:tr w:rsidR="005D6812">
        <w:trPr>
          <w:trHeight w:val="255"/>
        </w:trPr>
        <w:tc>
          <w:tcPr>
            <w:tcW w:w="54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Disbursements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63,574</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3,875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67,449</w:t>
            </w:r>
          </w:p>
        </w:tc>
      </w:tr>
      <w:tr w:rsidR="005D6812">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Repayments / sales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-64,181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-610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-64,791</w:t>
            </w:r>
          </w:p>
        </w:tc>
      </w:tr>
      <w:tr w:rsidR="005D6812">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Write offs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-1,231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-1,231</w:t>
            </w:r>
          </w:p>
        </w:tc>
      </w:tr>
      <w:tr w:rsidR="005D6812">
        <w:trPr>
          <w:trHeight w:val="255"/>
        </w:trPr>
        <w:tc>
          <w:tcPr>
            <w:tcW w:w="547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Foreign exchange rates differences on repayments / sales</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9,385</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9,385</w:t>
            </w:r>
          </w:p>
        </w:tc>
      </w:tr>
      <w:tr w:rsidR="005D6812">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Cost as at 31 December 2015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267,331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22,979</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290,310</w:t>
            </w:r>
          </w:p>
        </w:tc>
      </w:tr>
      <w:tr w:rsidR="005D6812">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Unrealised gains and losses as at 1 January 2015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149,995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6,127</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156,122</w:t>
            </w:r>
          </w:p>
        </w:tc>
      </w:tr>
      <w:tr w:rsidR="005D6812">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Net change in unrealised gains and losses</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3,906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3,965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7,871</w:t>
            </w:r>
          </w:p>
        </w:tc>
      </w:tr>
      <w:tr w:rsidR="005D6812">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Unrealised gains and losses as at 31 December 2015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153,901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10,092</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163,993</w:t>
            </w:r>
          </w:p>
        </w:tc>
      </w:tr>
      <w:tr w:rsidR="005D6812">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Impairment as at 1 January 2015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-24,534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-8,001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-32,535</w:t>
            </w:r>
          </w:p>
        </w:tc>
      </w:tr>
      <w:tr w:rsidR="005D6812">
        <w:trPr>
          <w:trHeight w:val="450"/>
        </w:trPr>
        <w:tc>
          <w:tcPr>
            <w:tcW w:w="54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Impairment recorded in statement of profit </w:t>
            </w:r>
            <w:r>
              <w:rPr>
                <w:rFonts w:ascii="Arial" w:eastAsia="Arial" w:hAnsi="Arial" w:cs="Arial"/>
                <w:noProof/>
                <w:color w:val="000000"/>
                <w:sz w:val="16"/>
              </w:rPr>
              <w:t>or loss and other comprehensive income during the year</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-1,726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-1,920</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-3,646</w:t>
            </w:r>
          </w:p>
        </w:tc>
      </w:tr>
      <w:tr w:rsidR="005D6812">
        <w:trPr>
          <w:trHeight w:val="255"/>
        </w:trPr>
        <w:tc>
          <w:tcPr>
            <w:tcW w:w="547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Write offs</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1,231</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1,231</w:t>
            </w:r>
          </w:p>
        </w:tc>
      </w:tr>
      <w:tr w:rsidR="005D6812">
        <w:trPr>
          <w:trHeight w:val="255"/>
        </w:trPr>
        <w:tc>
          <w:tcPr>
            <w:tcW w:w="5475" w:type="dxa"/>
            <w:tcBorders>
              <w:top w:val="single" w:sz="8" w:space="0" w:color="000000"/>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Impairment as at 31 December 2015</w:t>
            </w:r>
          </w:p>
        </w:tc>
        <w:tc>
          <w:tcPr>
            <w:tcW w:w="1500" w:type="dxa"/>
            <w:tcBorders>
              <w:top w:val="single" w:sz="8" w:space="0" w:color="000000"/>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-25,029</w:t>
            </w:r>
          </w:p>
        </w:tc>
        <w:tc>
          <w:tcPr>
            <w:tcW w:w="1500" w:type="dxa"/>
            <w:tcBorders>
              <w:top w:val="single" w:sz="8" w:space="0" w:color="000000"/>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-9,921</w:t>
            </w:r>
          </w:p>
        </w:tc>
        <w:tc>
          <w:tcPr>
            <w:tcW w:w="1500" w:type="dxa"/>
            <w:tcBorders>
              <w:top w:val="single" w:sz="8" w:space="0" w:color="000000"/>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-34,950</w:t>
            </w:r>
          </w:p>
        </w:tc>
      </w:tr>
      <w:tr w:rsidR="005D6812">
        <w:trPr>
          <w:trHeight w:val="255"/>
        </w:trPr>
        <w:tc>
          <w:tcPr>
            <w:tcW w:w="54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b/>
                <w:noProof/>
                <w:color w:val="000000"/>
                <w:sz w:val="16"/>
              </w:rPr>
            </w:pPr>
          </w:p>
        </w:tc>
      </w:tr>
      <w:tr w:rsidR="005D6812">
        <w:trPr>
          <w:trHeight w:val="255"/>
        </w:trPr>
        <w:tc>
          <w:tcPr>
            <w:tcW w:w="547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Available-for-sale financial assets as at 31 December 2015</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396,203</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23,150</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419,353</w:t>
            </w:r>
          </w:p>
        </w:tc>
      </w:tr>
    </w:tbl>
    <w:p w:rsidR="005D6812" w:rsidRDefault="00AB2A2B">
      <w:pPr>
        <w:pStyle w:val="Title1"/>
        <w:pageBreakBefore/>
        <w:numPr>
          <w:ilvl w:val="0"/>
          <w:numId w:val="0"/>
        </w:numPr>
        <w:pBdr>
          <w:top w:val="nil"/>
          <w:left w:val="nil"/>
          <w:bottom w:val="nil"/>
          <w:right w:val="nil"/>
          <w:between w:val="nil"/>
          <w:bar w:val="nil"/>
        </w:pBdr>
        <w:ind w:left="432" w:hanging="432"/>
        <w:rPr>
          <w:noProof/>
          <w:bdr w:val="nil"/>
          <w:lang w:val="en-GB"/>
        </w:rPr>
      </w:pPr>
      <w:r>
        <w:rPr>
          <w:noProof/>
          <w:bdr w:val="nil"/>
        </w:rPr>
        <w:t>9</w:t>
      </w:r>
      <w:r>
        <w:rPr>
          <w:noProof/>
          <w:bdr w:val="nil"/>
        </w:rPr>
        <w:tab/>
      </w:r>
      <w:r>
        <w:rPr>
          <w:noProof/>
          <w:bdr w:val="nil"/>
        </w:rPr>
        <w:t>Amounts receivable from contributors</w:t>
      </w:r>
      <w:r>
        <w:rPr>
          <w:noProof/>
          <w:bdr w:val="nil"/>
          <w:lang w:val="en-GB"/>
        </w:rPr>
        <w:t xml:space="preserve"> (in EUR’000)</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p w:rsidR="005D6812" w:rsidRDefault="00AB2A2B">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szCs w:val="16"/>
          <w:bdr w:val="nil"/>
        </w:rPr>
        <w:t>The amounts receivable from contributors are entirely composed of Member States contribution called but not paid.</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p w:rsidR="005D6812" w:rsidRDefault="00AB2A2B">
      <w:pPr>
        <w:pStyle w:val="Notes"/>
        <w:numPr>
          <w:ilvl w:val="0"/>
          <w:numId w:val="0"/>
        </w:numPr>
        <w:pBdr>
          <w:top w:val="nil"/>
          <w:left w:val="nil"/>
          <w:bottom w:val="nil"/>
          <w:right w:val="nil"/>
          <w:between w:val="nil"/>
          <w:bar w:val="nil"/>
        </w:pBdr>
        <w:ind w:left="432" w:hanging="432"/>
        <w:rPr>
          <w:noProof/>
          <w:bdr w:val="nil"/>
        </w:rPr>
      </w:pPr>
      <w:r>
        <w:rPr>
          <w:noProof/>
          <w:bdr w:val="nil"/>
        </w:rPr>
        <w:t>10</w:t>
      </w:r>
      <w:r>
        <w:rPr>
          <w:noProof/>
          <w:bdr w:val="nil"/>
        </w:rPr>
        <w:tab/>
        <w:t>Held-to-maturity financial assets (in EUR’000)</w:t>
      </w:r>
    </w:p>
    <w:p w:rsidR="005D6812" w:rsidRDefault="005D6812">
      <w:pPr>
        <w:pBdr>
          <w:top w:val="nil"/>
          <w:left w:val="nil"/>
          <w:bottom w:val="nil"/>
          <w:right w:val="nil"/>
          <w:between w:val="nil"/>
          <w:bar w:val="nil"/>
        </w:pBdr>
        <w:spacing w:before="60" w:after="60"/>
        <w:jc w:val="both"/>
        <w:rPr>
          <w:noProof/>
          <w:sz w:val="16"/>
          <w:szCs w:val="16"/>
          <w:bdr w:val="nil"/>
        </w:rPr>
      </w:pPr>
    </w:p>
    <w:p w:rsidR="005D6812" w:rsidRDefault="00AB2A2B">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szCs w:val="16"/>
          <w:bdr w:val="nil"/>
        </w:rPr>
        <w:t xml:space="preserve">The held-to-maturity portfolio is composed of quoted bonds which have a remaining maturity of less than three months at reporting date. The following table shows the movements of the held-to-maturity portfolio: </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75"/>
        <w:gridCol w:w="1500"/>
      </w:tblGrid>
      <w:tr w:rsidR="005D6812">
        <w:trPr>
          <w:trHeight w:val="255"/>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Balance as at 1 January 2016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228,521</w:t>
            </w:r>
          </w:p>
        </w:tc>
      </w:tr>
      <w:tr w:rsidR="005D6812">
        <w:trPr>
          <w:trHeight w:val="255"/>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Acquisitions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1,159,704</w:t>
            </w:r>
          </w:p>
        </w:tc>
      </w:tr>
      <w:tr w:rsidR="005D6812">
        <w:trPr>
          <w:trHeight w:val="255"/>
        </w:trPr>
        <w:tc>
          <w:tcPr>
            <w:tcW w:w="84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Maturities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-1,219,953</w:t>
            </w:r>
          </w:p>
        </w:tc>
      </w:tr>
      <w:tr w:rsidR="005D6812">
        <w:trPr>
          <w:trHeight w:val="255"/>
        </w:trPr>
        <w:tc>
          <w:tcPr>
            <w:tcW w:w="84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Change in amortisation of premium/discount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-87</w:t>
            </w:r>
          </w:p>
        </w:tc>
      </w:tr>
      <w:tr w:rsidR="005D6812">
        <w:trPr>
          <w:trHeight w:val="255"/>
        </w:trPr>
        <w:tc>
          <w:tcPr>
            <w:tcW w:w="8475"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Change in accrued interest </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1,213</w:t>
            </w:r>
          </w:p>
        </w:tc>
      </w:tr>
      <w:tr w:rsidR="005D6812">
        <w:trPr>
          <w:trHeight w:val="255"/>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Balance as at 31 December 2016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169,398</w:t>
            </w:r>
          </w:p>
        </w:tc>
      </w:tr>
      <w:tr w:rsidR="005D6812">
        <w:trPr>
          <w:trHeight w:hRule="exact" w:val="255"/>
        </w:trPr>
        <w:tc>
          <w:tcPr>
            <w:tcW w:w="8475"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val="255"/>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Balance as at 1 January 2015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99,988</w:t>
            </w:r>
          </w:p>
        </w:tc>
      </w:tr>
      <w:tr w:rsidR="005D6812">
        <w:trPr>
          <w:trHeight w:val="255"/>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Acquisitions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1,545,550</w:t>
            </w:r>
          </w:p>
        </w:tc>
      </w:tr>
      <w:tr w:rsidR="005D6812">
        <w:trPr>
          <w:trHeight w:val="255"/>
        </w:trPr>
        <w:tc>
          <w:tcPr>
            <w:tcW w:w="84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Maturities </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-1,417,005</w:t>
            </w:r>
          </w:p>
        </w:tc>
      </w:tr>
      <w:tr w:rsidR="005D6812">
        <w:trPr>
          <w:trHeight w:val="255"/>
        </w:trPr>
        <w:tc>
          <w:tcPr>
            <w:tcW w:w="84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Change in amortisation of premium/discount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w:t>
            </w:r>
          </w:p>
        </w:tc>
      </w:tr>
      <w:tr w:rsidR="005D6812">
        <w:trPr>
          <w:trHeight w:val="255"/>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Balance as at 31 December 2015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228,521</w:t>
            </w:r>
          </w:p>
        </w:tc>
      </w:tr>
    </w:tbl>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p w:rsidR="005D6812" w:rsidRDefault="00AB2A2B">
      <w:pPr>
        <w:pStyle w:val="Notes"/>
        <w:numPr>
          <w:ilvl w:val="0"/>
          <w:numId w:val="0"/>
        </w:numPr>
        <w:pBdr>
          <w:top w:val="nil"/>
          <w:left w:val="nil"/>
          <w:bottom w:val="nil"/>
          <w:right w:val="nil"/>
          <w:between w:val="nil"/>
          <w:bar w:val="nil"/>
        </w:pBdr>
        <w:ind w:left="432" w:hanging="432"/>
        <w:rPr>
          <w:noProof/>
          <w:bdr w:val="nil"/>
        </w:rPr>
      </w:pPr>
      <w:r>
        <w:rPr>
          <w:noProof/>
          <w:bdr w:val="nil"/>
        </w:rPr>
        <w:t>11</w:t>
      </w:r>
      <w:r>
        <w:rPr>
          <w:noProof/>
          <w:bdr w:val="nil"/>
        </w:rPr>
        <w:tab/>
        <w:t>Other assets (in EUR’000)</w:t>
      </w:r>
    </w:p>
    <w:p w:rsidR="005D6812" w:rsidRDefault="005D6812">
      <w:pPr>
        <w:pBdr>
          <w:top w:val="nil"/>
          <w:left w:val="nil"/>
          <w:bottom w:val="nil"/>
          <w:right w:val="nil"/>
          <w:between w:val="nil"/>
          <w:bar w:val="nil"/>
        </w:pBdr>
        <w:spacing w:before="60" w:after="60"/>
        <w:jc w:val="both"/>
        <w:rPr>
          <w:noProof/>
          <w:sz w:val="16"/>
          <w:szCs w:val="16"/>
          <w:bdr w:val="nil"/>
        </w:rPr>
      </w:pPr>
    </w:p>
    <w:p w:rsidR="005D6812" w:rsidRDefault="00AB2A2B">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szCs w:val="16"/>
          <w:bdr w:val="nil"/>
        </w:rPr>
        <w:t>The main components of other assets are as follows:</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5D6812">
        <w:trPr>
          <w:trHeight w:val="255"/>
        </w:trPr>
        <w:tc>
          <w:tcPr>
            <w:tcW w:w="69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31.12.2015</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Amount receivable from EIB</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Financial guarantees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344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26</w:t>
            </w:r>
          </w:p>
        </w:tc>
      </w:tr>
      <w:tr w:rsidR="005D6812">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other assets</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345</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27</w:t>
            </w:r>
          </w:p>
        </w:tc>
      </w:tr>
    </w:tbl>
    <w:p w:rsidR="005D6812" w:rsidRDefault="005D6812">
      <w:pPr>
        <w:pStyle w:val="Notes"/>
        <w:numPr>
          <w:ilvl w:val="0"/>
          <w:numId w:val="0"/>
        </w:numPr>
        <w:pBdr>
          <w:top w:val="nil"/>
          <w:left w:val="nil"/>
          <w:bottom w:val="nil"/>
          <w:right w:val="nil"/>
          <w:between w:val="nil"/>
          <w:bar w:val="nil"/>
        </w:pBdr>
        <w:rPr>
          <w:noProof/>
          <w:sz w:val="16"/>
          <w:szCs w:val="16"/>
          <w:bdr w:val="nil"/>
          <w:lang w:val="en-GB"/>
        </w:rPr>
      </w:pPr>
    </w:p>
    <w:p w:rsidR="005D6812" w:rsidRDefault="00AB2A2B">
      <w:pPr>
        <w:pStyle w:val="Notes"/>
        <w:numPr>
          <w:ilvl w:val="0"/>
          <w:numId w:val="0"/>
        </w:numPr>
        <w:pBdr>
          <w:top w:val="nil"/>
          <w:left w:val="nil"/>
          <w:bottom w:val="nil"/>
          <w:right w:val="nil"/>
          <w:between w:val="nil"/>
          <w:bar w:val="nil"/>
        </w:pBdr>
        <w:rPr>
          <w:noProof/>
          <w:bdr w:val="nil"/>
          <w:lang w:val="en-GB"/>
        </w:rPr>
      </w:pPr>
      <w:r>
        <w:rPr>
          <w:noProof/>
          <w:bdr w:val="nil"/>
          <w:lang w:val="en-GB"/>
        </w:rPr>
        <w:t xml:space="preserve">12    </w:t>
      </w:r>
      <w:r>
        <w:rPr>
          <w:noProof/>
          <w:bdr w:val="nil"/>
        </w:rPr>
        <w:t>Deferred income</w:t>
      </w:r>
      <w:r>
        <w:rPr>
          <w:noProof/>
          <w:bdr w:val="nil"/>
          <w:lang w:val="en-GB"/>
        </w:rPr>
        <w:t xml:space="preserve"> (in EUR’000)</w:t>
      </w:r>
    </w:p>
    <w:p w:rsidR="005D6812" w:rsidRDefault="005D6812">
      <w:pPr>
        <w:pBdr>
          <w:top w:val="nil"/>
          <w:left w:val="nil"/>
          <w:bottom w:val="nil"/>
          <w:right w:val="nil"/>
          <w:between w:val="nil"/>
          <w:bar w:val="nil"/>
        </w:pBdr>
        <w:spacing w:before="60" w:after="60"/>
        <w:jc w:val="both"/>
        <w:rPr>
          <w:rFonts w:ascii="Arial" w:hAnsi="Arial"/>
          <w:b/>
          <w:noProof/>
          <w:sz w:val="16"/>
          <w:szCs w:val="16"/>
          <w:bdr w:val="nil"/>
        </w:rPr>
      </w:pPr>
    </w:p>
    <w:p w:rsidR="005D6812" w:rsidRDefault="00AB2A2B">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szCs w:val="16"/>
          <w:bdr w:val="nil"/>
        </w:rPr>
        <w:t>The main components of deferred income are as follows:</w:t>
      </w:r>
    </w:p>
    <w:p w:rsidR="005D6812" w:rsidRDefault="005D6812">
      <w:pPr>
        <w:pBdr>
          <w:top w:val="nil"/>
          <w:left w:val="nil"/>
          <w:bottom w:val="nil"/>
          <w:right w:val="nil"/>
          <w:between w:val="nil"/>
          <w:bar w:val="nil"/>
        </w:pBdr>
        <w:rPr>
          <w:rFonts w:ascii="Arial" w:hAnsi="Arial"/>
          <w:b/>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5D6812">
        <w:trPr>
          <w:trHeight w:val="255"/>
        </w:trPr>
        <w:tc>
          <w:tcPr>
            <w:tcW w:w="69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31.12.2015</w:t>
            </w:r>
          </w:p>
        </w:tc>
      </w:tr>
      <w:tr w:rsidR="005D6812">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Deferred interest subsidies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25,884</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28,683</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Deferred commissions on loans and receivables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399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642</w:t>
            </w:r>
          </w:p>
        </w:tc>
      </w:tr>
      <w:tr w:rsidR="005D6812">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Total </w:t>
            </w:r>
            <w:r>
              <w:rPr>
                <w:rFonts w:ascii="Arial" w:eastAsia="Arial" w:hAnsi="Arial" w:cs="Arial"/>
                <w:b/>
                <w:noProof/>
                <w:color w:val="000000"/>
                <w:sz w:val="16"/>
              </w:rPr>
              <w:t>deferred income</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26,283</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29,325</w:t>
            </w:r>
          </w:p>
        </w:tc>
      </w:tr>
    </w:tbl>
    <w:p w:rsidR="005D6812" w:rsidRDefault="00AB2A2B">
      <w:pPr>
        <w:pStyle w:val="Notes27"/>
        <w:pageBreakBefore/>
        <w:numPr>
          <w:ilvl w:val="0"/>
          <w:numId w:val="0"/>
        </w:numPr>
        <w:ind w:left="432" w:hanging="432"/>
        <w:rPr>
          <w:noProof/>
          <w:lang w:val="en-GB"/>
        </w:rPr>
      </w:pPr>
      <w:r>
        <w:rPr>
          <w:noProof/>
        </w:rPr>
        <w:t>13</w:t>
      </w:r>
      <w:r>
        <w:rPr>
          <w:noProof/>
        </w:rPr>
        <w:tab/>
      </w:r>
      <w:r>
        <w:rPr>
          <w:noProof/>
          <w:lang w:val="en-GB"/>
        </w:rPr>
        <w:t>Provisions for guarantees issued (in EUR’000)</w:t>
      </w:r>
    </w:p>
    <w:p w:rsidR="005D6812" w:rsidRDefault="005D6812">
      <w:pPr>
        <w:pStyle w:val="Normal31"/>
        <w:suppressAutoHyphens w:val="0"/>
        <w:spacing w:before="60" w:after="60"/>
        <w:jc w:val="both"/>
        <w:rPr>
          <w:rFonts w:ascii="Arial" w:hAnsi="Arial"/>
          <w:noProof/>
          <w:sz w:val="16"/>
          <w:szCs w:val="16"/>
        </w:rPr>
      </w:pPr>
    </w:p>
    <w:p w:rsidR="005D6812" w:rsidRDefault="00AB2A2B">
      <w:pPr>
        <w:pStyle w:val="Normal31"/>
        <w:suppressAutoHyphens w:val="0"/>
        <w:spacing w:before="60" w:after="60"/>
        <w:jc w:val="both"/>
        <w:rPr>
          <w:rFonts w:ascii="Arial" w:hAnsi="Arial"/>
          <w:noProof/>
          <w:sz w:val="16"/>
          <w:szCs w:val="16"/>
        </w:rPr>
      </w:pPr>
      <w:r>
        <w:rPr>
          <w:rFonts w:ascii="Arial" w:hAnsi="Arial"/>
          <w:noProof/>
          <w:sz w:val="16"/>
          <w:szCs w:val="16"/>
        </w:rPr>
        <w:t xml:space="preserve">The amount of provisions for guarantees issued is recognised using the best estimate of expenditure required to settle any present financial obligation arising as a result of </w:t>
      </w:r>
      <w:r>
        <w:rPr>
          <w:rFonts w:ascii="Arial" w:hAnsi="Arial"/>
          <w:noProof/>
          <w:sz w:val="16"/>
          <w:szCs w:val="16"/>
        </w:rPr>
        <w:t>the guarantees and represents the sum of:</w:t>
      </w:r>
    </w:p>
    <w:p w:rsidR="005D6812" w:rsidRDefault="00AB2A2B">
      <w:pPr>
        <w:pStyle w:val="ListParagraph7"/>
        <w:numPr>
          <w:ilvl w:val="0"/>
          <w:numId w:val="94"/>
        </w:numPr>
        <w:suppressAutoHyphens w:val="0"/>
        <w:spacing w:before="60" w:after="60"/>
        <w:jc w:val="both"/>
        <w:rPr>
          <w:rFonts w:ascii="Arial" w:hAnsi="Arial"/>
          <w:noProof/>
          <w:sz w:val="16"/>
          <w:szCs w:val="16"/>
        </w:rPr>
      </w:pPr>
      <w:r>
        <w:rPr>
          <w:rFonts w:ascii="Arial" w:hAnsi="Arial"/>
          <w:noProof/>
          <w:sz w:val="16"/>
          <w:szCs w:val="16"/>
        </w:rPr>
        <w:t>the amounts initially recognised less, where appropriate, cumulative amortisation recognised in accordance with IAS 18 Revenue and</w:t>
      </w:r>
    </w:p>
    <w:p w:rsidR="005D6812" w:rsidRDefault="00AB2A2B">
      <w:pPr>
        <w:pStyle w:val="ListParagraph7"/>
        <w:numPr>
          <w:ilvl w:val="0"/>
          <w:numId w:val="94"/>
        </w:numPr>
        <w:suppressAutoHyphens w:val="0"/>
        <w:spacing w:before="60" w:after="60"/>
        <w:jc w:val="both"/>
        <w:rPr>
          <w:rFonts w:ascii="Arial" w:hAnsi="Arial"/>
          <w:noProof/>
          <w:sz w:val="16"/>
          <w:szCs w:val="16"/>
        </w:rPr>
      </w:pPr>
      <w:r>
        <w:rPr>
          <w:rFonts w:ascii="Arial" w:hAnsi="Arial"/>
          <w:noProof/>
          <w:sz w:val="16"/>
          <w:szCs w:val="16"/>
        </w:rPr>
        <w:t>the excess over the above amounts, as measured in accordance with IAS 37 Provisions</w:t>
      </w:r>
      <w:r>
        <w:rPr>
          <w:rFonts w:ascii="Arial" w:hAnsi="Arial"/>
          <w:noProof/>
          <w:sz w:val="16"/>
          <w:szCs w:val="16"/>
        </w:rPr>
        <w:t>, Contingent Liabilities and Contingent Assets.</w:t>
      </w:r>
    </w:p>
    <w:p w:rsidR="005D6812" w:rsidRDefault="005D6812">
      <w:pPr>
        <w:pStyle w:val="Normal31"/>
        <w:suppressAutoHyphens w:val="0"/>
        <w:spacing w:before="60" w:after="60"/>
        <w:jc w:val="both"/>
        <w:rPr>
          <w:rFonts w:ascii="Arial" w:hAnsi="Arial"/>
          <w:noProof/>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5D6812">
        <w:trPr>
          <w:trHeight w:val="255"/>
        </w:trPr>
        <w:tc>
          <w:tcPr>
            <w:tcW w:w="69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2016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2015</w:t>
            </w:r>
          </w:p>
        </w:tc>
      </w:tr>
      <w:tr w:rsidR="005D6812">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Balance at 1 January</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Additions recorded in statement of  profit or loss and other comprehensive income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242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Utilised</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Transfer from "Other liabilities", financial guarantees </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383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Release of provision</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Balance at 31 December</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625</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r>
    </w:tbl>
    <w:p w:rsidR="005D6812" w:rsidRDefault="005D6812">
      <w:pPr>
        <w:pBdr>
          <w:top w:val="nil"/>
          <w:left w:val="nil"/>
          <w:bottom w:val="nil"/>
          <w:right w:val="nil"/>
          <w:between w:val="nil"/>
          <w:bar w:val="nil"/>
        </w:pBdr>
        <w:spacing w:before="60" w:after="60"/>
        <w:jc w:val="both"/>
        <w:rPr>
          <w:noProof/>
          <w:sz w:val="16"/>
          <w:szCs w:val="16"/>
          <w:bdr w:val="nil"/>
        </w:rPr>
      </w:pPr>
    </w:p>
    <w:p w:rsidR="005D6812" w:rsidRDefault="00AB2A2B">
      <w:pPr>
        <w:pStyle w:val="Notes"/>
        <w:numPr>
          <w:ilvl w:val="0"/>
          <w:numId w:val="0"/>
        </w:numPr>
        <w:pBdr>
          <w:top w:val="nil"/>
          <w:left w:val="nil"/>
          <w:bottom w:val="nil"/>
          <w:right w:val="nil"/>
          <w:between w:val="nil"/>
          <w:bar w:val="nil"/>
        </w:pBdr>
        <w:ind w:left="432" w:hanging="432"/>
        <w:rPr>
          <w:noProof/>
          <w:bdr w:val="nil"/>
          <w:lang w:val="en-GB"/>
        </w:rPr>
      </w:pPr>
      <w:r>
        <w:rPr>
          <w:noProof/>
          <w:bdr w:val="nil"/>
        </w:rPr>
        <w:t>14</w:t>
      </w:r>
      <w:r>
        <w:rPr>
          <w:noProof/>
          <w:bdr w:val="nil"/>
        </w:rPr>
        <w:tab/>
        <w:t>Amounts owed to third parties</w:t>
      </w:r>
      <w:r>
        <w:rPr>
          <w:noProof/>
          <w:bdr w:val="nil"/>
          <w:lang w:val="en-GB"/>
        </w:rPr>
        <w:t xml:space="preserve"> (in EUR’000)</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p w:rsidR="005D6812" w:rsidRDefault="00AB2A2B">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szCs w:val="16"/>
          <w:bdr w:val="nil"/>
        </w:rPr>
        <w:t>The main components of amounts owed to third parties are as follows:</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5D6812">
        <w:trPr>
          <w:trHeight w:val="255"/>
        </w:trPr>
        <w:tc>
          <w:tcPr>
            <w:tcW w:w="69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31.12.2015</w:t>
            </w:r>
          </w:p>
        </w:tc>
      </w:tr>
      <w:tr w:rsidR="005D6812">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Net general administrative expenses payable to EIB</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43,483</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43,045</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Other amounts payable to EIB</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15</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Interest subsidies and TA not yet disbursed owed to Member States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72,631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58,142</w:t>
            </w:r>
          </w:p>
        </w:tc>
      </w:tr>
      <w:tr w:rsidR="005D6812">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amounts owed to third parties</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116,114</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101,202</w:t>
            </w:r>
          </w:p>
        </w:tc>
      </w:tr>
    </w:tbl>
    <w:p w:rsidR="005D6812" w:rsidRDefault="005D6812">
      <w:pPr>
        <w:pStyle w:val="Notes"/>
        <w:numPr>
          <w:ilvl w:val="0"/>
          <w:numId w:val="0"/>
        </w:numPr>
        <w:pBdr>
          <w:top w:val="nil"/>
          <w:left w:val="nil"/>
          <w:bottom w:val="nil"/>
          <w:right w:val="nil"/>
          <w:between w:val="nil"/>
          <w:bar w:val="nil"/>
        </w:pBdr>
        <w:ind w:left="432" w:hanging="432"/>
        <w:rPr>
          <w:noProof/>
          <w:bdr w:val="nil"/>
        </w:rPr>
      </w:pPr>
    </w:p>
    <w:p w:rsidR="005D6812" w:rsidRDefault="00AB2A2B">
      <w:pPr>
        <w:pStyle w:val="Notes"/>
        <w:numPr>
          <w:ilvl w:val="0"/>
          <w:numId w:val="0"/>
        </w:numPr>
        <w:pBdr>
          <w:top w:val="nil"/>
          <w:left w:val="nil"/>
          <w:bottom w:val="nil"/>
          <w:right w:val="nil"/>
          <w:between w:val="nil"/>
          <w:bar w:val="nil"/>
        </w:pBdr>
        <w:ind w:left="432" w:hanging="432"/>
        <w:rPr>
          <w:noProof/>
          <w:bdr w:val="nil"/>
          <w:lang w:val="en-GB"/>
        </w:rPr>
      </w:pPr>
      <w:r>
        <w:rPr>
          <w:noProof/>
          <w:bdr w:val="nil"/>
        </w:rPr>
        <w:t>15</w:t>
      </w:r>
      <w:r>
        <w:rPr>
          <w:noProof/>
          <w:bdr w:val="nil"/>
        </w:rPr>
        <w:tab/>
        <w:t>Other liabilities</w:t>
      </w:r>
      <w:r>
        <w:rPr>
          <w:noProof/>
          <w:bdr w:val="nil"/>
          <w:lang w:val="en-GB"/>
        </w:rPr>
        <w:t xml:space="preserve"> (in EUR’000)</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p w:rsidR="005D6812" w:rsidRDefault="00AB2A2B">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szCs w:val="16"/>
          <w:bdr w:val="nil"/>
        </w:rPr>
        <w:t xml:space="preserve">The main components of other liabilities </w:t>
      </w:r>
      <w:r>
        <w:rPr>
          <w:rFonts w:ascii="Arial" w:hAnsi="Arial"/>
          <w:noProof/>
          <w:sz w:val="16"/>
          <w:szCs w:val="16"/>
          <w:bdr w:val="nil"/>
        </w:rPr>
        <w:t>are as follows:</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5D6812">
        <w:trPr>
          <w:trHeight w:val="255"/>
        </w:trPr>
        <w:tc>
          <w:tcPr>
            <w:tcW w:w="6975" w:type="dxa"/>
            <w:tcBorders>
              <w:top w:val="single" w:sz="8" w:space="0" w:color="auto"/>
              <w:left w:val="nil"/>
              <w:bottom w:val="single" w:sz="8" w:space="0" w:color="auto"/>
              <w:right w:val="nil"/>
              <w:tl2br w:val="nil"/>
              <w:tr2bl w:val="nil"/>
            </w:tcBorders>
            <w:shd w:val="clear" w:color="auto" w:fill="auto"/>
            <w:tcMar>
              <w:left w:w="40" w:type="dxa"/>
              <w:right w:w="40" w:type="dxa"/>
            </w:tcMar>
            <w:vAlign w:val="bottom"/>
          </w:tcPr>
          <w:p w:rsidR="005D6812" w:rsidRDefault="005D6812">
            <w:pPr>
              <w:rPr>
                <w:noProof/>
                <w:color w:val="000000"/>
                <w:sz w:val="20"/>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31.12.2015</w:t>
            </w:r>
          </w:p>
        </w:tc>
      </w:tr>
      <w:tr w:rsidR="005D6812">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Loan repayments received in advance </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2,081</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1,826</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Deferred income from interest subsidies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458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512</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Financial guarantees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26</w:t>
            </w:r>
          </w:p>
        </w:tc>
      </w:tr>
      <w:tr w:rsidR="005D6812">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other liabilities</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2,546</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2,364</w:t>
            </w:r>
          </w:p>
        </w:tc>
      </w:tr>
    </w:tbl>
    <w:p w:rsidR="005D6812" w:rsidRDefault="00AB2A2B">
      <w:pPr>
        <w:pStyle w:val="Notes"/>
        <w:pageBreakBefore/>
        <w:numPr>
          <w:ilvl w:val="0"/>
          <w:numId w:val="0"/>
        </w:numPr>
        <w:pBdr>
          <w:top w:val="nil"/>
          <w:left w:val="nil"/>
          <w:bottom w:val="nil"/>
          <w:right w:val="nil"/>
          <w:between w:val="nil"/>
          <w:bar w:val="nil"/>
        </w:pBdr>
        <w:ind w:left="432" w:hanging="432"/>
        <w:rPr>
          <w:noProof/>
          <w:bdr w:val="nil"/>
          <w:lang w:val="en-GB"/>
        </w:rPr>
      </w:pPr>
      <w:r>
        <w:rPr>
          <w:noProof/>
          <w:bdr w:val="nil"/>
        </w:rPr>
        <w:t>16</w:t>
      </w:r>
      <w:r>
        <w:rPr>
          <w:noProof/>
          <w:bdr w:val="nil"/>
        </w:rPr>
        <w:tab/>
        <w:t>Member States Contribution called</w:t>
      </w:r>
      <w:r>
        <w:rPr>
          <w:noProof/>
          <w:bdr w:val="nil"/>
          <w:lang w:val="en-GB"/>
        </w:rPr>
        <w:t xml:space="preserve"> (in EUR’000)</w:t>
      </w:r>
    </w:p>
    <w:p w:rsidR="005D6812" w:rsidRDefault="005D6812">
      <w:pPr>
        <w:pStyle w:val="Notes"/>
        <w:numPr>
          <w:ilvl w:val="0"/>
          <w:numId w:val="0"/>
        </w:numPr>
        <w:pBdr>
          <w:top w:val="nil"/>
          <w:left w:val="nil"/>
          <w:bottom w:val="nil"/>
          <w:right w:val="nil"/>
          <w:between w:val="nil"/>
          <w:bar w:val="nil"/>
        </w:pBdr>
        <w:rPr>
          <w:noProof/>
          <w:sz w:val="16"/>
          <w:szCs w:val="16"/>
          <w:bdr w:val="nil"/>
          <w:lang w:val="en-GB"/>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75"/>
        <w:gridCol w:w="1500"/>
        <w:gridCol w:w="1500"/>
        <w:gridCol w:w="1500"/>
        <w:gridCol w:w="1500"/>
      </w:tblGrid>
      <w:tr w:rsidR="005D6812">
        <w:trPr>
          <w:trHeight w:val="1125"/>
        </w:trPr>
        <w:tc>
          <w:tcPr>
            <w:tcW w:w="39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Member States</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Contribution to the Facility</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Contribution to interest subsidies and technical assistance</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Total</w:t>
            </w:r>
            <w:r>
              <w:rPr>
                <w:rFonts w:ascii="Arial" w:eastAsia="Arial" w:hAnsi="Arial" w:cs="Arial"/>
                <w:b/>
                <w:noProof/>
                <w:color w:val="000000"/>
                <w:sz w:val="16"/>
              </w:rPr>
              <w:br/>
              <w:t>contributed</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Called and not paid</w:t>
            </w:r>
          </w:p>
        </w:tc>
      </w:tr>
      <w:tr w:rsidR="005D6812">
        <w:trPr>
          <w:trHeight w:val="255"/>
        </w:trPr>
        <w:tc>
          <w:tcPr>
            <w:tcW w:w="39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Austria</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62,223</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6,941</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69,164</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2,410</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Belgium</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91,930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10,222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102,152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5,295</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Bulgaria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448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182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630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140</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Cyprus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288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405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90</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Czech Republic</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1,632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663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2,295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510</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Denmark</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50,420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5,675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56,095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2,000</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Estonia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50</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Finland</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35,148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4,038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39,186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1,470</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France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562,411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60,332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622,743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19,550</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Germany</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546,115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60,216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606,331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20,500</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Greece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30,417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3,707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34,124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1,470</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Hungary</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1,760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715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2,475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Ireland</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15,665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2,074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17,739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910</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Italy</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299,100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34,737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333,837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12,860</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Latvia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315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70</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Lithuania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384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156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540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120</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Luxembourg</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6,829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768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7,597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270</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Malta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135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30</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Netherlands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122,895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13,805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136,700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4,850</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Poland</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4,160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1,690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5,850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1,300</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Portugal</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23,633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2,889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26,522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1,150</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Romania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1,184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481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1,665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370</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Slovakia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672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273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945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210</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Slovenia</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576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234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810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180</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Spain</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145,249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18,596</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163,845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7,850</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Sweden</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64,924</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7,485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72,409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2,740</w:t>
            </w:r>
          </w:p>
        </w:tc>
      </w:tr>
      <w:tr w:rsidR="005D6812">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United Kingdom</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308,457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37,500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345,957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255"/>
        </w:trPr>
        <w:tc>
          <w:tcPr>
            <w:tcW w:w="397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Total as at 31 </w:t>
            </w:r>
            <w:r>
              <w:rPr>
                <w:rFonts w:ascii="Arial" w:eastAsia="Arial" w:hAnsi="Arial" w:cs="Arial"/>
                <w:b/>
                <w:noProof/>
                <w:color w:val="000000"/>
                <w:sz w:val="16"/>
              </w:rPr>
              <w:t>December 2016</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2,377,000</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273,691</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2,650,691</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86,395</w:t>
            </w:r>
          </w:p>
        </w:tc>
      </w:tr>
      <w:tr w:rsidR="005D6812">
        <w:trPr>
          <w:trHeight w:val="255"/>
        </w:trPr>
        <w:tc>
          <w:tcPr>
            <w:tcW w:w="397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as at 31 December 2015</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2,157,000</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243,691</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2,400,691</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w:t>
            </w:r>
          </w:p>
        </w:tc>
      </w:tr>
    </w:tbl>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p w:rsidR="005D6812" w:rsidRDefault="00AB2A2B">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szCs w:val="16"/>
          <w:bdr w:val="nil"/>
        </w:rPr>
        <w:t xml:space="preserve"> (*) On 19 November 2016, the Council fixed the amount of financial contributions to be paid by each Member State by 21 January 2017. As at 31 December 2016 EUR 86,395 were not paid in.</w:t>
      </w:r>
    </w:p>
    <w:p w:rsidR="005D6812" w:rsidRDefault="00AB2A2B">
      <w:pPr>
        <w:pStyle w:val="Notes"/>
        <w:pageBreakBefore/>
        <w:numPr>
          <w:ilvl w:val="0"/>
          <w:numId w:val="0"/>
        </w:numPr>
        <w:pBdr>
          <w:top w:val="nil"/>
          <w:left w:val="nil"/>
          <w:bottom w:val="nil"/>
          <w:right w:val="nil"/>
          <w:between w:val="nil"/>
          <w:bar w:val="nil"/>
        </w:pBdr>
        <w:ind w:left="432" w:hanging="432"/>
        <w:rPr>
          <w:noProof/>
          <w:bdr w:val="nil"/>
          <w:lang w:val="en-GB"/>
        </w:rPr>
      </w:pPr>
      <w:r>
        <w:rPr>
          <w:noProof/>
          <w:bdr w:val="nil"/>
        </w:rPr>
        <w:t>17</w:t>
      </w:r>
      <w:r>
        <w:rPr>
          <w:noProof/>
          <w:bdr w:val="nil"/>
        </w:rPr>
        <w:tab/>
        <w:t>Contingent liabilities and commitments</w:t>
      </w:r>
      <w:r>
        <w:rPr>
          <w:noProof/>
          <w:bdr w:val="nil"/>
          <w:lang w:val="en-GB"/>
        </w:rPr>
        <w:t xml:space="preserve"> (in EUR’000)</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bottom"/>
          </w:tcPr>
          <w:p w:rsidR="005D6812" w:rsidRDefault="005D6812">
            <w:pPr>
              <w:rPr>
                <w:noProof/>
                <w:color w:val="000000"/>
                <w:sz w:val="20"/>
              </w:rPr>
            </w:pP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31.12.2016</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31</w:t>
            </w:r>
            <w:r>
              <w:rPr>
                <w:rFonts w:ascii="Arial" w:eastAsia="Arial" w:hAnsi="Arial" w:cs="Arial"/>
                <w:b/>
                <w:noProof/>
                <w:color w:val="000000"/>
                <w:sz w:val="16"/>
              </w:rPr>
              <w:t>.12.2015</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i/>
                <w:noProof/>
                <w:color w:val="000000"/>
                <w:sz w:val="16"/>
              </w:rPr>
            </w:pPr>
            <w:r>
              <w:rPr>
                <w:rFonts w:ascii="Arial" w:eastAsia="Arial" w:hAnsi="Arial" w:cs="Arial"/>
                <w:b/>
                <w:i/>
                <w:noProof/>
                <w:color w:val="000000"/>
                <w:sz w:val="16"/>
              </w:rPr>
              <w:t>Commitments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bottom"/>
          </w:tcPr>
          <w:p w:rsidR="005D6812" w:rsidRDefault="005D6812">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bottom"/>
          </w:tcPr>
          <w:p w:rsidR="005D6812" w:rsidRDefault="005D6812">
            <w:pPr>
              <w:rPr>
                <w:noProof/>
                <w:color w:val="000000"/>
                <w:sz w:val="20"/>
              </w:rPr>
            </w:pPr>
          </w:p>
        </w:tc>
      </w:tr>
      <w:tr w:rsidR="005D6812">
        <w:trPr>
          <w:trHeight w:val="255"/>
        </w:trPr>
        <w:tc>
          <w:tcPr>
            <w:tcW w:w="6975" w:type="dxa"/>
            <w:tcBorders>
              <w:top w:val="nil"/>
              <w:left w:val="nil"/>
              <w:bottom w:val="nil"/>
              <w:right w:val="nil"/>
              <w:tl2br w:val="nil"/>
              <w:tr2bl w:val="nil"/>
            </w:tcBorders>
            <w:shd w:val="clear" w:color="auto" w:fill="auto"/>
            <w:tcMar>
              <w:left w:w="22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Un-disbursed loans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901,899</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1,189,564</w:t>
            </w:r>
          </w:p>
        </w:tc>
      </w:tr>
      <w:tr w:rsidR="005D6812">
        <w:trPr>
          <w:trHeight w:val="255"/>
        </w:trPr>
        <w:tc>
          <w:tcPr>
            <w:tcW w:w="6975" w:type="dxa"/>
            <w:tcBorders>
              <w:top w:val="nil"/>
              <w:left w:val="nil"/>
              <w:bottom w:val="nil"/>
              <w:right w:val="nil"/>
              <w:tl2br w:val="nil"/>
              <w:tr2bl w:val="nil"/>
            </w:tcBorders>
            <w:shd w:val="clear" w:color="auto" w:fill="auto"/>
            <w:tcMar>
              <w:left w:w="22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Un-disbursed commitment in respect of available-for-sale financial assets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244,050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298,355</w:t>
            </w:r>
          </w:p>
        </w:tc>
      </w:tr>
      <w:tr w:rsidR="005D6812">
        <w:trPr>
          <w:trHeight w:val="255"/>
        </w:trPr>
        <w:tc>
          <w:tcPr>
            <w:tcW w:w="6975" w:type="dxa"/>
            <w:tcBorders>
              <w:top w:val="nil"/>
              <w:left w:val="nil"/>
              <w:bottom w:val="nil"/>
              <w:right w:val="nil"/>
              <w:tl2br w:val="nil"/>
              <w:tr2bl w:val="nil"/>
            </w:tcBorders>
            <w:shd w:val="clear" w:color="auto" w:fill="auto"/>
            <w:tcMar>
              <w:left w:w="22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Issued guarantees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8,627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798</w:t>
            </w:r>
          </w:p>
        </w:tc>
      </w:tr>
      <w:tr w:rsidR="005D6812">
        <w:trPr>
          <w:trHeight w:val="255"/>
        </w:trPr>
        <w:tc>
          <w:tcPr>
            <w:tcW w:w="6975" w:type="dxa"/>
            <w:tcBorders>
              <w:top w:val="nil"/>
              <w:left w:val="nil"/>
              <w:bottom w:val="nil"/>
              <w:right w:val="nil"/>
              <w:tl2br w:val="nil"/>
              <w:tr2bl w:val="nil"/>
            </w:tcBorders>
            <w:shd w:val="clear" w:color="auto" w:fill="auto"/>
            <w:tcMar>
              <w:left w:w="22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Interest subsidies and technical assistance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334,553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352,036</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bottom"/>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i/>
                <w:noProof/>
                <w:color w:val="000000"/>
                <w:sz w:val="16"/>
              </w:rPr>
            </w:pPr>
            <w:r>
              <w:rPr>
                <w:rFonts w:ascii="Arial" w:eastAsia="Arial" w:hAnsi="Arial" w:cs="Arial"/>
                <w:b/>
                <w:i/>
                <w:noProof/>
                <w:color w:val="000000"/>
                <w:sz w:val="16"/>
              </w:rPr>
              <w:t>Contingent liabilities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r w:rsidR="005D6812">
        <w:trPr>
          <w:trHeight w:val="255"/>
        </w:trPr>
        <w:tc>
          <w:tcPr>
            <w:tcW w:w="6975" w:type="dxa"/>
            <w:tcBorders>
              <w:top w:val="nil"/>
              <w:left w:val="nil"/>
              <w:bottom w:val="nil"/>
              <w:right w:val="nil"/>
              <w:tl2br w:val="nil"/>
              <w:tr2bl w:val="nil"/>
            </w:tcBorders>
            <w:shd w:val="clear" w:color="auto" w:fill="auto"/>
            <w:tcMar>
              <w:left w:w="22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Signed non-issued guarantees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35,337</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10,000</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bottom"/>
          </w:tcPr>
          <w:p w:rsidR="005D6812" w:rsidRDefault="005D6812">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noProof/>
                <w:color w:val="000000"/>
                <w:sz w:val="20"/>
              </w:rPr>
            </w:pPr>
          </w:p>
        </w:tc>
      </w:tr>
      <w:tr w:rsidR="005D6812">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contingent liabilities and commitments</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1,524,466</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1,850,753</w:t>
            </w:r>
          </w:p>
        </w:tc>
      </w:tr>
    </w:tbl>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p w:rsidR="005D6812" w:rsidRDefault="00AB2A2B">
      <w:pPr>
        <w:pStyle w:val="Notes"/>
        <w:numPr>
          <w:ilvl w:val="0"/>
          <w:numId w:val="0"/>
        </w:numPr>
        <w:pBdr>
          <w:top w:val="nil"/>
          <w:left w:val="nil"/>
          <w:bottom w:val="nil"/>
          <w:right w:val="nil"/>
          <w:between w:val="nil"/>
          <w:bar w:val="nil"/>
        </w:pBdr>
        <w:ind w:left="432" w:hanging="432"/>
        <w:rPr>
          <w:noProof/>
          <w:bdr w:val="nil"/>
          <w:lang w:val="en-GB"/>
        </w:rPr>
      </w:pPr>
      <w:r>
        <w:rPr>
          <w:noProof/>
          <w:bdr w:val="nil"/>
        </w:rPr>
        <w:t>18</w:t>
      </w:r>
      <w:r>
        <w:rPr>
          <w:noProof/>
          <w:bdr w:val="nil"/>
        </w:rPr>
        <w:tab/>
        <w:t>Interest and similar income and expenses</w:t>
      </w:r>
      <w:r>
        <w:rPr>
          <w:noProof/>
          <w:bdr w:val="nil"/>
          <w:lang w:val="en-GB"/>
        </w:rPr>
        <w:t xml:space="preserve"> (in EUR’000)</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p w:rsidR="005D6812" w:rsidRDefault="00AB2A2B">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szCs w:val="16"/>
          <w:bdr w:val="nil"/>
        </w:rPr>
        <w:t>The main components of interest and similar income are as</w:t>
      </w:r>
      <w:r>
        <w:rPr>
          <w:rFonts w:ascii="Arial" w:hAnsi="Arial"/>
          <w:noProof/>
          <w:sz w:val="16"/>
          <w:szCs w:val="16"/>
          <w:bdr w:val="nil"/>
        </w:rPr>
        <w:t xml:space="preserve"> follows:</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5D6812">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From 01.01.2016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From 01.01.2015</w:t>
            </w:r>
          </w:p>
        </w:tc>
      </w:tr>
      <w:tr w:rsidR="005D6812">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 31.12.2016</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 31.12.2015</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Held-to-maturity financial assets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Loans and receivables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102,580</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86,305</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Interest subsidies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4,118</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4,076</w:t>
            </w:r>
          </w:p>
        </w:tc>
      </w:tr>
      <w:tr w:rsidR="005D6812">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interest and similar income</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106,698</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90,385</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val="390"/>
        </w:trPr>
        <w:tc>
          <w:tcPr>
            <w:tcW w:w="9975" w:type="dxa"/>
            <w:gridSpan w:val="3"/>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Included within </w:t>
            </w:r>
            <w:r>
              <w:rPr>
                <w:rFonts w:ascii="Arial" w:eastAsia="Arial" w:hAnsi="Arial" w:cs="Arial"/>
                <w:noProof/>
                <w:color w:val="000000"/>
                <w:sz w:val="16"/>
              </w:rPr>
              <w:t>the line item of “Loans and receivables” under interest income for the year ended 31 December 2016 is a total of EUR +15,700 relating to impaired financial assets (31 December 2015: EUR +15,869).</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hRule="exact" w:val="255"/>
        </w:trPr>
        <w:tc>
          <w:tcPr>
            <w:tcW w:w="9975" w:type="dxa"/>
            <w:gridSpan w:val="3"/>
            <w:tcBorders>
              <w:top w:val="nil"/>
              <w:left w:val="nil"/>
              <w:bottom w:val="nil"/>
              <w:right w:val="nil"/>
              <w:tl2br w:val="nil"/>
              <w:tr2bl w:val="nil"/>
            </w:tcBorders>
            <w:shd w:val="clear" w:color="auto" w:fill="auto"/>
            <w:noWrap/>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The main component of interest and similar expenses is </w:t>
            </w:r>
            <w:r>
              <w:rPr>
                <w:rFonts w:ascii="Arial" w:eastAsia="Arial" w:hAnsi="Arial" w:cs="Arial"/>
                <w:noProof/>
                <w:color w:val="000000"/>
                <w:sz w:val="16"/>
              </w:rPr>
              <w:t>as follows:</w:t>
            </w:r>
          </w:p>
        </w:tc>
      </w:tr>
      <w:tr w:rsidR="005D6812">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From 01.01.2016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From 01.01.2015</w:t>
            </w:r>
          </w:p>
        </w:tc>
      </w:tr>
      <w:tr w:rsidR="005D6812">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 31.12.2016</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 31.12.2015</w:t>
            </w:r>
          </w:p>
        </w:tc>
      </w:tr>
      <w:tr w:rsidR="005D6812">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Derivative financial instruments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-1,142</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-1,525</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Cash and cash equivalents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-752</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-31</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Held-to-maturity financial assets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-413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interest and similar expenses</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-2,307</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-1,556</w:t>
            </w:r>
          </w:p>
        </w:tc>
      </w:tr>
    </w:tbl>
    <w:p w:rsidR="005D6812" w:rsidRDefault="00AB2A2B">
      <w:pPr>
        <w:pStyle w:val="Notes"/>
        <w:pageBreakBefore/>
        <w:numPr>
          <w:ilvl w:val="0"/>
          <w:numId w:val="0"/>
        </w:numPr>
        <w:pBdr>
          <w:top w:val="nil"/>
          <w:left w:val="nil"/>
          <w:bottom w:val="nil"/>
          <w:right w:val="nil"/>
          <w:between w:val="nil"/>
          <w:bar w:val="nil"/>
        </w:pBdr>
        <w:ind w:left="432" w:hanging="432"/>
        <w:rPr>
          <w:noProof/>
          <w:bdr w:val="nil"/>
        </w:rPr>
      </w:pPr>
      <w:r>
        <w:rPr>
          <w:noProof/>
          <w:bdr w:val="nil"/>
        </w:rPr>
        <w:t>19</w:t>
      </w:r>
      <w:r>
        <w:rPr>
          <w:noProof/>
          <w:bdr w:val="nil"/>
        </w:rPr>
        <w:tab/>
        <w:t>Fee and commission income and expenses (in EUR’000)</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p w:rsidR="005D6812" w:rsidRDefault="00AB2A2B">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szCs w:val="16"/>
          <w:bdr w:val="nil"/>
        </w:rPr>
        <w:t>The main components of fee and commission income are as follows:</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5D6812">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From 01.01.2016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From 01.01.2015</w:t>
            </w:r>
          </w:p>
        </w:tc>
      </w:tr>
      <w:tr w:rsidR="005D6812">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 31.12.2016</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 31.12.2015</w:t>
            </w:r>
          </w:p>
        </w:tc>
      </w:tr>
      <w:tr w:rsidR="005D6812">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Fee and commission on loans and receivables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515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890</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Fee and </w:t>
            </w:r>
            <w:r>
              <w:rPr>
                <w:rFonts w:ascii="Arial" w:eastAsia="Arial" w:hAnsi="Arial" w:cs="Arial"/>
                <w:noProof/>
                <w:color w:val="000000"/>
                <w:sz w:val="16"/>
              </w:rPr>
              <w:t>commission on financial guarantees</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183</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42</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Other</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fee and commission income</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699</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932</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val="255"/>
        </w:trPr>
        <w:tc>
          <w:tcPr>
            <w:tcW w:w="9975" w:type="dxa"/>
            <w:gridSpan w:val="3"/>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The main component of fee and commission expenses is as follows:</w:t>
            </w:r>
          </w:p>
        </w:tc>
      </w:tr>
      <w:tr w:rsidR="005D6812">
        <w:trPr>
          <w:trHeight w:hRule="exact" w:val="255"/>
        </w:trPr>
        <w:tc>
          <w:tcPr>
            <w:tcW w:w="6975"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rsidR="005D6812" w:rsidRDefault="005D6812">
            <w:pPr>
              <w:rPr>
                <w:rFonts w:ascii="Arial" w:eastAsia="Arial" w:hAnsi="Arial" w:cs="Arial"/>
                <w:noProof/>
                <w:color w:val="000000"/>
                <w:sz w:val="20"/>
              </w:rPr>
            </w:pPr>
          </w:p>
        </w:tc>
      </w:tr>
      <w:tr w:rsidR="005D6812">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From 01.01.2016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From 01.01.2015</w:t>
            </w:r>
          </w:p>
        </w:tc>
      </w:tr>
      <w:tr w:rsidR="005D6812">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 31.12.2016</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 31.12.2015</w:t>
            </w:r>
          </w:p>
        </w:tc>
      </w:tr>
      <w:tr w:rsidR="005D6812">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Commission paid to </w:t>
            </w:r>
            <w:r>
              <w:rPr>
                <w:rFonts w:ascii="Arial" w:eastAsia="Arial" w:hAnsi="Arial" w:cs="Arial"/>
                <w:noProof/>
                <w:color w:val="000000"/>
                <w:sz w:val="16"/>
              </w:rPr>
              <w:t>third parties with regard to available-for-sale financial assets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-48</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-63</w:t>
            </w:r>
          </w:p>
        </w:tc>
      </w:tr>
      <w:tr w:rsidR="005D6812">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fee and commission expenses</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-48</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-63</w:t>
            </w:r>
          </w:p>
        </w:tc>
      </w:tr>
    </w:tbl>
    <w:p w:rsidR="005D6812" w:rsidRDefault="005D6812">
      <w:pPr>
        <w:pStyle w:val="Notes"/>
        <w:numPr>
          <w:ilvl w:val="0"/>
          <w:numId w:val="0"/>
        </w:numPr>
        <w:pBdr>
          <w:top w:val="nil"/>
          <w:left w:val="nil"/>
          <w:bottom w:val="nil"/>
          <w:right w:val="nil"/>
          <w:between w:val="nil"/>
          <w:bar w:val="nil"/>
        </w:pBdr>
        <w:ind w:left="432" w:hanging="432"/>
        <w:rPr>
          <w:noProof/>
          <w:bdr w:val="nil"/>
        </w:rPr>
      </w:pPr>
    </w:p>
    <w:p w:rsidR="005D6812" w:rsidRDefault="00AB2A2B">
      <w:pPr>
        <w:pStyle w:val="Notes"/>
        <w:numPr>
          <w:ilvl w:val="0"/>
          <w:numId w:val="0"/>
        </w:numPr>
        <w:pBdr>
          <w:top w:val="nil"/>
          <w:left w:val="nil"/>
          <w:bottom w:val="nil"/>
          <w:right w:val="nil"/>
          <w:between w:val="nil"/>
          <w:bar w:val="nil"/>
        </w:pBdr>
        <w:ind w:left="432" w:hanging="432"/>
        <w:rPr>
          <w:noProof/>
          <w:bdr w:val="nil"/>
          <w:lang w:val="en-GB"/>
        </w:rPr>
      </w:pPr>
      <w:r>
        <w:rPr>
          <w:noProof/>
          <w:bdr w:val="nil"/>
        </w:rPr>
        <w:t xml:space="preserve">20 </w:t>
      </w:r>
      <w:r>
        <w:rPr>
          <w:noProof/>
          <w:bdr w:val="nil"/>
        </w:rPr>
        <w:tab/>
        <w:t>Net realised gains on available-for-sale financial assets</w:t>
      </w:r>
      <w:r>
        <w:rPr>
          <w:noProof/>
          <w:bdr w:val="nil"/>
          <w:lang w:val="en-GB"/>
        </w:rPr>
        <w:t xml:space="preserve"> (in EUR’000)</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p w:rsidR="005D6812" w:rsidRDefault="00AB2A2B">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szCs w:val="16"/>
          <w:bdr w:val="nil"/>
        </w:rPr>
        <w:t xml:space="preserve">The main components of net realised gains on </w:t>
      </w:r>
      <w:r>
        <w:rPr>
          <w:rFonts w:ascii="Arial" w:hAnsi="Arial"/>
          <w:noProof/>
          <w:sz w:val="16"/>
          <w:szCs w:val="16"/>
          <w:bdr w:val="nil"/>
        </w:rPr>
        <w:t>available-for-sale financial assets are as follows:</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5D6812">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bottom"/>
          </w:tcPr>
          <w:p w:rsidR="005D6812" w:rsidRDefault="005D6812">
            <w:pPr>
              <w:rPr>
                <w:noProof/>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From 01.01.2016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From 01.01.2015</w:t>
            </w:r>
          </w:p>
        </w:tc>
      </w:tr>
      <w:tr w:rsidR="005D6812">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bottom"/>
          </w:tcPr>
          <w:p w:rsidR="005D6812" w:rsidRDefault="005D6812">
            <w:pPr>
              <w:rPr>
                <w:noProof/>
                <w:color w:val="000000"/>
                <w:sz w:val="20"/>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 31.12.2016</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 31.12.2015</w:t>
            </w:r>
          </w:p>
        </w:tc>
      </w:tr>
      <w:tr w:rsidR="005D6812">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Net proceeds from available-for-sale financial assets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2,159</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834</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Dividend income</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4,345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33,044</w:t>
            </w:r>
          </w:p>
        </w:tc>
      </w:tr>
      <w:tr w:rsidR="005D6812">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 xml:space="preserve">Net realised gains on available-for-sale financial assets </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6,504</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33,878</w:t>
            </w:r>
          </w:p>
        </w:tc>
      </w:tr>
    </w:tbl>
    <w:p w:rsidR="005D6812" w:rsidRDefault="005D6812">
      <w:pPr>
        <w:pStyle w:val="Notes"/>
        <w:numPr>
          <w:ilvl w:val="0"/>
          <w:numId w:val="0"/>
        </w:numPr>
        <w:pBdr>
          <w:top w:val="nil"/>
          <w:left w:val="nil"/>
          <w:bottom w:val="nil"/>
          <w:right w:val="nil"/>
          <w:between w:val="nil"/>
          <w:bar w:val="nil"/>
        </w:pBdr>
        <w:ind w:left="432"/>
        <w:rPr>
          <w:noProof/>
          <w:sz w:val="16"/>
          <w:szCs w:val="16"/>
          <w:bdr w:val="nil"/>
          <w:lang w:val="en-GB"/>
        </w:rPr>
      </w:pPr>
    </w:p>
    <w:p w:rsidR="005D6812" w:rsidRDefault="00AB2A2B">
      <w:pPr>
        <w:pStyle w:val="Notes"/>
        <w:numPr>
          <w:ilvl w:val="0"/>
          <w:numId w:val="0"/>
        </w:numPr>
        <w:pBdr>
          <w:top w:val="nil"/>
          <w:left w:val="nil"/>
          <w:bottom w:val="nil"/>
          <w:right w:val="nil"/>
          <w:between w:val="nil"/>
          <w:bar w:val="nil"/>
        </w:pBdr>
        <w:ind w:left="432" w:hanging="432"/>
        <w:rPr>
          <w:noProof/>
          <w:bdr w:val="nil"/>
          <w:lang w:val="en-GB"/>
        </w:rPr>
      </w:pPr>
      <w:r>
        <w:rPr>
          <w:noProof/>
          <w:bdr w:val="nil"/>
        </w:rPr>
        <w:t>21</w:t>
      </w:r>
      <w:r>
        <w:rPr>
          <w:noProof/>
          <w:bdr w:val="nil"/>
        </w:rPr>
        <w:tab/>
        <w:t>General administrative expenses</w:t>
      </w:r>
      <w:r>
        <w:rPr>
          <w:noProof/>
          <w:bdr w:val="nil"/>
          <w:lang w:val="en-GB"/>
        </w:rPr>
        <w:t xml:space="preserve"> (in EUR’000)</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p w:rsidR="005D6812" w:rsidRDefault="00AB2A2B">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szCs w:val="16"/>
          <w:bdr w:val="nil"/>
        </w:rPr>
        <w:t xml:space="preserve">General administrative expenses represent the actual costs incurred by the EIB for managing the Facility less income generated from </w:t>
      </w:r>
      <w:r>
        <w:rPr>
          <w:rFonts w:ascii="Arial" w:hAnsi="Arial"/>
          <w:noProof/>
          <w:sz w:val="16"/>
          <w:szCs w:val="16"/>
          <w:bdr w:val="nil"/>
        </w:rPr>
        <w:t>standard appraisal fees directly charged by the EIB to clients of the Facility.</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rsidR="005D6812">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From 01.01.2016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From 01.01.2015</w:t>
            </w:r>
          </w:p>
        </w:tc>
      </w:tr>
      <w:tr w:rsidR="005D6812">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5D6812">
            <w:pPr>
              <w:rPr>
                <w:rFonts w:ascii="Arial" w:eastAsia="Arial" w:hAnsi="Arial" w:cs="Arial"/>
                <w:b/>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 31.12.2016</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to 31.12.2015</w:t>
            </w:r>
          </w:p>
        </w:tc>
      </w:tr>
      <w:tr w:rsidR="005D6812">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Actual cost incurred by the EIB</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-45,858</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-45,506</w:t>
            </w:r>
          </w:p>
        </w:tc>
      </w:tr>
      <w:tr w:rsidR="005D6812">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 xml:space="preserve">Income from appraisal fees directly charged to clients of the </w:t>
            </w:r>
            <w:r>
              <w:rPr>
                <w:rFonts w:ascii="Arial" w:eastAsia="Arial" w:hAnsi="Arial" w:cs="Arial"/>
                <w:noProof/>
                <w:color w:val="000000"/>
                <w:sz w:val="16"/>
              </w:rPr>
              <w:t>Facility</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2,375</w:t>
            </w:r>
          </w:p>
        </w:tc>
        <w:tc>
          <w:tcPr>
            <w:tcW w:w="150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2,461</w:t>
            </w:r>
          </w:p>
        </w:tc>
      </w:tr>
      <w:tr w:rsidR="005D6812">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 general administrative expenses</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-43,483</w:t>
            </w:r>
          </w:p>
        </w:tc>
        <w:tc>
          <w:tcPr>
            <w:tcW w:w="150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-43,045</w:t>
            </w:r>
          </w:p>
        </w:tc>
      </w:tr>
    </w:tbl>
    <w:p w:rsidR="005D6812" w:rsidRDefault="00AB2A2B">
      <w:pPr>
        <w:pStyle w:val="Notes28"/>
        <w:pageBreakBefore/>
        <w:numPr>
          <w:ilvl w:val="0"/>
          <w:numId w:val="0"/>
        </w:numPr>
        <w:ind w:left="432" w:hanging="432"/>
        <w:rPr>
          <w:noProof/>
          <w:szCs w:val="20"/>
          <w:lang w:val="en-GB"/>
        </w:rPr>
      </w:pPr>
      <w:r>
        <w:rPr>
          <w:noProof/>
          <w:szCs w:val="20"/>
          <w:lang w:val="en-GB"/>
        </w:rPr>
        <w:t>22</w:t>
      </w:r>
      <w:r>
        <w:rPr>
          <w:noProof/>
          <w:szCs w:val="20"/>
          <w:lang w:val="en-GB"/>
        </w:rPr>
        <w:tab/>
        <w:t>Involvement with unconsolidated structured entities (in EUR’000)</w:t>
      </w:r>
    </w:p>
    <w:p w:rsidR="005D6812" w:rsidRDefault="005D6812">
      <w:pPr>
        <w:pStyle w:val="Normal32"/>
        <w:spacing w:before="60" w:after="60" w:line="276" w:lineRule="auto"/>
        <w:jc w:val="both"/>
        <w:rPr>
          <w:noProof/>
          <w:sz w:val="16"/>
          <w:szCs w:val="16"/>
          <w:lang w:val="en-GB"/>
        </w:rPr>
      </w:pPr>
    </w:p>
    <w:p w:rsidR="005D6812" w:rsidRDefault="00AB2A2B">
      <w:pPr>
        <w:pStyle w:val="Normal32"/>
        <w:spacing w:before="60" w:after="60" w:line="276" w:lineRule="auto"/>
        <w:jc w:val="both"/>
        <w:rPr>
          <w:rFonts w:ascii="Arial" w:hAnsi="Arial"/>
          <w:i/>
          <w:noProof/>
          <w:sz w:val="16"/>
          <w:szCs w:val="16"/>
        </w:rPr>
      </w:pPr>
      <w:r>
        <w:rPr>
          <w:rFonts w:ascii="Arial" w:hAnsi="Arial"/>
          <w:i/>
          <w:noProof/>
          <w:sz w:val="16"/>
          <w:szCs w:val="16"/>
        </w:rPr>
        <w:t>Definition of a structured entity</w:t>
      </w:r>
    </w:p>
    <w:p w:rsidR="005D6812" w:rsidRDefault="005D6812">
      <w:pPr>
        <w:pStyle w:val="Normal32"/>
        <w:spacing w:before="60" w:after="60" w:line="276" w:lineRule="auto"/>
        <w:jc w:val="both"/>
        <w:rPr>
          <w:rFonts w:ascii="Arial" w:hAnsi="Arial"/>
          <w:i/>
          <w:noProof/>
          <w:sz w:val="16"/>
          <w:szCs w:val="16"/>
        </w:rPr>
      </w:pPr>
    </w:p>
    <w:p w:rsidR="005D6812" w:rsidRDefault="00AB2A2B">
      <w:pPr>
        <w:pStyle w:val="Normal32"/>
        <w:spacing w:before="60" w:after="60" w:line="276" w:lineRule="auto"/>
        <w:jc w:val="both"/>
        <w:rPr>
          <w:rFonts w:ascii="Arial" w:hAnsi="Arial"/>
          <w:noProof/>
          <w:sz w:val="16"/>
          <w:szCs w:val="16"/>
        </w:rPr>
      </w:pPr>
      <w:r>
        <w:rPr>
          <w:rFonts w:ascii="Arial" w:hAnsi="Arial"/>
          <w:noProof/>
          <w:sz w:val="16"/>
          <w:szCs w:val="16"/>
        </w:rPr>
        <w:t>A structured entity is one that has been designed so that voting or similar</w:t>
      </w:r>
      <w:r>
        <w:rPr>
          <w:rFonts w:ascii="Arial" w:hAnsi="Arial"/>
          <w:noProof/>
          <w:sz w:val="16"/>
          <w:szCs w:val="16"/>
        </w:rPr>
        <w:t xml:space="preserve"> rights are not the dominant factor in deciding, who controls the-entity. IFRS 12 observes that a structured entity often has some or all of the following features:</w:t>
      </w:r>
    </w:p>
    <w:p w:rsidR="005D6812" w:rsidRDefault="00AB2A2B">
      <w:pPr>
        <w:pStyle w:val="Normal32"/>
        <w:numPr>
          <w:ilvl w:val="0"/>
          <w:numId w:val="96"/>
        </w:numPr>
        <w:spacing w:before="60" w:after="60" w:line="276" w:lineRule="auto"/>
        <w:jc w:val="both"/>
        <w:rPr>
          <w:rFonts w:ascii="Arial" w:hAnsi="Arial"/>
          <w:noProof/>
          <w:sz w:val="16"/>
          <w:szCs w:val="16"/>
        </w:rPr>
      </w:pPr>
      <w:r>
        <w:rPr>
          <w:rFonts w:ascii="Arial" w:hAnsi="Arial"/>
          <w:noProof/>
          <w:sz w:val="16"/>
          <w:szCs w:val="16"/>
        </w:rPr>
        <w:t>Restricted activities;</w:t>
      </w:r>
    </w:p>
    <w:p w:rsidR="005D6812" w:rsidRDefault="00AB2A2B">
      <w:pPr>
        <w:pStyle w:val="Normal32"/>
        <w:numPr>
          <w:ilvl w:val="0"/>
          <w:numId w:val="96"/>
        </w:numPr>
        <w:spacing w:before="60" w:after="60" w:line="276" w:lineRule="auto"/>
        <w:jc w:val="both"/>
        <w:rPr>
          <w:rFonts w:ascii="Arial" w:hAnsi="Arial"/>
          <w:noProof/>
          <w:sz w:val="16"/>
          <w:szCs w:val="16"/>
        </w:rPr>
      </w:pPr>
      <w:r>
        <w:rPr>
          <w:rFonts w:ascii="Arial" w:hAnsi="Arial"/>
          <w:noProof/>
          <w:sz w:val="16"/>
          <w:szCs w:val="16"/>
        </w:rPr>
        <w:t>A narrow and well-defined objective, such as to effect a tax-efficie</w:t>
      </w:r>
      <w:r>
        <w:rPr>
          <w:rFonts w:ascii="Arial" w:hAnsi="Arial"/>
          <w:noProof/>
          <w:sz w:val="16"/>
          <w:szCs w:val="16"/>
        </w:rPr>
        <w:t>nt lease, carry out research and development activities, provide a source of capital or funding to an entity or provide investment opportunities for investors by passing on risks and rewards associated with the assets of the structured entity to investors;</w:t>
      </w:r>
    </w:p>
    <w:p w:rsidR="005D6812" w:rsidRDefault="00AB2A2B">
      <w:pPr>
        <w:pStyle w:val="Normal32"/>
        <w:numPr>
          <w:ilvl w:val="0"/>
          <w:numId w:val="96"/>
        </w:numPr>
        <w:spacing w:before="60" w:after="60" w:line="276" w:lineRule="auto"/>
        <w:jc w:val="both"/>
        <w:rPr>
          <w:rFonts w:ascii="Arial" w:hAnsi="Arial"/>
          <w:noProof/>
          <w:sz w:val="16"/>
          <w:szCs w:val="16"/>
        </w:rPr>
      </w:pPr>
      <w:r>
        <w:rPr>
          <w:rFonts w:ascii="Arial" w:hAnsi="Arial"/>
          <w:noProof/>
          <w:sz w:val="16"/>
          <w:szCs w:val="16"/>
        </w:rPr>
        <w:t>Insufficient equity to permit the structured entity to finance its activities without subordinated financial support;</w:t>
      </w:r>
    </w:p>
    <w:p w:rsidR="005D6812" w:rsidRDefault="00AB2A2B">
      <w:pPr>
        <w:pStyle w:val="Normal32"/>
        <w:numPr>
          <w:ilvl w:val="0"/>
          <w:numId w:val="96"/>
        </w:numPr>
        <w:spacing w:before="60" w:after="60" w:line="276" w:lineRule="auto"/>
        <w:jc w:val="both"/>
        <w:rPr>
          <w:rFonts w:ascii="Arial" w:hAnsi="Arial"/>
          <w:noProof/>
          <w:sz w:val="16"/>
          <w:szCs w:val="16"/>
        </w:rPr>
      </w:pPr>
      <w:r>
        <w:rPr>
          <w:rFonts w:ascii="Arial" w:hAnsi="Arial"/>
          <w:noProof/>
          <w:sz w:val="16"/>
          <w:szCs w:val="16"/>
        </w:rPr>
        <w:t>Financing in the form of multiple contractually linked instruments to investors that create concentrations of credit or other risks (tran</w:t>
      </w:r>
      <w:r>
        <w:rPr>
          <w:rFonts w:ascii="Arial" w:hAnsi="Arial"/>
          <w:noProof/>
          <w:sz w:val="16"/>
          <w:szCs w:val="16"/>
        </w:rPr>
        <w:t>ches).</w:t>
      </w:r>
    </w:p>
    <w:p w:rsidR="005D6812" w:rsidRDefault="005D6812">
      <w:pPr>
        <w:pStyle w:val="Normal32"/>
        <w:spacing w:before="60" w:after="60" w:line="276" w:lineRule="auto"/>
        <w:jc w:val="both"/>
        <w:rPr>
          <w:rFonts w:ascii="Arial" w:hAnsi="Arial"/>
          <w:noProof/>
          <w:sz w:val="16"/>
          <w:szCs w:val="16"/>
        </w:rPr>
      </w:pPr>
    </w:p>
    <w:p w:rsidR="005D6812" w:rsidRDefault="00AB2A2B">
      <w:pPr>
        <w:pStyle w:val="Normal32"/>
        <w:spacing w:before="60" w:after="60" w:line="276" w:lineRule="auto"/>
        <w:jc w:val="both"/>
        <w:rPr>
          <w:rFonts w:ascii="Arial" w:hAnsi="Arial"/>
          <w:i/>
          <w:noProof/>
          <w:sz w:val="16"/>
          <w:szCs w:val="16"/>
        </w:rPr>
      </w:pPr>
      <w:r>
        <w:rPr>
          <w:rFonts w:ascii="Arial" w:hAnsi="Arial"/>
          <w:i/>
          <w:noProof/>
          <w:sz w:val="16"/>
          <w:szCs w:val="16"/>
        </w:rPr>
        <w:t>Unconsolidated structured entities</w:t>
      </w:r>
    </w:p>
    <w:p w:rsidR="005D6812" w:rsidRDefault="005D6812">
      <w:pPr>
        <w:pStyle w:val="Normal32"/>
        <w:spacing w:before="60" w:after="60" w:line="276" w:lineRule="auto"/>
        <w:jc w:val="both"/>
        <w:rPr>
          <w:rFonts w:ascii="Arial" w:hAnsi="Arial"/>
          <w:i/>
          <w:noProof/>
          <w:sz w:val="16"/>
          <w:szCs w:val="16"/>
        </w:rPr>
      </w:pPr>
    </w:p>
    <w:p w:rsidR="005D6812" w:rsidRDefault="00AB2A2B">
      <w:pPr>
        <w:pStyle w:val="Normal32"/>
        <w:spacing w:before="60" w:after="60" w:line="276" w:lineRule="auto"/>
        <w:jc w:val="both"/>
        <w:rPr>
          <w:rFonts w:ascii="Arial" w:hAnsi="Arial"/>
          <w:noProof/>
          <w:sz w:val="16"/>
          <w:szCs w:val="16"/>
        </w:rPr>
      </w:pPr>
      <w:r>
        <w:rPr>
          <w:rFonts w:ascii="Arial" w:hAnsi="Arial"/>
          <w:noProof/>
          <w:sz w:val="16"/>
          <w:szCs w:val="16"/>
        </w:rPr>
        <w:t>The term 'unconsolidated structured entities' refers to all structured entities that are not controlled by the Facility and includes interests in structured entities that are not consolidated.</w:t>
      </w:r>
    </w:p>
    <w:p w:rsidR="005D6812" w:rsidRDefault="005D6812">
      <w:pPr>
        <w:pStyle w:val="Normal32"/>
        <w:spacing w:before="60" w:after="60" w:line="276" w:lineRule="auto"/>
        <w:jc w:val="both"/>
        <w:rPr>
          <w:rFonts w:ascii="Arial" w:hAnsi="Arial"/>
          <w:i/>
          <w:noProof/>
          <w:sz w:val="16"/>
          <w:szCs w:val="16"/>
        </w:rPr>
      </w:pPr>
    </w:p>
    <w:p w:rsidR="005D6812" w:rsidRDefault="00AB2A2B">
      <w:pPr>
        <w:pStyle w:val="Normal32"/>
        <w:spacing w:before="60" w:after="60" w:line="276" w:lineRule="auto"/>
        <w:jc w:val="both"/>
        <w:rPr>
          <w:rFonts w:ascii="Arial" w:hAnsi="Arial"/>
          <w:i/>
          <w:noProof/>
          <w:sz w:val="16"/>
          <w:szCs w:val="16"/>
        </w:rPr>
      </w:pPr>
      <w:r>
        <w:rPr>
          <w:rFonts w:ascii="Arial" w:hAnsi="Arial"/>
          <w:i/>
          <w:noProof/>
          <w:sz w:val="16"/>
          <w:szCs w:val="16"/>
        </w:rPr>
        <w:t xml:space="preserve">Definition of </w:t>
      </w:r>
      <w:r>
        <w:rPr>
          <w:rFonts w:ascii="Arial" w:hAnsi="Arial"/>
          <w:i/>
          <w:noProof/>
          <w:sz w:val="16"/>
          <w:szCs w:val="16"/>
        </w:rPr>
        <w:t>Interests in structured entities:</w:t>
      </w:r>
    </w:p>
    <w:p w:rsidR="005D6812" w:rsidRDefault="005D6812">
      <w:pPr>
        <w:pStyle w:val="Normal32"/>
        <w:spacing w:before="60" w:after="60" w:line="276" w:lineRule="auto"/>
        <w:jc w:val="both"/>
        <w:rPr>
          <w:rFonts w:ascii="Arial" w:hAnsi="Arial"/>
          <w:noProof/>
          <w:sz w:val="16"/>
          <w:szCs w:val="16"/>
        </w:rPr>
      </w:pPr>
    </w:p>
    <w:p w:rsidR="005D6812" w:rsidRDefault="00AB2A2B">
      <w:pPr>
        <w:pStyle w:val="Normal32"/>
        <w:spacing w:before="60" w:after="60" w:line="276" w:lineRule="auto"/>
        <w:jc w:val="both"/>
        <w:rPr>
          <w:rFonts w:ascii="Arial" w:hAnsi="Arial"/>
          <w:noProof/>
          <w:sz w:val="16"/>
          <w:szCs w:val="16"/>
        </w:rPr>
      </w:pPr>
      <w:r>
        <w:rPr>
          <w:rFonts w:ascii="Arial" w:hAnsi="Arial"/>
          <w:noProof/>
          <w:sz w:val="16"/>
          <w:szCs w:val="16"/>
        </w:rPr>
        <w:t>IFRS 12 defines "interests" broadly to include any contractual or non-contractual involvement that exposes the reporting entity to variability in returns from the performance of the entity.   Examples of such interests in</w:t>
      </w:r>
      <w:r>
        <w:rPr>
          <w:rFonts w:ascii="Arial" w:hAnsi="Arial"/>
          <w:noProof/>
          <w:sz w:val="16"/>
          <w:szCs w:val="16"/>
        </w:rPr>
        <w:t xml:space="preserve">clude the holding of equity interests and other forms of involvement such as the provision of funding, liquidity support, credit enhancements, commitments and guarantees to the other entity. IFRS 12 states that a reporting entity does not necessarily have </w:t>
      </w:r>
      <w:r>
        <w:rPr>
          <w:rFonts w:ascii="Arial" w:hAnsi="Arial"/>
          <w:noProof/>
          <w:sz w:val="16"/>
          <w:szCs w:val="16"/>
        </w:rPr>
        <w:t>an interest in another entity solely because of a typical customer supplier relationship.</w:t>
      </w:r>
    </w:p>
    <w:p w:rsidR="005D6812" w:rsidRDefault="005D6812">
      <w:pPr>
        <w:pStyle w:val="Normal32"/>
        <w:spacing w:before="60" w:after="60" w:line="276" w:lineRule="auto"/>
        <w:jc w:val="both"/>
        <w:rPr>
          <w:rFonts w:ascii="Arial" w:hAnsi="Arial"/>
          <w:noProof/>
          <w:sz w:val="16"/>
          <w:szCs w:val="16"/>
        </w:rPr>
      </w:pPr>
    </w:p>
    <w:p w:rsidR="005D6812" w:rsidRDefault="00AB2A2B">
      <w:pPr>
        <w:pStyle w:val="Normal32"/>
        <w:spacing w:before="60" w:after="60" w:line="276" w:lineRule="auto"/>
        <w:jc w:val="both"/>
        <w:rPr>
          <w:rFonts w:ascii="Arial" w:hAnsi="Arial"/>
          <w:noProof/>
          <w:sz w:val="16"/>
          <w:szCs w:val="16"/>
        </w:rPr>
      </w:pPr>
      <w:r>
        <w:rPr>
          <w:rFonts w:ascii="Arial" w:hAnsi="Arial"/>
          <w:noProof/>
          <w:sz w:val="16"/>
          <w:szCs w:val="16"/>
        </w:rPr>
        <w:t>The table below describes the types of structured entities that the Facility does not consolidate but in which it holds an interest.</w:t>
      </w:r>
    </w:p>
    <w:p w:rsidR="005D6812" w:rsidRDefault="005D6812">
      <w:pPr>
        <w:pStyle w:val="Normal32"/>
        <w:spacing w:before="60" w:after="60" w:line="276" w:lineRule="auto"/>
        <w:jc w:val="both"/>
        <w:rPr>
          <w:rFonts w:ascii="Arial" w:hAnsi="Arial"/>
          <w:noProof/>
          <w:sz w:val="16"/>
          <w:szCs w:val="16"/>
        </w:rPr>
      </w:pPr>
    </w:p>
    <w:tbl>
      <w:tblPr>
        <w:tblStyle w:val="TableGrid"/>
        <w:tblW w:w="9923" w:type="dxa"/>
        <w:tblInd w:w="108" w:type="dxa"/>
        <w:tblBorders>
          <w:left w:val="nil"/>
          <w:right w:val="nil"/>
          <w:insideV w:val="nil"/>
        </w:tblBorders>
        <w:tblLook w:val="04A0" w:firstRow="1" w:lastRow="0" w:firstColumn="1" w:lastColumn="0" w:noHBand="0" w:noVBand="1"/>
      </w:tblPr>
      <w:tblGrid>
        <w:gridCol w:w="1560"/>
        <w:gridCol w:w="5528"/>
        <w:gridCol w:w="2835"/>
      </w:tblGrid>
      <w:tr w:rsidR="005D6812">
        <w:tc>
          <w:tcPr>
            <w:tcW w:w="1560" w:type="dxa"/>
          </w:tcPr>
          <w:p w:rsidR="005D6812" w:rsidRDefault="00AB2A2B">
            <w:pPr>
              <w:pStyle w:val="Normal32"/>
              <w:spacing w:before="60" w:after="60" w:line="276" w:lineRule="auto"/>
              <w:rPr>
                <w:rFonts w:ascii="Arial" w:hAnsi="Arial"/>
                <w:b/>
                <w:noProof/>
                <w:sz w:val="16"/>
                <w:szCs w:val="16"/>
              </w:rPr>
            </w:pPr>
            <w:r>
              <w:rPr>
                <w:rFonts w:ascii="Arial" w:hAnsi="Arial"/>
                <w:b/>
                <w:noProof/>
                <w:sz w:val="16"/>
                <w:szCs w:val="16"/>
              </w:rPr>
              <w:t>Type of structured entity</w:t>
            </w:r>
          </w:p>
        </w:tc>
        <w:tc>
          <w:tcPr>
            <w:tcW w:w="5528" w:type="dxa"/>
          </w:tcPr>
          <w:p w:rsidR="005D6812" w:rsidRDefault="00AB2A2B">
            <w:pPr>
              <w:pStyle w:val="Normal32"/>
              <w:spacing w:before="60" w:after="60" w:line="276" w:lineRule="auto"/>
              <w:jc w:val="both"/>
              <w:rPr>
                <w:rFonts w:ascii="Arial" w:hAnsi="Arial"/>
                <w:b/>
                <w:noProof/>
                <w:sz w:val="16"/>
                <w:szCs w:val="16"/>
              </w:rPr>
            </w:pPr>
            <w:r>
              <w:rPr>
                <w:rFonts w:ascii="Arial" w:hAnsi="Arial"/>
                <w:b/>
                <w:noProof/>
                <w:sz w:val="16"/>
                <w:szCs w:val="16"/>
              </w:rPr>
              <w:t>Natur</w:t>
            </w:r>
            <w:r>
              <w:rPr>
                <w:rFonts w:ascii="Arial" w:hAnsi="Arial"/>
                <w:b/>
                <w:noProof/>
                <w:sz w:val="16"/>
                <w:szCs w:val="16"/>
              </w:rPr>
              <w:t>e and purpose</w:t>
            </w:r>
          </w:p>
        </w:tc>
        <w:tc>
          <w:tcPr>
            <w:tcW w:w="2835" w:type="dxa"/>
          </w:tcPr>
          <w:p w:rsidR="005D6812" w:rsidRDefault="00AB2A2B">
            <w:pPr>
              <w:pStyle w:val="Normal32"/>
              <w:spacing w:before="60" w:after="60" w:line="276" w:lineRule="auto"/>
              <w:jc w:val="both"/>
              <w:rPr>
                <w:rFonts w:ascii="Arial" w:hAnsi="Arial"/>
                <w:b/>
                <w:noProof/>
                <w:sz w:val="16"/>
                <w:szCs w:val="16"/>
              </w:rPr>
            </w:pPr>
            <w:r>
              <w:rPr>
                <w:rFonts w:ascii="Arial" w:hAnsi="Arial"/>
                <w:b/>
                <w:noProof/>
                <w:sz w:val="16"/>
                <w:szCs w:val="16"/>
              </w:rPr>
              <w:t>Interest held by the Facility</w:t>
            </w:r>
          </w:p>
        </w:tc>
      </w:tr>
      <w:tr w:rsidR="005D6812">
        <w:tc>
          <w:tcPr>
            <w:tcW w:w="1560" w:type="dxa"/>
          </w:tcPr>
          <w:p w:rsidR="005D6812" w:rsidRDefault="00AB2A2B">
            <w:pPr>
              <w:pStyle w:val="Normal32"/>
              <w:spacing w:before="60" w:after="60" w:line="276" w:lineRule="auto"/>
              <w:rPr>
                <w:rFonts w:ascii="Arial" w:hAnsi="Arial"/>
                <w:noProof/>
                <w:sz w:val="16"/>
                <w:szCs w:val="16"/>
              </w:rPr>
            </w:pPr>
            <w:r>
              <w:rPr>
                <w:rFonts w:ascii="Arial" w:hAnsi="Arial"/>
                <w:noProof/>
                <w:sz w:val="16"/>
                <w:szCs w:val="16"/>
              </w:rPr>
              <w:t>Project Finance - lending to Special Purposes Vehicles (“SPV”)</w:t>
            </w:r>
          </w:p>
        </w:tc>
        <w:tc>
          <w:tcPr>
            <w:tcW w:w="5528" w:type="dxa"/>
          </w:tcPr>
          <w:p w:rsidR="005D6812" w:rsidRDefault="00AB2A2B">
            <w:pPr>
              <w:pStyle w:val="Normal32"/>
              <w:spacing w:before="60" w:after="60" w:line="276" w:lineRule="auto"/>
              <w:jc w:val="both"/>
              <w:rPr>
                <w:rFonts w:ascii="Arial" w:hAnsi="Arial"/>
                <w:noProof/>
                <w:sz w:val="16"/>
                <w:szCs w:val="16"/>
              </w:rPr>
            </w:pPr>
            <w:r>
              <w:rPr>
                <w:rFonts w:ascii="Arial" w:hAnsi="Arial"/>
                <w:noProof/>
                <w:sz w:val="16"/>
                <w:szCs w:val="16"/>
              </w:rPr>
              <w:t>Project Finance Transactions (PF Operations) are transactions where the Facility relies for the servicing of its debt on a borrower whose sole or ma</w:t>
            </w:r>
            <w:r>
              <w:rPr>
                <w:rFonts w:ascii="Arial" w:hAnsi="Arial"/>
                <w:noProof/>
                <w:sz w:val="16"/>
                <w:szCs w:val="16"/>
              </w:rPr>
              <w:t>in source of revenue is generated by a single or limited number of assets being financed by such debt or other pre-existing assets contractually linked to the project.  PF operations are often financed through SPV.</w:t>
            </w:r>
          </w:p>
        </w:tc>
        <w:tc>
          <w:tcPr>
            <w:tcW w:w="2835" w:type="dxa"/>
          </w:tcPr>
          <w:p w:rsidR="005D6812" w:rsidRDefault="00AB2A2B">
            <w:pPr>
              <w:pStyle w:val="Normal32"/>
              <w:spacing w:before="60" w:after="60"/>
              <w:jc w:val="both"/>
              <w:rPr>
                <w:rFonts w:ascii="Arial" w:hAnsi="Arial"/>
                <w:noProof/>
                <w:sz w:val="16"/>
                <w:szCs w:val="16"/>
              </w:rPr>
            </w:pPr>
            <w:r>
              <w:rPr>
                <w:rFonts w:ascii="Arial" w:hAnsi="Arial"/>
                <w:noProof/>
                <w:sz w:val="16"/>
                <w:szCs w:val="16"/>
              </w:rPr>
              <w:t>Net disbursed amounts;</w:t>
            </w:r>
          </w:p>
          <w:p w:rsidR="005D6812" w:rsidRDefault="00AB2A2B">
            <w:pPr>
              <w:pStyle w:val="Normal32"/>
              <w:spacing w:before="60" w:after="60" w:line="276" w:lineRule="auto"/>
              <w:jc w:val="both"/>
              <w:rPr>
                <w:rFonts w:ascii="Arial" w:hAnsi="Arial"/>
                <w:noProof/>
                <w:sz w:val="16"/>
                <w:szCs w:val="16"/>
              </w:rPr>
            </w:pPr>
            <w:r>
              <w:rPr>
                <w:rFonts w:ascii="Arial" w:hAnsi="Arial"/>
                <w:noProof/>
                <w:sz w:val="16"/>
                <w:szCs w:val="16"/>
              </w:rPr>
              <w:t>Interest income.</w:t>
            </w:r>
          </w:p>
        </w:tc>
      </w:tr>
      <w:tr w:rsidR="005D6812">
        <w:tc>
          <w:tcPr>
            <w:tcW w:w="1560" w:type="dxa"/>
          </w:tcPr>
          <w:p w:rsidR="005D6812" w:rsidRDefault="00AB2A2B">
            <w:pPr>
              <w:pStyle w:val="Normal32"/>
              <w:spacing w:before="60" w:after="60" w:line="276" w:lineRule="auto"/>
              <w:rPr>
                <w:rFonts w:ascii="Arial" w:hAnsi="Arial"/>
                <w:noProof/>
                <w:sz w:val="16"/>
                <w:szCs w:val="16"/>
              </w:rPr>
            </w:pPr>
            <w:r>
              <w:rPr>
                <w:rFonts w:ascii="Arial" w:hAnsi="Arial"/>
                <w:noProof/>
                <w:sz w:val="16"/>
                <w:szCs w:val="16"/>
              </w:rPr>
              <w:t>Venture capital operations</w:t>
            </w:r>
          </w:p>
        </w:tc>
        <w:tc>
          <w:tcPr>
            <w:tcW w:w="5528" w:type="dxa"/>
          </w:tcPr>
          <w:p w:rsidR="005D6812" w:rsidRDefault="00AB2A2B">
            <w:pPr>
              <w:pStyle w:val="Normal32"/>
              <w:spacing w:before="60" w:after="60" w:line="276" w:lineRule="auto"/>
              <w:jc w:val="both"/>
              <w:rPr>
                <w:rFonts w:ascii="Arial" w:hAnsi="Arial"/>
                <w:noProof/>
                <w:sz w:val="16"/>
                <w:szCs w:val="16"/>
              </w:rPr>
            </w:pPr>
            <w:r>
              <w:rPr>
                <w:rFonts w:ascii="Arial" w:hAnsi="Arial"/>
                <w:noProof/>
                <w:sz w:val="16"/>
                <w:szCs w:val="16"/>
              </w:rPr>
              <w:t>The Facility finances venture capital and investment funds. Venture capital and investment funds pool and manage money from investors seeking private equity stakes in small and medium-size enterprises with strong growth potential</w:t>
            </w:r>
            <w:r>
              <w:rPr>
                <w:rFonts w:ascii="Arial" w:hAnsi="Arial"/>
                <w:noProof/>
                <w:sz w:val="16"/>
                <w:szCs w:val="16"/>
              </w:rPr>
              <w:t xml:space="preserve"> as well as financing infrastructure projects.</w:t>
            </w:r>
          </w:p>
        </w:tc>
        <w:tc>
          <w:tcPr>
            <w:tcW w:w="2835" w:type="dxa"/>
          </w:tcPr>
          <w:p w:rsidR="005D6812" w:rsidRDefault="00AB2A2B">
            <w:pPr>
              <w:pStyle w:val="Normal32"/>
              <w:spacing w:before="60" w:after="60" w:line="276" w:lineRule="auto"/>
              <w:jc w:val="both"/>
              <w:rPr>
                <w:rFonts w:ascii="Arial" w:hAnsi="Arial"/>
                <w:noProof/>
                <w:sz w:val="16"/>
                <w:szCs w:val="16"/>
              </w:rPr>
            </w:pPr>
            <w:r>
              <w:rPr>
                <w:rFonts w:ascii="Arial" w:hAnsi="Arial"/>
                <w:noProof/>
                <w:sz w:val="16"/>
                <w:szCs w:val="16"/>
              </w:rPr>
              <w:t>Investments in units/shares issued by the venture capital entity;</w:t>
            </w:r>
          </w:p>
          <w:p w:rsidR="005D6812" w:rsidRDefault="00AB2A2B">
            <w:pPr>
              <w:pStyle w:val="Normal32"/>
              <w:spacing w:before="60" w:after="60" w:line="276" w:lineRule="auto"/>
              <w:jc w:val="both"/>
              <w:rPr>
                <w:rFonts w:ascii="Arial" w:hAnsi="Arial"/>
                <w:noProof/>
                <w:sz w:val="16"/>
                <w:szCs w:val="16"/>
              </w:rPr>
            </w:pPr>
            <w:r>
              <w:rPr>
                <w:rFonts w:ascii="Arial" w:hAnsi="Arial"/>
                <w:noProof/>
                <w:sz w:val="16"/>
                <w:szCs w:val="16"/>
              </w:rPr>
              <w:t>Dividends received as dividend income.</w:t>
            </w:r>
          </w:p>
        </w:tc>
      </w:tr>
    </w:tbl>
    <w:p w:rsidR="005D6812" w:rsidRDefault="005D6812">
      <w:pPr>
        <w:pStyle w:val="Normal32"/>
        <w:spacing w:before="60" w:after="60" w:line="276" w:lineRule="auto"/>
        <w:jc w:val="both"/>
        <w:rPr>
          <w:rFonts w:ascii="Arial" w:hAnsi="Arial"/>
          <w:noProof/>
          <w:sz w:val="16"/>
          <w:szCs w:val="16"/>
        </w:rPr>
      </w:pPr>
    </w:p>
    <w:p w:rsidR="005D6812" w:rsidRDefault="00AB2A2B">
      <w:pPr>
        <w:pStyle w:val="Normal32"/>
        <w:spacing w:before="60" w:after="60" w:line="276" w:lineRule="auto"/>
        <w:jc w:val="both"/>
        <w:rPr>
          <w:rFonts w:ascii="Arial" w:hAnsi="Arial"/>
          <w:noProof/>
          <w:sz w:val="16"/>
          <w:szCs w:val="16"/>
        </w:rPr>
      </w:pPr>
      <w:r>
        <w:rPr>
          <w:rFonts w:ascii="Arial" w:hAnsi="Arial"/>
          <w:noProof/>
          <w:sz w:val="16"/>
          <w:szCs w:val="16"/>
        </w:rPr>
        <w:t>The table below shows the carrying amounts of unconsolidated structured entities in which the Facility</w:t>
      </w:r>
      <w:r>
        <w:rPr>
          <w:rFonts w:ascii="Arial" w:hAnsi="Arial"/>
          <w:noProof/>
          <w:sz w:val="16"/>
          <w:szCs w:val="16"/>
        </w:rPr>
        <w:t xml:space="preserve"> has an interest at the reporting date, as well as the Facility's maximum exposure to loss in relation to those entities. The maximum exposure to loss includes the carrying amounts and the related un-disbursed commitments. </w:t>
      </w:r>
    </w:p>
    <w:p w:rsidR="005D6812" w:rsidRDefault="005D6812">
      <w:pPr>
        <w:pStyle w:val="Normal32"/>
        <w:spacing w:before="60" w:after="60" w:line="276" w:lineRule="auto"/>
        <w:jc w:val="both"/>
        <w:rPr>
          <w:rFonts w:ascii="Arial" w:hAnsi="Arial"/>
          <w:noProof/>
          <w:sz w:val="16"/>
          <w:szCs w:val="16"/>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95"/>
        <w:gridCol w:w="2295"/>
        <w:gridCol w:w="1350"/>
        <w:gridCol w:w="1350"/>
        <w:gridCol w:w="1350"/>
        <w:gridCol w:w="1350"/>
      </w:tblGrid>
      <w:tr w:rsidR="005D6812">
        <w:trPr>
          <w:trHeight w:val="600"/>
        </w:trPr>
        <w:tc>
          <w:tcPr>
            <w:tcW w:w="2295"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Type of structured entity</w:t>
            </w:r>
          </w:p>
        </w:tc>
        <w:tc>
          <w:tcPr>
            <w:tcW w:w="2295"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Caption</w:t>
            </w:r>
          </w:p>
        </w:tc>
        <w:tc>
          <w:tcPr>
            <w:tcW w:w="135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Carrying amount at 31.12.2016</w:t>
            </w:r>
          </w:p>
        </w:tc>
        <w:tc>
          <w:tcPr>
            <w:tcW w:w="135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Carrying amount at 31.12.2015</w:t>
            </w:r>
          </w:p>
        </w:tc>
        <w:tc>
          <w:tcPr>
            <w:tcW w:w="135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Maximum exposure to loss at 31.12.2016</w:t>
            </w:r>
          </w:p>
        </w:tc>
        <w:tc>
          <w:tcPr>
            <w:tcW w:w="135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Maximum exposure to loss at 31.12.2015</w:t>
            </w:r>
          </w:p>
        </w:tc>
      </w:tr>
      <w:tr w:rsidR="005D6812">
        <w:trPr>
          <w:trHeight w:val="450"/>
        </w:trPr>
        <w:tc>
          <w:tcPr>
            <w:tcW w:w="229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Venture capital funds</w:t>
            </w:r>
          </w:p>
        </w:tc>
        <w:tc>
          <w:tcPr>
            <w:tcW w:w="229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Available-for-sale financial assets</w:t>
            </w:r>
          </w:p>
        </w:tc>
        <w:tc>
          <w:tcPr>
            <w:tcW w:w="13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437,788</w:t>
            </w:r>
          </w:p>
        </w:tc>
        <w:tc>
          <w:tcPr>
            <w:tcW w:w="13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396,203</w:t>
            </w:r>
          </w:p>
        </w:tc>
        <w:tc>
          <w:tcPr>
            <w:tcW w:w="13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672,222</w:t>
            </w:r>
          </w:p>
        </w:tc>
        <w:tc>
          <w:tcPr>
            <w:tcW w:w="13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645,833</w:t>
            </w:r>
          </w:p>
        </w:tc>
      </w:tr>
      <w:tr w:rsidR="005D6812">
        <w:trPr>
          <w:trHeight w:val="300"/>
        </w:trPr>
        <w:tc>
          <w:tcPr>
            <w:tcW w:w="229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w:t>
            </w:r>
          </w:p>
        </w:tc>
        <w:tc>
          <w:tcPr>
            <w:tcW w:w="2295" w:type="dxa"/>
            <w:tcBorders>
              <w:top w:val="nil"/>
              <w:left w:val="nil"/>
              <w:bottom w:val="nil"/>
              <w:right w:val="nil"/>
              <w:tl2br w:val="nil"/>
              <w:tr2bl w:val="nil"/>
            </w:tcBorders>
            <w:shd w:val="clear" w:color="FFFFFF" w:fill="C0C0C0"/>
            <w:tcMar>
              <w:left w:w="40" w:type="dxa"/>
              <w:right w:w="40" w:type="dxa"/>
            </w:tcMar>
            <w:vAlign w:val="center"/>
          </w:tcPr>
          <w:p w:rsidR="005D6812" w:rsidRDefault="005D6812">
            <w:pPr>
              <w:rPr>
                <w:rFonts w:ascii="Arial" w:eastAsia="Arial" w:hAnsi="Arial" w:cs="Arial"/>
                <w:b/>
                <w:noProof/>
                <w:color w:val="000000"/>
                <w:sz w:val="16"/>
              </w:rPr>
            </w:pPr>
          </w:p>
        </w:tc>
        <w:tc>
          <w:tcPr>
            <w:tcW w:w="135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437,788</w:t>
            </w:r>
          </w:p>
        </w:tc>
        <w:tc>
          <w:tcPr>
            <w:tcW w:w="135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396,203</w:t>
            </w:r>
          </w:p>
        </w:tc>
        <w:tc>
          <w:tcPr>
            <w:tcW w:w="135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672,222</w:t>
            </w:r>
          </w:p>
        </w:tc>
        <w:tc>
          <w:tcPr>
            <w:tcW w:w="135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645,833</w:t>
            </w:r>
          </w:p>
        </w:tc>
      </w:tr>
    </w:tbl>
    <w:p w:rsidR="005D6812" w:rsidRDefault="00AB2A2B">
      <w:pPr>
        <w:pStyle w:val="Notes"/>
        <w:pageBreakBefore/>
        <w:numPr>
          <w:ilvl w:val="0"/>
          <w:numId w:val="0"/>
        </w:numPr>
        <w:pBdr>
          <w:top w:val="nil"/>
          <w:left w:val="nil"/>
          <w:bottom w:val="nil"/>
          <w:right w:val="nil"/>
          <w:between w:val="nil"/>
          <w:bar w:val="nil"/>
        </w:pBdr>
        <w:ind w:left="432" w:hanging="432"/>
        <w:rPr>
          <w:rFonts w:eastAsia="Calibri" w:cs="Arial"/>
          <w:noProof/>
          <w:szCs w:val="20"/>
          <w:bdr w:val="nil"/>
          <w:lang w:val="en-GB"/>
        </w:rPr>
      </w:pPr>
      <w:r>
        <w:rPr>
          <w:rFonts w:eastAsia="Calibri" w:cs="Arial"/>
          <w:noProof/>
          <w:szCs w:val="20"/>
          <w:bdr w:val="nil"/>
          <w:lang w:val="en-GB"/>
        </w:rPr>
        <w:t>23</w:t>
      </w:r>
      <w:r>
        <w:rPr>
          <w:rFonts w:eastAsia="Calibri" w:cs="Arial"/>
          <w:noProof/>
          <w:szCs w:val="20"/>
          <w:bdr w:val="nil"/>
          <w:lang w:val="en-GB"/>
        </w:rPr>
        <w:tab/>
        <w:t>Impact financing envelope (in EUR’000)</w:t>
      </w:r>
    </w:p>
    <w:p w:rsidR="005D6812" w:rsidRDefault="005D6812">
      <w:pPr>
        <w:pBdr>
          <w:top w:val="nil"/>
          <w:left w:val="nil"/>
          <w:bottom w:val="nil"/>
          <w:right w:val="nil"/>
          <w:between w:val="nil"/>
          <w:bar w:val="nil"/>
        </w:pBdr>
        <w:spacing w:before="60" w:after="60" w:line="276" w:lineRule="auto"/>
        <w:jc w:val="both"/>
        <w:rPr>
          <w:rFonts w:ascii="Calibri" w:eastAsia="Calibri" w:hAnsi="Calibri" w:cs="Arial"/>
          <w:noProof/>
          <w:sz w:val="16"/>
          <w:szCs w:val="16"/>
          <w:bdr w:val="nil"/>
          <w:lang w:eastAsia="en-US"/>
        </w:rPr>
      </w:pPr>
    </w:p>
    <w:p w:rsidR="005D6812" w:rsidRDefault="00AB2A2B">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lang w:eastAsia="en-US"/>
        </w:rPr>
      </w:pPr>
      <w:r>
        <w:rPr>
          <w:rFonts w:ascii="Arial" w:eastAsia="Calibri" w:hAnsi="Arial" w:cs="Arial"/>
          <w:noProof/>
          <w:sz w:val="16"/>
          <w:szCs w:val="16"/>
          <w:bdr w:val="nil"/>
          <w:lang w:eastAsia="en-US"/>
        </w:rPr>
        <w:t>In June 2013 the ACP-EU Joint Ministerial Council approved the new financial protocol for the 11</w:t>
      </w:r>
      <w:r>
        <w:rPr>
          <w:rFonts w:ascii="Arial" w:eastAsia="Calibri" w:hAnsi="Arial" w:cs="Arial"/>
          <w:noProof/>
          <w:sz w:val="16"/>
          <w:szCs w:val="16"/>
          <w:bdr w:val="nil"/>
          <w:vertAlign w:val="superscript"/>
          <w:lang w:eastAsia="en-US"/>
        </w:rPr>
        <w:t>th</w:t>
      </w:r>
      <w:r>
        <w:rPr>
          <w:rFonts w:ascii="Arial" w:eastAsia="Calibri" w:hAnsi="Arial" w:cs="Arial"/>
          <w:noProof/>
          <w:sz w:val="16"/>
          <w:szCs w:val="16"/>
          <w:bdr w:val="nil"/>
          <w:lang w:eastAsia="en-US"/>
        </w:rPr>
        <w:t xml:space="preserve"> European Development Fund (EDF), covering the period 2014-2020. </w:t>
      </w:r>
    </w:p>
    <w:p w:rsidR="005D6812" w:rsidRDefault="005D6812">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lang w:eastAsia="en-US"/>
        </w:rPr>
      </w:pPr>
    </w:p>
    <w:p w:rsidR="005D6812" w:rsidRDefault="00AB2A2B">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lang w:eastAsia="en-US"/>
        </w:rPr>
      </w:pPr>
      <w:r>
        <w:rPr>
          <w:rFonts w:ascii="Arial" w:eastAsia="Calibri" w:hAnsi="Arial" w:cs="Arial"/>
          <w:noProof/>
          <w:sz w:val="16"/>
          <w:szCs w:val="16"/>
          <w:bdr w:val="nil"/>
          <w:lang w:eastAsia="en-US"/>
        </w:rPr>
        <w:t xml:space="preserve">A new EUR 500m </w:t>
      </w:r>
      <w:r>
        <w:rPr>
          <w:rFonts w:ascii="Arial" w:eastAsia="Calibri" w:hAnsi="Arial" w:cs="Arial"/>
          <w:noProof/>
          <w:sz w:val="16"/>
          <w:szCs w:val="16"/>
          <w:bdr w:val="nil"/>
          <w:lang w:eastAsia="en-US"/>
        </w:rPr>
        <w:t>endowment was agreed for the Investment Facility, the so called ‘impact financing envelope’ or “IFE”, enabling the Facility to support projects that promise a particularly high development impact whilst bearing the greater risks inherent in such investment</w:t>
      </w:r>
      <w:r>
        <w:rPr>
          <w:rFonts w:ascii="Arial" w:eastAsia="Calibri" w:hAnsi="Arial" w:cs="Arial"/>
          <w:noProof/>
          <w:sz w:val="16"/>
          <w:szCs w:val="16"/>
          <w:bdr w:val="nil"/>
          <w:lang w:eastAsia="en-US"/>
        </w:rPr>
        <w:t>s. This envelope will present new possibilities for enhancing the Facility’s private sector lending through investments in the following instruments:</w:t>
      </w:r>
    </w:p>
    <w:p w:rsidR="005D6812" w:rsidRDefault="005D6812">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lang w:eastAsia="en-US"/>
        </w:rPr>
      </w:pPr>
    </w:p>
    <w:p w:rsidR="005D6812" w:rsidRDefault="00AB2A2B">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lang w:eastAsia="en-US"/>
        </w:rPr>
      </w:pPr>
      <w:r>
        <w:rPr>
          <w:rFonts w:ascii="Arial" w:eastAsia="Calibri" w:hAnsi="Arial" w:cs="Arial"/>
          <w:b/>
          <w:noProof/>
          <w:sz w:val="16"/>
          <w:szCs w:val="16"/>
          <w:bdr w:val="nil"/>
          <w:lang w:eastAsia="en-US"/>
        </w:rPr>
        <w:t>Social impact equity funds</w:t>
      </w:r>
      <w:r>
        <w:rPr>
          <w:rFonts w:ascii="Arial" w:eastAsia="Calibri" w:hAnsi="Arial" w:cs="Arial"/>
          <w:noProof/>
          <w:sz w:val="16"/>
          <w:szCs w:val="16"/>
          <w:bdr w:val="nil"/>
          <w:lang w:eastAsia="en-US"/>
        </w:rPr>
        <w:t xml:space="preserve"> - promoted by an emerging population of private equity fund managers who put t</w:t>
      </w:r>
      <w:r>
        <w:rPr>
          <w:rFonts w:ascii="Arial" w:eastAsia="Calibri" w:hAnsi="Arial" w:cs="Arial"/>
          <w:noProof/>
          <w:sz w:val="16"/>
          <w:szCs w:val="16"/>
          <w:bdr w:val="nil"/>
          <w:lang w:eastAsia="en-US"/>
        </w:rPr>
        <w:t>he alleviation of social or environmental issues at the core of their funds' investment strategy but still target sustainability at the levels of both the fund and its investee companies.</w:t>
      </w:r>
    </w:p>
    <w:p w:rsidR="005D6812" w:rsidRDefault="005D6812">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lang w:eastAsia="en-US"/>
        </w:rPr>
      </w:pPr>
    </w:p>
    <w:p w:rsidR="005D6812" w:rsidRDefault="00AB2A2B">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lang w:eastAsia="en-US"/>
        </w:rPr>
      </w:pPr>
      <w:r>
        <w:rPr>
          <w:rFonts w:ascii="Arial" w:eastAsia="Calibri" w:hAnsi="Arial" w:cs="Arial"/>
          <w:b/>
          <w:noProof/>
          <w:sz w:val="16"/>
          <w:szCs w:val="16"/>
          <w:bdr w:val="nil"/>
          <w:lang w:eastAsia="en-US"/>
        </w:rPr>
        <w:t>Loans to financial intermediaries</w:t>
      </w:r>
      <w:r>
        <w:rPr>
          <w:rFonts w:ascii="Arial" w:eastAsia="Calibri" w:hAnsi="Arial" w:cs="Arial"/>
          <w:noProof/>
          <w:sz w:val="16"/>
          <w:szCs w:val="16"/>
          <w:bdr w:val="nil"/>
          <w:lang w:eastAsia="en-US"/>
        </w:rPr>
        <w:t xml:space="preserve"> - (e.g. microfinance institutions</w:t>
      </w:r>
      <w:r>
        <w:rPr>
          <w:rFonts w:ascii="Arial" w:eastAsia="Calibri" w:hAnsi="Arial" w:cs="Arial"/>
          <w:noProof/>
          <w:sz w:val="16"/>
          <w:szCs w:val="16"/>
          <w:bdr w:val="nil"/>
          <w:lang w:eastAsia="en-US"/>
        </w:rPr>
        <w:t>, local banks and credit unions) operating in ACP countries in which the EIB cannot consider financing - in particular in local currency - under the existing credit risk guidelines, e.g. due to either high country risks, currency volatility or lack of pric</w:t>
      </w:r>
      <w:r>
        <w:rPr>
          <w:rFonts w:ascii="Arial" w:eastAsia="Calibri" w:hAnsi="Arial" w:cs="Arial"/>
          <w:noProof/>
          <w:sz w:val="16"/>
          <w:szCs w:val="16"/>
          <w:bdr w:val="nil"/>
          <w:lang w:eastAsia="en-US"/>
        </w:rPr>
        <w:t>ing benchmarks. The main objective of such loans will be to fund projects with a high developmental impact, especially in the field of support to micro and small enterprises (MSEs) and agriculture, which generally do not qualify for IF financing.</w:t>
      </w:r>
    </w:p>
    <w:p w:rsidR="005D6812" w:rsidRDefault="005D6812">
      <w:pPr>
        <w:pBdr>
          <w:top w:val="nil"/>
          <w:left w:val="nil"/>
          <w:bottom w:val="nil"/>
          <w:right w:val="nil"/>
          <w:between w:val="nil"/>
          <w:bar w:val="nil"/>
        </w:pBdr>
        <w:spacing w:before="60" w:after="60" w:line="276" w:lineRule="auto"/>
        <w:jc w:val="both"/>
        <w:rPr>
          <w:rFonts w:ascii="Arial" w:eastAsia="Calibri" w:hAnsi="Arial" w:cs="Arial"/>
          <w:b/>
          <w:noProof/>
          <w:sz w:val="16"/>
          <w:szCs w:val="16"/>
          <w:bdr w:val="nil"/>
          <w:lang w:eastAsia="en-US"/>
        </w:rPr>
      </w:pPr>
    </w:p>
    <w:p w:rsidR="005D6812" w:rsidRDefault="00AB2A2B">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lang w:eastAsia="en-US"/>
        </w:rPr>
      </w:pPr>
      <w:r>
        <w:rPr>
          <w:rFonts w:ascii="Arial" w:eastAsia="Calibri" w:hAnsi="Arial" w:cs="Arial"/>
          <w:b/>
          <w:noProof/>
          <w:sz w:val="16"/>
          <w:szCs w:val="16"/>
          <w:bdr w:val="nil"/>
          <w:lang w:eastAsia="en-US"/>
        </w:rPr>
        <w:t>Risk sha</w:t>
      </w:r>
      <w:r>
        <w:rPr>
          <w:rFonts w:ascii="Arial" w:eastAsia="Calibri" w:hAnsi="Arial" w:cs="Arial"/>
          <w:b/>
          <w:noProof/>
          <w:sz w:val="16"/>
          <w:szCs w:val="16"/>
          <w:bdr w:val="nil"/>
          <w:lang w:eastAsia="en-US"/>
        </w:rPr>
        <w:t>ring facilitating instruments</w:t>
      </w:r>
      <w:r>
        <w:rPr>
          <w:rFonts w:ascii="Arial" w:eastAsia="Calibri" w:hAnsi="Arial" w:cs="Arial"/>
          <w:noProof/>
          <w:sz w:val="16"/>
          <w:szCs w:val="16"/>
          <w:bdr w:val="nil"/>
          <w:lang w:eastAsia="en-US"/>
        </w:rPr>
        <w:t xml:space="preserve"> - which will take the form of first loss guarantees ("first loss pieces") that will facilitate risk sharing operations of the EIB with local financial intermediaries (mainly commercial banks) for the benefit of underserved SME</w:t>
      </w:r>
      <w:r>
        <w:rPr>
          <w:rFonts w:ascii="Arial" w:eastAsia="Calibri" w:hAnsi="Arial" w:cs="Arial"/>
          <w:noProof/>
          <w:sz w:val="16"/>
          <w:szCs w:val="16"/>
          <w:bdr w:val="nil"/>
          <w:lang w:eastAsia="en-US"/>
        </w:rPr>
        <w:t>s and small projects that meet the Impact Financing Criteria in situations where a market gap has been identified in relation to the access of SMEs/small projects to finance. The first loss pieces would be structured as a counter-guarantee in favour of sen</w:t>
      </w:r>
      <w:r>
        <w:rPr>
          <w:rFonts w:ascii="Arial" w:eastAsia="Calibri" w:hAnsi="Arial" w:cs="Arial"/>
          <w:noProof/>
          <w:sz w:val="16"/>
          <w:szCs w:val="16"/>
          <w:bdr w:val="nil"/>
          <w:lang w:eastAsia="en-US"/>
        </w:rPr>
        <w:t>ior guarantee tranches funded by the EIB - under the Investment Facility - and by other International Financial Institutions/Development Financial Institutions, thus generating a substantial leverage effect.</w:t>
      </w:r>
    </w:p>
    <w:p w:rsidR="005D6812" w:rsidRDefault="005D6812">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lang w:eastAsia="en-US"/>
        </w:rPr>
      </w:pPr>
    </w:p>
    <w:p w:rsidR="005D6812" w:rsidRDefault="00AB2A2B">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lang w:eastAsia="en-US"/>
        </w:rPr>
      </w:pPr>
      <w:r>
        <w:rPr>
          <w:rFonts w:ascii="Arial" w:eastAsia="Calibri" w:hAnsi="Arial" w:cs="Arial"/>
          <w:b/>
          <w:noProof/>
          <w:sz w:val="16"/>
          <w:szCs w:val="16"/>
          <w:bdr w:val="nil"/>
          <w:lang w:eastAsia="en-US"/>
        </w:rPr>
        <w:t>Direct financing</w:t>
      </w:r>
      <w:r>
        <w:rPr>
          <w:rFonts w:ascii="Arial" w:eastAsia="Calibri" w:hAnsi="Arial" w:cs="Arial"/>
          <w:noProof/>
          <w:sz w:val="16"/>
          <w:szCs w:val="16"/>
          <w:bdr w:val="nil"/>
          <w:lang w:eastAsia="en-US"/>
        </w:rPr>
        <w:t xml:space="preserve"> - through debt or equity instr</w:t>
      </w:r>
      <w:r>
        <w:rPr>
          <w:rFonts w:ascii="Arial" w:eastAsia="Calibri" w:hAnsi="Arial" w:cs="Arial"/>
          <w:noProof/>
          <w:sz w:val="16"/>
          <w:szCs w:val="16"/>
          <w:bdr w:val="nil"/>
          <w:lang w:eastAsia="en-US"/>
        </w:rPr>
        <w:t>uments in projects with sound and experienced promoters and high developmental impacts, but that will, however, also entail higher expectations of losses and difficulties to recover the investment (equity type risk with higher than usual expectation of los</w:t>
      </w:r>
      <w:r>
        <w:rPr>
          <w:rFonts w:ascii="Arial" w:eastAsia="Calibri" w:hAnsi="Arial" w:cs="Arial"/>
          <w:noProof/>
          <w:sz w:val="16"/>
          <w:szCs w:val="16"/>
          <w:bdr w:val="nil"/>
          <w:lang w:eastAsia="en-US"/>
        </w:rPr>
        <w:t>ses). The EIB will apply strict selection and eligibility criteria for this instrument, as these projects, notwithstanding their high developmental impact, would not be able to meet acceptable financing criteria (i.e. low expectation of recovering the inve</w:t>
      </w:r>
      <w:r>
        <w:rPr>
          <w:rFonts w:ascii="Arial" w:eastAsia="Calibri" w:hAnsi="Arial" w:cs="Arial"/>
          <w:noProof/>
          <w:sz w:val="16"/>
          <w:szCs w:val="16"/>
          <w:bdr w:val="nil"/>
          <w:lang w:eastAsia="en-US"/>
        </w:rPr>
        <w:t>stment or offsetting the losses through interest rates /equity returns).</w:t>
      </w:r>
    </w:p>
    <w:p w:rsidR="005D6812" w:rsidRDefault="005D6812">
      <w:pPr>
        <w:pBdr>
          <w:top w:val="nil"/>
          <w:left w:val="nil"/>
          <w:bottom w:val="nil"/>
          <w:right w:val="nil"/>
          <w:between w:val="nil"/>
          <w:bar w:val="nil"/>
        </w:pBdr>
        <w:tabs>
          <w:tab w:val="left" w:pos="426"/>
        </w:tabs>
        <w:spacing w:before="60" w:after="60" w:line="276" w:lineRule="auto"/>
        <w:jc w:val="both"/>
        <w:rPr>
          <w:rFonts w:eastAsia="Calibri" w:cs="Arial"/>
          <w:noProof/>
          <w:sz w:val="16"/>
          <w:szCs w:val="16"/>
          <w:bdr w:val="nil"/>
          <w:lang w:eastAsia="en-US"/>
        </w:rPr>
      </w:pPr>
    </w:p>
    <w:p w:rsidR="005D6812" w:rsidRDefault="00AB2A2B">
      <w:pPr>
        <w:pBdr>
          <w:top w:val="nil"/>
          <w:left w:val="nil"/>
          <w:bottom w:val="nil"/>
          <w:right w:val="nil"/>
          <w:between w:val="nil"/>
          <w:bar w:val="nil"/>
        </w:pBdr>
        <w:tabs>
          <w:tab w:val="left" w:pos="0"/>
        </w:tabs>
        <w:spacing w:before="60" w:after="60" w:line="276" w:lineRule="auto"/>
        <w:jc w:val="both"/>
        <w:rPr>
          <w:rFonts w:eastAsia="Calibri" w:cs="Arial"/>
          <w:noProof/>
          <w:sz w:val="16"/>
          <w:szCs w:val="16"/>
          <w:bdr w:val="nil"/>
          <w:lang w:eastAsia="en-US"/>
        </w:rPr>
      </w:pPr>
      <w:r>
        <w:rPr>
          <w:rFonts w:ascii="Arial" w:eastAsia="Calibri" w:hAnsi="Arial" w:cs="Arial"/>
          <w:noProof/>
          <w:sz w:val="16"/>
          <w:szCs w:val="16"/>
          <w:bdr w:val="nil"/>
          <w:lang w:eastAsia="en-US"/>
        </w:rPr>
        <w:t xml:space="preserve">The IFE will also allow diversification into new sectors, such as health and education, agriculture and food security, and the development of new and innovative risk-sharing </w:t>
      </w:r>
      <w:r>
        <w:rPr>
          <w:rFonts w:ascii="Arial" w:eastAsia="Calibri" w:hAnsi="Arial" w:cs="Arial"/>
          <w:noProof/>
          <w:sz w:val="16"/>
          <w:szCs w:val="16"/>
          <w:bdr w:val="nil"/>
          <w:lang w:eastAsia="en-US"/>
        </w:rPr>
        <w:t>instruments.</w:t>
      </w:r>
    </w:p>
    <w:p w:rsidR="005D6812" w:rsidRDefault="005D6812">
      <w:pPr>
        <w:pBdr>
          <w:top w:val="nil"/>
          <w:left w:val="nil"/>
          <w:bottom w:val="nil"/>
          <w:right w:val="nil"/>
          <w:between w:val="nil"/>
          <w:bar w:val="nil"/>
        </w:pBdr>
        <w:tabs>
          <w:tab w:val="left" w:pos="0"/>
        </w:tabs>
        <w:spacing w:before="60" w:after="60" w:line="276" w:lineRule="auto"/>
        <w:jc w:val="both"/>
        <w:rPr>
          <w:rFonts w:eastAsia="Calibri" w:cs="Arial"/>
          <w:noProof/>
          <w:sz w:val="16"/>
          <w:szCs w:val="16"/>
          <w:bdr w:val="nil"/>
          <w:lang w:eastAsia="en-US"/>
        </w:rPr>
      </w:pPr>
    </w:p>
    <w:p w:rsidR="005D6812" w:rsidRDefault="00AB2A2B">
      <w:pPr>
        <w:pBdr>
          <w:top w:val="nil"/>
          <w:left w:val="nil"/>
          <w:bottom w:val="nil"/>
          <w:right w:val="nil"/>
          <w:between w:val="nil"/>
          <w:bar w:val="nil"/>
        </w:pBdr>
        <w:tabs>
          <w:tab w:val="left" w:pos="0"/>
        </w:tabs>
        <w:spacing w:before="60" w:after="60" w:line="276" w:lineRule="auto"/>
        <w:jc w:val="both"/>
        <w:rPr>
          <w:rFonts w:eastAsia="Calibri" w:cs="Arial"/>
          <w:noProof/>
          <w:sz w:val="16"/>
          <w:szCs w:val="16"/>
          <w:bdr w:val="nil"/>
          <w:lang w:eastAsia="en-US"/>
        </w:rPr>
      </w:pPr>
      <w:r>
        <w:rPr>
          <w:rFonts w:ascii="Arial" w:eastAsia="Calibri" w:hAnsi="Arial" w:cs="Arial"/>
          <w:noProof/>
          <w:sz w:val="16"/>
          <w:szCs w:val="16"/>
          <w:bdr w:val="nil"/>
          <w:lang w:val="en-US" w:eastAsia="en-US"/>
        </w:rPr>
        <w:t>From a financial and accounting perspective the IFE forms part of the IF portfolio and is accounted for in the overall IF annual financial statements.</w:t>
      </w:r>
    </w:p>
    <w:p w:rsidR="005D6812" w:rsidRDefault="00AB2A2B">
      <w:pPr>
        <w:pStyle w:val="Notes"/>
        <w:numPr>
          <w:ilvl w:val="0"/>
          <w:numId w:val="0"/>
        </w:numPr>
        <w:pBdr>
          <w:top w:val="nil"/>
          <w:left w:val="nil"/>
          <w:bottom w:val="nil"/>
          <w:right w:val="nil"/>
          <w:between w:val="nil"/>
          <w:bar w:val="nil"/>
        </w:pBdr>
        <w:ind w:left="432" w:hanging="432"/>
        <w:rPr>
          <w:rFonts w:eastAsia="Calibri" w:cs="Arial"/>
          <w:b w:val="0"/>
          <w:noProof/>
          <w:sz w:val="16"/>
          <w:szCs w:val="16"/>
          <w:bdr w:val="nil"/>
          <w:lang w:eastAsia="en-US"/>
        </w:rPr>
      </w:pPr>
      <w:r>
        <w:rPr>
          <w:rFonts w:eastAsia="Calibri" w:cs="Arial"/>
          <w:b w:val="0"/>
          <w:noProof/>
          <w:sz w:val="16"/>
          <w:szCs w:val="16"/>
          <w:bdr w:val="nil"/>
          <w:lang w:eastAsia="en-US"/>
        </w:rPr>
        <w:t xml:space="preserve">The following table represents the carrying amounts and the committed, but undisbursed </w:t>
      </w:r>
      <w:r>
        <w:rPr>
          <w:rFonts w:eastAsia="Calibri" w:cs="Arial"/>
          <w:b w:val="0"/>
          <w:noProof/>
          <w:sz w:val="16"/>
          <w:szCs w:val="16"/>
          <w:bdr w:val="nil"/>
          <w:lang w:eastAsia="en-US"/>
        </w:rPr>
        <w:t>amounts, per type of asset:</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95"/>
        <w:gridCol w:w="2295"/>
        <w:gridCol w:w="1350"/>
        <w:gridCol w:w="1350"/>
        <w:gridCol w:w="1350"/>
        <w:gridCol w:w="1350"/>
      </w:tblGrid>
      <w:tr w:rsidR="005D6812">
        <w:trPr>
          <w:trHeight w:val="600"/>
        </w:trPr>
        <w:tc>
          <w:tcPr>
            <w:tcW w:w="2295"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Type of IFE investment</w:t>
            </w:r>
          </w:p>
        </w:tc>
        <w:tc>
          <w:tcPr>
            <w:tcW w:w="2295"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Caption</w:t>
            </w:r>
          </w:p>
        </w:tc>
        <w:tc>
          <w:tcPr>
            <w:tcW w:w="135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Carrying amount at 31.12.2016</w:t>
            </w:r>
          </w:p>
        </w:tc>
        <w:tc>
          <w:tcPr>
            <w:tcW w:w="135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Carrying amount at 31.12.2015</w:t>
            </w:r>
          </w:p>
        </w:tc>
        <w:tc>
          <w:tcPr>
            <w:tcW w:w="135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Undisbursed amount at 31.12.2016</w:t>
            </w:r>
          </w:p>
        </w:tc>
        <w:tc>
          <w:tcPr>
            <w:tcW w:w="135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Undisbursed amount at 31.12.2015</w:t>
            </w:r>
          </w:p>
        </w:tc>
      </w:tr>
      <w:tr w:rsidR="005D6812">
        <w:trPr>
          <w:trHeight w:val="450"/>
        </w:trPr>
        <w:tc>
          <w:tcPr>
            <w:tcW w:w="229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Social impact equity funds</w:t>
            </w:r>
          </w:p>
        </w:tc>
        <w:tc>
          <w:tcPr>
            <w:tcW w:w="2295"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Available-for-sale financial assets</w:t>
            </w:r>
          </w:p>
        </w:tc>
        <w:tc>
          <w:tcPr>
            <w:tcW w:w="13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5,021</w:t>
            </w:r>
          </w:p>
        </w:tc>
        <w:tc>
          <w:tcPr>
            <w:tcW w:w="13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2,257</w:t>
            </w:r>
          </w:p>
        </w:tc>
        <w:tc>
          <w:tcPr>
            <w:tcW w:w="13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19,567</w:t>
            </w:r>
          </w:p>
        </w:tc>
        <w:tc>
          <w:tcPr>
            <w:tcW w:w="1350" w:type="dxa"/>
            <w:tcBorders>
              <w:top w:val="single" w:sz="8" w:space="0" w:color="000000"/>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16,927</w:t>
            </w:r>
          </w:p>
        </w:tc>
      </w:tr>
      <w:tr w:rsidR="005D6812">
        <w:trPr>
          <w:trHeight w:val="450"/>
        </w:trPr>
        <w:tc>
          <w:tcPr>
            <w:tcW w:w="229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Loans to financial intermediaries</w:t>
            </w:r>
          </w:p>
        </w:tc>
        <w:tc>
          <w:tcPr>
            <w:tcW w:w="229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Loans and receivables</w:t>
            </w:r>
          </w:p>
        </w:tc>
        <w:tc>
          <w:tcPr>
            <w:tcW w:w="13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23,702</w:t>
            </w:r>
          </w:p>
        </w:tc>
        <w:tc>
          <w:tcPr>
            <w:tcW w:w="13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3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46,958</w:t>
            </w:r>
          </w:p>
        </w:tc>
        <w:tc>
          <w:tcPr>
            <w:tcW w:w="13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10,000</w:t>
            </w:r>
          </w:p>
        </w:tc>
      </w:tr>
      <w:tr w:rsidR="005D6812">
        <w:trPr>
          <w:trHeight w:val="450"/>
        </w:trPr>
        <w:tc>
          <w:tcPr>
            <w:tcW w:w="229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Risk sharing facilitating instruments</w:t>
            </w:r>
          </w:p>
        </w:tc>
        <w:tc>
          <w:tcPr>
            <w:tcW w:w="229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Issued guarantees</w:t>
            </w:r>
          </w:p>
        </w:tc>
        <w:tc>
          <w:tcPr>
            <w:tcW w:w="13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-288</w:t>
            </w:r>
          </w:p>
        </w:tc>
        <w:tc>
          <w:tcPr>
            <w:tcW w:w="13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3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33,719</w:t>
            </w:r>
          </w:p>
        </w:tc>
        <w:tc>
          <w:tcPr>
            <w:tcW w:w="13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r>
      <w:tr w:rsidR="005D6812">
        <w:trPr>
          <w:trHeight w:val="450"/>
        </w:trPr>
        <w:tc>
          <w:tcPr>
            <w:tcW w:w="229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Direct financing – equity participations</w:t>
            </w:r>
          </w:p>
        </w:tc>
        <w:tc>
          <w:tcPr>
            <w:tcW w:w="2295"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rPr>
                <w:rFonts w:ascii="Arial" w:eastAsia="Arial" w:hAnsi="Arial" w:cs="Arial"/>
                <w:noProof/>
                <w:color w:val="000000"/>
                <w:sz w:val="16"/>
              </w:rPr>
            </w:pPr>
            <w:r>
              <w:rPr>
                <w:rFonts w:ascii="Arial" w:eastAsia="Arial" w:hAnsi="Arial" w:cs="Arial"/>
                <w:noProof/>
                <w:color w:val="000000"/>
                <w:sz w:val="16"/>
              </w:rPr>
              <w:t>Available-for-sale financial assets</w:t>
            </w:r>
          </w:p>
        </w:tc>
        <w:tc>
          <w:tcPr>
            <w:tcW w:w="13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39,986</w:t>
            </w:r>
          </w:p>
        </w:tc>
        <w:tc>
          <w:tcPr>
            <w:tcW w:w="13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w:t>
            </w:r>
          </w:p>
        </w:tc>
        <w:tc>
          <w:tcPr>
            <w:tcW w:w="13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14</w:t>
            </w:r>
          </w:p>
        </w:tc>
        <w:tc>
          <w:tcPr>
            <w:tcW w:w="1350" w:type="dxa"/>
            <w:tcBorders>
              <w:top w:val="nil"/>
              <w:left w:val="nil"/>
              <w:bottom w:val="nil"/>
              <w:right w:val="nil"/>
              <w:tl2br w:val="nil"/>
              <w:tr2bl w:val="nil"/>
            </w:tcBorders>
            <w:shd w:val="clear" w:color="auto" w:fill="auto"/>
            <w:tcMar>
              <w:left w:w="40" w:type="dxa"/>
              <w:right w:w="40" w:type="dxa"/>
            </w:tcMar>
            <w:vAlign w:val="center"/>
          </w:tcPr>
          <w:p w:rsidR="005D6812" w:rsidRDefault="00AB2A2B">
            <w:pPr>
              <w:jc w:val="right"/>
              <w:rPr>
                <w:rFonts w:ascii="Arial" w:eastAsia="Arial" w:hAnsi="Arial" w:cs="Arial"/>
                <w:noProof/>
                <w:color w:val="000000"/>
                <w:sz w:val="16"/>
              </w:rPr>
            </w:pPr>
            <w:r>
              <w:rPr>
                <w:rFonts w:ascii="Arial" w:eastAsia="Arial" w:hAnsi="Arial" w:cs="Arial"/>
                <w:noProof/>
                <w:color w:val="000000"/>
                <w:sz w:val="16"/>
              </w:rPr>
              <w:t>40,000</w:t>
            </w:r>
          </w:p>
        </w:tc>
      </w:tr>
      <w:tr w:rsidR="005D6812">
        <w:trPr>
          <w:trHeight w:val="300"/>
        </w:trPr>
        <w:tc>
          <w:tcPr>
            <w:tcW w:w="2295"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rPr>
                <w:rFonts w:ascii="Arial" w:eastAsia="Arial" w:hAnsi="Arial" w:cs="Arial"/>
                <w:b/>
                <w:noProof/>
                <w:color w:val="000000"/>
                <w:sz w:val="16"/>
              </w:rPr>
            </w:pPr>
            <w:r>
              <w:rPr>
                <w:rFonts w:ascii="Arial" w:eastAsia="Arial" w:hAnsi="Arial" w:cs="Arial"/>
                <w:b/>
                <w:noProof/>
                <w:color w:val="000000"/>
                <w:sz w:val="16"/>
              </w:rPr>
              <w:t>Total</w:t>
            </w:r>
          </w:p>
        </w:tc>
        <w:tc>
          <w:tcPr>
            <w:tcW w:w="2295" w:type="dxa"/>
            <w:tcBorders>
              <w:top w:val="nil"/>
              <w:left w:val="nil"/>
              <w:bottom w:val="nil"/>
              <w:right w:val="nil"/>
              <w:tl2br w:val="nil"/>
              <w:tr2bl w:val="nil"/>
            </w:tcBorders>
            <w:shd w:val="clear" w:color="FFFFFF" w:fill="C0C0C0"/>
            <w:tcMar>
              <w:left w:w="40" w:type="dxa"/>
              <w:right w:w="40" w:type="dxa"/>
            </w:tcMar>
            <w:vAlign w:val="center"/>
          </w:tcPr>
          <w:p w:rsidR="005D6812" w:rsidRDefault="005D6812">
            <w:pPr>
              <w:rPr>
                <w:rFonts w:ascii="Arial" w:eastAsia="Arial" w:hAnsi="Arial" w:cs="Arial"/>
                <w:b/>
                <w:noProof/>
                <w:color w:val="000000"/>
                <w:sz w:val="16"/>
              </w:rPr>
            </w:pPr>
          </w:p>
        </w:tc>
        <w:tc>
          <w:tcPr>
            <w:tcW w:w="135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68,421</w:t>
            </w:r>
          </w:p>
        </w:tc>
        <w:tc>
          <w:tcPr>
            <w:tcW w:w="135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2,257</w:t>
            </w:r>
          </w:p>
        </w:tc>
        <w:tc>
          <w:tcPr>
            <w:tcW w:w="135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100,258</w:t>
            </w:r>
          </w:p>
        </w:tc>
        <w:tc>
          <w:tcPr>
            <w:tcW w:w="1350" w:type="dxa"/>
            <w:tcBorders>
              <w:top w:val="nil"/>
              <w:left w:val="nil"/>
              <w:bottom w:val="nil"/>
              <w:right w:val="nil"/>
              <w:tl2br w:val="nil"/>
              <w:tr2bl w:val="nil"/>
            </w:tcBorders>
            <w:shd w:val="clear" w:color="FFFFFF" w:fill="C0C0C0"/>
            <w:tcMar>
              <w:left w:w="40" w:type="dxa"/>
              <w:right w:w="40" w:type="dxa"/>
            </w:tcMar>
            <w:vAlign w:val="center"/>
          </w:tcPr>
          <w:p w:rsidR="005D6812" w:rsidRDefault="00AB2A2B">
            <w:pPr>
              <w:jc w:val="right"/>
              <w:rPr>
                <w:rFonts w:ascii="Arial" w:eastAsia="Arial" w:hAnsi="Arial" w:cs="Arial"/>
                <w:b/>
                <w:noProof/>
                <w:color w:val="000000"/>
                <w:sz w:val="16"/>
              </w:rPr>
            </w:pPr>
            <w:r>
              <w:rPr>
                <w:rFonts w:ascii="Arial" w:eastAsia="Arial" w:hAnsi="Arial" w:cs="Arial"/>
                <w:b/>
                <w:noProof/>
                <w:color w:val="000000"/>
                <w:sz w:val="16"/>
              </w:rPr>
              <w:t>66,927</w:t>
            </w:r>
          </w:p>
        </w:tc>
      </w:tr>
    </w:tbl>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p w:rsidR="005D6812" w:rsidRDefault="00AB2A2B">
      <w:pPr>
        <w:pStyle w:val="Notes"/>
        <w:numPr>
          <w:ilvl w:val="0"/>
          <w:numId w:val="0"/>
        </w:numPr>
        <w:pBdr>
          <w:top w:val="nil"/>
          <w:left w:val="nil"/>
          <w:bottom w:val="nil"/>
          <w:right w:val="nil"/>
          <w:between w:val="nil"/>
          <w:bar w:val="nil"/>
        </w:pBdr>
        <w:ind w:left="432" w:hanging="432"/>
        <w:rPr>
          <w:noProof/>
          <w:bdr w:val="nil"/>
        </w:rPr>
      </w:pPr>
      <w:r>
        <w:rPr>
          <w:noProof/>
          <w:bdr w:val="nil"/>
        </w:rPr>
        <w:t>24</w:t>
      </w:r>
      <w:r>
        <w:rPr>
          <w:noProof/>
          <w:bdr w:val="nil"/>
        </w:rPr>
        <w:tab/>
        <w:t>Subsequent events</w:t>
      </w:r>
    </w:p>
    <w:p w:rsidR="005D6812" w:rsidRDefault="005D6812">
      <w:pPr>
        <w:pBdr>
          <w:top w:val="nil"/>
          <w:left w:val="nil"/>
          <w:bottom w:val="nil"/>
          <w:right w:val="nil"/>
          <w:between w:val="nil"/>
          <w:bar w:val="nil"/>
        </w:pBdr>
        <w:spacing w:before="60" w:after="60"/>
        <w:jc w:val="both"/>
        <w:rPr>
          <w:rFonts w:ascii="Arial" w:hAnsi="Arial"/>
          <w:noProof/>
          <w:sz w:val="16"/>
          <w:szCs w:val="16"/>
          <w:bdr w:val="nil"/>
        </w:rPr>
      </w:pPr>
    </w:p>
    <w:p w:rsidR="005D6812" w:rsidRDefault="00AB2A2B">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szCs w:val="16"/>
          <w:bdr w:val="nil"/>
        </w:rPr>
        <w:t>There have been no material post balance sheet events which could require disclosure or adjustment to the 31 December 2016 financial statements.</w:t>
      </w:r>
      <w:bookmarkEnd w:id="373"/>
      <w:bookmarkEnd w:id="2"/>
    </w:p>
    <w:sectPr w:rsidR="005D6812">
      <w:headerReference w:type="even" r:id="rId425"/>
      <w:headerReference w:type="default" r:id="rId426"/>
      <w:footerReference w:type="even" r:id="rId427"/>
      <w:footerReference w:type="default" r:id="rId428"/>
      <w:headerReference w:type="first" r:id="rId429"/>
      <w:footerReference w:type="first" r:id="rId430"/>
      <w:type w:val="continuous"/>
      <w:pgSz w:w="12240" w:h="15840"/>
      <w:pgMar w:top="765" w:right="1134" w:bottom="765" w:left="1134" w:header="709" w:footer="709" w:gutter="0"/>
      <w:pgBorders>
        <w:top w:val="nil"/>
        <w:left w:val="nil"/>
        <w:bottom w:val="nil"/>
        <w:right w:val="nil"/>
      </w:pgBorders>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812" w:rsidRDefault="00AB2A2B">
      <w:r>
        <w:separator/>
      </w:r>
    </w:p>
  </w:endnote>
  <w:endnote w:type="continuationSeparator" w:id="0">
    <w:p w:rsidR="005D6812" w:rsidRDefault="00AB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altName w:val="Tahom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Lt BT">
    <w:altName w:val="Segoe UI"/>
    <w:charset w:val="00"/>
    <w:family w:val="swiss"/>
    <w:pitch w:val="variable"/>
    <w:sig w:usb0="00000087" w:usb1="00000000" w:usb2="00000000" w:usb3="00000000" w:csb0="0000001B" w:csb1="00000000"/>
  </w:font>
  <w:font w:name="OpenSymbo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94080" behindDoc="1" locked="0" layoutInCell="1" allowOverlap="1" wp14:anchorId="6B425567" wp14:editId="6AD33173">
              <wp:simplePos x="0" y="0"/>
              <wp:positionH relativeFrom="column">
                <wp:posOffset>4420235</wp:posOffset>
              </wp:positionH>
              <wp:positionV relativeFrom="paragraph">
                <wp:posOffset>13970</wp:posOffset>
              </wp:positionV>
              <wp:extent cx="403200" cy="795600"/>
              <wp:effectExtent l="0" t="0" r="16510" b="24130"/>
              <wp:wrapNone/>
              <wp:docPr id="121248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84" style="width:31.75pt;height:62.65pt;margin-top:1.1pt;margin-left:348.05pt;mso-height-percent:0;mso-height-relative:margin;mso-width-percent:0;mso-width-relative:page;mso-wrap-distance-bottom:0;mso-wrap-distance-left:9pt;mso-wrap-distance-right:9pt;mso-wrap-distance-top:0;mso-wrap-style:square;position:absolute;visibility:visible;v-text-anchor:bottom;z-index:-251568128"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42</w:t>
    </w:r>
    <w:r>
      <w:rPr>
        <w:rFonts w:ascii="Verdana" w:hAnsi="Verdana"/>
        <w:b/>
        <w:noProof/>
        <w:color w:val="FFFFFF"/>
        <w:sz w:val="18"/>
        <w:szCs w:val="18"/>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95104" behindDoc="1" locked="0" layoutInCell="1" allowOverlap="1" wp14:anchorId="431CEB4F" wp14:editId="477C0A25">
              <wp:simplePos x="0" y="0"/>
              <wp:positionH relativeFrom="column">
                <wp:posOffset>2858135</wp:posOffset>
              </wp:positionH>
              <wp:positionV relativeFrom="paragraph">
                <wp:posOffset>16510</wp:posOffset>
              </wp:positionV>
              <wp:extent cx="403200" cy="795600"/>
              <wp:effectExtent l="0" t="0" r="16510" b="24130"/>
              <wp:wrapNone/>
              <wp:docPr id="124525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85"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67104"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43</w:t>
    </w:r>
    <w:r>
      <w:rPr>
        <w:rFonts w:ascii="Verdana" w:hAnsi="Verdana"/>
        <w:b/>
        <w:noProof/>
        <w:color w:val="FFFFFF"/>
        <w:sz w:val="18"/>
        <w:szCs w:val="18"/>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96128" behindDoc="1" locked="0" layoutInCell="1" allowOverlap="1" wp14:anchorId="7C9DFC1D" wp14:editId="53DDDA19">
              <wp:simplePos x="0" y="0"/>
              <wp:positionH relativeFrom="column">
                <wp:posOffset>2858135</wp:posOffset>
              </wp:positionH>
              <wp:positionV relativeFrom="paragraph">
                <wp:posOffset>16510</wp:posOffset>
              </wp:positionV>
              <wp:extent cx="403200" cy="795600"/>
              <wp:effectExtent l="0" t="0" r="16510" b="24130"/>
              <wp:wrapNone/>
              <wp:docPr id="127802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86"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66080"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44</w:t>
    </w:r>
    <w:r>
      <w:rPr>
        <w:rFonts w:ascii="Verdana" w:hAnsi="Verdana"/>
        <w:b/>
        <w:noProof/>
        <w:color w:val="FFFFFF"/>
        <w:sz w:val="18"/>
        <w:szCs w:val="18"/>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40160" behindDoc="1" locked="0" layoutInCell="1" allowOverlap="1" wp14:anchorId="3B1B2264" wp14:editId="1B032A07">
              <wp:simplePos x="0" y="0"/>
              <wp:positionH relativeFrom="column">
                <wp:posOffset>2858135</wp:posOffset>
              </wp:positionH>
              <wp:positionV relativeFrom="paragraph">
                <wp:posOffset>16510</wp:posOffset>
              </wp:positionV>
              <wp:extent cx="403200" cy="795600"/>
              <wp:effectExtent l="0" t="0" r="16510" b="24130"/>
              <wp:wrapNone/>
              <wp:docPr id="1"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05pt;margin-top:1.3pt;width:31.75pt;height:62.6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FTTAIAALA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w:t>
    </w:r>
    <w:r>
      <w:rPr>
        <w:rFonts w:ascii="Verdana" w:hAnsi="Verdana"/>
        <w:b/>
        <w:noProof/>
        <w:color w:val="FFFFFF"/>
        <w:sz w:val="18"/>
        <w:szCs w:val="18"/>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97152" behindDoc="1" locked="0" layoutInCell="1" allowOverlap="1" wp14:anchorId="0104CAC6" wp14:editId="2FE3D1AB">
              <wp:simplePos x="0" y="0"/>
              <wp:positionH relativeFrom="column">
                <wp:posOffset>2858135</wp:posOffset>
              </wp:positionH>
              <wp:positionV relativeFrom="paragraph">
                <wp:posOffset>16510</wp:posOffset>
              </wp:positionV>
              <wp:extent cx="403200" cy="795600"/>
              <wp:effectExtent l="0" t="0" r="16510" b="24130"/>
              <wp:wrapNone/>
              <wp:docPr id="131079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87"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65056"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00224" behindDoc="1" locked="0" layoutInCell="1" allowOverlap="1" wp14:anchorId="51EF4864" wp14:editId="63B8FD4E">
              <wp:simplePos x="0" y="0"/>
              <wp:positionH relativeFrom="column">
                <wp:posOffset>2858135</wp:posOffset>
              </wp:positionH>
              <wp:positionV relativeFrom="paragraph">
                <wp:posOffset>16510</wp:posOffset>
              </wp:positionV>
              <wp:extent cx="403200" cy="795600"/>
              <wp:effectExtent l="0" t="0" r="16510" b="24130"/>
              <wp:wrapNone/>
              <wp:docPr id="140910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90"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61984"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46</w:t>
    </w:r>
    <w:r>
      <w:rPr>
        <w:rFonts w:ascii="Verdana" w:hAnsi="Verdana"/>
        <w:b/>
        <w:noProof/>
        <w:color w:val="FFFFFF"/>
        <w:sz w:val="18"/>
        <w:szCs w:val="18"/>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50400" behindDoc="1" locked="0" layoutInCell="1" allowOverlap="1" wp14:anchorId="4ADA7AD1" wp14:editId="3AA689D4">
              <wp:simplePos x="0" y="0"/>
              <wp:positionH relativeFrom="column">
                <wp:posOffset>2858135</wp:posOffset>
              </wp:positionH>
              <wp:positionV relativeFrom="paragraph">
                <wp:posOffset>16510</wp:posOffset>
              </wp:positionV>
              <wp:extent cx="403200" cy="795600"/>
              <wp:effectExtent l="0" t="0" r="16510" b="24130"/>
              <wp:wrapNone/>
              <wp:docPr id="29"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05pt;margin-top:1.3pt;width:31.75pt;height:62.6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BKjTQIAALE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47</w:t>
    </w:r>
    <w:r>
      <w:rPr>
        <w:rFonts w:ascii="Verdana" w:hAnsi="Verdana"/>
        <w:b/>
        <w:noProof/>
        <w:color w:val="FFFFFF"/>
        <w:sz w:val="18"/>
        <w:szCs w:val="18"/>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52448" behindDoc="1" locked="0" layoutInCell="1" allowOverlap="1" wp14:anchorId="2202650E" wp14:editId="50EB9829">
              <wp:simplePos x="0" y="0"/>
              <wp:positionH relativeFrom="column">
                <wp:posOffset>2858135</wp:posOffset>
              </wp:positionH>
              <wp:positionV relativeFrom="paragraph">
                <wp:posOffset>16510</wp:posOffset>
              </wp:positionV>
              <wp:extent cx="403200" cy="795600"/>
              <wp:effectExtent l="0" t="0" r="16510" b="24130"/>
              <wp:wrapNone/>
              <wp:docPr id="30"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05pt;margin-top:1.3pt;width:31.75pt;height:62.6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48</w:t>
    </w:r>
    <w:r>
      <w:rPr>
        <w:rFonts w:ascii="Verdana" w:hAnsi="Verdana"/>
        <w:b/>
        <w:noProof/>
        <w:color w:val="FFFFFF"/>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54496" behindDoc="1" locked="0" layoutInCell="1" allowOverlap="1" wp14:anchorId="79394112" wp14:editId="24824A20">
              <wp:simplePos x="0" y="0"/>
              <wp:positionH relativeFrom="column">
                <wp:posOffset>2858135</wp:posOffset>
              </wp:positionH>
              <wp:positionV relativeFrom="paragraph">
                <wp:posOffset>16510</wp:posOffset>
              </wp:positionV>
              <wp:extent cx="403200" cy="795600"/>
              <wp:effectExtent l="0" t="0" r="16510" b="24130"/>
              <wp:wrapNone/>
              <wp:docPr id="31"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05pt;margin-top:1.3pt;width:31.75pt;height:62.6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50</w:t>
    </w:r>
    <w:r>
      <w:rPr>
        <w:rFonts w:ascii="Verdana" w:hAnsi="Verdana"/>
        <w:b/>
        <w:noProof/>
        <w:color w:val="FFFFFF"/>
        <w:sz w:val="18"/>
        <w:szCs w:val="18"/>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56544" behindDoc="1" locked="0" layoutInCell="1" allowOverlap="1" wp14:anchorId="35626765" wp14:editId="1B256942">
              <wp:simplePos x="0" y="0"/>
              <wp:positionH relativeFrom="column">
                <wp:posOffset>2858135</wp:posOffset>
              </wp:positionH>
              <wp:positionV relativeFrom="paragraph">
                <wp:posOffset>16510</wp:posOffset>
              </wp:positionV>
              <wp:extent cx="403200" cy="795600"/>
              <wp:effectExtent l="0" t="0" r="16510" b="24130"/>
              <wp:wrapNone/>
              <wp:docPr id="884768"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05pt;margin-top:1.3pt;width:31.75pt;height:62.6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LyUQIAALU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51</w:t>
    </w:r>
    <w:r>
      <w:rPr>
        <w:rFonts w:ascii="Verdana" w:hAnsi="Verdana"/>
        <w:b/>
        <w:noProof/>
        <w:color w:val="FFFFFF"/>
        <w:sz w:val="18"/>
        <w:szCs w:val="18"/>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58592" behindDoc="1" locked="0" layoutInCell="1" allowOverlap="1" wp14:anchorId="0543BB1C" wp14:editId="126DC225">
              <wp:simplePos x="0" y="0"/>
              <wp:positionH relativeFrom="column">
                <wp:posOffset>2858135</wp:posOffset>
              </wp:positionH>
              <wp:positionV relativeFrom="paragraph">
                <wp:posOffset>16510</wp:posOffset>
              </wp:positionV>
              <wp:extent cx="403200" cy="795600"/>
              <wp:effectExtent l="0" t="0" r="16510" b="24130"/>
              <wp:wrapNone/>
              <wp:docPr id="884769"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05pt;margin-top:1.3pt;width:31.75pt;height:62.6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IFGUQIAALU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52</w:t>
    </w:r>
    <w:r>
      <w:rPr>
        <w:rFonts w:ascii="Verdana" w:hAnsi="Verdana"/>
        <w:b/>
        <w:noProof/>
        <w:color w:val="FFFFFF"/>
        <w:sz w:val="18"/>
        <w:szCs w:val="18"/>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60640" behindDoc="1" locked="0" layoutInCell="1" allowOverlap="1" wp14:anchorId="17BDB5EC" wp14:editId="63F8E637">
              <wp:simplePos x="0" y="0"/>
              <wp:positionH relativeFrom="column">
                <wp:posOffset>2858135</wp:posOffset>
              </wp:positionH>
              <wp:positionV relativeFrom="paragraph">
                <wp:posOffset>16510</wp:posOffset>
              </wp:positionV>
              <wp:extent cx="403200" cy="795600"/>
              <wp:effectExtent l="0" t="0" r="16510" b="24130"/>
              <wp:wrapNone/>
              <wp:docPr id="884770"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05pt;margin-top:1.3pt;width:31.75pt;height:62.6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9CUQIAALU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53</w:t>
    </w:r>
    <w:r>
      <w:rPr>
        <w:rFonts w:ascii="Verdana" w:hAnsi="Verdana"/>
        <w:b/>
        <w:noProof/>
        <w:color w:val="FFFFFF"/>
        <w:sz w:val="18"/>
        <w:szCs w:val="18"/>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29920" behindDoc="1" locked="0" layoutInCell="1" allowOverlap="1" wp14:anchorId="5EA4B0C2" wp14:editId="6F1DE814">
              <wp:simplePos x="0" y="0"/>
              <wp:positionH relativeFrom="column">
                <wp:posOffset>2839085</wp:posOffset>
              </wp:positionH>
              <wp:positionV relativeFrom="paragraph">
                <wp:posOffset>16510</wp:posOffset>
              </wp:positionV>
              <wp:extent cx="403200" cy="795600"/>
              <wp:effectExtent l="0" t="0" r="16510" b="24130"/>
              <wp:wrapNone/>
              <wp:docPr id="10"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3.55pt;margin-top:1.3pt;width:31.75pt;height:62.6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eOTQIAALE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54</w:t>
    </w:r>
    <w:r>
      <w:rPr>
        <w:rFonts w:ascii="Verdana" w:hAnsi="Verdana"/>
        <w:b/>
        <w:noProof/>
        <w:color w:val="FFFFFF"/>
        <w:sz w:val="18"/>
        <w:szCs w:val="18"/>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62688" behindDoc="1" locked="0" layoutInCell="1" allowOverlap="1" wp14:anchorId="695D2CCB" wp14:editId="368C4662">
              <wp:simplePos x="0" y="0"/>
              <wp:positionH relativeFrom="column">
                <wp:posOffset>2839085</wp:posOffset>
              </wp:positionH>
              <wp:positionV relativeFrom="paragraph">
                <wp:posOffset>16510</wp:posOffset>
              </wp:positionV>
              <wp:extent cx="403200" cy="795600"/>
              <wp:effectExtent l="0" t="0" r="16510" b="24130"/>
              <wp:wrapNone/>
              <wp:docPr id="884771"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3.55pt;margin-top:1.3pt;width:31.75pt;height:62.6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Pz2UQIAALU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55</w:t>
    </w:r>
    <w:r>
      <w:rPr>
        <w:rFonts w:ascii="Verdana" w:hAnsi="Verdana"/>
        <w:b/>
        <w:noProof/>
        <w:color w:val="FFFFFF"/>
        <w:sz w:val="18"/>
        <w:szCs w:val="18"/>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59264" behindDoc="1" locked="0" layoutInCell="1" allowOverlap="1" wp14:anchorId="636FFDE5" wp14:editId="5A6C329A">
              <wp:simplePos x="0" y="0"/>
              <wp:positionH relativeFrom="column">
                <wp:posOffset>2858135</wp:posOffset>
              </wp:positionH>
              <wp:positionV relativeFrom="paragraph">
                <wp:posOffset>16510</wp:posOffset>
              </wp:positionV>
              <wp:extent cx="403200" cy="795600"/>
              <wp:effectExtent l="0" t="0" r="16510" b="24130"/>
              <wp:wrapNone/>
              <wp:docPr id="9830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50"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602944"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w:t>
    </w:r>
    <w:r>
      <w:rPr>
        <w:rFonts w:ascii="Verdana" w:hAnsi="Verdana"/>
        <w:b/>
        <w:noProof/>
        <w:color w:val="FFFFFF"/>
        <w:sz w:val="18"/>
        <w:szCs w:val="18"/>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64736" behindDoc="1" locked="0" layoutInCell="1" allowOverlap="1" wp14:anchorId="3E74E0E3" wp14:editId="24E442A7">
              <wp:simplePos x="0" y="0"/>
              <wp:positionH relativeFrom="column">
                <wp:posOffset>2839085</wp:posOffset>
              </wp:positionH>
              <wp:positionV relativeFrom="paragraph">
                <wp:posOffset>16510</wp:posOffset>
              </wp:positionV>
              <wp:extent cx="403200" cy="795600"/>
              <wp:effectExtent l="0" t="0" r="16510" b="24130"/>
              <wp:wrapNone/>
              <wp:docPr id="884772"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3.55pt;margin-top:1.3pt;width:31.75pt;height:62.6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nwUQIAALU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57</w:t>
    </w:r>
    <w:r>
      <w:rPr>
        <w:rFonts w:ascii="Verdana" w:hAnsi="Verdana"/>
        <w:b/>
        <w:noProof/>
        <w:color w:val="FFFFFF"/>
        <w:sz w:val="18"/>
        <w:szCs w:val="18"/>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66784" behindDoc="1" locked="0" layoutInCell="1" allowOverlap="1" wp14:anchorId="63DDC081" wp14:editId="4D2F0BC6">
              <wp:simplePos x="0" y="0"/>
              <wp:positionH relativeFrom="column">
                <wp:posOffset>2839085</wp:posOffset>
              </wp:positionH>
              <wp:positionV relativeFrom="paragraph">
                <wp:posOffset>16510</wp:posOffset>
              </wp:positionV>
              <wp:extent cx="403200" cy="795600"/>
              <wp:effectExtent l="0" t="0" r="16510" b="24130"/>
              <wp:wrapNone/>
              <wp:docPr id="884773"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3.55pt;margin-top:1.3pt;width:31.75pt;height:62.6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58</w:t>
    </w:r>
    <w:r>
      <w:rPr>
        <w:rFonts w:ascii="Verdana" w:hAnsi="Verdana"/>
        <w:b/>
        <w:noProof/>
        <w:color w:val="FFFFFF"/>
        <w:sz w:val="18"/>
        <w:szCs w:val="18"/>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68832" behindDoc="1" locked="0" layoutInCell="1" allowOverlap="1" wp14:anchorId="20E38EE3" wp14:editId="54ED59C7">
              <wp:simplePos x="0" y="0"/>
              <wp:positionH relativeFrom="column">
                <wp:posOffset>2839085</wp:posOffset>
              </wp:positionH>
              <wp:positionV relativeFrom="paragraph">
                <wp:posOffset>16510</wp:posOffset>
              </wp:positionV>
              <wp:extent cx="403200" cy="795600"/>
              <wp:effectExtent l="0" t="0" r="16510" b="24130"/>
              <wp:wrapNone/>
              <wp:docPr id="884774"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3.55pt;margin-top:1.3pt;width:31.75pt;height:62.6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P9UQIAALU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59</w:t>
    </w:r>
    <w:r>
      <w:rPr>
        <w:rFonts w:ascii="Verdana" w:hAnsi="Verdana"/>
        <w:b/>
        <w:noProof/>
        <w:color w:val="FFFFFF"/>
        <w:sz w:val="18"/>
        <w:szCs w:val="18"/>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21728" behindDoc="1" locked="0" layoutInCell="1" allowOverlap="1" wp14:anchorId="309A13CA" wp14:editId="21F606D3">
              <wp:simplePos x="0" y="0"/>
              <wp:positionH relativeFrom="column">
                <wp:posOffset>2858135</wp:posOffset>
              </wp:positionH>
              <wp:positionV relativeFrom="paragraph">
                <wp:posOffset>16510</wp:posOffset>
              </wp:positionV>
              <wp:extent cx="403200" cy="795600"/>
              <wp:effectExtent l="0" t="0" r="16510" b="24130"/>
              <wp:wrapNone/>
              <wp:docPr id="11"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05pt;margin-top:1.3pt;width:31.75pt;height:62.6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Q6TQIAALE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60</w:t>
    </w:r>
    <w:r>
      <w:rPr>
        <w:rFonts w:ascii="Verdana" w:hAnsi="Verdana"/>
        <w:b/>
        <w:noProof/>
        <w:color w:val="FFFFFF"/>
        <w:sz w:val="18"/>
        <w:szCs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23776" behindDoc="1" locked="0" layoutInCell="1" allowOverlap="1" wp14:anchorId="76708957" wp14:editId="5651D3C1">
              <wp:simplePos x="0" y="0"/>
              <wp:positionH relativeFrom="column">
                <wp:posOffset>2686685</wp:posOffset>
              </wp:positionH>
              <wp:positionV relativeFrom="paragraph">
                <wp:posOffset>16510</wp:posOffset>
              </wp:positionV>
              <wp:extent cx="403200" cy="795600"/>
              <wp:effectExtent l="0" t="0" r="16510" b="24130"/>
              <wp:wrapNone/>
              <wp:docPr id="12"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11.55pt;margin-top:1.3pt;width:31.75pt;height:62.6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8E8TQIAALE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61</w:t>
    </w:r>
    <w:r>
      <w:rPr>
        <w:rFonts w:ascii="Verdana" w:hAnsi="Verdana"/>
        <w:b/>
        <w:noProof/>
        <w:color w:val="FFFFFF"/>
        <w:sz w:val="18"/>
        <w:szCs w:val="18"/>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02272" behindDoc="1" locked="0" layoutInCell="1" allowOverlap="1" wp14:anchorId="1C35646A" wp14:editId="4759ED0E">
              <wp:simplePos x="0" y="0"/>
              <wp:positionH relativeFrom="column">
                <wp:posOffset>2858135</wp:posOffset>
              </wp:positionH>
              <wp:positionV relativeFrom="paragraph">
                <wp:posOffset>16510</wp:posOffset>
              </wp:positionV>
              <wp:extent cx="403200" cy="795600"/>
              <wp:effectExtent l="0" t="0" r="16510" b="24130"/>
              <wp:wrapNone/>
              <wp:docPr id="147464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92"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59936"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62</w:t>
    </w:r>
    <w:r>
      <w:rPr>
        <w:rFonts w:ascii="Verdana" w:hAnsi="Verdana"/>
        <w:b/>
        <w:noProof/>
        <w:color w:val="FFFFFF"/>
        <w:sz w:val="18"/>
        <w:szCs w:val="18"/>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03296" behindDoc="1" locked="0" layoutInCell="1" allowOverlap="1" wp14:anchorId="5FE814EA" wp14:editId="65774540">
              <wp:simplePos x="0" y="0"/>
              <wp:positionH relativeFrom="column">
                <wp:posOffset>2858135</wp:posOffset>
              </wp:positionH>
              <wp:positionV relativeFrom="paragraph">
                <wp:posOffset>16510</wp:posOffset>
              </wp:positionV>
              <wp:extent cx="403200" cy="795600"/>
              <wp:effectExtent l="0" t="0" r="16510" b="24130"/>
              <wp:wrapNone/>
              <wp:docPr id="150741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93"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58912"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63</w:t>
    </w:r>
    <w:r>
      <w:rPr>
        <w:rFonts w:ascii="Verdana" w:hAnsi="Verdana"/>
        <w:b/>
        <w:noProof/>
        <w:color w:val="FFFFFF"/>
        <w:sz w:val="18"/>
        <w:szCs w:val="18"/>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04320" behindDoc="1" locked="0" layoutInCell="1" allowOverlap="1" wp14:anchorId="2BA885D6" wp14:editId="7B23378F">
              <wp:simplePos x="0" y="0"/>
              <wp:positionH relativeFrom="column">
                <wp:posOffset>2858135</wp:posOffset>
              </wp:positionH>
              <wp:positionV relativeFrom="paragraph">
                <wp:posOffset>16510</wp:posOffset>
              </wp:positionV>
              <wp:extent cx="403200" cy="795600"/>
              <wp:effectExtent l="0" t="0" r="16510" b="24130"/>
              <wp:wrapNone/>
              <wp:docPr id="154018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94"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57888"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64</w:t>
    </w:r>
    <w:r>
      <w:rPr>
        <w:rFonts w:ascii="Verdana" w:hAnsi="Verdana"/>
        <w:b/>
        <w:noProof/>
        <w:color w:val="FFFFFF"/>
        <w:sz w:val="18"/>
        <w:szCs w:val="18"/>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70880" behindDoc="1" locked="0" layoutInCell="1" allowOverlap="1" wp14:anchorId="11175A78" wp14:editId="47F66843">
              <wp:simplePos x="0" y="0"/>
              <wp:positionH relativeFrom="column">
                <wp:posOffset>2858135</wp:posOffset>
              </wp:positionH>
              <wp:positionV relativeFrom="paragraph">
                <wp:posOffset>16510</wp:posOffset>
              </wp:positionV>
              <wp:extent cx="403200" cy="795600"/>
              <wp:effectExtent l="0" t="0" r="16510" b="24130"/>
              <wp:wrapNone/>
              <wp:docPr id="884775"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05pt;margin-top:1.3pt;width:31.75pt;height:62.6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BJUQIAALU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65</w:t>
    </w:r>
    <w:r>
      <w:rPr>
        <w:rFonts w:ascii="Verdana" w:hAnsi="Verdana"/>
        <w:b/>
        <w:noProof/>
        <w:color w:val="FFFFFF"/>
        <w:sz w:val="18"/>
        <w:szCs w:val="18"/>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05344" behindDoc="1" locked="0" layoutInCell="1" allowOverlap="1" wp14:anchorId="530AB4CB" wp14:editId="5CC6C382">
              <wp:simplePos x="0" y="0"/>
              <wp:positionH relativeFrom="column">
                <wp:posOffset>4420235</wp:posOffset>
              </wp:positionH>
              <wp:positionV relativeFrom="paragraph">
                <wp:posOffset>13970</wp:posOffset>
              </wp:positionV>
              <wp:extent cx="403200" cy="795600"/>
              <wp:effectExtent l="0" t="0" r="16510" b="24130"/>
              <wp:wrapNone/>
              <wp:docPr id="157295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95" style="width:31.75pt;height:62.65pt;margin-top:1.1pt;margin-left:348.05pt;mso-height-percent:0;mso-height-relative:margin;mso-width-percent:0;mso-width-relative:page;mso-wrap-distance-bottom:0;mso-wrap-distance-left:9pt;mso-wrap-distance-right:9pt;mso-wrap-distance-top:0;mso-wrap-style:square;position:absolute;visibility:visible;v-text-anchor:bottom;z-index:-251556864"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66</w:t>
    </w:r>
    <w:r>
      <w:rPr>
        <w:rFonts w:ascii="Verdana" w:hAnsi="Verdana"/>
        <w:b/>
        <w:noProof/>
        <w:color w:val="FFFFFF"/>
        <w:sz w:val="18"/>
        <w:szCs w:val="18"/>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60288" behindDoc="1" locked="0" layoutInCell="1" allowOverlap="1" wp14:anchorId="03DE13D1" wp14:editId="79AAF28B">
              <wp:simplePos x="0" y="0"/>
              <wp:positionH relativeFrom="column">
                <wp:posOffset>2858135</wp:posOffset>
              </wp:positionH>
              <wp:positionV relativeFrom="paragraph">
                <wp:posOffset>16510</wp:posOffset>
              </wp:positionV>
              <wp:extent cx="403200" cy="795600"/>
              <wp:effectExtent l="0" t="0" r="16510" b="24130"/>
              <wp:wrapNone/>
              <wp:docPr id="13107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51"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601920"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w:t>
    </w:r>
    <w:r>
      <w:rPr>
        <w:rFonts w:ascii="Verdana" w:hAnsi="Verdana"/>
        <w:b/>
        <w:noProof/>
        <w:color w:val="FFFFFF"/>
        <w:sz w:val="18"/>
        <w:szCs w:val="18"/>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06368" behindDoc="1" locked="0" layoutInCell="1" allowOverlap="1" wp14:anchorId="5047446B" wp14:editId="59188FD1">
              <wp:simplePos x="0" y="0"/>
              <wp:positionH relativeFrom="column">
                <wp:posOffset>2858135</wp:posOffset>
              </wp:positionH>
              <wp:positionV relativeFrom="paragraph">
                <wp:posOffset>16510</wp:posOffset>
              </wp:positionV>
              <wp:extent cx="403200" cy="795600"/>
              <wp:effectExtent l="0" t="0" r="16510" b="24130"/>
              <wp:wrapNone/>
              <wp:docPr id="160572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96"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55840"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67</w:t>
    </w:r>
    <w:r>
      <w:rPr>
        <w:rFonts w:ascii="Verdana" w:hAnsi="Verdana"/>
        <w:b/>
        <w:noProof/>
        <w:color w:val="FFFFFF"/>
        <w:sz w:val="18"/>
        <w:szCs w:val="18"/>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07392" behindDoc="1" locked="0" layoutInCell="1" allowOverlap="1" wp14:anchorId="1E5221B0" wp14:editId="4FE331D5">
              <wp:simplePos x="0" y="0"/>
              <wp:positionH relativeFrom="column">
                <wp:posOffset>2858135</wp:posOffset>
              </wp:positionH>
              <wp:positionV relativeFrom="paragraph">
                <wp:posOffset>16510</wp:posOffset>
              </wp:positionV>
              <wp:extent cx="403200" cy="795600"/>
              <wp:effectExtent l="0" t="0" r="16510" b="24130"/>
              <wp:wrapNone/>
              <wp:docPr id="163849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97"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54816"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71</w:t>
    </w:r>
    <w:r>
      <w:rPr>
        <w:rFonts w:ascii="Verdana" w:hAnsi="Verdana"/>
        <w:b/>
        <w:noProof/>
        <w:color w:val="FFFFFF"/>
        <w:sz w:val="18"/>
        <w:szCs w:val="18"/>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noProof/>
        <w:color w:val="FFFFFF"/>
        <w:sz w:val="18"/>
        <w:szCs w:val="18"/>
      </w:rPr>
    </w:pPr>
    <w:r>
      <w:rPr>
        <w:noProof/>
      </w:rPr>
      <mc:AlternateContent>
        <mc:Choice Requires="wps">
          <w:drawing>
            <wp:anchor distT="0" distB="0" distL="114300" distR="114300" simplePos="0" relativeHeight="251731968" behindDoc="1" locked="0" layoutInCell="1" allowOverlap="1" wp14:anchorId="59FB8A80" wp14:editId="21FD2D57">
              <wp:simplePos x="0" y="0"/>
              <wp:positionH relativeFrom="column">
                <wp:posOffset>2848610</wp:posOffset>
              </wp:positionH>
              <wp:positionV relativeFrom="paragraph">
                <wp:posOffset>-6350</wp:posOffset>
              </wp:positionV>
              <wp:extent cx="402590" cy="795020"/>
              <wp:effectExtent l="0" t="0" r="16510" b="24130"/>
              <wp:wrapNone/>
              <wp:docPr id="1802347" name="Rectangle 3"/>
              <wp:cNvGraphicFramePr/>
              <a:graphic xmlns:a="http://schemas.openxmlformats.org/drawingml/2006/main">
                <a:graphicData uri="http://schemas.microsoft.com/office/word/2010/wordprocessingShape">
                  <wps:wsp>
                    <wps:cNvSpPr/>
                    <wps:spPr>
                      <a:xfrm>
                        <a:off x="0" y="0"/>
                        <a:ext cx="402590" cy="79502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4.3pt;margin-top:-.5pt;width:31.7pt;height:62.6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" fillcolor="#016794" strokecolor="#385d8a" strokeweight="2pt">
              <v:textbox inset=",1.3mm"/>
            </v:rect>
          </w:pict>
        </mc:Fallback>
      </mc:AlternateContent>
    </w:r>
    <w:r>
      <w:rPr>
        <w:noProof/>
      </w:rPr>
      <mc:AlternateContent>
        <mc:Choice Requires="wps">
          <w:drawing>
            <wp:anchor distT="0" distB="0" distL="114300" distR="114300" simplePos="0" relativeHeight="251732992" behindDoc="1" locked="0" layoutInCell="1" allowOverlap="1" wp14:anchorId="08C1181C" wp14:editId="72C691CE">
              <wp:simplePos x="0" y="0"/>
              <wp:positionH relativeFrom="column">
                <wp:posOffset>4689475</wp:posOffset>
              </wp:positionH>
              <wp:positionV relativeFrom="paragraph">
                <wp:posOffset>-3143885</wp:posOffset>
              </wp:positionV>
              <wp:extent cx="402590" cy="795020"/>
              <wp:effectExtent l="0" t="0" r="16510" b="24130"/>
              <wp:wrapNone/>
              <wp:docPr id="17" name="Rectangle 3"/>
              <wp:cNvGraphicFramePr/>
              <a:graphic xmlns:a="http://schemas.openxmlformats.org/drawingml/2006/main">
                <a:graphicData uri="http://schemas.microsoft.com/office/word/2010/wordprocessingShape">
                  <wps:wsp>
                    <wps:cNvSpPr/>
                    <wps:spPr>
                      <a:xfrm>
                        <a:off x="0" y="0"/>
                        <a:ext cx="402590" cy="79502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369.25pt;margin-top:-247.55pt;width:31.7pt;height:62.6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" fillcolor="#016794" strokecolor="#385d8a" strokeweight="2pt">
              <v:textbox inset=",1.3mm"/>
            </v:rect>
          </w:pict>
        </mc:Fallback>
      </mc:AlternateContent>
    </w:r>
    <w:r>
      <w:rPr>
        <w:noProof/>
      </w:rPr>
      <mc:AlternateContent>
        <mc:Choice Requires="wps">
          <w:drawing>
            <wp:anchor distT="0" distB="0" distL="114300" distR="114300" simplePos="0" relativeHeight="251734016" behindDoc="1" locked="0" layoutInCell="1" allowOverlap="1" wp14:anchorId="46D48F69" wp14:editId="638E877C">
              <wp:simplePos x="0" y="0"/>
              <wp:positionH relativeFrom="column">
                <wp:posOffset>4286885</wp:posOffset>
              </wp:positionH>
              <wp:positionV relativeFrom="paragraph">
                <wp:posOffset>-3119120</wp:posOffset>
              </wp:positionV>
              <wp:extent cx="402590" cy="795020"/>
              <wp:effectExtent l="0" t="0" r="16510" b="24130"/>
              <wp:wrapNone/>
              <wp:docPr id="18" name="Rectangle 3"/>
              <wp:cNvGraphicFramePr/>
              <a:graphic xmlns:a="http://schemas.openxmlformats.org/drawingml/2006/main">
                <a:graphicData uri="http://schemas.microsoft.com/office/word/2010/wordprocessingShape">
                  <wps:wsp>
                    <wps:cNvSpPr/>
                    <wps:spPr>
                      <a:xfrm>
                        <a:off x="0" y="0"/>
                        <a:ext cx="402590" cy="79502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337.55pt;margin-top:-245.6pt;width:31.7pt;height:62.6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" fillcolor="#016794" strokecolor="#385d8a" strokeweight="2pt">
              <v:textbox inset=",1.3mm"/>
            </v:rect>
          </w:pict>
        </mc:Fallback>
      </mc:AlternateContent>
    </w:r>
    <w:r>
      <w:rPr>
        <w:rFonts w:ascii="Verdana" w:hAnsi="Verdana"/>
        <w:b/>
        <w:noProof/>
        <w:color w:val="FFFFFF"/>
        <w:sz w:val="18"/>
        <w:szCs w:val="18"/>
      </w:rPr>
      <w:fldChar w:fldCharType="begin"/>
    </w:r>
    <w:r>
      <w:rPr>
        <w:rFonts w:ascii="Verdana" w:hAnsi="Verdana"/>
        <w:b/>
        <w:noProof/>
        <w:color w:val="FFFFFF"/>
        <w:sz w:val="18"/>
        <w:szCs w:val="18"/>
      </w:rPr>
      <w:instrText xml:space="preserve"> PAGE   \* MERGEFORMAT </w:instrText>
    </w:r>
    <w:r>
      <w:rPr>
        <w:rFonts w:ascii="Verdana" w:hAnsi="Verdana"/>
        <w:b/>
        <w:noProof/>
        <w:color w:val="FFFFFF"/>
        <w:sz w:val="18"/>
        <w:szCs w:val="18"/>
      </w:rPr>
      <w:fldChar w:fldCharType="separate"/>
    </w:r>
    <w:r>
      <w:rPr>
        <w:rFonts w:ascii="Verdana" w:hAnsi="Verdana"/>
        <w:b/>
        <w:noProof/>
        <w:color w:val="FFFFFF"/>
        <w:sz w:val="18"/>
        <w:szCs w:val="18"/>
      </w:rPr>
      <w:t>74</w:t>
    </w:r>
    <w:r>
      <w:rPr>
        <w:rFonts w:ascii="Verdana" w:hAnsi="Verdana"/>
        <w:b/>
        <w:noProof/>
        <w:color w:val="FFFFFF"/>
        <w:sz w:val="18"/>
        <w:szCs w:val="18"/>
      </w:rPr>
      <w:fldChar w:fldCharType="end"/>
    </w:r>
  </w:p>
  <w:p w:rsidR="005D6812" w:rsidRDefault="00AB2A2B">
    <w:pPr>
      <w:pStyle w:val="Footer"/>
      <w:tabs>
        <w:tab w:val="left" w:pos="4871"/>
        <w:tab w:val="center" w:pos="7285"/>
      </w:tabs>
      <w:rPr>
        <w:rFonts w:ascii="Verdana" w:hAnsi="Verdana"/>
        <w:b/>
        <w:noProof/>
        <w:color w:val="FFFFFF"/>
        <w:sz w:val="18"/>
        <w:szCs w:val="18"/>
      </w:rPr>
    </w:pPr>
    <w:r>
      <w:rPr>
        <w:rFonts w:ascii="Verdana" w:hAnsi="Verdana"/>
        <w:b/>
        <w:noProof/>
        <w:color w:val="FFFFFF"/>
        <w:sz w:val="18"/>
        <w:szCs w:val="18"/>
      </w:rPr>
      <w:tab/>
    </w:r>
    <w:r>
      <w:rPr>
        <w:rFonts w:ascii="Verdana" w:hAnsi="Verdana"/>
        <w:b/>
        <w:noProof/>
        <w:color w:val="FFFFFF"/>
        <w:sz w:val="18"/>
        <w:szCs w:val="18"/>
      </w:rPr>
      <w:tab/>
    </w:r>
    <w:r>
      <w:rPr>
        <w:rFonts w:ascii="Verdana" w:hAnsi="Verdana"/>
        <w:b/>
        <w:noProof/>
        <w:color w:val="FFFFFF"/>
        <w:sz w:val="18"/>
        <w:szCs w:val="18"/>
      </w:rPr>
      <w:tab/>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noProof/>
        <w:color w:val="FFFFFF"/>
        <w:sz w:val="18"/>
        <w:szCs w:val="18"/>
      </w:rPr>
    </w:pPr>
    <w:r>
      <w:rPr>
        <w:noProof/>
      </w:rPr>
      <mc:AlternateContent>
        <mc:Choice Requires="wps">
          <w:drawing>
            <wp:anchor distT="0" distB="0" distL="114300" distR="114300" simplePos="0" relativeHeight="251736064" behindDoc="1" locked="0" layoutInCell="1" allowOverlap="1" wp14:anchorId="6DF07FCE" wp14:editId="3E63E0EC">
              <wp:simplePos x="0" y="0"/>
              <wp:positionH relativeFrom="column">
                <wp:posOffset>4420235</wp:posOffset>
              </wp:positionH>
              <wp:positionV relativeFrom="paragraph">
                <wp:posOffset>-15875</wp:posOffset>
              </wp:positionV>
              <wp:extent cx="402590" cy="795020"/>
              <wp:effectExtent l="0" t="0" r="16510" b="24130"/>
              <wp:wrapNone/>
              <wp:docPr id="23" name="Rectangle 3"/>
              <wp:cNvGraphicFramePr/>
              <a:graphic xmlns:a="http://schemas.openxmlformats.org/drawingml/2006/main">
                <a:graphicData uri="http://schemas.microsoft.com/office/word/2010/wordprocessingShape">
                  <wps:wsp>
                    <wps:cNvSpPr/>
                    <wps:spPr>
                      <a:xfrm>
                        <a:off x="0" y="0"/>
                        <a:ext cx="402590" cy="79502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348.05pt;margin-top:-1.25pt;width:31.7pt;height:62.6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" fillcolor="#016794" strokecolor="#385d8a" strokeweight="2pt">
              <v:textbox inset=",1.3mm"/>
            </v:rect>
          </w:pict>
        </mc:Fallback>
      </mc:AlternateContent>
    </w:r>
    <w:r>
      <w:rPr>
        <w:noProof/>
      </w:rPr>
      <mc:AlternateContent>
        <mc:Choice Requires="wps">
          <w:drawing>
            <wp:anchor distT="0" distB="0" distL="114300" distR="114300" simplePos="0" relativeHeight="251737088" behindDoc="1" locked="0" layoutInCell="1" allowOverlap="1" wp14:anchorId="18B8848B" wp14:editId="79C194EB">
              <wp:simplePos x="0" y="0"/>
              <wp:positionH relativeFrom="column">
                <wp:posOffset>4689475</wp:posOffset>
              </wp:positionH>
              <wp:positionV relativeFrom="paragraph">
                <wp:posOffset>-3143885</wp:posOffset>
              </wp:positionV>
              <wp:extent cx="402590" cy="795020"/>
              <wp:effectExtent l="0" t="0" r="16510" b="24130"/>
              <wp:wrapNone/>
              <wp:docPr id="24" name="Rectangle 3"/>
              <wp:cNvGraphicFramePr/>
              <a:graphic xmlns:a="http://schemas.openxmlformats.org/drawingml/2006/main">
                <a:graphicData uri="http://schemas.microsoft.com/office/word/2010/wordprocessingShape">
                  <wps:wsp>
                    <wps:cNvSpPr/>
                    <wps:spPr>
                      <a:xfrm>
                        <a:off x="0" y="0"/>
                        <a:ext cx="402590" cy="79502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369.25pt;margin-top:-247.55pt;width:31.7pt;height:62.6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" fillcolor="#016794" strokecolor="#385d8a" strokeweight="2pt">
              <v:textbox inset=",1.3mm"/>
            </v:rect>
          </w:pict>
        </mc:Fallback>
      </mc:AlternateContent>
    </w:r>
    <w:r>
      <w:rPr>
        <w:noProof/>
      </w:rPr>
      <mc:AlternateContent>
        <mc:Choice Requires="wps">
          <w:drawing>
            <wp:anchor distT="0" distB="0" distL="114300" distR="114300" simplePos="0" relativeHeight="251738112" behindDoc="1" locked="0" layoutInCell="1" allowOverlap="1" wp14:anchorId="127B0611" wp14:editId="14A4760C">
              <wp:simplePos x="0" y="0"/>
              <wp:positionH relativeFrom="column">
                <wp:posOffset>4286885</wp:posOffset>
              </wp:positionH>
              <wp:positionV relativeFrom="paragraph">
                <wp:posOffset>-3119120</wp:posOffset>
              </wp:positionV>
              <wp:extent cx="402590" cy="795020"/>
              <wp:effectExtent l="0" t="0" r="16510" b="24130"/>
              <wp:wrapNone/>
              <wp:docPr id="25" name="Rectangle 3"/>
              <wp:cNvGraphicFramePr/>
              <a:graphic xmlns:a="http://schemas.openxmlformats.org/drawingml/2006/main">
                <a:graphicData uri="http://schemas.microsoft.com/office/word/2010/wordprocessingShape">
                  <wps:wsp>
                    <wps:cNvSpPr/>
                    <wps:spPr>
                      <a:xfrm>
                        <a:off x="0" y="0"/>
                        <a:ext cx="402590" cy="79502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337.55pt;margin-top:-245.6pt;width:31.7pt;height:62.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" fillcolor="#016794" strokecolor="#385d8a" strokeweight="2pt">
              <v:textbox inset=",1.3mm"/>
            </v:rect>
          </w:pict>
        </mc:Fallback>
      </mc:AlternateContent>
    </w:r>
    <w:r>
      <w:rPr>
        <w:rFonts w:ascii="Verdana" w:hAnsi="Verdana"/>
        <w:b/>
        <w:noProof/>
        <w:color w:val="FFFFFF"/>
        <w:sz w:val="18"/>
        <w:szCs w:val="18"/>
      </w:rPr>
      <w:fldChar w:fldCharType="begin"/>
    </w:r>
    <w:r>
      <w:rPr>
        <w:rFonts w:ascii="Verdana" w:hAnsi="Verdana"/>
        <w:b/>
        <w:noProof/>
        <w:color w:val="FFFFFF"/>
        <w:sz w:val="18"/>
        <w:szCs w:val="18"/>
      </w:rPr>
      <w:instrText xml:space="preserve"> PAGE   \* MERGEFORMAT </w:instrText>
    </w:r>
    <w:r>
      <w:rPr>
        <w:rFonts w:ascii="Verdana" w:hAnsi="Verdana"/>
        <w:b/>
        <w:noProof/>
        <w:color w:val="FFFFFF"/>
        <w:sz w:val="18"/>
        <w:szCs w:val="18"/>
      </w:rPr>
      <w:fldChar w:fldCharType="separate"/>
    </w:r>
    <w:r>
      <w:rPr>
        <w:rFonts w:ascii="Verdana" w:hAnsi="Verdana"/>
        <w:b/>
        <w:noProof/>
        <w:color w:val="FFFFFF"/>
        <w:sz w:val="18"/>
        <w:szCs w:val="18"/>
      </w:rPr>
      <w:t>75</w:t>
    </w:r>
    <w:r>
      <w:rPr>
        <w:rFonts w:ascii="Verdana" w:hAnsi="Verdana"/>
        <w:b/>
        <w:noProof/>
        <w:color w:val="FFFFFF"/>
        <w:sz w:val="18"/>
        <w:szCs w:val="18"/>
      </w:rPr>
      <w:fldChar w:fldCharType="end"/>
    </w:r>
  </w:p>
  <w:p w:rsidR="005D6812" w:rsidRDefault="00AB2A2B">
    <w:pPr>
      <w:pStyle w:val="Footer"/>
      <w:tabs>
        <w:tab w:val="left" w:pos="4871"/>
        <w:tab w:val="center" w:pos="7285"/>
      </w:tabs>
      <w:rPr>
        <w:rFonts w:ascii="Verdana" w:hAnsi="Verdana"/>
        <w:b/>
        <w:noProof/>
        <w:color w:val="FFFFFF"/>
        <w:sz w:val="18"/>
        <w:szCs w:val="18"/>
      </w:rPr>
    </w:pPr>
    <w:r>
      <w:rPr>
        <w:rFonts w:ascii="Verdana" w:hAnsi="Verdana"/>
        <w:b/>
        <w:noProof/>
        <w:color w:val="FFFFFF"/>
        <w:sz w:val="18"/>
        <w:szCs w:val="18"/>
      </w:rPr>
      <w:tab/>
    </w:r>
    <w:r>
      <w:rPr>
        <w:rFonts w:ascii="Verdana" w:hAnsi="Verdana"/>
        <w:b/>
        <w:noProof/>
        <w:color w:val="FFFFFF"/>
        <w:sz w:val="18"/>
        <w:szCs w:val="18"/>
      </w:rPr>
      <w:tab/>
    </w:r>
    <w:r>
      <w:rPr>
        <w:rFonts w:ascii="Verdana" w:hAnsi="Verdana"/>
        <w:b/>
        <w:noProof/>
        <w:color w:val="FFFFFF"/>
        <w:sz w:val="18"/>
        <w:szCs w:val="18"/>
      </w:rP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08416" behindDoc="1" locked="0" layoutInCell="1" allowOverlap="1" wp14:anchorId="045162DC" wp14:editId="414A43C0">
              <wp:simplePos x="0" y="0"/>
              <wp:positionH relativeFrom="column">
                <wp:posOffset>2858135</wp:posOffset>
              </wp:positionH>
              <wp:positionV relativeFrom="paragraph">
                <wp:posOffset>13970</wp:posOffset>
              </wp:positionV>
              <wp:extent cx="403200" cy="795600"/>
              <wp:effectExtent l="0" t="0" r="16510" b="24130"/>
              <wp:wrapNone/>
              <wp:docPr id="167126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05pt;margin-top:1.1pt;width:31.75pt;height:62.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47aUQIAALY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80</w:t>
    </w:r>
    <w:r>
      <w:rPr>
        <w:rFonts w:ascii="Verdana" w:hAnsi="Verdana"/>
        <w:b/>
        <w:noProof/>
        <w:color w:val="FFFFFF"/>
        <w:sz w:val="18"/>
        <w:szCs w:val="18"/>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11488" behindDoc="1" locked="0" layoutInCell="1" allowOverlap="1" wp14:anchorId="5915EE92" wp14:editId="396E3E5E">
              <wp:simplePos x="0" y="0"/>
              <wp:positionH relativeFrom="column">
                <wp:posOffset>2858135</wp:posOffset>
              </wp:positionH>
              <wp:positionV relativeFrom="paragraph">
                <wp:posOffset>16510</wp:posOffset>
              </wp:positionV>
              <wp:extent cx="403200" cy="795600"/>
              <wp:effectExtent l="0" t="0" r="16510" b="24130"/>
              <wp:wrapNone/>
              <wp:docPr id="176957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05pt;margin-top:1.3pt;width:31.75pt;height:62.6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hUMUgIAALY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81</w:t>
    </w:r>
    <w:r>
      <w:rPr>
        <w:rFonts w:ascii="Verdana" w:hAnsi="Verdana"/>
        <w:b/>
        <w:noProof/>
        <w:color w:val="FFFFFF"/>
        <w:sz w:val="18"/>
        <w:szCs w:val="18"/>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27872" behindDoc="1" locked="0" layoutInCell="1" allowOverlap="1" wp14:anchorId="555B6221" wp14:editId="2DD07EDB">
              <wp:simplePos x="0" y="0"/>
              <wp:positionH relativeFrom="column">
                <wp:posOffset>2962910</wp:posOffset>
              </wp:positionH>
              <wp:positionV relativeFrom="paragraph">
                <wp:posOffset>16510</wp:posOffset>
              </wp:positionV>
              <wp:extent cx="403200" cy="795600"/>
              <wp:effectExtent l="0" t="0" r="16510" b="24130"/>
              <wp:wrapNone/>
              <wp:docPr id="15"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33.3pt;margin-top:1.3pt;width:31.75pt;height:62.6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diFTQIAALE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82</w:t>
    </w:r>
    <w:r>
      <w:rPr>
        <w:rFonts w:ascii="Verdana" w:hAnsi="Verdana"/>
        <w:b/>
        <w:noProof/>
        <w:color w:val="FFFFFF"/>
        <w:sz w:val="18"/>
        <w:szCs w:val="18"/>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Bdr>
        <w:top w:val="nil"/>
        <w:left w:val="nil"/>
        <w:bottom w:val="nil"/>
        <w:right w:val="nil"/>
        <w:between w:val="nil"/>
        <w:bar w:val="nil"/>
      </w:pBdr>
      <w:spacing w:line="276" w:lineRule="auto"/>
      <w:jc w:val="center"/>
      <w:rPr>
        <w:rFonts w:ascii="Arial" w:eastAsia="Calibri" w:hAnsi="Arial" w:cs="Arial"/>
        <w:sz w:val="16"/>
        <w:szCs w:val="16"/>
        <w:bdr w:val="nil"/>
        <w:lang w:val="en-US" w:eastAsia="en-US"/>
      </w:rPr>
    </w:pPr>
    <w:r>
      <w:rPr>
        <w:rFonts w:ascii="Arial" w:eastAsia="Calibri" w:hAnsi="Arial" w:cs="Arial"/>
        <w:sz w:val="16"/>
        <w:szCs w:val="16"/>
        <w:bdr w:val="nil"/>
        <w:lang w:val="en-US" w:eastAsia="en-US"/>
      </w:rPr>
      <w:t>The accompanying notes form an integral part of these financial statements.</w:t>
    </w:r>
  </w:p>
  <w:p w:rsidR="005D6812" w:rsidRDefault="00AB2A2B">
    <w:pPr>
      <w:pBdr>
        <w:top w:val="nil"/>
        <w:left w:val="nil"/>
        <w:bottom w:val="nil"/>
        <w:right w:val="nil"/>
        <w:between w:val="nil"/>
        <w:bar w:val="nil"/>
      </w:pBdr>
      <w:spacing w:after="200" w:line="276" w:lineRule="auto"/>
      <w:jc w:val="righ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Page </w:t>
    </w:r>
    <w:r>
      <w:rPr>
        <w:rFonts w:ascii="Arial" w:eastAsia="Calibri" w:hAnsi="Arial" w:cs="Arial"/>
        <w:sz w:val="16"/>
        <w:szCs w:val="16"/>
        <w:bdr w:val="nil"/>
        <w:lang w:val="en-US" w:eastAsia="en-US"/>
      </w:rPr>
      <w:fldChar w:fldCharType="begin"/>
    </w:r>
    <w:r>
      <w:rPr>
        <w:rFonts w:ascii="Arial" w:eastAsia="Calibri" w:hAnsi="Arial" w:cs="Arial"/>
        <w:sz w:val="16"/>
        <w:szCs w:val="16"/>
        <w:bdr w:val="nil"/>
        <w:lang w:val="en-US" w:eastAsia="en-US"/>
      </w:rPr>
      <w:instrText xml:space="preserve"> PAGE  \* Arabic  \* MERGEFORMAT </w:instrText>
    </w:r>
    <w:r>
      <w:rPr>
        <w:rFonts w:ascii="Arial" w:eastAsia="Calibri" w:hAnsi="Arial" w:cs="Arial"/>
        <w:sz w:val="16"/>
        <w:szCs w:val="16"/>
        <w:bdr w:val="nil"/>
        <w:lang w:val="en-US" w:eastAsia="en-US"/>
      </w:rPr>
      <w:fldChar w:fldCharType="separate"/>
    </w:r>
    <w:r>
      <w:rPr>
        <w:rFonts w:ascii="Arial" w:eastAsia="Calibri" w:hAnsi="Arial" w:cs="Arial"/>
        <w:noProof/>
        <w:sz w:val="16"/>
        <w:szCs w:val="16"/>
        <w:bdr w:val="nil"/>
        <w:lang w:val="en-US" w:eastAsia="en-US"/>
      </w:rPr>
      <w:t>4</w:t>
    </w:r>
    <w:r>
      <w:rPr>
        <w:rFonts w:ascii="Arial" w:eastAsia="Calibri" w:hAnsi="Arial" w:cs="Arial"/>
        <w:sz w:val="16"/>
        <w:szCs w:val="16"/>
        <w:bdr w:val="nil"/>
        <w:lang w:val="en-US" w:eastAsia="en-US"/>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13536" behindDoc="1" locked="0" layoutInCell="1" allowOverlap="1" wp14:anchorId="329F5C7E" wp14:editId="26AC2BCF">
              <wp:simplePos x="0" y="0"/>
              <wp:positionH relativeFrom="column">
                <wp:posOffset>2981960</wp:posOffset>
              </wp:positionH>
              <wp:positionV relativeFrom="paragraph">
                <wp:posOffset>16510</wp:posOffset>
              </wp:positionV>
              <wp:extent cx="403200" cy="795600"/>
              <wp:effectExtent l="0" t="0" r="16510" b="24130"/>
              <wp:wrapNone/>
              <wp:docPr id="6"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34.8pt;margin-top:1.3pt;width:31.75pt;height:62.6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qTQIAALA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83</w:t>
    </w:r>
    <w:r>
      <w:rPr>
        <w:rFonts w:ascii="Verdana" w:hAnsi="Verdana"/>
        <w:b/>
        <w:noProof/>
        <w:color w:val="FFFFFF"/>
        <w:sz w:val="18"/>
        <w:szCs w:val="18"/>
      </w:rPr>
      <w:fldChar w:fldCharType="end"/>
    </w:r>
  </w:p>
  <w:p w:rsidR="005D6812" w:rsidRDefault="005D6812">
    <w:pPr>
      <w:pStyle w:val="Footer"/>
      <w:rPr>
        <w:rFonts w:eastAsia="Calibri"/>
      </w:rPr>
    </w:pP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Bdr>
        <w:top w:val="nil"/>
        <w:left w:val="nil"/>
        <w:bottom w:val="nil"/>
        <w:right w:val="nil"/>
        <w:between w:val="nil"/>
        <w:bar w:val="nil"/>
      </w:pBdr>
      <w:rPr>
        <w:bdr w:val="nil"/>
      </w:rPr>
    </w:pP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Normal0"/>
      <w:pBdr>
        <w:top w:val="nil"/>
        <w:left w:val="nil"/>
        <w:bottom w:val="nil"/>
        <w:right w:val="nil"/>
        <w:between w:val="nil"/>
        <w:bar w:val="nil"/>
      </w:pBdr>
      <w:suppressAutoHyphens w:val="0"/>
      <w:spacing w:after="200" w:line="276" w:lineRule="auto"/>
      <w:jc w:val="righ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Page </w:t>
    </w:r>
    <w:r>
      <w:rPr>
        <w:rFonts w:ascii="Arial" w:eastAsia="Calibri" w:hAnsi="Arial" w:cs="Arial"/>
        <w:sz w:val="16"/>
        <w:szCs w:val="16"/>
        <w:bdr w:val="nil"/>
        <w:lang w:val="en-US" w:eastAsia="en-US"/>
      </w:rPr>
      <w:fldChar w:fldCharType="begin"/>
    </w:r>
    <w:r>
      <w:rPr>
        <w:rFonts w:ascii="Arial" w:eastAsia="Calibri" w:hAnsi="Arial" w:cs="Arial"/>
        <w:sz w:val="16"/>
        <w:szCs w:val="16"/>
        <w:bdr w:val="nil"/>
        <w:lang w:val="en-US" w:eastAsia="en-US"/>
      </w:rPr>
      <w:instrText xml:space="preserve"> PAGE  \* Arabic  \* MERGEFORMAT </w:instrText>
    </w:r>
    <w:r>
      <w:rPr>
        <w:rFonts w:ascii="Arial" w:eastAsia="Calibri" w:hAnsi="Arial" w:cs="Arial"/>
        <w:sz w:val="16"/>
        <w:szCs w:val="16"/>
        <w:bdr w:val="nil"/>
        <w:lang w:val="en-US" w:eastAsia="en-US"/>
      </w:rPr>
      <w:fldChar w:fldCharType="separate"/>
    </w:r>
    <w:r>
      <w:rPr>
        <w:rFonts w:ascii="Arial" w:eastAsia="Calibri" w:hAnsi="Arial" w:cs="Arial"/>
        <w:noProof/>
        <w:sz w:val="16"/>
        <w:szCs w:val="16"/>
        <w:bdr w:val="nil"/>
        <w:lang w:val="en-US" w:eastAsia="en-US"/>
      </w:rPr>
      <w:t>36</w:t>
    </w:r>
    <w:r>
      <w:rPr>
        <w:rFonts w:ascii="Arial" w:eastAsia="Calibri" w:hAnsi="Arial" w:cs="Arial"/>
        <w:sz w:val="16"/>
        <w:szCs w:val="16"/>
        <w:bdr w:val="nil"/>
        <w:lang w:val="en-US" w:eastAsia="en-US"/>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15584" behindDoc="1" locked="0" layoutInCell="1" allowOverlap="1" wp14:anchorId="36197C77" wp14:editId="0AC8BA06">
              <wp:simplePos x="0" y="0"/>
              <wp:positionH relativeFrom="column">
                <wp:posOffset>2924810</wp:posOffset>
              </wp:positionH>
              <wp:positionV relativeFrom="paragraph">
                <wp:posOffset>16510</wp:posOffset>
              </wp:positionV>
              <wp:extent cx="403200" cy="795600"/>
              <wp:effectExtent l="0" t="0" r="16510" b="24130"/>
              <wp:wrapNone/>
              <wp:docPr id="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30.3pt;margin-top:1.3pt;width:31.75pt;height:62.6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teTQIAALA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114</w:t>
    </w:r>
    <w:r>
      <w:rPr>
        <w:rFonts w:ascii="Verdana" w:hAnsi="Verdana"/>
        <w:b/>
        <w:noProof/>
        <w:color w:val="FFFFFF"/>
        <w:sz w:val="18"/>
        <w:szCs w:val="18"/>
      </w:rPr>
      <w:fldChar w:fldCharType="end"/>
    </w:r>
  </w:p>
  <w:p w:rsidR="005D6812" w:rsidRDefault="005D6812">
    <w:pPr>
      <w:pStyle w:val="Footer"/>
      <w:rPr>
        <w:rFonts w:eastAsia="Calibri"/>
      </w:rPr>
    </w:pP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Normal0"/>
    </w:pP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Normal27"/>
      <w:pBdr>
        <w:top w:val="nil"/>
        <w:left w:val="nil"/>
        <w:bottom w:val="nil"/>
        <w:right w:val="nil"/>
        <w:between w:val="nil"/>
        <w:bar w:val="nil"/>
      </w:pBdr>
      <w:suppressAutoHyphens w:val="0"/>
      <w:spacing w:after="200" w:line="276" w:lineRule="auto"/>
      <w:jc w:val="righ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Page </w:t>
    </w:r>
    <w:r>
      <w:rPr>
        <w:rFonts w:ascii="Arial" w:eastAsia="Calibri" w:hAnsi="Arial" w:cs="Arial"/>
        <w:sz w:val="16"/>
        <w:szCs w:val="16"/>
        <w:bdr w:val="nil"/>
        <w:lang w:val="en-US" w:eastAsia="en-US"/>
      </w:rPr>
      <w:fldChar w:fldCharType="begin"/>
    </w:r>
    <w:r>
      <w:rPr>
        <w:rFonts w:ascii="Arial" w:eastAsia="Calibri" w:hAnsi="Arial" w:cs="Arial"/>
        <w:sz w:val="16"/>
        <w:szCs w:val="16"/>
        <w:bdr w:val="nil"/>
        <w:lang w:val="en-US" w:eastAsia="en-US"/>
      </w:rPr>
      <w:instrText xml:space="preserve"> PAGE  \* Arabic  \* MERGEFORMAT </w:instrText>
    </w:r>
    <w:r>
      <w:rPr>
        <w:rFonts w:ascii="Arial" w:eastAsia="Calibri" w:hAnsi="Arial" w:cs="Arial"/>
        <w:sz w:val="16"/>
        <w:szCs w:val="16"/>
        <w:bdr w:val="nil"/>
        <w:lang w:val="en-US" w:eastAsia="en-US"/>
      </w:rPr>
      <w:fldChar w:fldCharType="separate"/>
    </w:r>
    <w:r>
      <w:rPr>
        <w:rFonts w:ascii="Arial" w:eastAsia="Calibri" w:hAnsi="Arial" w:cs="Arial"/>
        <w:noProof/>
        <w:sz w:val="16"/>
        <w:szCs w:val="16"/>
        <w:bdr w:val="nil"/>
        <w:lang w:val="en-US" w:eastAsia="en-US"/>
      </w:rPr>
      <w:t>38</w:t>
    </w:r>
    <w:r>
      <w:rPr>
        <w:rFonts w:ascii="Arial" w:eastAsia="Calibri" w:hAnsi="Arial" w:cs="Arial"/>
        <w:sz w:val="16"/>
        <w:szCs w:val="16"/>
        <w:bdr w:val="nil"/>
        <w:lang w:val="en-US" w:eastAsia="en-US"/>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17632" behindDoc="1" locked="0" layoutInCell="1" allowOverlap="1" wp14:anchorId="51953505" wp14:editId="641FED89">
              <wp:simplePos x="0" y="0"/>
              <wp:positionH relativeFrom="column">
                <wp:posOffset>4144010</wp:posOffset>
              </wp:positionH>
              <wp:positionV relativeFrom="paragraph">
                <wp:posOffset>16510</wp:posOffset>
              </wp:positionV>
              <wp:extent cx="403200" cy="795600"/>
              <wp:effectExtent l="0" t="0" r="16510" b="24130"/>
              <wp:wrapNone/>
              <wp:docPr id="8"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326.3pt;margin-top:1.3pt;width:31.75pt;height:62.6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pDTQIAALA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116</w:t>
    </w:r>
    <w:r>
      <w:rPr>
        <w:rFonts w:ascii="Verdana" w:hAnsi="Verdana"/>
        <w:b/>
        <w:noProof/>
        <w:color w:val="FFFFFF"/>
        <w:sz w:val="18"/>
        <w:szCs w:val="18"/>
      </w:rPr>
      <w:fldChar w:fldCharType="end"/>
    </w:r>
  </w:p>
  <w:p w:rsidR="005D6812" w:rsidRDefault="005D6812">
    <w:pPr>
      <w:pStyle w:val="Footer"/>
      <w:rPr>
        <w:rFonts w:eastAsia="Calibri"/>
      </w:rPr>
    </w:pP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Normal27"/>
    </w:pP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Normal29"/>
      <w:pBdr>
        <w:top w:val="nil"/>
        <w:left w:val="nil"/>
        <w:bottom w:val="nil"/>
        <w:right w:val="nil"/>
        <w:between w:val="nil"/>
        <w:bar w:val="nil"/>
      </w:pBdr>
      <w:suppressAutoHyphens w:val="0"/>
      <w:spacing w:after="200" w:line="276" w:lineRule="auto"/>
      <w:jc w:val="right"/>
      <w:rPr>
        <w:rFonts w:ascii="Arial" w:eastAsia="Calibri" w:hAnsi="Arial" w:cs="Arial"/>
        <w:sz w:val="16"/>
        <w:szCs w:val="16"/>
        <w:bdr w:val="nil"/>
        <w:lang w:val="en-US" w:eastAsia="en-US"/>
      </w:rPr>
    </w:pPr>
    <w:r>
      <w:rPr>
        <w:rFonts w:ascii="Arial" w:eastAsia="Calibri" w:hAnsi="Arial" w:cs="Arial"/>
        <w:sz w:val="16"/>
        <w:szCs w:val="16"/>
        <w:bdr w:val="nil"/>
        <w:lang w:val="en-US" w:eastAsia="en-US"/>
      </w:rPr>
      <w:t xml:space="preserve">Page </w:t>
    </w:r>
    <w:r>
      <w:rPr>
        <w:rFonts w:ascii="Arial" w:eastAsia="Calibri" w:hAnsi="Arial" w:cs="Arial"/>
        <w:sz w:val="16"/>
        <w:szCs w:val="16"/>
        <w:bdr w:val="nil"/>
        <w:lang w:val="en-US" w:eastAsia="en-US"/>
      </w:rPr>
      <w:fldChar w:fldCharType="begin"/>
    </w:r>
    <w:r>
      <w:rPr>
        <w:rFonts w:ascii="Arial" w:eastAsia="Calibri" w:hAnsi="Arial" w:cs="Arial"/>
        <w:sz w:val="16"/>
        <w:szCs w:val="16"/>
        <w:bdr w:val="nil"/>
        <w:lang w:val="en-US" w:eastAsia="en-US"/>
      </w:rPr>
      <w:instrText xml:space="preserve"> PAGE  \* Arabic  \* MERGEFORMAT </w:instrText>
    </w:r>
    <w:r>
      <w:rPr>
        <w:rFonts w:ascii="Arial" w:eastAsia="Calibri" w:hAnsi="Arial" w:cs="Arial"/>
        <w:sz w:val="16"/>
        <w:szCs w:val="16"/>
        <w:bdr w:val="nil"/>
        <w:lang w:val="en-US" w:eastAsia="en-US"/>
      </w:rPr>
      <w:fldChar w:fldCharType="separate"/>
    </w:r>
    <w:r>
      <w:rPr>
        <w:rFonts w:ascii="Arial" w:eastAsia="Calibri" w:hAnsi="Arial" w:cs="Arial"/>
        <w:noProof/>
        <w:sz w:val="16"/>
        <w:szCs w:val="16"/>
        <w:bdr w:val="nil"/>
        <w:lang w:val="en-US" w:eastAsia="en-US"/>
      </w:rPr>
      <w:t>50</w:t>
    </w:r>
    <w:r>
      <w:rPr>
        <w:rFonts w:ascii="Arial" w:eastAsia="Calibri" w:hAnsi="Arial" w:cs="Arial"/>
        <w:sz w:val="16"/>
        <w:szCs w:val="16"/>
        <w:bdr w:val="nil"/>
        <w:lang w:val="en-US"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61312" behindDoc="1" locked="0" layoutInCell="1" allowOverlap="1" wp14:anchorId="2E27B27D" wp14:editId="43F71FC8">
              <wp:simplePos x="0" y="0"/>
              <wp:positionH relativeFrom="column">
                <wp:posOffset>2858135</wp:posOffset>
              </wp:positionH>
              <wp:positionV relativeFrom="paragraph">
                <wp:posOffset>16510</wp:posOffset>
              </wp:positionV>
              <wp:extent cx="403200" cy="795600"/>
              <wp:effectExtent l="0" t="0" r="16510" b="24130"/>
              <wp:wrapNone/>
              <wp:docPr id="16384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52"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600896"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9</w:t>
    </w:r>
    <w:r>
      <w:rPr>
        <w:rFonts w:ascii="Verdana" w:hAnsi="Verdana"/>
        <w:b/>
        <w:noProof/>
        <w:color w:val="FFFFFF"/>
        <w:sz w:val="18"/>
        <w:szCs w:val="18"/>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19680" behindDoc="1" locked="0" layoutInCell="1" allowOverlap="1">
              <wp:simplePos x="0" y="0"/>
              <wp:positionH relativeFrom="column">
                <wp:posOffset>2966085</wp:posOffset>
              </wp:positionH>
              <wp:positionV relativeFrom="paragraph">
                <wp:posOffset>-1905</wp:posOffset>
              </wp:positionV>
              <wp:extent cx="403200" cy="695325"/>
              <wp:effectExtent l="0" t="0" r="16510" b="28575"/>
              <wp:wrapNone/>
              <wp:docPr id="9" name="Rectangle 3"/>
              <wp:cNvGraphicFramePr/>
              <a:graphic xmlns:a="http://schemas.openxmlformats.org/drawingml/2006/main">
                <a:graphicData uri="http://schemas.microsoft.com/office/word/2010/wordprocessingShape">
                  <wps:wsp>
                    <wps:cNvSpPr/>
                    <wps:spPr>
                      <a:xfrm>
                        <a:off x="0" y="0"/>
                        <a:ext cx="403200" cy="69532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33.55pt;margin-top:-.15pt;width:31.75pt;height:54.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128</w:t>
    </w:r>
    <w:r>
      <w:rPr>
        <w:rFonts w:ascii="Verdana" w:hAnsi="Verdana"/>
        <w:b/>
        <w:noProof/>
        <w:color w:val="FFFFFF"/>
        <w:sz w:val="18"/>
        <w:szCs w:val="18"/>
      </w:rPr>
      <w:fldChar w:fldCharType="end"/>
    </w:r>
  </w:p>
  <w:p w:rsidR="005D6812" w:rsidRDefault="005D6812">
    <w:pPr>
      <w:pStyle w:val="Footer"/>
      <w:rPr>
        <w:rFonts w:eastAsia="Calibri"/>
      </w:rPr>
    </w:pP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Normal29"/>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62336" behindDoc="1" locked="0" layoutInCell="1" allowOverlap="1" wp14:anchorId="7A8B023C" wp14:editId="41E1BC0C">
              <wp:simplePos x="0" y="0"/>
              <wp:positionH relativeFrom="column">
                <wp:posOffset>2858135</wp:posOffset>
              </wp:positionH>
              <wp:positionV relativeFrom="paragraph">
                <wp:posOffset>16510</wp:posOffset>
              </wp:positionV>
              <wp:extent cx="403200" cy="795600"/>
              <wp:effectExtent l="0" t="0" r="16510" b="24130"/>
              <wp:wrapNone/>
              <wp:docPr id="19661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53"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99872"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10</w:t>
    </w:r>
    <w:r>
      <w:rPr>
        <w:rFonts w:ascii="Verdana" w:hAnsi="Verdana"/>
        <w:b/>
        <w:noProof/>
        <w:color w:val="FFFFFF"/>
        <w:sz w:val="18"/>
        <w:szCs w:val="18"/>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63360" behindDoc="1" locked="0" layoutInCell="1" allowOverlap="1" wp14:anchorId="0BF7E2C4" wp14:editId="3FC33AD7">
              <wp:simplePos x="0" y="0"/>
              <wp:positionH relativeFrom="column">
                <wp:posOffset>2858135</wp:posOffset>
              </wp:positionH>
              <wp:positionV relativeFrom="paragraph">
                <wp:posOffset>16510</wp:posOffset>
              </wp:positionV>
              <wp:extent cx="403200" cy="795600"/>
              <wp:effectExtent l="0" t="0" r="16510" b="24130"/>
              <wp:wrapNone/>
              <wp:docPr id="22938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54"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98848"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11</w:t>
    </w:r>
    <w:r>
      <w:rPr>
        <w:rFonts w:ascii="Verdana" w:hAnsi="Verdana"/>
        <w:b/>
        <w:noProof/>
        <w:color w:val="FFFFFF"/>
        <w:sz w:val="18"/>
        <w:szCs w:val="18"/>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64384" behindDoc="1" locked="0" layoutInCell="1" allowOverlap="1" wp14:anchorId="3FB52871" wp14:editId="23DD44D4">
              <wp:simplePos x="0" y="0"/>
              <wp:positionH relativeFrom="column">
                <wp:posOffset>2858135</wp:posOffset>
              </wp:positionH>
              <wp:positionV relativeFrom="paragraph">
                <wp:posOffset>16510</wp:posOffset>
              </wp:positionV>
              <wp:extent cx="403200" cy="795600"/>
              <wp:effectExtent l="0" t="0" r="16510" b="24130"/>
              <wp:wrapNone/>
              <wp:docPr id="26215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55"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97824"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12</w:t>
    </w:r>
    <w:r>
      <w:rPr>
        <w:rFonts w:ascii="Verdana" w:hAnsi="Verdana"/>
        <w:b/>
        <w:noProof/>
        <w:color w:val="FFFFF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65408" behindDoc="1" locked="0" layoutInCell="1" allowOverlap="1" wp14:anchorId="7AA64151" wp14:editId="5724CB7E">
              <wp:simplePos x="0" y="0"/>
              <wp:positionH relativeFrom="column">
                <wp:posOffset>2858135</wp:posOffset>
              </wp:positionH>
              <wp:positionV relativeFrom="paragraph">
                <wp:posOffset>16510</wp:posOffset>
              </wp:positionV>
              <wp:extent cx="403200" cy="795600"/>
              <wp:effectExtent l="0" t="0" r="16510" b="24130"/>
              <wp:wrapNone/>
              <wp:docPr id="29492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56"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96800"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13</w:t>
    </w:r>
    <w:r>
      <w:rPr>
        <w:rFonts w:ascii="Verdana" w:hAnsi="Verdana"/>
        <w:b/>
        <w:noProof/>
        <w:color w:val="FFFFFF"/>
        <w:sz w:val="18"/>
        <w:szCs w:val="18"/>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66432" behindDoc="1" locked="0" layoutInCell="1" allowOverlap="1" wp14:anchorId="399F7F69" wp14:editId="36E7A26E">
              <wp:simplePos x="0" y="0"/>
              <wp:positionH relativeFrom="column">
                <wp:posOffset>4420235</wp:posOffset>
              </wp:positionH>
              <wp:positionV relativeFrom="paragraph">
                <wp:posOffset>13970</wp:posOffset>
              </wp:positionV>
              <wp:extent cx="403200" cy="795600"/>
              <wp:effectExtent l="0" t="0" r="16510" b="24130"/>
              <wp:wrapNone/>
              <wp:docPr id="32769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57" style="width:31.75pt;height:62.65pt;margin-top:1.1pt;margin-left:348.05pt;mso-height-percent:0;mso-height-relative:margin;mso-width-percent:0;mso-width-relative:page;mso-wrap-distance-bottom:0;mso-wrap-distance-left:9pt;mso-wrap-distance-right:9pt;mso-wrap-distance-top:0;mso-wrap-style:square;position:absolute;visibility:visible;v-text-anchor:bottom;z-index:-251595776"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14</w:t>
    </w:r>
    <w:r>
      <w:rPr>
        <w:rFonts w:ascii="Verdana" w:hAnsi="Verdana"/>
        <w:b/>
        <w:noProof/>
        <w:color w:val="FFFFFF"/>
        <w:sz w:val="18"/>
        <w:szCs w:val="18"/>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42208" behindDoc="1" locked="0" layoutInCell="1" allowOverlap="1" wp14:anchorId="6F4F3425" wp14:editId="4C9055A5">
              <wp:simplePos x="0" y="0"/>
              <wp:positionH relativeFrom="column">
                <wp:posOffset>4420235</wp:posOffset>
              </wp:positionH>
              <wp:positionV relativeFrom="paragraph">
                <wp:posOffset>13970</wp:posOffset>
              </wp:positionV>
              <wp:extent cx="403200" cy="795600"/>
              <wp:effectExtent l="0" t="0" r="16510" b="24130"/>
              <wp:wrapNone/>
              <wp:docPr id="13"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348.05pt;margin-top:1.1pt;width:31.75pt;height:62.6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15</w:t>
    </w:r>
    <w:r>
      <w:rPr>
        <w:rFonts w:ascii="Verdana" w:hAnsi="Verdana"/>
        <w:b/>
        <w:noProof/>
        <w:color w:val="FFFFFF"/>
        <w:sz w:val="18"/>
        <w:szCs w:val="18"/>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67456" behindDoc="1" locked="0" layoutInCell="1" allowOverlap="1" wp14:anchorId="58326B7D" wp14:editId="21527E5E">
              <wp:simplePos x="0" y="0"/>
              <wp:positionH relativeFrom="column">
                <wp:posOffset>4420235</wp:posOffset>
              </wp:positionH>
              <wp:positionV relativeFrom="paragraph">
                <wp:posOffset>13970</wp:posOffset>
              </wp:positionV>
              <wp:extent cx="403200" cy="795600"/>
              <wp:effectExtent l="0" t="0" r="16510" b="24130"/>
              <wp:wrapNone/>
              <wp:docPr id="36046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58" style="width:31.75pt;height:62.65pt;margin-top:1.1pt;margin-left:348.05pt;mso-height-percent:0;mso-height-relative:margin;mso-width-percent:0;mso-width-relative:page;mso-wrap-distance-bottom:0;mso-wrap-distance-left:9pt;mso-wrap-distance-right:9pt;mso-wrap-distance-top:0;mso-wrap-style:square;position:absolute;visibility:visible;v-text-anchor:bottom;z-index:-251594752"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15</w:t>
    </w:r>
    <w:r>
      <w:rPr>
        <w:rFonts w:ascii="Verdana" w:hAnsi="Verdana"/>
        <w:b/>
        <w:noProof/>
        <w:color w:val="FFFFFF"/>
        <w:sz w:val="18"/>
        <w:szCs w:val="18"/>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68480" behindDoc="1" locked="0" layoutInCell="1" allowOverlap="1" wp14:anchorId="74C69B76" wp14:editId="0246EA5E">
              <wp:simplePos x="0" y="0"/>
              <wp:positionH relativeFrom="column">
                <wp:posOffset>4420235</wp:posOffset>
              </wp:positionH>
              <wp:positionV relativeFrom="paragraph">
                <wp:posOffset>13970</wp:posOffset>
              </wp:positionV>
              <wp:extent cx="403200" cy="795600"/>
              <wp:effectExtent l="0" t="0" r="16510" b="24130"/>
              <wp:wrapNone/>
              <wp:docPr id="39323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59" style="width:31.75pt;height:62.65pt;margin-top:1.1pt;margin-left:348.05pt;mso-height-percent:0;mso-height-relative:margin;mso-width-percent:0;mso-width-relative:page;mso-wrap-distance-bottom:0;mso-wrap-distance-left:9pt;mso-wrap-distance-right:9pt;mso-wrap-distance-top:0;mso-wrap-style:square;position:absolute;visibility:visible;v-text-anchor:bottom;z-index:-251593728"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16</w:t>
    </w:r>
    <w:r>
      <w:rPr>
        <w:rFonts w:ascii="Verdana" w:hAnsi="Verdana"/>
        <w:b/>
        <w:noProof/>
        <w:color w:val="FFFFFF"/>
        <w:sz w:val="18"/>
        <w:szCs w:val="18"/>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69504" behindDoc="1" locked="0" layoutInCell="1" allowOverlap="1" wp14:anchorId="7599CC38" wp14:editId="283C89C4">
              <wp:simplePos x="0" y="0"/>
              <wp:positionH relativeFrom="column">
                <wp:posOffset>4420235</wp:posOffset>
              </wp:positionH>
              <wp:positionV relativeFrom="paragraph">
                <wp:posOffset>13970</wp:posOffset>
              </wp:positionV>
              <wp:extent cx="403200" cy="795600"/>
              <wp:effectExtent l="0" t="0" r="16510" b="24130"/>
              <wp:wrapNone/>
              <wp:docPr id="42600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60" style="width:31.75pt;height:62.65pt;margin-top:1.1pt;margin-left:348.05pt;mso-height-percent:0;mso-height-relative:margin;mso-width-percent:0;mso-width-relative:page;mso-wrap-distance-bottom:0;mso-wrap-distance-left:9pt;mso-wrap-distance-right:9pt;mso-wrap-distance-top:0;mso-wrap-style:square;position:absolute;visibility:visible;v-text-anchor:bottom;z-index:-251592704"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18</w:t>
    </w:r>
    <w:r>
      <w:rPr>
        <w:rFonts w:ascii="Verdana" w:hAnsi="Verdana"/>
        <w:b/>
        <w:noProof/>
        <w:color w:val="FFFFFF"/>
        <w:sz w:val="18"/>
        <w:szCs w:val="18"/>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70528" behindDoc="1" locked="0" layoutInCell="1" allowOverlap="1" wp14:anchorId="357DF38E" wp14:editId="3BF54FC6">
              <wp:simplePos x="0" y="0"/>
              <wp:positionH relativeFrom="column">
                <wp:posOffset>2858135</wp:posOffset>
              </wp:positionH>
              <wp:positionV relativeFrom="paragraph">
                <wp:posOffset>16510</wp:posOffset>
              </wp:positionV>
              <wp:extent cx="403200" cy="795600"/>
              <wp:effectExtent l="0" t="0" r="16510" b="24130"/>
              <wp:wrapNone/>
              <wp:docPr id="45877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61"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91680"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19</w:t>
    </w:r>
    <w:r>
      <w:rPr>
        <w:rFonts w:ascii="Verdana" w:hAnsi="Verdana"/>
        <w:b/>
        <w:noProof/>
        <w:color w:val="FFFFFF"/>
        <w:sz w:val="18"/>
        <w:szCs w:val="18"/>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44256" behindDoc="1" locked="0" layoutInCell="1" allowOverlap="1" wp14:anchorId="4D0239D1" wp14:editId="6970ED6D">
              <wp:simplePos x="0" y="0"/>
              <wp:positionH relativeFrom="column">
                <wp:posOffset>2858135</wp:posOffset>
              </wp:positionH>
              <wp:positionV relativeFrom="paragraph">
                <wp:posOffset>16510</wp:posOffset>
              </wp:positionV>
              <wp:extent cx="403200" cy="795600"/>
              <wp:effectExtent l="0" t="0" r="16510" b="24130"/>
              <wp:wrapNone/>
              <wp:docPr id="26"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05pt;margin-top:1.3pt;width:31.75pt;height:62.6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O+TQIAALE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26</w:t>
    </w:r>
    <w:r>
      <w:rPr>
        <w:rFonts w:ascii="Verdana" w:hAnsi="Verdana"/>
        <w:b/>
        <w:noProof/>
        <w:color w:val="FFFFFF"/>
        <w:sz w:val="18"/>
        <w:szCs w:val="18"/>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46304" behindDoc="1" locked="0" layoutInCell="1" allowOverlap="1" wp14:anchorId="2C515B05" wp14:editId="481DA249">
              <wp:simplePos x="0" y="0"/>
              <wp:positionH relativeFrom="column">
                <wp:posOffset>2858135</wp:posOffset>
              </wp:positionH>
              <wp:positionV relativeFrom="paragraph">
                <wp:posOffset>16510</wp:posOffset>
              </wp:positionV>
              <wp:extent cx="403200" cy="795600"/>
              <wp:effectExtent l="0" t="0" r="16510" b="24130"/>
              <wp:wrapNone/>
              <wp:docPr id="2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05pt;margin-top:1.3pt;width:31.75pt;height:62.6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AKTQIAALE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w:instrText>
    </w:r>
    <w:r>
      <w:rPr>
        <w:rFonts w:ascii="Verdana" w:hAnsi="Verdana"/>
        <w:b/>
        <w:color w:val="FFFFFF"/>
        <w:sz w:val="18"/>
        <w:szCs w:val="18"/>
      </w:rPr>
      <w:instrText xml:space="preserve">MAT </w:instrText>
    </w:r>
    <w:r>
      <w:rPr>
        <w:rFonts w:ascii="Verdana" w:hAnsi="Verdana"/>
        <w:b/>
        <w:color w:val="FFFFFF"/>
        <w:sz w:val="18"/>
        <w:szCs w:val="18"/>
      </w:rPr>
      <w:fldChar w:fldCharType="separate"/>
    </w:r>
    <w:r>
      <w:rPr>
        <w:rFonts w:ascii="Verdana" w:hAnsi="Verdana"/>
        <w:b/>
        <w:noProof/>
        <w:color w:val="FFFFFF"/>
        <w:sz w:val="18"/>
        <w:szCs w:val="18"/>
      </w:rPr>
      <w:t>20</w:t>
    </w:r>
    <w:r>
      <w:rPr>
        <w:rFonts w:ascii="Verdana" w:hAnsi="Verdana"/>
        <w:b/>
        <w:noProof/>
        <w:color w:val="FFFFFF"/>
        <w:sz w:val="18"/>
        <w:szCs w:val="18"/>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74624" behindDoc="1" locked="0" layoutInCell="1" allowOverlap="1" wp14:anchorId="33E7B1B2" wp14:editId="5A98D813">
              <wp:simplePos x="0" y="0"/>
              <wp:positionH relativeFrom="column">
                <wp:posOffset>2781935</wp:posOffset>
              </wp:positionH>
              <wp:positionV relativeFrom="paragraph">
                <wp:posOffset>16510</wp:posOffset>
              </wp:positionV>
              <wp:extent cx="403200" cy="795600"/>
              <wp:effectExtent l="0" t="0" r="16510" b="24130"/>
              <wp:wrapNone/>
              <wp:docPr id="58985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19.05pt;margin-top:1.3pt;width:31.75pt;height:62.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w4UQIAALU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28</w:t>
    </w:r>
    <w:r>
      <w:rPr>
        <w:rFonts w:ascii="Verdana" w:hAnsi="Verdana"/>
        <w:b/>
        <w:noProof/>
        <w:color w:val="FFFFF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77696" behindDoc="1" locked="0" layoutInCell="1" allowOverlap="1" wp14:anchorId="34A625A6" wp14:editId="64FF157D">
              <wp:simplePos x="0" y="0"/>
              <wp:positionH relativeFrom="column">
                <wp:posOffset>2858135</wp:posOffset>
              </wp:positionH>
              <wp:positionV relativeFrom="paragraph">
                <wp:posOffset>16510</wp:posOffset>
              </wp:positionV>
              <wp:extent cx="403200" cy="795600"/>
              <wp:effectExtent l="0" t="0" r="16510" b="24130"/>
              <wp:wrapNone/>
              <wp:docPr id="68816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68"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84512"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31</w:t>
    </w:r>
    <w:r>
      <w:rPr>
        <w:rFonts w:ascii="Verdana" w:hAnsi="Verdana"/>
        <w:b/>
        <w:noProof/>
        <w:color w:val="FFFFFF"/>
        <w:sz w:val="18"/>
        <w:szCs w:val="18"/>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79744" behindDoc="1" locked="0" layoutInCell="1" allowOverlap="1" wp14:anchorId="28E8417D" wp14:editId="71253385">
              <wp:simplePos x="0" y="0"/>
              <wp:positionH relativeFrom="column">
                <wp:posOffset>2858135</wp:posOffset>
              </wp:positionH>
              <wp:positionV relativeFrom="paragraph">
                <wp:posOffset>16510</wp:posOffset>
              </wp:positionV>
              <wp:extent cx="403200" cy="795600"/>
              <wp:effectExtent l="0" t="0" r="16510" b="24130"/>
              <wp:wrapNone/>
              <wp:docPr id="75370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70"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82464"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80768" behindDoc="1" locked="0" layoutInCell="1" allowOverlap="1" wp14:anchorId="3B3670B9" wp14:editId="328F4957">
              <wp:simplePos x="0" y="0"/>
              <wp:positionH relativeFrom="column">
                <wp:posOffset>2858135</wp:posOffset>
              </wp:positionH>
              <wp:positionV relativeFrom="paragraph">
                <wp:posOffset>16510</wp:posOffset>
              </wp:positionV>
              <wp:extent cx="403200" cy="795600"/>
              <wp:effectExtent l="0" t="0" r="16510" b="24130"/>
              <wp:wrapNone/>
              <wp:docPr id="78647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71"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81440"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32</w:t>
    </w:r>
    <w:r>
      <w:rPr>
        <w:rFonts w:ascii="Verdana" w:hAnsi="Verdana"/>
        <w:b/>
        <w:noProof/>
        <w:color w:val="FFFFFF"/>
        <w:sz w:val="18"/>
        <w:szCs w:val="18"/>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82816" behindDoc="1" locked="0" layoutInCell="1" allowOverlap="1" wp14:anchorId="3DFD6A2B" wp14:editId="3DDECC1D">
              <wp:simplePos x="0" y="0"/>
              <wp:positionH relativeFrom="column">
                <wp:posOffset>2858135</wp:posOffset>
              </wp:positionH>
              <wp:positionV relativeFrom="paragraph">
                <wp:posOffset>16510</wp:posOffset>
              </wp:positionV>
              <wp:extent cx="403200" cy="795600"/>
              <wp:effectExtent l="0" t="0" r="16510" b="24130"/>
              <wp:wrapNone/>
              <wp:docPr id="85201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73"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79392"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33</w:t>
    </w:r>
    <w:r>
      <w:rPr>
        <w:rFonts w:ascii="Verdana" w:hAnsi="Verdana"/>
        <w:b/>
        <w:noProof/>
        <w:color w:val="FFFFFF"/>
        <w:sz w:val="18"/>
        <w:szCs w:val="18"/>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83840" behindDoc="1" locked="0" layoutInCell="1" allowOverlap="1" wp14:anchorId="27493BDE" wp14:editId="3F8A8A7E">
              <wp:simplePos x="0" y="0"/>
              <wp:positionH relativeFrom="column">
                <wp:posOffset>2858135</wp:posOffset>
              </wp:positionH>
              <wp:positionV relativeFrom="paragraph">
                <wp:posOffset>16510</wp:posOffset>
              </wp:positionV>
              <wp:extent cx="403200" cy="795600"/>
              <wp:effectExtent l="0" t="0" r="16510" b="24130"/>
              <wp:wrapNone/>
              <wp:docPr id="88478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74"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78368"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34</w:t>
    </w:r>
    <w:r>
      <w:rPr>
        <w:rFonts w:ascii="Verdana" w:hAnsi="Verdana"/>
        <w:b/>
        <w:noProof/>
        <w:color w:val="FFFFFF"/>
        <w:sz w:val="18"/>
        <w:szCs w:val="18"/>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748352" behindDoc="1" locked="0" layoutInCell="1" allowOverlap="1" wp14:anchorId="40EFCB41" wp14:editId="4A556164">
              <wp:simplePos x="0" y="0"/>
              <wp:positionH relativeFrom="column">
                <wp:posOffset>2858135</wp:posOffset>
              </wp:positionH>
              <wp:positionV relativeFrom="paragraph">
                <wp:posOffset>16510</wp:posOffset>
              </wp:positionV>
              <wp:extent cx="403200" cy="795600"/>
              <wp:effectExtent l="0" t="0" r="16510" b="24130"/>
              <wp:wrapNone/>
              <wp:docPr id="28"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margin-left:225.05pt;margin-top:1.3pt;width:31.75pt;height:62.6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oEXTQIAALE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" fillcolor="#016794" strokecolor="#385d8a" strokeweight="2pt">
              <v:textbox inset=",1.3mm"/>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35</w:t>
    </w:r>
    <w:r>
      <w:rPr>
        <w:rFonts w:ascii="Verdana" w:hAnsi="Verdana"/>
        <w:b/>
        <w:noProof/>
        <w:color w:val="FFFFFF"/>
        <w:sz w:val="18"/>
        <w:szCs w:val="18"/>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58240" behindDoc="1" locked="0" layoutInCell="1" allowOverlap="1" wp14:anchorId="2FFDB21B" wp14:editId="32A69126">
              <wp:simplePos x="0" y="0"/>
              <wp:positionH relativeFrom="column">
                <wp:posOffset>2858135</wp:posOffset>
              </wp:positionH>
              <wp:positionV relativeFrom="paragraph">
                <wp:posOffset>16510</wp:posOffset>
              </wp:positionV>
              <wp:extent cx="403200" cy="795600"/>
              <wp:effectExtent l="0" t="0" r="16510" b="24130"/>
              <wp:wrapNone/>
              <wp:docPr id="6553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49"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603968"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w:t>
    </w:r>
    <w:r>
      <w:rPr>
        <w:rFonts w:ascii="Verdana" w:hAnsi="Verdana"/>
        <w:b/>
        <w:noProof/>
        <w:color w:val="FFFFFF"/>
        <w:sz w:val="18"/>
        <w:szCs w:val="18"/>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84864" behindDoc="1" locked="0" layoutInCell="1" allowOverlap="1" wp14:anchorId="48861EEE" wp14:editId="5C5D75FD">
              <wp:simplePos x="0" y="0"/>
              <wp:positionH relativeFrom="column">
                <wp:posOffset>2858135</wp:posOffset>
              </wp:positionH>
              <wp:positionV relativeFrom="paragraph">
                <wp:posOffset>16510</wp:posOffset>
              </wp:positionV>
              <wp:extent cx="403200" cy="795600"/>
              <wp:effectExtent l="0" t="0" r="16510" b="24130"/>
              <wp:wrapNone/>
              <wp:docPr id="91755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75"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77344"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85888" behindDoc="1" locked="0" layoutInCell="1" allowOverlap="1" wp14:anchorId="08844979" wp14:editId="56036346">
              <wp:simplePos x="0" y="0"/>
              <wp:positionH relativeFrom="column">
                <wp:posOffset>2858135</wp:posOffset>
              </wp:positionH>
              <wp:positionV relativeFrom="paragraph">
                <wp:posOffset>16510</wp:posOffset>
              </wp:positionV>
              <wp:extent cx="403200" cy="795600"/>
              <wp:effectExtent l="0" t="0" r="16510" b="24130"/>
              <wp:wrapNone/>
              <wp:docPr id="95032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76"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76320"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36</w:t>
    </w:r>
    <w:r>
      <w:rPr>
        <w:rFonts w:ascii="Verdana" w:hAnsi="Verdana"/>
        <w:b/>
        <w:noProof/>
        <w:color w:val="FFFFFF"/>
        <w:sz w:val="18"/>
        <w:szCs w:val="18"/>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87936" behindDoc="1" locked="0" layoutInCell="1" allowOverlap="1" wp14:anchorId="5B0456BC" wp14:editId="50805020">
              <wp:simplePos x="0" y="0"/>
              <wp:positionH relativeFrom="column">
                <wp:posOffset>2858135</wp:posOffset>
              </wp:positionH>
              <wp:positionV relativeFrom="paragraph">
                <wp:posOffset>16510</wp:posOffset>
              </wp:positionV>
              <wp:extent cx="403200" cy="795600"/>
              <wp:effectExtent l="0" t="0" r="16510" b="24130"/>
              <wp:wrapNone/>
              <wp:docPr id="101586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78"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74272"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38</w:t>
    </w:r>
    <w:r>
      <w:rPr>
        <w:rFonts w:ascii="Verdana" w:hAnsi="Verdana"/>
        <w:b/>
        <w:noProof/>
        <w:color w:val="FFFFFF"/>
        <w:sz w:val="18"/>
        <w:szCs w:val="18"/>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88960" behindDoc="1" locked="0" layoutInCell="1" allowOverlap="1" wp14:anchorId="658EAFB1" wp14:editId="2DF711DD">
              <wp:simplePos x="0" y="0"/>
              <wp:positionH relativeFrom="column">
                <wp:posOffset>2858135</wp:posOffset>
              </wp:positionH>
              <wp:positionV relativeFrom="paragraph">
                <wp:posOffset>16510</wp:posOffset>
              </wp:positionV>
              <wp:extent cx="403200" cy="795600"/>
              <wp:effectExtent l="0" t="0" r="16510" b="24130"/>
              <wp:wrapNone/>
              <wp:docPr id="104863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79"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73248"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91008" behindDoc="1" locked="0" layoutInCell="1" allowOverlap="1" wp14:anchorId="7A7508B9" wp14:editId="76DC9F4F">
              <wp:simplePos x="0" y="0"/>
              <wp:positionH relativeFrom="column">
                <wp:posOffset>2858135</wp:posOffset>
              </wp:positionH>
              <wp:positionV relativeFrom="paragraph">
                <wp:posOffset>16510</wp:posOffset>
              </wp:positionV>
              <wp:extent cx="403200" cy="795600"/>
              <wp:effectExtent l="0" t="0" r="16510" b="24130"/>
              <wp:wrapNone/>
              <wp:docPr id="111417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81"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71200"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39</w:t>
    </w:r>
    <w:r>
      <w:rPr>
        <w:rFonts w:ascii="Verdana" w:hAnsi="Verdana"/>
        <w:b/>
        <w:noProof/>
        <w:color w:val="FFFFFF"/>
        <w:sz w:val="18"/>
        <w:szCs w:val="18"/>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92032" behindDoc="1" locked="0" layoutInCell="1" allowOverlap="1" wp14:anchorId="08D88E84" wp14:editId="76E01852">
              <wp:simplePos x="0" y="0"/>
              <wp:positionH relativeFrom="column">
                <wp:posOffset>2858135</wp:posOffset>
              </wp:positionH>
              <wp:positionV relativeFrom="paragraph">
                <wp:posOffset>16510</wp:posOffset>
              </wp:positionV>
              <wp:extent cx="403200" cy="795600"/>
              <wp:effectExtent l="0" t="0" r="16510" b="24130"/>
              <wp:wrapNone/>
              <wp:docPr id="114694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82"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70176"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40</w:t>
    </w:r>
    <w:r>
      <w:rPr>
        <w:rFonts w:ascii="Verdana" w:hAnsi="Verdana"/>
        <w:b/>
        <w:noProof/>
        <w:color w:val="FFFFFF"/>
        <w:sz w:val="18"/>
        <w:szCs w:val="18"/>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Footer"/>
      <w:jc w:val="center"/>
      <w:rPr>
        <w:rFonts w:ascii="Verdana" w:hAnsi="Verdana"/>
        <w:b/>
        <w:color w:val="FFFFFF"/>
        <w:sz w:val="18"/>
        <w:szCs w:val="18"/>
      </w:rPr>
    </w:pPr>
    <w:r>
      <w:rPr>
        <w:noProof/>
      </w:rPr>
      <mc:AlternateContent>
        <mc:Choice Requires="wps">
          <w:drawing>
            <wp:anchor distT="0" distB="0" distL="114300" distR="114300" simplePos="0" relativeHeight="251693056" behindDoc="1" locked="0" layoutInCell="1" allowOverlap="1" wp14:anchorId="0E11EEBD" wp14:editId="6100802E">
              <wp:simplePos x="0" y="0"/>
              <wp:positionH relativeFrom="column">
                <wp:posOffset>2858135</wp:posOffset>
              </wp:positionH>
              <wp:positionV relativeFrom="paragraph">
                <wp:posOffset>16510</wp:posOffset>
              </wp:positionV>
              <wp:extent cx="403200" cy="795600"/>
              <wp:effectExtent l="0" t="0" r="16510" b="24130"/>
              <wp:wrapNone/>
              <wp:docPr id="117971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Rectangle 3" o:spid="_x0000_s2083"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69152" fillcolor="#016794" strokecolor="#385d8a" strokeweight="2pt">
              <v:path arrowok="t"/>
            </v:rect>
          </w:pict>
        </mc:Fallback>
      </mc:AlternateContent>
    </w:r>
  </w:p>
  <w:p w:rsidR="005D6812" w:rsidRDefault="00AB2A2B">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w:instrText>
    </w:r>
    <w:r>
      <w:rPr>
        <w:rFonts w:ascii="Verdana" w:hAnsi="Verdana"/>
        <w:b/>
        <w:color w:val="FFFFFF"/>
        <w:sz w:val="18"/>
        <w:szCs w:val="18"/>
      </w:rPr>
      <w:instrText xml:space="preserve">T </w:instrText>
    </w:r>
    <w:r>
      <w:rPr>
        <w:rFonts w:ascii="Verdana" w:hAnsi="Verdana"/>
        <w:b/>
        <w:color w:val="FFFFFF"/>
        <w:sz w:val="18"/>
        <w:szCs w:val="18"/>
      </w:rPr>
      <w:fldChar w:fldCharType="separate"/>
    </w:r>
    <w:r>
      <w:rPr>
        <w:rFonts w:ascii="Verdana" w:hAnsi="Verdana"/>
        <w:b/>
        <w:noProof/>
        <w:color w:val="FFFFFF"/>
        <w:sz w:val="18"/>
        <w:szCs w:val="18"/>
      </w:rPr>
      <w:t>41</w:t>
    </w:r>
    <w:r>
      <w:rPr>
        <w:rFonts w:ascii="Verdana" w:hAnsi="Verdana"/>
        <w:b/>
        <w:noProof/>
        <w:color w:val="FFFFFF"/>
        <w:sz w:val="18"/>
        <w:szCs w:val="18"/>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812" w:rsidRDefault="00AB2A2B">
      <w:r>
        <w:separator/>
      </w:r>
    </w:p>
    <w:p w:rsidR="005D6812" w:rsidRDefault="005D6812"/>
  </w:footnote>
  <w:footnote w:type="continuationSeparator" w:id="0">
    <w:p w:rsidR="005D6812" w:rsidRDefault="00AB2A2B">
      <w:r>
        <w:continuationSeparator/>
      </w:r>
    </w:p>
    <w:p w:rsidR="005D6812" w:rsidRDefault="005D6812"/>
  </w:footnote>
  <w:footnote w:id="1">
    <w:p w:rsidR="005D6812" w:rsidRDefault="00AB2A2B">
      <w:pPr>
        <w:pStyle w:val="Default"/>
        <w:rPr>
          <w:rFonts w:ascii="Verdana" w:eastAsia="Times New Roman" w:hAnsi="Verdana" w:cs="EUAlbertina"/>
          <w:sz w:val="14"/>
          <w:szCs w:val="14"/>
          <w:lang w:eastAsia="en-GB"/>
        </w:rPr>
      </w:pPr>
      <w:r>
        <w:rPr>
          <w:rStyle w:val="FootnoteReference"/>
          <w:rFonts w:ascii="Verdana" w:hAnsi="Verdana"/>
          <w:sz w:val="14"/>
          <w:szCs w:val="14"/>
        </w:rPr>
        <w:footnoteRef/>
      </w:r>
      <w:r>
        <w:rPr>
          <w:rFonts w:ascii="Verdana" w:hAnsi="Verdana"/>
          <w:sz w:val="14"/>
          <w:szCs w:val="14"/>
        </w:rPr>
        <w:t xml:space="preserve"> </w:t>
      </w:r>
      <w:r>
        <w:rPr>
          <w:rFonts w:ascii="Verdana" w:hAnsi="Verdana" w:cs="Times New Roman"/>
          <w:noProof/>
          <w:color w:val="auto"/>
          <w:sz w:val="14"/>
          <w:szCs w:val="14"/>
        </w:rPr>
        <w:t>OJ L 210, 6.8.2013, p. 1.</w:t>
      </w:r>
    </w:p>
  </w:footnote>
  <w:footnote w:id="2">
    <w:p w:rsidR="005D6812" w:rsidRDefault="00AB2A2B">
      <w:pPr>
        <w:pStyle w:val="FootnoteText"/>
        <w:ind w:left="0" w:firstLine="0"/>
        <w:rPr>
          <w:rFonts w:ascii="Verdana" w:hAnsi="Verdana"/>
          <w:noProof/>
          <w:sz w:val="14"/>
          <w:szCs w:val="14"/>
          <w:lang w:eastAsia="en-US"/>
        </w:rPr>
      </w:pPr>
      <w:r>
        <w:rPr>
          <w:rStyle w:val="FootnoteReference"/>
          <w:rFonts w:ascii="Verdana" w:hAnsi="Verdana"/>
          <w:sz w:val="14"/>
          <w:szCs w:val="14"/>
        </w:rPr>
        <w:footnoteRef/>
      </w:r>
      <w:r>
        <w:rPr>
          <w:rFonts w:ascii="Verdana" w:hAnsi="Verdana"/>
          <w:sz w:val="14"/>
          <w:szCs w:val="14"/>
        </w:rPr>
        <w:t xml:space="preserve"> </w:t>
      </w:r>
      <w:r>
        <w:rPr>
          <w:rFonts w:ascii="Verdana" w:hAnsi="Verdana"/>
          <w:noProof/>
          <w:sz w:val="14"/>
          <w:szCs w:val="14"/>
          <w:lang w:eastAsia="en-US"/>
        </w:rPr>
        <w:t xml:space="preserve">The creation of the Bridging Facility had been first proposed as an article of the 11th EDF </w:t>
      </w:r>
      <w:r>
        <w:rPr>
          <w:rFonts w:ascii="Verdana" w:hAnsi="Verdana"/>
          <w:noProof/>
          <w:sz w:val="14"/>
          <w:szCs w:val="14"/>
          <w:lang w:eastAsia="en-US"/>
        </w:rPr>
        <w:t>Implementation Regulation (COM(2013)445). The Commission however has proposed, as an alternative, the creation of the Bridging Facility by a specific Council decision (Proposal for a Council decision regarding transitional EDF management measures from 1 Ja</w:t>
      </w:r>
      <w:r>
        <w:rPr>
          <w:rFonts w:ascii="Verdana" w:hAnsi="Verdana"/>
          <w:noProof/>
          <w:sz w:val="14"/>
          <w:szCs w:val="14"/>
          <w:lang w:eastAsia="en-US"/>
        </w:rPr>
        <w:t>nuary 2014 until the entry into force of the 11th EDF European Development Fund, COM(2013)663).</w:t>
      </w:r>
    </w:p>
  </w:footnote>
  <w:footnote w:id="3">
    <w:p w:rsidR="005D6812" w:rsidRDefault="00AB2A2B">
      <w:pPr>
        <w:pStyle w:val="FootnoteText"/>
        <w:ind w:left="0" w:firstLine="0"/>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Council Regulation (EC) No 215/2008 of 18 February 2008 on the Financial Regulation applicable to the 10th EDF. OJ L 78, 19.2.2008, p.1.</w:t>
      </w:r>
    </w:p>
  </w:footnote>
  <w:footnote w:id="4">
    <w:p w:rsidR="005D6812" w:rsidRDefault="00AB2A2B">
      <w:pPr>
        <w:pStyle w:val="FootnoteText"/>
        <w:ind w:left="0" w:firstLine="0"/>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Council Regulation </w:t>
      </w:r>
      <w:r>
        <w:rPr>
          <w:rFonts w:ascii="Verdana" w:hAnsi="Verdana"/>
          <w:sz w:val="14"/>
          <w:szCs w:val="14"/>
        </w:rPr>
        <w:t>(EU) No 567/2014 of 26 May 2014 amending Regulation (EC) No 215/2008 on the Financial Regulation applicable to the 10th EDF as regards the application of the transition period between the 10th EDF and the 11th EDF until the entry into force of the 11th EDF</w:t>
      </w:r>
      <w:r>
        <w:rPr>
          <w:rFonts w:ascii="Verdana" w:hAnsi="Verdana"/>
          <w:sz w:val="14"/>
          <w:szCs w:val="14"/>
        </w:rPr>
        <w:t xml:space="preserve"> Internal Agreement. OJ L 157, 27.5.2014, p. 52.</w:t>
      </w:r>
    </w:p>
  </w:footnote>
  <w:footnote w:id="5">
    <w:p w:rsidR="005D6812" w:rsidRDefault="00AB2A2B">
      <w:pPr>
        <w:pStyle w:val="FootnoteText"/>
        <w:ind w:left="0" w:firstLine="0"/>
        <w:rPr>
          <w:rFonts w:ascii="Verdana" w:hAnsi="Verdana"/>
          <w:sz w:val="14"/>
          <w:szCs w:val="14"/>
        </w:rPr>
      </w:pPr>
      <w:r>
        <w:rPr>
          <w:rStyle w:val="FootnoteReference"/>
          <w:rFonts w:ascii="Verdana" w:hAnsi="Verdana"/>
          <w:sz w:val="14"/>
          <w:szCs w:val="14"/>
        </w:rPr>
        <w:footnoteRef/>
      </w:r>
      <w:r>
        <w:rPr>
          <w:sz w:val="14"/>
          <w:szCs w:val="14"/>
        </w:rPr>
        <w:t xml:space="preserve"> </w:t>
      </w:r>
      <w:r>
        <w:rPr>
          <w:rFonts w:ascii="Verdana" w:hAnsi="Verdana"/>
          <w:sz w:val="14"/>
          <w:szCs w:val="14"/>
        </w:rPr>
        <w:t>Council Regulation (EU) 2015/323 of 2 March 2015 on the financial regulation applicable to the 11th European Development Fund. OJ L 58, 3.3.2015, p. 17–38.</w:t>
      </w:r>
    </w:p>
  </w:footnote>
  <w:footnote w:id="6">
    <w:p w:rsidR="005D6812" w:rsidRDefault="00AB2A2B">
      <w:pPr>
        <w:pStyle w:val="FootnoteText"/>
        <w:ind w:left="0" w:firstLine="0"/>
        <w:rPr>
          <w:rFonts w:ascii="Verdana" w:hAnsi="Verdana"/>
          <w:sz w:val="16"/>
          <w:szCs w:val="16"/>
        </w:rPr>
      </w:pPr>
      <w:r>
        <w:rPr>
          <w:rStyle w:val="FootnoteReference"/>
          <w:rFonts w:ascii="Verdana" w:hAnsi="Verdana"/>
          <w:sz w:val="14"/>
          <w:szCs w:val="14"/>
        </w:rPr>
        <w:footnoteRef/>
      </w:r>
      <w:r>
        <w:rPr>
          <w:rStyle w:val="FootnoteReference"/>
          <w:rFonts w:ascii="Verdana" w:hAnsi="Verdana"/>
          <w:sz w:val="14"/>
          <w:szCs w:val="14"/>
        </w:rPr>
        <w:t xml:space="preserve"> </w:t>
      </w:r>
      <w:r>
        <w:rPr>
          <w:rFonts w:ascii="Verdana" w:hAnsi="Verdana"/>
          <w:sz w:val="14"/>
          <w:szCs w:val="14"/>
        </w:rPr>
        <w:t>Council Regulation (EU) 2015/322 of 2 March 201</w:t>
      </w:r>
      <w:r>
        <w:rPr>
          <w:rFonts w:ascii="Verdana" w:hAnsi="Verdana"/>
          <w:sz w:val="14"/>
          <w:szCs w:val="14"/>
        </w:rPr>
        <w:t>5 on the implementation of the 11th European Development Fund. OJ L 58, 3.3.2015, p. 1–16.</w:t>
      </w:r>
    </w:p>
  </w:footnote>
  <w:footnote w:id="7">
    <w:p w:rsidR="005D6812" w:rsidRDefault="00AB2A2B">
      <w:pPr>
        <w:pStyle w:val="Textstand-alone"/>
        <w:rPr>
          <w:sz w:val="16"/>
          <w:szCs w:val="16"/>
        </w:rPr>
      </w:pPr>
      <w:r>
        <w:rPr>
          <w:noProof w:val="0"/>
          <w:sz w:val="14"/>
          <w:szCs w:val="14"/>
          <w:lang w:eastAsia="en-GB"/>
        </w:rPr>
        <w:footnoteRef/>
      </w:r>
      <w:r>
        <w:rPr>
          <w:noProof w:val="0"/>
          <w:sz w:val="14"/>
          <w:szCs w:val="14"/>
          <w:lang w:eastAsia="en-GB"/>
        </w:rPr>
        <w:t xml:space="preserve"> Council Regulation (EU) No 567/2014 of 26 May 2014 amending Regulation (EC) No 215/2008 on the Financial Regulation applicable to the 10th EDF as regards the appli</w:t>
      </w:r>
      <w:r>
        <w:rPr>
          <w:noProof w:val="0"/>
          <w:sz w:val="14"/>
          <w:szCs w:val="14"/>
          <w:lang w:eastAsia="en-GB"/>
        </w:rPr>
        <w:t xml:space="preserve">cation of the transition period between the 10th EDF and the 11th EDF until the entry into force of the 11th EDF Internal Agreement. </w:t>
      </w:r>
      <w:proofErr w:type="gramStart"/>
      <w:r>
        <w:rPr>
          <w:noProof w:val="0"/>
          <w:sz w:val="14"/>
          <w:szCs w:val="14"/>
          <w:lang w:eastAsia="en-GB"/>
        </w:rPr>
        <w:t>OJ L 157, 27.5.2014, Art.</w:t>
      </w:r>
      <w:proofErr w:type="gramEnd"/>
      <w:r>
        <w:rPr>
          <w:noProof w:val="0"/>
          <w:sz w:val="14"/>
          <w:szCs w:val="14"/>
          <w:lang w:eastAsia="en-GB"/>
        </w:rPr>
        <w:t xml:space="preserve"> 43.</w:t>
      </w:r>
    </w:p>
  </w:footnote>
  <w:footnote w:id="8">
    <w:p w:rsidR="005D6812" w:rsidRDefault="00AB2A2B">
      <w:pPr>
        <w:pStyle w:val="FootnoteText"/>
        <w:ind w:left="0" w:firstLine="0"/>
        <w:rPr>
          <w:rFonts w:ascii="Verdana" w:hAnsi="Verdana"/>
          <w:sz w:val="14"/>
          <w:szCs w:val="14"/>
        </w:rPr>
      </w:pPr>
      <w:r>
        <w:rPr>
          <w:rStyle w:val="FootnoteReference"/>
          <w:rFonts w:ascii="Verdana" w:hAnsi="Verdana"/>
          <w:sz w:val="14"/>
          <w:szCs w:val="14"/>
        </w:rPr>
        <w:footnoteRef/>
      </w:r>
      <w:r>
        <w:rPr>
          <w:rFonts w:ascii="Verdana" w:hAnsi="Verdana"/>
          <w:sz w:val="14"/>
          <w:szCs w:val="14"/>
        </w:rPr>
        <w:t>The 2016 is the first year in which the financial statements of the EUTF for Africa are issu</w:t>
      </w:r>
      <w:r>
        <w:rPr>
          <w:rFonts w:ascii="Verdana" w:hAnsi="Verdana"/>
          <w:sz w:val="14"/>
          <w:szCs w:val="14"/>
        </w:rPr>
        <w:t>ed and thus also for the first time included in the EDF annual accounts. The transactions of 2015 are reflected in the comparative figures.</w:t>
      </w:r>
    </w:p>
  </w:footnote>
  <w:footnote w:id="9">
    <w:p w:rsidR="005D6812" w:rsidRDefault="00AB2A2B">
      <w:pPr>
        <w:pStyle w:val="Textstand-alone"/>
      </w:pPr>
      <w:r>
        <w:rPr>
          <w:rStyle w:val="FootnoteReference"/>
        </w:rPr>
        <w:footnoteRef/>
      </w:r>
      <w:r>
        <w:t xml:space="preserve"> </w:t>
      </w:r>
      <w:r>
        <w:rPr>
          <w:sz w:val="14"/>
          <w:szCs w:val="14"/>
        </w:rPr>
        <w:t>In accordance with Article 59 of the Financial Regulation applicable to the 11th European Development Fund, the tr</w:t>
      </w:r>
      <w:r>
        <w:rPr>
          <w:sz w:val="14"/>
          <w:szCs w:val="14"/>
        </w:rPr>
        <w:t>easury is presented in the balance sheet of the 11th EDF.</w:t>
      </w:r>
    </w:p>
  </w:footnote>
  <w:footnote w:id="10">
    <w:p w:rsidR="005D6812" w:rsidRDefault="00AB2A2B">
      <w:pPr>
        <w:pStyle w:val="Text8pNormalLeft"/>
        <w:jc w:val="both"/>
        <w:rPr>
          <w:sz w:val="14"/>
          <w:szCs w:val="14"/>
        </w:rPr>
      </w:pPr>
      <w:r>
        <w:rPr>
          <w:rStyle w:val="FootnoteReference"/>
          <w:sz w:val="14"/>
          <w:szCs w:val="14"/>
        </w:rPr>
        <w:footnoteRef/>
      </w:r>
      <w:r>
        <w:rPr>
          <w:sz w:val="14"/>
          <w:szCs w:val="14"/>
        </w:rPr>
        <w:t xml:space="preserve"> In accordance with Article 59 of the Financial Regulation applicable to the 11th European Development Fund, the treasury is presented in the balance sheet of the 11th EDF. The nature of the various bank accounts is outlined in chapter 5, Financial Risk Ma</w:t>
      </w:r>
      <w:r>
        <w:rPr>
          <w:sz w:val="14"/>
          <w:szCs w:val="14"/>
        </w:rPr>
        <w:t>nagement.</w:t>
      </w:r>
    </w:p>
  </w:footnote>
  <w:footnote w:id="11">
    <w:p w:rsidR="005D6812" w:rsidRDefault="00AB2A2B">
      <w:pPr>
        <w:pStyle w:val="Text8pNormalLeft"/>
      </w:pPr>
      <w:r>
        <w:rPr>
          <w:rStyle w:val="FootnoteReference"/>
          <w:sz w:val="14"/>
          <w:szCs w:val="14"/>
        </w:rPr>
        <w:footnoteRef/>
      </w:r>
      <w:r>
        <w:rPr>
          <w:sz w:val="14"/>
          <w:szCs w:val="14"/>
        </w:rPr>
        <w:t xml:space="preserve"> OJ L 156, 29.5.1998, p. 3-106.</w:t>
      </w:r>
    </w:p>
  </w:footnote>
  <w:footnote w:id="12">
    <w:p w:rsidR="005D6812" w:rsidRDefault="00AB2A2B">
      <w:pPr>
        <w:pStyle w:val="FootnoteText"/>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Recognised in accordance with the provisions of Article 9(2</w:t>
      </w:r>
      <w:proofErr w:type="gramStart"/>
      <w:r>
        <w:rPr>
          <w:rFonts w:ascii="Verdana" w:hAnsi="Verdana"/>
          <w:sz w:val="14"/>
          <w:szCs w:val="14"/>
        </w:rPr>
        <w:t>)(</w:t>
      </w:r>
      <w:proofErr w:type="gramEnd"/>
      <w:r>
        <w:rPr>
          <w:rFonts w:ascii="Verdana" w:hAnsi="Verdana"/>
          <w:sz w:val="14"/>
          <w:szCs w:val="14"/>
        </w:rPr>
        <w:t>d) of the Financial Regulation applicable to the 11th EDF.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 xml:space="preserve">Annual accounts of the European </w:t>
    </w:r>
    <w:r>
      <w:rPr>
        <w:rFonts w:ascii="Verdana" w:hAnsi="Verdana"/>
        <w:i/>
        <w:color w:val="016794"/>
        <w:sz w:val="16"/>
        <w:szCs w:val="14"/>
      </w:rPr>
      <w:t>Development Fund 2016</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w:t>
    </w:r>
    <w:r>
      <w:rPr>
        <w:rFonts w:ascii="Verdana" w:hAnsi="Verdana"/>
        <w:i/>
        <w:color w:val="016794"/>
        <w:sz w:val="16"/>
        <w:szCs w:val="14"/>
      </w:rPr>
      <w:t>velopment Fund 2016</w:t>
    </w:r>
  </w:p>
  <w:p w:rsidR="005D6812" w:rsidRDefault="005D6812">
    <w:pPr>
      <w:pStyle w:val="Header"/>
    </w:pP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 xml:space="preserve">Annual accounts of the </w:t>
    </w:r>
    <w:r>
      <w:rPr>
        <w:rFonts w:ascii="Verdana" w:hAnsi="Verdana"/>
        <w:i/>
        <w:color w:val="016794"/>
        <w:sz w:val="16"/>
        <w:szCs w:val="14"/>
      </w:rPr>
      <w:t>European Development Fund 2016</w:t>
    </w:r>
  </w:p>
  <w:p w:rsidR="005D6812" w:rsidRDefault="005D681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 xml:space="preserve">Annual </w:t>
    </w:r>
    <w:r>
      <w:rPr>
        <w:rFonts w:ascii="Verdana" w:hAnsi="Verdana"/>
        <w:i/>
        <w:color w:val="016794"/>
        <w:sz w:val="16"/>
        <w:szCs w:val="14"/>
      </w:rPr>
      <w:t>accounts of the European Development Fund 2016</w:t>
    </w:r>
  </w:p>
  <w:p w:rsidR="005D6812" w:rsidRDefault="005D6812">
    <w:pPr>
      <w:pStyle w:val="Header"/>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 xml:space="preserve">Annual accounts of the </w:t>
    </w:r>
    <w:r>
      <w:rPr>
        <w:rFonts w:ascii="Verdana" w:hAnsi="Verdana"/>
        <w:i/>
        <w:color w:val="016794"/>
        <w:sz w:val="16"/>
        <w:szCs w:val="14"/>
      </w:rPr>
      <w:t>European Development Fund 2016</w:t>
    </w:r>
  </w:p>
  <w:p w:rsidR="005D6812" w:rsidRDefault="005D6812">
    <w:pPr>
      <w:pStyle w:val="Header"/>
    </w:pP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w:t>
    </w:r>
    <w:r>
      <w:rPr>
        <w:rFonts w:ascii="Verdana" w:hAnsi="Verdana"/>
        <w:i/>
        <w:color w:val="016794"/>
        <w:sz w:val="16"/>
        <w:szCs w:val="14"/>
      </w:rPr>
      <w:t xml:space="preserve"> European Development Fund 2016</w:t>
    </w:r>
  </w:p>
  <w:p w:rsidR="005D6812" w:rsidRDefault="005D6812">
    <w:pPr>
      <w:pStyle w:val="Header"/>
    </w:pP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 xml:space="preserve">Annual accounts of the European Development </w:t>
    </w:r>
    <w:r>
      <w:rPr>
        <w:rFonts w:ascii="Verdana" w:hAnsi="Verdana"/>
        <w:i/>
        <w:color w:val="016794"/>
        <w:sz w:val="16"/>
        <w:szCs w:val="14"/>
      </w:rPr>
      <w:t>Fund 2016</w:t>
    </w:r>
  </w:p>
  <w:p w:rsidR="005D6812" w:rsidRDefault="005D6812">
    <w:pPr>
      <w:pStyle w:val="Header"/>
    </w:pP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 xml:space="preserve">Provisional </w:t>
    </w:r>
    <w:r>
      <w:rPr>
        <w:rFonts w:ascii="Verdana" w:hAnsi="Verdana"/>
        <w:i/>
        <w:color w:val="016794"/>
        <w:sz w:val="16"/>
        <w:szCs w:val="14"/>
      </w:rPr>
      <w:t>annual accounts of the European Development Fund 2016</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Provisional annual accounts of the European Development Fund 2016</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 xml:space="preserve">Annual accounts of the European Development </w:t>
    </w:r>
    <w:r>
      <w:rPr>
        <w:rFonts w:ascii="Verdana" w:hAnsi="Verdana"/>
        <w:i/>
        <w:color w:val="016794"/>
        <w:sz w:val="16"/>
        <w:szCs w:val="14"/>
      </w:rPr>
      <w:t>Fund 2016</w:t>
    </w:r>
  </w:p>
  <w:p w:rsidR="005D6812" w:rsidRDefault="005D6812">
    <w:pPr>
      <w:pStyle w:val="Header"/>
    </w:pP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 xml:space="preserve">Annual </w:t>
    </w:r>
    <w:r>
      <w:rPr>
        <w:rFonts w:ascii="Verdana" w:hAnsi="Verdana"/>
        <w:i/>
        <w:color w:val="016794"/>
        <w:sz w:val="16"/>
        <w:szCs w:val="14"/>
      </w:rPr>
      <w:t>accounts of the European Development Fund 2016</w:t>
    </w:r>
  </w:p>
  <w:p w:rsidR="005D6812" w:rsidRDefault="005D6812">
    <w:pPr>
      <w:pStyle w:val="Header"/>
    </w:pP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pBdr>
        <w:top w:val="nil"/>
        <w:left w:val="nil"/>
        <w:bottom w:val="nil"/>
        <w:right w:val="nil"/>
        <w:between w:val="nil"/>
        <w:bar w:val="nil"/>
      </w:pBdr>
      <w:jc w:val="center"/>
      <w:rPr>
        <w:rFonts w:ascii="Arial" w:eastAsia="Calibri" w:hAnsi="Arial" w:cs="Arial"/>
        <w:b/>
        <w:sz w:val="20"/>
        <w:szCs w:val="20"/>
        <w:bdr w:val="nil"/>
        <w:lang w:val="fr-CH" w:eastAsia="en-US"/>
      </w:rPr>
    </w:pPr>
    <w:r>
      <w:rPr>
        <w:rFonts w:ascii="Arial" w:eastAsia="Calibri" w:hAnsi="Arial" w:cs="Arial"/>
        <w:b/>
        <w:sz w:val="20"/>
        <w:szCs w:val="20"/>
        <w:bdr w:val="nil"/>
        <w:lang w:val="fr-CH" w:eastAsia="en-US"/>
      </w:rPr>
      <w:t>INVESTMENT FACILITY</w:t>
    </w:r>
  </w:p>
  <w:p w:rsidR="005D6812" w:rsidRDefault="005D6812">
    <w:pPr>
      <w:pStyle w:val="Header"/>
      <w:pBdr>
        <w:top w:val="nil"/>
        <w:left w:val="nil"/>
        <w:bottom w:val="nil"/>
        <w:right w:val="nil"/>
        <w:between w:val="nil"/>
        <w:bar w:val="nil"/>
      </w:pBdr>
      <w:jc w:val="center"/>
      <w:rPr>
        <w:rFonts w:ascii="Arial" w:eastAsia="Calibri" w:hAnsi="Arial" w:cs="Arial"/>
        <w:b/>
        <w:sz w:val="20"/>
        <w:szCs w:val="20"/>
        <w:bdr w:val="nil"/>
        <w:lang w:val="fr-CH" w:eastAsia="en-US"/>
      </w:rPr>
    </w:pP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Bdr>
        <w:top w:val="nil"/>
        <w:left w:val="nil"/>
        <w:bottom w:val="nil"/>
        <w:right w:val="nil"/>
        <w:between w:val="nil"/>
        <w:bar w:val="nil"/>
      </w:pBdr>
      <w:jc w:val="center"/>
      <w:rPr>
        <w:rFonts w:ascii="Arial" w:eastAsia="Calibri" w:hAnsi="Arial" w:cs="Arial"/>
        <w:b/>
        <w:sz w:val="20"/>
        <w:szCs w:val="20"/>
        <w:bdr w:val="nil"/>
        <w:lang w:eastAsia="en-US"/>
      </w:rPr>
    </w:pP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Bdr>
        <w:top w:val="nil"/>
        <w:left w:val="nil"/>
        <w:bottom w:val="nil"/>
        <w:right w:val="nil"/>
        <w:between w:val="nil"/>
        <w:bar w:val="nil"/>
      </w:pBdr>
      <w:rPr>
        <w:bdr w:val="nil"/>
      </w:rPr>
    </w:pP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0"/>
      <w:pBdr>
        <w:top w:val="nil"/>
        <w:left w:val="nil"/>
        <w:bottom w:val="nil"/>
        <w:right w:val="nil"/>
        <w:between w:val="nil"/>
        <w:bar w:val="nil"/>
      </w:pBdr>
      <w:suppressAutoHyphens w:val="0"/>
      <w:jc w:val="center"/>
      <w:rPr>
        <w:rFonts w:ascii="Arial" w:eastAsia="Calibri" w:hAnsi="Arial" w:cs="Arial"/>
        <w:b/>
        <w:sz w:val="20"/>
        <w:szCs w:val="20"/>
        <w:bdr w:val="nil"/>
        <w:lang w:val="fr-CH" w:eastAsia="en-US"/>
      </w:rPr>
    </w:pPr>
    <w:r>
      <w:rPr>
        <w:rFonts w:ascii="Arial" w:eastAsia="Calibri" w:hAnsi="Arial" w:cs="Arial"/>
        <w:b/>
        <w:sz w:val="20"/>
        <w:szCs w:val="20"/>
        <w:bdr w:val="nil"/>
        <w:lang w:val="fr-CH" w:eastAsia="en-US"/>
      </w:rPr>
      <w:t>INVESTMENT FACILITY</w:t>
    </w:r>
  </w:p>
  <w:p w:rsidR="005D6812" w:rsidRDefault="005D6812">
    <w:pPr>
      <w:pStyle w:val="Header0"/>
      <w:pBdr>
        <w:top w:val="nil"/>
        <w:left w:val="nil"/>
        <w:bottom w:val="nil"/>
        <w:right w:val="nil"/>
        <w:between w:val="nil"/>
        <w:bar w:val="nil"/>
      </w:pBdr>
      <w:suppressAutoHyphens w:val="0"/>
      <w:jc w:val="center"/>
      <w:rPr>
        <w:rFonts w:ascii="Arial" w:eastAsia="Calibri" w:hAnsi="Arial" w:cs="Arial"/>
        <w:b/>
        <w:sz w:val="20"/>
        <w:szCs w:val="20"/>
        <w:bdr w:val="nil"/>
        <w:lang w:val="fr-CH" w:eastAsia="en-US"/>
      </w:rPr>
    </w:pP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0"/>
      <w:pBdr>
        <w:top w:val="nil"/>
        <w:left w:val="nil"/>
        <w:bottom w:val="nil"/>
        <w:right w:val="nil"/>
        <w:between w:val="nil"/>
        <w:bar w:val="nil"/>
      </w:pBdr>
      <w:suppressAutoHyphens w:val="0"/>
      <w:jc w:val="center"/>
      <w:rPr>
        <w:rFonts w:ascii="Arial" w:eastAsia="Calibri" w:hAnsi="Arial" w:cs="Arial"/>
        <w:b/>
        <w:sz w:val="20"/>
        <w:szCs w:val="20"/>
        <w:bdr w:val="nil"/>
        <w:lang w:eastAsia="en-US"/>
      </w:rPr>
    </w:pP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Normal0"/>
    </w:pP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25"/>
      <w:pBdr>
        <w:top w:val="nil"/>
        <w:left w:val="nil"/>
        <w:bottom w:val="nil"/>
        <w:right w:val="nil"/>
        <w:between w:val="nil"/>
        <w:bar w:val="nil"/>
      </w:pBdr>
      <w:suppressAutoHyphens w:val="0"/>
      <w:jc w:val="center"/>
      <w:rPr>
        <w:rFonts w:ascii="Arial" w:eastAsia="Calibri" w:hAnsi="Arial" w:cs="Arial"/>
        <w:b/>
        <w:sz w:val="20"/>
        <w:szCs w:val="20"/>
        <w:bdr w:val="nil"/>
        <w:lang w:val="fr-CH" w:eastAsia="en-US"/>
      </w:rPr>
    </w:pPr>
    <w:r>
      <w:rPr>
        <w:rFonts w:ascii="Arial" w:eastAsia="Calibri" w:hAnsi="Arial" w:cs="Arial"/>
        <w:b/>
        <w:sz w:val="20"/>
        <w:szCs w:val="20"/>
        <w:bdr w:val="nil"/>
        <w:lang w:val="fr-CH" w:eastAsia="en-US"/>
      </w:rPr>
      <w:t>INVESTMENT FACILITY</w:t>
    </w:r>
  </w:p>
  <w:p w:rsidR="005D6812" w:rsidRDefault="005D6812">
    <w:pPr>
      <w:pStyle w:val="Header25"/>
      <w:pBdr>
        <w:top w:val="nil"/>
        <w:left w:val="nil"/>
        <w:bottom w:val="nil"/>
        <w:right w:val="nil"/>
        <w:between w:val="nil"/>
        <w:bar w:val="nil"/>
      </w:pBdr>
      <w:suppressAutoHyphens w:val="0"/>
      <w:jc w:val="center"/>
      <w:rPr>
        <w:rFonts w:ascii="Arial" w:eastAsia="Calibri" w:hAnsi="Arial" w:cs="Arial"/>
        <w:b/>
        <w:sz w:val="20"/>
        <w:szCs w:val="20"/>
        <w:bdr w:val="nil"/>
        <w:lang w:val="fr-CH" w:eastAsia="en-US"/>
      </w:rPr>
    </w:pP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25"/>
      <w:pBdr>
        <w:top w:val="nil"/>
        <w:left w:val="nil"/>
        <w:bottom w:val="nil"/>
        <w:right w:val="nil"/>
        <w:between w:val="nil"/>
        <w:bar w:val="nil"/>
      </w:pBdr>
      <w:suppressAutoHyphens w:val="0"/>
      <w:jc w:val="center"/>
      <w:rPr>
        <w:rFonts w:ascii="Arial" w:eastAsia="Calibri" w:hAnsi="Arial" w:cs="Arial"/>
        <w:b/>
        <w:sz w:val="20"/>
        <w:szCs w:val="20"/>
        <w:bdr w:val="nil"/>
        <w:lang w:eastAsia="en-US"/>
      </w:rPr>
    </w:pP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Normal27"/>
    </w:pP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27"/>
      <w:pBdr>
        <w:top w:val="nil"/>
        <w:left w:val="nil"/>
        <w:bottom w:val="nil"/>
        <w:right w:val="nil"/>
        <w:between w:val="nil"/>
        <w:bar w:val="nil"/>
      </w:pBdr>
      <w:suppressAutoHyphens w:val="0"/>
      <w:jc w:val="center"/>
      <w:rPr>
        <w:rFonts w:ascii="Arial" w:eastAsia="Calibri" w:hAnsi="Arial" w:cs="Arial"/>
        <w:b/>
        <w:sz w:val="20"/>
        <w:szCs w:val="20"/>
        <w:bdr w:val="nil"/>
        <w:lang w:val="fr-CH" w:eastAsia="en-US"/>
      </w:rPr>
    </w:pPr>
    <w:r>
      <w:rPr>
        <w:rFonts w:ascii="Arial" w:eastAsia="Calibri" w:hAnsi="Arial" w:cs="Arial"/>
        <w:b/>
        <w:sz w:val="20"/>
        <w:szCs w:val="20"/>
        <w:bdr w:val="nil"/>
        <w:lang w:val="fr-CH" w:eastAsia="en-US"/>
      </w:rPr>
      <w:t>INVESTMENT FACILITY</w:t>
    </w:r>
  </w:p>
  <w:p w:rsidR="005D6812" w:rsidRDefault="005D6812">
    <w:pPr>
      <w:pStyle w:val="Header27"/>
      <w:pBdr>
        <w:top w:val="nil"/>
        <w:left w:val="nil"/>
        <w:bottom w:val="nil"/>
        <w:right w:val="nil"/>
        <w:between w:val="nil"/>
        <w:bar w:val="nil"/>
      </w:pBdr>
      <w:suppressAutoHyphens w:val="0"/>
      <w:jc w:val="center"/>
      <w:rPr>
        <w:rFonts w:ascii="Arial" w:eastAsia="Calibri" w:hAnsi="Arial" w:cs="Arial"/>
        <w:b/>
        <w:sz w:val="20"/>
        <w:szCs w:val="20"/>
        <w:bdr w:val="nil"/>
        <w:lang w:val="fr-CH"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 xml:space="preserve">Annual </w:t>
    </w:r>
    <w:r>
      <w:rPr>
        <w:rFonts w:ascii="Verdana" w:hAnsi="Verdana"/>
        <w:i/>
        <w:color w:val="016794"/>
        <w:sz w:val="16"/>
        <w:szCs w:val="14"/>
      </w:rPr>
      <w:t>accounts of the European Development Fund 2016</w:t>
    </w:r>
  </w:p>
  <w:p w:rsidR="005D6812" w:rsidRDefault="005D6812">
    <w:pPr>
      <w:pStyle w:val="Header27"/>
      <w:pBdr>
        <w:top w:val="nil"/>
        <w:left w:val="nil"/>
        <w:bottom w:val="nil"/>
        <w:right w:val="nil"/>
        <w:between w:val="nil"/>
        <w:bar w:val="nil"/>
      </w:pBdr>
      <w:suppressAutoHyphens w:val="0"/>
      <w:jc w:val="center"/>
      <w:rPr>
        <w:rFonts w:ascii="Arial" w:eastAsia="Calibri" w:hAnsi="Arial" w:cs="Arial"/>
        <w:b/>
        <w:sz w:val="20"/>
        <w:szCs w:val="20"/>
        <w:bdr w:val="nil"/>
        <w:lang w:eastAsia="en-US"/>
      </w:rPr>
    </w:pP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Normal29"/>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w:t>
    </w:r>
    <w:r>
      <w:rPr>
        <w:rFonts w:ascii="Verdana" w:hAnsi="Verdana"/>
        <w:i/>
        <w:color w:val="016794"/>
        <w:sz w:val="16"/>
        <w:szCs w:val="14"/>
      </w:rPr>
      <w:t>ccounts of the European Development Fund 2016</w:t>
    </w:r>
  </w:p>
  <w:p w:rsidR="005D6812" w:rsidRDefault="005D6812">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 xml:space="preserve">Annual </w:t>
    </w:r>
    <w:r>
      <w:rPr>
        <w:rFonts w:ascii="Verdana" w:hAnsi="Verdana"/>
        <w:i/>
        <w:color w:val="016794"/>
        <w:sz w:val="16"/>
        <w:szCs w:val="14"/>
      </w:rPr>
      <w:t>accounts of the European Development Fund 2016</w:t>
    </w:r>
  </w:p>
  <w:p w:rsidR="005D6812" w:rsidRDefault="005D6812">
    <w:pPr>
      <w:pStyle w:val="Heade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AB2A2B">
    <w:pPr>
      <w:pStyle w:val="Header"/>
      <w:tabs>
        <w:tab w:val="clear" w:pos="4677"/>
        <w:tab w:val="clear" w:pos="9355"/>
        <w:tab w:val="center" w:pos="4819"/>
        <w:tab w:val="right" w:pos="9638"/>
      </w:tabs>
      <w:jc w:val="center"/>
      <w:rPr>
        <w:rFonts w:ascii="Verdana" w:hAnsi="Verdana"/>
      </w:rPr>
    </w:pPr>
    <w:r>
      <w:rPr>
        <w:rFonts w:ascii="Verdana" w:hAnsi="Verdana"/>
        <w:i/>
        <w:color w:val="016794"/>
        <w:sz w:val="16"/>
        <w:szCs w:val="14"/>
      </w:rPr>
      <w:t>Annual accounts of the European Development Fund 2016</w:t>
    </w:r>
  </w:p>
  <w:p w:rsidR="005D6812" w:rsidRDefault="005D6812">
    <w:pPr>
      <w:pStyle w:val="Header"/>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812" w:rsidRDefault="005D68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77EDC18"/>
    <w:lvl w:ilvl="0">
      <w:start w:val="1"/>
      <w:numFmt w:val="decimal"/>
      <w:pStyle w:val="HEADER1Part3"/>
      <w:lvlText w:val="%1."/>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1">
      <w:start w:val="1"/>
      <w:numFmt w:val="decimal"/>
      <w:pStyle w:val="HEADER2Part3"/>
      <w:lvlText w:val="%1.%2."/>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2">
      <w:start w:val="1"/>
      <w:numFmt w:val="decimal"/>
      <w:pStyle w:val="HEADER3Part3"/>
      <w:lvlText w:val="%1.%2.%3."/>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3">
      <w:start w:val="1"/>
      <w:numFmt w:val="decimal"/>
      <w:lvlText w:val="%1.%2.%3.%4."/>
      <w:lvlJc w:val="left"/>
      <w:pPr>
        <w:ind w:left="907" w:hanging="90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1">
    <w:nsid w:val="00000002"/>
    <w:multiLevelType w:val="hybridMultilevel"/>
    <w:tmpl w:val="675ED66A"/>
    <w:lvl w:ilvl="0" w:tplc="DF685982">
      <w:start w:val="1"/>
      <w:numFmt w:val="lowerLetter"/>
      <w:pStyle w:val="Textstand-alonenumberingLetters"/>
      <w:lvlText w:val="%1)"/>
      <w:lvlJc w:val="left"/>
      <w:pPr>
        <w:ind w:left="720" w:hanging="360"/>
      </w:pPr>
      <w:rPr>
        <w:rFonts w:hint="default"/>
      </w:rPr>
    </w:lvl>
    <w:lvl w:ilvl="1" w:tplc="38A0E20A" w:tentative="1">
      <w:start w:val="1"/>
      <w:numFmt w:val="lowerLetter"/>
      <w:lvlText w:val="%2."/>
      <w:lvlJc w:val="left"/>
      <w:pPr>
        <w:ind w:left="1440" w:hanging="360"/>
      </w:pPr>
    </w:lvl>
    <w:lvl w:ilvl="2" w:tplc="13982AD4" w:tentative="1">
      <w:start w:val="1"/>
      <w:numFmt w:val="lowerRoman"/>
      <w:lvlText w:val="%3."/>
      <w:lvlJc w:val="right"/>
      <w:pPr>
        <w:ind w:left="2160" w:hanging="180"/>
      </w:pPr>
    </w:lvl>
    <w:lvl w:ilvl="3" w:tplc="8C425408" w:tentative="1">
      <w:start w:val="1"/>
      <w:numFmt w:val="decimal"/>
      <w:lvlText w:val="%4."/>
      <w:lvlJc w:val="left"/>
      <w:pPr>
        <w:ind w:left="2880" w:hanging="360"/>
      </w:pPr>
    </w:lvl>
    <w:lvl w:ilvl="4" w:tplc="501A69FE" w:tentative="1">
      <w:start w:val="1"/>
      <w:numFmt w:val="lowerLetter"/>
      <w:lvlText w:val="%5."/>
      <w:lvlJc w:val="left"/>
      <w:pPr>
        <w:ind w:left="3600" w:hanging="360"/>
      </w:pPr>
    </w:lvl>
    <w:lvl w:ilvl="5" w:tplc="96385366" w:tentative="1">
      <w:start w:val="1"/>
      <w:numFmt w:val="lowerRoman"/>
      <w:lvlText w:val="%6."/>
      <w:lvlJc w:val="right"/>
      <w:pPr>
        <w:ind w:left="4320" w:hanging="180"/>
      </w:pPr>
    </w:lvl>
    <w:lvl w:ilvl="6" w:tplc="D09A2A64" w:tentative="1">
      <w:start w:val="1"/>
      <w:numFmt w:val="decimal"/>
      <w:lvlText w:val="%7."/>
      <w:lvlJc w:val="left"/>
      <w:pPr>
        <w:ind w:left="5040" w:hanging="360"/>
      </w:pPr>
    </w:lvl>
    <w:lvl w:ilvl="7" w:tplc="B57866D4" w:tentative="1">
      <w:start w:val="1"/>
      <w:numFmt w:val="lowerLetter"/>
      <w:lvlText w:val="%8."/>
      <w:lvlJc w:val="left"/>
      <w:pPr>
        <w:ind w:left="5760" w:hanging="360"/>
      </w:pPr>
    </w:lvl>
    <w:lvl w:ilvl="8" w:tplc="66460280" w:tentative="1">
      <w:start w:val="1"/>
      <w:numFmt w:val="lowerRoman"/>
      <w:lvlText w:val="%9."/>
      <w:lvlJc w:val="right"/>
      <w:pPr>
        <w:ind w:left="6480" w:hanging="180"/>
      </w:pPr>
    </w:lvl>
  </w:abstractNum>
  <w:abstractNum w:abstractNumId="2">
    <w:nsid w:val="00000004"/>
    <w:multiLevelType w:val="hybridMultilevel"/>
    <w:tmpl w:val="7CB6E1C4"/>
    <w:lvl w:ilvl="0" w:tplc="FFD42D0A">
      <w:start w:val="1"/>
      <w:numFmt w:val="decimal"/>
      <w:pStyle w:val="DGTextstand-alonenumbering"/>
      <w:lvlText w:val="(%1)"/>
      <w:lvlJc w:val="left"/>
      <w:pPr>
        <w:ind w:left="720" w:hanging="360"/>
      </w:pPr>
      <w:rPr>
        <w:rFonts w:hint="default"/>
      </w:rPr>
    </w:lvl>
    <w:lvl w:ilvl="1" w:tplc="20C6A190" w:tentative="1">
      <w:start w:val="1"/>
      <w:numFmt w:val="lowerLetter"/>
      <w:lvlText w:val="%2."/>
      <w:lvlJc w:val="left"/>
      <w:pPr>
        <w:ind w:left="1440" w:hanging="360"/>
      </w:pPr>
    </w:lvl>
    <w:lvl w:ilvl="2" w:tplc="9A4A7902" w:tentative="1">
      <w:start w:val="1"/>
      <w:numFmt w:val="lowerRoman"/>
      <w:lvlText w:val="%3."/>
      <w:lvlJc w:val="right"/>
      <w:pPr>
        <w:ind w:left="2160" w:hanging="180"/>
      </w:pPr>
    </w:lvl>
    <w:lvl w:ilvl="3" w:tplc="D3D2C4B6" w:tentative="1">
      <w:start w:val="1"/>
      <w:numFmt w:val="decimal"/>
      <w:lvlText w:val="%4."/>
      <w:lvlJc w:val="left"/>
      <w:pPr>
        <w:ind w:left="2880" w:hanging="360"/>
      </w:pPr>
    </w:lvl>
    <w:lvl w:ilvl="4" w:tplc="2458C082" w:tentative="1">
      <w:start w:val="1"/>
      <w:numFmt w:val="lowerLetter"/>
      <w:lvlText w:val="%5."/>
      <w:lvlJc w:val="left"/>
      <w:pPr>
        <w:ind w:left="3600" w:hanging="360"/>
      </w:pPr>
    </w:lvl>
    <w:lvl w:ilvl="5" w:tplc="EAD47E10" w:tentative="1">
      <w:start w:val="1"/>
      <w:numFmt w:val="lowerRoman"/>
      <w:lvlText w:val="%6."/>
      <w:lvlJc w:val="right"/>
      <w:pPr>
        <w:ind w:left="4320" w:hanging="180"/>
      </w:pPr>
    </w:lvl>
    <w:lvl w:ilvl="6" w:tplc="8ACC4B4A" w:tentative="1">
      <w:start w:val="1"/>
      <w:numFmt w:val="decimal"/>
      <w:lvlText w:val="%7."/>
      <w:lvlJc w:val="left"/>
      <w:pPr>
        <w:ind w:left="5040" w:hanging="360"/>
      </w:pPr>
    </w:lvl>
    <w:lvl w:ilvl="7" w:tplc="B5D4220C" w:tentative="1">
      <w:start w:val="1"/>
      <w:numFmt w:val="lowerLetter"/>
      <w:lvlText w:val="%8."/>
      <w:lvlJc w:val="left"/>
      <w:pPr>
        <w:ind w:left="5760" w:hanging="360"/>
      </w:pPr>
    </w:lvl>
    <w:lvl w:ilvl="8" w:tplc="A0A8B472" w:tentative="1">
      <w:start w:val="1"/>
      <w:numFmt w:val="lowerRoman"/>
      <w:lvlText w:val="%9."/>
      <w:lvlJc w:val="right"/>
      <w:pPr>
        <w:ind w:left="6480" w:hanging="180"/>
      </w:pPr>
    </w:lvl>
  </w:abstractNum>
  <w:abstractNum w:abstractNumId="3">
    <w:nsid w:val="00000006"/>
    <w:multiLevelType w:val="hybridMultilevel"/>
    <w:tmpl w:val="42FC2B20"/>
    <w:lvl w:ilvl="0" w:tplc="D940E6D0">
      <w:start w:val="1"/>
      <w:numFmt w:val="lowerRoman"/>
      <w:pStyle w:val="TextSubtitlenumberingRCItalic"/>
      <w:lvlText w:val="(%1)"/>
      <w:lvlJc w:val="left"/>
      <w:pPr>
        <w:ind w:left="720" w:hanging="360"/>
      </w:pPr>
      <w:rPr>
        <w:rFonts w:hint="default"/>
      </w:rPr>
    </w:lvl>
    <w:lvl w:ilvl="1" w:tplc="5F606EAA" w:tentative="1">
      <w:start w:val="1"/>
      <w:numFmt w:val="lowerLetter"/>
      <w:lvlText w:val="%2."/>
      <w:lvlJc w:val="left"/>
      <w:pPr>
        <w:ind w:left="1440" w:hanging="360"/>
      </w:pPr>
    </w:lvl>
    <w:lvl w:ilvl="2" w:tplc="DF16C972" w:tentative="1">
      <w:start w:val="1"/>
      <w:numFmt w:val="lowerRoman"/>
      <w:lvlText w:val="%3."/>
      <w:lvlJc w:val="right"/>
      <w:pPr>
        <w:ind w:left="2160" w:hanging="180"/>
      </w:pPr>
    </w:lvl>
    <w:lvl w:ilvl="3" w:tplc="B30E9C42" w:tentative="1">
      <w:start w:val="1"/>
      <w:numFmt w:val="decimal"/>
      <w:lvlText w:val="%4."/>
      <w:lvlJc w:val="left"/>
      <w:pPr>
        <w:ind w:left="2880" w:hanging="360"/>
      </w:pPr>
    </w:lvl>
    <w:lvl w:ilvl="4" w:tplc="040A34A0" w:tentative="1">
      <w:start w:val="1"/>
      <w:numFmt w:val="lowerLetter"/>
      <w:lvlText w:val="%5."/>
      <w:lvlJc w:val="left"/>
      <w:pPr>
        <w:ind w:left="3600" w:hanging="360"/>
      </w:pPr>
    </w:lvl>
    <w:lvl w:ilvl="5" w:tplc="60DC58EE" w:tentative="1">
      <w:start w:val="1"/>
      <w:numFmt w:val="lowerRoman"/>
      <w:lvlText w:val="%6."/>
      <w:lvlJc w:val="right"/>
      <w:pPr>
        <w:ind w:left="4320" w:hanging="180"/>
      </w:pPr>
    </w:lvl>
    <w:lvl w:ilvl="6" w:tplc="23B65FA8" w:tentative="1">
      <w:start w:val="1"/>
      <w:numFmt w:val="decimal"/>
      <w:lvlText w:val="%7."/>
      <w:lvlJc w:val="left"/>
      <w:pPr>
        <w:ind w:left="5040" w:hanging="360"/>
      </w:pPr>
    </w:lvl>
    <w:lvl w:ilvl="7" w:tplc="03FE955A" w:tentative="1">
      <w:start w:val="1"/>
      <w:numFmt w:val="lowerLetter"/>
      <w:lvlText w:val="%8."/>
      <w:lvlJc w:val="left"/>
      <w:pPr>
        <w:ind w:left="5760" w:hanging="360"/>
      </w:pPr>
    </w:lvl>
    <w:lvl w:ilvl="8" w:tplc="44EA1308" w:tentative="1">
      <w:start w:val="1"/>
      <w:numFmt w:val="lowerRoman"/>
      <w:lvlText w:val="%9."/>
      <w:lvlJc w:val="right"/>
      <w:pPr>
        <w:ind w:left="6480" w:hanging="180"/>
      </w:pPr>
    </w:lvl>
  </w:abstractNum>
  <w:abstractNum w:abstractNumId="4">
    <w:nsid w:val="00000007"/>
    <w:multiLevelType w:val="hybridMultilevel"/>
    <w:tmpl w:val="5DD0517A"/>
    <w:lvl w:ilvl="0" w:tplc="37D661B8">
      <w:start w:val="1"/>
      <w:numFmt w:val="lowerRoman"/>
      <w:pStyle w:val="TextstandalonenumberingRCJustified"/>
      <w:lvlText w:val="(%1)"/>
      <w:lvlJc w:val="left"/>
      <w:pPr>
        <w:tabs>
          <w:tab w:val="num" w:pos="0"/>
        </w:tabs>
        <w:ind w:left="107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highlight w:val="none"/>
        <w:u w:val="none"/>
        <w:effect w:val="none"/>
        <w:vertAlign w:val="baseline"/>
        <w:rtl w:val="0"/>
        <w:cs w:val="0"/>
        <w:specVanish w:val="0"/>
      </w:rPr>
    </w:lvl>
    <w:lvl w:ilvl="1" w:tplc="2F3EBB26" w:tentative="1">
      <w:start w:val="1"/>
      <w:numFmt w:val="lowerLetter"/>
      <w:lvlText w:val="%2."/>
      <w:lvlJc w:val="left"/>
      <w:pPr>
        <w:ind w:left="1797" w:hanging="360"/>
      </w:pPr>
    </w:lvl>
    <w:lvl w:ilvl="2" w:tplc="0F7C539C" w:tentative="1">
      <w:start w:val="1"/>
      <w:numFmt w:val="lowerRoman"/>
      <w:lvlText w:val="%3."/>
      <w:lvlJc w:val="right"/>
      <w:pPr>
        <w:ind w:left="2517" w:hanging="180"/>
      </w:pPr>
    </w:lvl>
    <w:lvl w:ilvl="3" w:tplc="FEBE5C16" w:tentative="1">
      <w:start w:val="1"/>
      <w:numFmt w:val="decimal"/>
      <w:lvlText w:val="%4."/>
      <w:lvlJc w:val="left"/>
      <w:pPr>
        <w:ind w:left="3237" w:hanging="360"/>
      </w:pPr>
    </w:lvl>
    <w:lvl w:ilvl="4" w:tplc="3E3AC6CA" w:tentative="1">
      <w:start w:val="1"/>
      <w:numFmt w:val="lowerLetter"/>
      <w:lvlText w:val="%5."/>
      <w:lvlJc w:val="left"/>
      <w:pPr>
        <w:ind w:left="3957" w:hanging="360"/>
      </w:pPr>
    </w:lvl>
    <w:lvl w:ilvl="5" w:tplc="A7D874B6" w:tentative="1">
      <w:start w:val="1"/>
      <w:numFmt w:val="lowerRoman"/>
      <w:lvlText w:val="%6."/>
      <w:lvlJc w:val="right"/>
      <w:pPr>
        <w:ind w:left="4677" w:hanging="180"/>
      </w:pPr>
    </w:lvl>
    <w:lvl w:ilvl="6" w:tplc="EEACF90C" w:tentative="1">
      <w:start w:val="1"/>
      <w:numFmt w:val="decimal"/>
      <w:lvlText w:val="%7."/>
      <w:lvlJc w:val="left"/>
      <w:pPr>
        <w:ind w:left="5397" w:hanging="360"/>
      </w:pPr>
    </w:lvl>
    <w:lvl w:ilvl="7" w:tplc="E25431AC" w:tentative="1">
      <w:start w:val="1"/>
      <w:numFmt w:val="lowerLetter"/>
      <w:lvlText w:val="%8."/>
      <w:lvlJc w:val="left"/>
      <w:pPr>
        <w:ind w:left="6117" w:hanging="360"/>
      </w:pPr>
    </w:lvl>
    <w:lvl w:ilvl="8" w:tplc="18F84D28" w:tentative="1">
      <w:start w:val="1"/>
      <w:numFmt w:val="lowerRoman"/>
      <w:lvlText w:val="%9."/>
      <w:lvlJc w:val="right"/>
      <w:pPr>
        <w:ind w:left="6837" w:hanging="180"/>
      </w:pPr>
    </w:lvl>
  </w:abstractNum>
  <w:abstractNum w:abstractNumId="5">
    <w:nsid w:val="00000008"/>
    <w:multiLevelType w:val="multilevel"/>
    <w:tmpl w:val="9EC0C04E"/>
    <w:lvl w:ilvl="0">
      <w:start w:val="1"/>
      <w:numFmt w:val="lowerLetter"/>
      <w:pStyle w:val="TextSubtitleItalicnumberinglettera"/>
      <w:lvlText w:val="(%1)"/>
      <w:lvlJc w:val="left"/>
      <w:pPr>
        <w:ind w:left="0" w:firstLine="0"/>
      </w:pPr>
      <w:rPr>
        <w:rFonts w:ascii="Verdana" w:hAnsi="Verdana" w:hint="default"/>
        <w:b w:val="0"/>
        <w:i w:val="0"/>
        <w:iCs w:val="0"/>
        <w:caps w:val="0"/>
        <w:smallCaps w:val="0"/>
        <w:strike w:val="0"/>
        <w:dstrike w:val="0"/>
        <w:noProof w:val="0"/>
        <w:vanish w:val="0"/>
        <w:color w:val="auto"/>
        <w:spacing w:val="0"/>
        <w:position w:val="0"/>
        <w:sz w:val="18"/>
        <w:u w:val="none"/>
        <w:effect w:val="none"/>
        <w:vertAlign w:val="baseline"/>
        <w:specVanish w:val="0"/>
      </w:rPr>
    </w:lvl>
    <w:lvl w:ilvl="1">
      <w:start w:val="1"/>
      <w:numFmt w:val="decimal"/>
      <w:lvlText w:val="%1.%2"/>
      <w:lvlJc w:val="left"/>
      <w:pPr>
        <w:ind w:left="1440" w:hanging="1440"/>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2">
      <w:start w:val="1"/>
      <w:numFmt w:val="decimal"/>
      <w:lvlText w:val="%1.%2.%3."/>
      <w:lvlJc w:val="left"/>
      <w:pPr>
        <w:ind w:left="992" w:hanging="992"/>
      </w:pPr>
      <w:rPr>
        <w:rFonts w:cs="Times New Roman" w:hint="default"/>
        <w:b w:val="0"/>
        <w:bCs w:val="0"/>
        <w:i w:val="0"/>
        <w:iCs w:val="0"/>
        <w:caps w:val="0"/>
        <w:smallCaps w:val="0"/>
        <w:strike w:val="0"/>
        <w:dstrike w:val="0"/>
        <w:vanish w:val="0"/>
        <w:spacing w:val="0"/>
        <w:kern w:val="0"/>
        <w:position w:val="0"/>
        <w:u w:val="none"/>
        <w:effect w:val="none"/>
        <w:vertAlign w:val="baseline"/>
        <w:specVanish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2757792"/>
    <w:multiLevelType w:val="multilevel"/>
    <w:tmpl w:val="B89498CE"/>
    <w:lvl w:ilvl="0">
      <w:start w:val="1"/>
      <w:numFmt w:val="decimal"/>
      <w:pStyle w:val="HEADER1Part1"/>
      <w:isLgl/>
      <w:lvlText w:val="%1."/>
      <w:lvlJc w:val="left"/>
      <w:pPr>
        <w:ind w:left="907" w:hanging="907"/>
      </w:pPr>
      <w:rPr>
        <w:rFonts w:hint="default"/>
        <w:b/>
        <w:i w:val="0"/>
        <w:color w:val="016794"/>
        <w:sz w:val="32"/>
        <w:szCs w:val="28"/>
      </w:rPr>
    </w:lvl>
    <w:lvl w:ilvl="1">
      <w:start w:val="1"/>
      <w:numFmt w:val="decimal"/>
      <w:pStyle w:val="HEADER2Part1"/>
      <w:isLgl/>
      <w:lvlText w:val="%1.%2."/>
      <w:lvlJc w:val="left"/>
      <w:pPr>
        <w:ind w:left="907" w:hanging="907"/>
      </w:pPr>
      <w:rPr>
        <w:rFonts w:hint="default"/>
      </w:rPr>
    </w:lvl>
    <w:lvl w:ilvl="2">
      <w:start w:val="1"/>
      <w:numFmt w:val="decimal"/>
      <w:pStyle w:val="HEADER3Part1"/>
      <w:isLgl/>
      <w:lvlText w:val="%1.%2.%3."/>
      <w:lvlJc w:val="left"/>
      <w:pPr>
        <w:ind w:left="907" w:hanging="907"/>
      </w:pPr>
      <w:rPr>
        <w:rFonts w:hint="default"/>
      </w:rPr>
    </w:lvl>
    <w:lvl w:ilvl="3">
      <w:start w:val="1"/>
      <w:numFmt w:val="decimal"/>
      <w:pStyle w:val="HEADER4Part1"/>
      <w:isLgl/>
      <w:lvlText w:val="%1.%2.%3.%4."/>
      <w:lvlJc w:val="left"/>
      <w:pPr>
        <w:ind w:left="907" w:hanging="90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98A3198"/>
    <w:multiLevelType w:val="hybridMultilevel"/>
    <w:tmpl w:val="A99C3C74"/>
    <w:lvl w:ilvl="0" w:tplc="1B785400">
      <w:start w:val="1"/>
      <w:numFmt w:val="decimal"/>
      <w:pStyle w:val="HEADER4Part3"/>
      <w:lvlText w:val="%1.1.1.1"/>
      <w:lvlJc w:val="left"/>
      <w:pPr>
        <w:ind w:left="720" w:hanging="360"/>
      </w:pPr>
      <w:rPr>
        <w:rFonts w:ascii="Verdana" w:hAnsi="Verdana" w:hint="default"/>
        <w:sz w:val="18"/>
        <w:szCs w:val="18"/>
      </w:rPr>
    </w:lvl>
    <w:lvl w:ilvl="1" w:tplc="128A8542" w:tentative="1">
      <w:start w:val="1"/>
      <w:numFmt w:val="lowerLetter"/>
      <w:lvlText w:val="%2."/>
      <w:lvlJc w:val="left"/>
      <w:pPr>
        <w:ind w:left="1440" w:hanging="360"/>
      </w:pPr>
    </w:lvl>
    <w:lvl w:ilvl="2" w:tplc="DA8830E0" w:tentative="1">
      <w:start w:val="1"/>
      <w:numFmt w:val="lowerRoman"/>
      <w:lvlText w:val="%3."/>
      <w:lvlJc w:val="right"/>
      <w:pPr>
        <w:ind w:left="2160" w:hanging="180"/>
      </w:pPr>
    </w:lvl>
    <w:lvl w:ilvl="3" w:tplc="6688C500">
      <w:start w:val="1"/>
      <w:numFmt w:val="decimal"/>
      <w:lvlText w:val="%4."/>
      <w:lvlJc w:val="left"/>
      <w:pPr>
        <w:ind w:left="2880" w:hanging="360"/>
      </w:pPr>
    </w:lvl>
    <w:lvl w:ilvl="4" w:tplc="25D0023E" w:tentative="1">
      <w:start w:val="1"/>
      <w:numFmt w:val="lowerLetter"/>
      <w:lvlText w:val="%5."/>
      <w:lvlJc w:val="left"/>
      <w:pPr>
        <w:ind w:left="3600" w:hanging="360"/>
      </w:pPr>
    </w:lvl>
    <w:lvl w:ilvl="5" w:tplc="3E907D80" w:tentative="1">
      <w:start w:val="1"/>
      <w:numFmt w:val="lowerRoman"/>
      <w:lvlText w:val="%6."/>
      <w:lvlJc w:val="right"/>
      <w:pPr>
        <w:ind w:left="4320" w:hanging="180"/>
      </w:pPr>
    </w:lvl>
    <w:lvl w:ilvl="6" w:tplc="296C96EA" w:tentative="1">
      <w:start w:val="1"/>
      <w:numFmt w:val="decimal"/>
      <w:lvlText w:val="%7."/>
      <w:lvlJc w:val="left"/>
      <w:pPr>
        <w:ind w:left="5040" w:hanging="360"/>
      </w:pPr>
    </w:lvl>
    <w:lvl w:ilvl="7" w:tplc="04C670D8" w:tentative="1">
      <w:start w:val="1"/>
      <w:numFmt w:val="lowerLetter"/>
      <w:lvlText w:val="%8."/>
      <w:lvlJc w:val="left"/>
      <w:pPr>
        <w:ind w:left="5760" w:hanging="360"/>
      </w:pPr>
    </w:lvl>
    <w:lvl w:ilvl="8" w:tplc="ADF62616" w:tentative="1">
      <w:start w:val="1"/>
      <w:numFmt w:val="lowerRoman"/>
      <w:lvlText w:val="%9."/>
      <w:lvlJc w:val="right"/>
      <w:pPr>
        <w:ind w:left="6480" w:hanging="180"/>
      </w:pPr>
    </w:lvl>
  </w:abstractNum>
  <w:abstractNum w:abstractNumId="8">
    <w:nsid w:val="199F1DAA"/>
    <w:multiLevelType w:val="hybridMultilevel"/>
    <w:tmpl w:val="1248AB5A"/>
    <w:lvl w:ilvl="0" w:tplc="585E6DDE">
      <w:start w:val="1"/>
      <w:numFmt w:val="decimal"/>
      <w:pStyle w:val="Textstand-alonenumberingJustified"/>
      <w:lvlText w:val="(%1)"/>
      <w:lvlJc w:val="left"/>
      <w:pPr>
        <w:ind w:left="720" w:hanging="360"/>
      </w:pPr>
      <w:rPr>
        <w:rFonts w:ascii="Verdana" w:hAnsi="Verdana" w:hint="default"/>
        <w:b w:val="0"/>
        <w:i w:val="0"/>
        <w:sz w:val="18"/>
      </w:rPr>
    </w:lvl>
    <w:lvl w:ilvl="1" w:tplc="7D7C75E8" w:tentative="1">
      <w:start w:val="1"/>
      <w:numFmt w:val="lowerLetter"/>
      <w:lvlText w:val="%2."/>
      <w:lvlJc w:val="left"/>
      <w:pPr>
        <w:ind w:left="1440" w:hanging="360"/>
      </w:pPr>
    </w:lvl>
    <w:lvl w:ilvl="2" w:tplc="D2ACC8BC" w:tentative="1">
      <w:start w:val="1"/>
      <w:numFmt w:val="lowerRoman"/>
      <w:lvlText w:val="%3."/>
      <w:lvlJc w:val="right"/>
      <w:pPr>
        <w:ind w:left="2160" w:hanging="180"/>
      </w:pPr>
    </w:lvl>
    <w:lvl w:ilvl="3" w:tplc="7E9234DE" w:tentative="1">
      <w:start w:val="1"/>
      <w:numFmt w:val="decimal"/>
      <w:lvlText w:val="%4."/>
      <w:lvlJc w:val="left"/>
      <w:pPr>
        <w:ind w:left="2880" w:hanging="360"/>
      </w:pPr>
    </w:lvl>
    <w:lvl w:ilvl="4" w:tplc="6F2A377C" w:tentative="1">
      <w:start w:val="1"/>
      <w:numFmt w:val="lowerLetter"/>
      <w:lvlText w:val="%5."/>
      <w:lvlJc w:val="left"/>
      <w:pPr>
        <w:ind w:left="3600" w:hanging="360"/>
      </w:pPr>
    </w:lvl>
    <w:lvl w:ilvl="5" w:tplc="0E66C008" w:tentative="1">
      <w:start w:val="1"/>
      <w:numFmt w:val="lowerRoman"/>
      <w:lvlText w:val="%6."/>
      <w:lvlJc w:val="right"/>
      <w:pPr>
        <w:ind w:left="4320" w:hanging="180"/>
      </w:pPr>
    </w:lvl>
    <w:lvl w:ilvl="6" w:tplc="8A543486" w:tentative="1">
      <w:start w:val="1"/>
      <w:numFmt w:val="decimal"/>
      <w:lvlText w:val="%7."/>
      <w:lvlJc w:val="left"/>
      <w:pPr>
        <w:ind w:left="5040" w:hanging="360"/>
      </w:pPr>
    </w:lvl>
    <w:lvl w:ilvl="7" w:tplc="63D6758E" w:tentative="1">
      <w:start w:val="1"/>
      <w:numFmt w:val="lowerLetter"/>
      <w:lvlText w:val="%8."/>
      <w:lvlJc w:val="left"/>
      <w:pPr>
        <w:ind w:left="5760" w:hanging="360"/>
      </w:pPr>
    </w:lvl>
    <w:lvl w:ilvl="8" w:tplc="60562150" w:tentative="1">
      <w:start w:val="1"/>
      <w:numFmt w:val="lowerRoman"/>
      <w:lvlText w:val="%9."/>
      <w:lvlJc w:val="right"/>
      <w:pPr>
        <w:ind w:left="6480" w:hanging="180"/>
      </w:pPr>
    </w:lvl>
  </w:abstractNum>
  <w:abstractNum w:abstractNumId="9">
    <w:nsid w:val="263169F2"/>
    <w:multiLevelType w:val="multilevel"/>
    <w:tmpl w:val="888E5924"/>
    <w:lvl w:ilvl="0">
      <w:start w:val="1"/>
      <w:numFmt w:val="decimal"/>
      <w:pStyle w:val="HEADER1Part2"/>
      <w:lvlText w:val="%1."/>
      <w:lvlJc w:val="left"/>
      <w:pPr>
        <w:ind w:left="907" w:hanging="907"/>
      </w:pPr>
      <w:rPr>
        <w:rFonts w:hint="default"/>
      </w:rPr>
    </w:lvl>
    <w:lvl w:ilvl="1">
      <w:start w:val="1"/>
      <w:numFmt w:val="decimal"/>
      <w:pStyle w:val="HEADER2Part2"/>
      <w:lvlText w:val="%1.%2."/>
      <w:lvlJc w:val="left"/>
      <w:pPr>
        <w:ind w:left="907" w:hanging="907"/>
      </w:pPr>
      <w:rPr>
        <w:rFonts w:hint="default"/>
      </w:rPr>
    </w:lvl>
    <w:lvl w:ilvl="2">
      <w:start w:val="1"/>
      <w:numFmt w:val="decimal"/>
      <w:pStyle w:val="HEADER3Part2"/>
      <w:lvlText w:val="%1.%2.%3."/>
      <w:lvlJc w:val="left"/>
      <w:pPr>
        <w:ind w:left="907" w:hanging="907"/>
      </w:pPr>
      <w:rPr>
        <w:rFonts w:hint="default"/>
      </w:rPr>
    </w:lvl>
    <w:lvl w:ilvl="3">
      <w:start w:val="1"/>
      <w:numFmt w:val="decimal"/>
      <w:pStyle w:val="HEADER4Part2"/>
      <w:lvlText w:val="%1.%2.%3.%4."/>
      <w:lvlJc w:val="left"/>
      <w:pPr>
        <w:ind w:left="907" w:hanging="907"/>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0">
    <w:nsid w:val="31D31BBD"/>
    <w:multiLevelType w:val="hybridMultilevel"/>
    <w:tmpl w:val="AB545582"/>
    <w:lvl w:ilvl="0" w:tplc="49941324">
      <w:start w:val="1"/>
      <w:numFmt w:val="bullet"/>
      <w:pStyle w:val="Textstand-alonebulletpointJustified"/>
      <w:lvlText w:val=""/>
      <w:lvlJc w:val="left"/>
      <w:pPr>
        <w:ind w:left="1080" w:hanging="360"/>
      </w:pPr>
      <w:rPr>
        <w:rFonts w:ascii="Verdana" w:hAnsi="Verdana" w:hint="default"/>
      </w:rPr>
    </w:lvl>
    <w:lvl w:ilvl="1" w:tplc="908CDB66" w:tentative="1">
      <w:start w:val="1"/>
      <w:numFmt w:val="bullet"/>
      <w:lvlText w:val="o"/>
      <w:lvlJc w:val="left"/>
      <w:pPr>
        <w:ind w:left="1800" w:hanging="360"/>
      </w:pPr>
      <w:rPr>
        <w:rFonts w:ascii="Courier New" w:hAnsi="Courier New" w:cs="Courier New" w:hint="default"/>
      </w:rPr>
    </w:lvl>
    <w:lvl w:ilvl="2" w:tplc="7590A4C6" w:tentative="1">
      <w:start w:val="1"/>
      <w:numFmt w:val="bullet"/>
      <w:lvlText w:val=""/>
      <w:lvlJc w:val="left"/>
      <w:pPr>
        <w:ind w:left="2520" w:hanging="360"/>
      </w:pPr>
      <w:rPr>
        <w:rFonts w:ascii="Wingdings" w:hAnsi="Wingdings" w:hint="default"/>
      </w:rPr>
    </w:lvl>
    <w:lvl w:ilvl="3" w:tplc="BF300696" w:tentative="1">
      <w:start w:val="1"/>
      <w:numFmt w:val="bullet"/>
      <w:lvlText w:val=""/>
      <w:lvlJc w:val="left"/>
      <w:pPr>
        <w:ind w:left="3240" w:hanging="360"/>
      </w:pPr>
      <w:rPr>
        <w:rFonts w:ascii="Symbol" w:hAnsi="Symbol" w:hint="default"/>
      </w:rPr>
    </w:lvl>
    <w:lvl w:ilvl="4" w:tplc="FE92C80A" w:tentative="1">
      <w:start w:val="1"/>
      <w:numFmt w:val="bullet"/>
      <w:lvlText w:val="o"/>
      <w:lvlJc w:val="left"/>
      <w:pPr>
        <w:ind w:left="3960" w:hanging="360"/>
      </w:pPr>
      <w:rPr>
        <w:rFonts w:ascii="Courier New" w:hAnsi="Courier New" w:cs="Courier New" w:hint="default"/>
      </w:rPr>
    </w:lvl>
    <w:lvl w:ilvl="5" w:tplc="9DBCA28E" w:tentative="1">
      <w:start w:val="1"/>
      <w:numFmt w:val="bullet"/>
      <w:lvlText w:val=""/>
      <w:lvlJc w:val="left"/>
      <w:pPr>
        <w:ind w:left="4680" w:hanging="360"/>
      </w:pPr>
      <w:rPr>
        <w:rFonts w:ascii="Wingdings" w:hAnsi="Wingdings" w:hint="default"/>
      </w:rPr>
    </w:lvl>
    <w:lvl w:ilvl="6" w:tplc="CC2A1764" w:tentative="1">
      <w:start w:val="1"/>
      <w:numFmt w:val="bullet"/>
      <w:lvlText w:val=""/>
      <w:lvlJc w:val="left"/>
      <w:pPr>
        <w:ind w:left="5400" w:hanging="360"/>
      </w:pPr>
      <w:rPr>
        <w:rFonts w:ascii="Symbol" w:hAnsi="Symbol" w:hint="default"/>
      </w:rPr>
    </w:lvl>
    <w:lvl w:ilvl="7" w:tplc="A0E03476" w:tentative="1">
      <w:start w:val="1"/>
      <w:numFmt w:val="bullet"/>
      <w:lvlText w:val="o"/>
      <w:lvlJc w:val="left"/>
      <w:pPr>
        <w:ind w:left="6120" w:hanging="360"/>
      </w:pPr>
      <w:rPr>
        <w:rFonts w:ascii="Courier New" w:hAnsi="Courier New" w:cs="Courier New" w:hint="default"/>
      </w:rPr>
    </w:lvl>
    <w:lvl w:ilvl="8" w:tplc="0C602F8E" w:tentative="1">
      <w:start w:val="1"/>
      <w:numFmt w:val="bullet"/>
      <w:lvlText w:val=""/>
      <w:lvlJc w:val="left"/>
      <w:pPr>
        <w:ind w:left="6840" w:hanging="360"/>
      </w:pPr>
      <w:rPr>
        <w:rFonts w:ascii="Wingdings" w:hAnsi="Wingdings" w:hint="default"/>
      </w:rPr>
    </w:lvl>
  </w:abstractNum>
  <w:abstractNum w:abstractNumId="11">
    <w:nsid w:val="5EA07653"/>
    <w:multiLevelType w:val="hybridMultilevel"/>
    <w:tmpl w:val="549C48F2"/>
    <w:lvl w:ilvl="0" w:tplc="D610B54C">
      <w:start w:val="1"/>
      <w:numFmt w:val="bullet"/>
      <w:pStyle w:val="Textstand-aloneBulletpoint"/>
      <w:lvlText w:val="-"/>
      <w:lvlJc w:val="left"/>
      <w:pPr>
        <w:ind w:left="1080" w:hanging="360"/>
      </w:pPr>
      <w:rPr>
        <w:rFonts w:ascii="Verdana" w:hAnsi="Verdana" w:hint="default"/>
      </w:rPr>
    </w:lvl>
    <w:lvl w:ilvl="1" w:tplc="C52E0228" w:tentative="1">
      <w:start w:val="1"/>
      <w:numFmt w:val="bullet"/>
      <w:lvlText w:val="o"/>
      <w:lvlJc w:val="left"/>
      <w:pPr>
        <w:ind w:left="1800" w:hanging="360"/>
      </w:pPr>
      <w:rPr>
        <w:rFonts w:ascii="Courier New" w:hAnsi="Courier New" w:cs="Courier New" w:hint="default"/>
      </w:rPr>
    </w:lvl>
    <w:lvl w:ilvl="2" w:tplc="2C7C1F14" w:tentative="1">
      <w:start w:val="1"/>
      <w:numFmt w:val="bullet"/>
      <w:lvlText w:val=""/>
      <w:lvlJc w:val="left"/>
      <w:pPr>
        <w:ind w:left="2520" w:hanging="360"/>
      </w:pPr>
      <w:rPr>
        <w:rFonts w:ascii="Wingdings" w:hAnsi="Wingdings" w:hint="default"/>
      </w:rPr>
    </w:lvl>
    <w:lvl w:ilvl="3" w:tplc="AC8602CA" w:tentative="1">
      <w:start w:val="1"/>
      <w:numFmt w:val="bullet"/>
      <w:lvlText w:val=""/>
      <w:lvlJc w:val="left"/>
      <w:pPr>
        <w:ind w:left="3240" w:hanging="360"/>
      </w:pPr>
      <w:rPr>
        <w:rFonts w:ascii="Symbol" w:hAnsi="Symbol" w:hint="default"/>
      </w:rPr>
    </w:lvl>
    <w:lvl w:ilvl="4" w:tplc="4EDA7940" w:tentative="1">
      <w:start w:val="1"/>
      <w:numFmt w:val="bullet"/>
      <w:lvlText w:val="o"/>
      <w:lvlJc w:val="left"/>
      <w:pPr>
        <w:ind w:left="3960" w:hanging="360"/>
      </w:pPr>
      <w:rPr>
        <w:rFonts w:ascii="Courier New" w:hAnsi="Courier New" w:cs="Courier New" w:hint="default"/>
      </w:rPr>
    </w:lvl>
    <w:lvl w:ilvl="5" w:tplc="27CC24F0" w:tentative="1">
      <w:start w:val="1"/>
      <w:numFmt w:val="bullet"/>
      <w:lvlText w:val=""/>
      <w:lvlJc w:val="left"/>
      <w:pPr>
        <w:ind w:left="4680" w:hanging="360"/>
      </w:pPr>
      <w:rPr>
        <w:rFonts w:ascii="Wingdings" w:hAnsi="Wingdings" w:hint="default"/>
      </w:rPr>
    </w:lvl>
    <w:lvl w:ilvl="6" w:tplc="8E96A976" w:tentative="1">
      <w:start w:val="1"/>
      <w:numFmt w:val="bullet"/>
      <w:lvlText w:val=""/>
      <w:lvlJc w:val="left"/>
      <w:pPr>
        <w:ind w:left="5400" w:hanging="360"/>
      </w:pPr>
      <w:rPr>
        <w:rFonts w:ascii="Symbol" w:hAnsi="Symbol" w:hint="default"/>
      </w:rPr>
    </w:lvl>
    <w:lvl w:ilvl="7" w:tplc="8E549A90" w:tentative="1">
      <w:start w:val="1"/>
      <w:numFmt w:val="bullet"/>
      <w:lvlText w:val="o"/>
      <w:lvlJc w:val="left"/>
      <w:pPr>
        <w:ind w:left="6120" w:hanging="360"/>
      </w:pPr>
      <w:rPr>
        <w:rFonts w:ascii="Courier New" w:hAnsi="Courier New" w:cs="Courier New" w:hint="default"/>
      </w:rPr>
    </w:lvl>
    <w:lvl w:ilvl="8" w:tplc="14462A14" w:tentative="1">
      <w:start w:val="1"/>
      <w:numFmt w:val="bullet"/>
      <w:lvlText w:val=""/>
      <w:lvlJc w:val="left"/>
      <w:pPr>
        <w:ind w:left="6840" w:hanging="360"/>
      </w:pPr>
      <w:rPr>
        <w:rFonts w:ascii="Wingdings" w:hAnsi="Wingdings" w:hint="default"/>
      </w:rPr>
    </w:lvl>
  </w:abstractNum>
  <w:abstractNum w:abstractNumId="12">
    <w:nsid w:val="6F351A53"/>
    <w:multiLevelType w:val="hybridMultilevel"/>
    <w:tmpl w:val="A22E4046"/>
    <w:lvl w:ilvl="0" w:tplc="3DE8795C">
      <w:start w:val="1"/>
      <w:numFmt w:val="lowerRoman"/>
      <w:pStyle w:val="Textstand-alonenumberingRCIndentJustified"/>
      <w:lvlText w:val="(%1)"/>
      <w:lvlJc w:val="left"/>
      <w:pPr>
        <w:ind w:left="720" w:hanging="360"/>
      </w:pPr>
      <w:rPr>
        <w:rFonts w:hint="default"/>
      </w:rPr>
    </w:lvl>
    <w:lvl w:ilvl="1" w:tplc="4322FCFA" w:tentative="1">
      <w:start w:val="1"/>
      <w:numFmt w:val="lowerLetter"/>
      <w:lvlText w:val="%2."/>
      <w:lvlJc w:val="left"/>
      <w:pPr>
        <w:ind w:left="1440" w:hanging="360"/>
      </w:pPr>
    </w:lvl>
    <w:lvl w:ilvl="2" w:tplc="B9BA9884" w:tentative="1">
      <w:start w:val="1"/>
      <w:numFmt w:val="lowerRoman"/>
      <w:lvlText w:val="%3."/>
      <w:lvlJc w:val="right"/>
      <w:pPr>
        <w:ind w:left="2160" w:hanging="180"/>
      </w:pPr>
    </w:lvl>
    <w:lvl w:ilvl="3" w:tplc="8C867B30" w:tentative="1">
      <w:start w:val="1"/>
      <w:numFmt w:val="decimal"/>
      <w:lvlText w:val="%4."/>
      <w:lvlJc w:val="left"/>
      <w:pPr>
        <w:ind w:left="2880" w:hanging="360"/>
      </w:pPr>
    </w:lvl>
    <w:lvl w:ilvl="4" w:tplc="78303A0E" w:tentative="1">
      <w:start w:val="1"/>
      <w:numFmt w:val="lowerLetter"/>
      <w:lvlText w:val="%5."/>
      <w:lvlJc w:val="left"/>
      <w:pPr>
        <w:ind w:left="3600" w:hanging="360"/>
      </w:pPr>
    </w:lvl>
    <w:lvl w:ilvl="5" w:tplc="9758AF82" w:tentative="1">
      <w:start w:val="1"/>
      <w:numFmt w:val="lowerRoman"/>
      <w:lvlText w:val="%6."/>
      <w:lvlJc w:val="right"/>
      <w:pPr>
        <w:ind w:left="4320" w:hanging="180"/>
      </w:pPr>
    </w:lvl>
    <w:lvl w:ilvl="6" w:tplc="89AC0556" w:tentative="1">
      <w:start w:val="1"/>
      <w:numFmt w:val="decimal"/>
      <w:lvlText w:val="%7."/>
      <w:lvlJc w:val="left"/>
      <w:pPr>
        <w:ind w:left="5040" w:hanging="360"/>
      </w:pPr>
    </w:lvl>
    <w:lvl w:ilvl="7" w:tplc="FFC4AF2C" w:tentative="1">
      <w:start w:val="1"/>
      <w:numFmt w:val="lowerLetter"/>
      <w:lvlText w:val="%8."/>
      <w:lvlJc w:val="left"/>
      <w:pPr>
        <w:ind w:left="5760" w:hanging="360"/>
      </w:pPr>
    </w:lvl>
    <w:lvl w:ilvl="8" w:tplc="B8225E22" w:tentative="1">
      <w:start w:val="1"/>
      <w:numFmt w:val="lowerRoman"/>
      <w:lvlText w:val="%9."/>
      <w:lvlJc w:val="right"/>
      <w:pPr>
        <w:ind w:left="6480" w:hanging="180"/>
      </w:pPr>
    </w:lvl>
  </w:abstractNum>
  <w:abstractNum w:abstractNumId="13">
    <w:nsid w:val="6F351A54"/>
    <w:multiLevelType w:val="hybridMultilevel"/>
    <w:tmpl w:val="937694E8"/>
    <w:lvl w:ilvl="0" w:tplc="0672BCA4">
      <w:start w:val="1"/>
      <w:numFmt w:val="bullet"/>
      <w:lvlText w:val="-"/>
      <w:lvlJc w:val="left"/>
      <w:pPr>
        <w:ind w:left="1080" w:hanging="360"/>
      </w:pPr>
      <w:rPr>
        <w:rFonts w:ascii="Verdana" w:hAnsi="Verdana" w:hint="default"/>
      </w:rPr>
    </w:lvl>
    <w:lvl w:ilvl="1" w:tplc="671858DC" w:tentative="1">
      <w:start w:val="1"/>
      <w:numFmt w:val="bullet"/>
      <w:lvlText w:val="o"/>
      <w:lvlJc w:val="left"/>
      <w:pPr>
        <w:ind w:left="1800" w:hanging="360"/>
      </w:pPr>
      <w:rPr>
        <w:rFonts w:ascii="Courier New" w:hAnsi="Courier New" w:cs="Courier New" w:hint="default"/>
      </w:rPr>
    </w:lvl>
    <w:lvl w:ilvl="2" w:tplc="6B9E2F46" w:tentative="1">
      <w:start w:val="1"/>
      <w:numFmt w:val="bullet"/>
      <w:lvlText w:val=""/>
      <w:lvlJc w:val="left"/>
      <w:pPr>
        <w:ind w:left="2520" w:hanging="360"/>
      </w:pPr>
      <w:rPr>
        <w:rFonts w:ascii="Wingdings" w:hAnsi="Wingdings" w:hint="default"/>
      </w:rPr>
    </w:lvl>
    <w:lvl w:ilvl="3" w:tplc="E3444BC8" w:tentative="1">
      <w:start w:val="1"/>
      <w:numFmt w:val="bullet"/>
      <w:lvlText w:val=""/>
      <w:lvlJc w:val="left"/>
      <w:pPr>
        <w:ind w:left="3240" w:hanging="360"/>
      </w:pPr>
      <w:rPr>
        <w:rFonts w:ascii="Symbol" w:hAnsi="Symbol" w:hint="default"/>
      </w:rPr>
    </w:lvl>
    <w:lvl w:ilvl="4" w:tplc="BE8A470C" w:tentative="1">
      <w:start w:val="1"/>
      <w:numFmt w:val="bullet"/>
      <w:lvlText w:val="o"/>
      <w:lvlJc w:val="left"/>
      <w:pPr>
        <w:ind w:left="3960" w:hanging="360"/>
      </w:pPr>
      <w:rPr>
        <w:rFonts w:ascii="Courier New" w:hAnsi="Courier New" w:cs="Courier New" w:hint="default"/>
      </w:rPr>
    </w:lvl>
    <w:lvl w:ilvl="5" w:tplc="F28A3438" w:tentative="1">
      <w:start w:val="1"/>
      <w:numFmt w:val="bullet"/>
      <w:lvlText w:val=""/>
      <w:lvlJc w:val="left"/>
      <w:pPr>
        <w:ind w:left="4680" w:hanging="360"/>
      </w:pPr>
      <w:rPr>
        <w:rFonts w:ascii="Wingdings" w:hAnsi="Wingdings" w:hint="default"/>
      </w:rPr>
    </w:lvl>
    <w:lvl w:ilvl="6" w:tplc="913AEE1C" w:tentative="1">
      <w:start w:val="1"/>
      <w:numFmt w:val="bullet"/>
      <w:lvlText w:val=""/>
      <w:lvlJc w:val="left"/>
      <w:pPr>
        <w:ind w:left="5400" w:hanging="360"/>
      </w:pPr>
      <w:rPr>
        <w:rFonts w:ascii="Symbol" w:hAnsi="Symbol" w:hint="default"/>
      </w:rPr>
    </w:lvl>
    <w:lvl w:ilvl="7" w:tplc="54F00A4E" w:tentative="1">
      <w:start w:val="1"/>
      <w:numFmt w:val="bullet"/>
      <w:lvlText w:val="o"/>
      <w:lvlJc w:val="left"/>
      <w:pPr>
        <w:ind w:left="6120" w:hanging="360"/>
      </w:pPr>
      <w:rPr>
        <w:rFonts w:ascii="Courier New" w:hAnsi="Courier New" w:cs="Courier New" w:hint="default"/>
      </w:rPr>
    </w:lvl>
    <w:lvl w:ilvl="8" w:tplc="AC5260C4" w:tentative="1">
      <w:start w:val="1"/>
      <w:numFmt w:val="bullet"/>
      <w:lvlText w:val=""/>
      <w:lvlJc w:val="left"/>
      <w:pPr>
        <w:ind w:left="6840" w:hanging="360"/>
      </w:pPr>
      <w:rPr>
        <w:rFonts w:ascii="Wingdings" w:hAnsi="Wingdings" w:hint="default"/>
      </w:rPr>
    </w:lvl>
  </w:abstractNum>
  <w:abstractNum w:abstractNumId="14">
    <w:nsid w:val="6F351A55"/>
    <w:multiLevelType w:val="hybridMultilevel"/>
    <w:tmpl w:val="EF80B480"/>
    <w:lvl w:ilvl="0" w:tplc="BABC6AD2">
      <w:start w:val="1"/>
      <w:numFmt w:val="lowerRoman"/>
      <w:lvlText w:val="(%1)"/>
      <w:lvlJc w:val="left"/>
      <w:pPr>
        <w:tabs>
          <w:tab w:val="num" w:pos="0"/>
        </w:tabs>
        <w:ind w:left="1077" w:hanging="360"/>
      </w:pPr>
      <w:rPr>
        <w:rFonts w:ascii="Verdana" w:eastAsia="Times New Roman" w:hAnsi="Verdana" w:cs="Times New Roman" w:hint="default"/>
        <w:b w:val="0"/>
        <w:bCs w:val="0"/>
        <w:i w:val="0"/>
        <w:iCs w:val="0"/>
        <w:caps w:val="0"/>
        <w:smallCaps w:val="0"/>
        <w:strike w:val="0"/>
        <w:dstrike w:val="0"/>
        <w:noProof w:val="0"/>
        <w:vanish w:val="0"/>
        <w:color w:val="auto"/>
        <w:spacing w:val="0"/>
        <w:w w:val="100"/>
        <w:kern w:val="0"/>
        <w:position w:val="0"/>
        <w:sz w:val="18"/>
        <w:szCs w:val="18"/>
        <w:highlight w:val="none"/>
        <w:u w:val="none"/>
        <w:effect w:val="none"/>
        <w:bdr w:val="nil"/>
        <w:shd w:val="clear" w:color="auto" w:fill="auto"/>
        <w:rtl w:val="0"/>
        <w:cs w:val="0"/>
      </w:rPr>
    </w:lvl>
    <w:lvl w:ilvl="1" w:tplc="71403B88" w:tentative="1">
      <w:start w:val="1"/>
      <w:numFmt w:val="lowerLetter"/>
      <w:lvlText w:val="%2."/>
      <w:lvlJc w:val="left"/>
      <w:pPr>
        <w:ind w:left="1797" w:hanging="360"/>
      </w:pPr>
    </w:lvl>
    <w:lvl w:ilvl="2" w:tplc="33AA58B6" w:tentative="1">
      <w:start w:val="1"/>
      <w:numFmt w:val="lowerRoman"/>
      <w:lvlText w:val="%3."/>
      <w:lvlJc w:val="right"/>
      <w:pPr>
        <w:ind w:left="2517" w:hanging="180"/>
      </w:pPr>
    </w:lvl>
    <w:lvl w:ilvl="3" w:tplc="ABB6DE7A" w:tentative="1">
      <w:start w:val="1"/>
      <w:numFmt w:val="decimal"/>
      <w:lvlText w:val="%4."/>
      <w:lvlJc w:val="left"/>
      <w:pPr>
        <w:ind w:left="3237" w:hanging="360"/>
      </w:pPr>
    </w:lvl>
    <w:lvl w:ilvl="4" w:tplc="82C8D3E2" w:tentative="1">
      <w:start w:val="1"/>
      <w:numFmt w:val="lowerLetter"/>
      <w:lvlText w:val="%5."/>
      <w:lvlJc w:val="left"/>
      <w:pPr>
        <w:ind w:left="3957" w:hanging="360"/>
      </w:pPr>
    </w:lvl>
    <w:lvl w:ilvl="5" w:tplc="1B9A33A2" w:tentative="1">
      <w:start w:val="1"/>
      <w:numFmt w:val="lowerRoman"/>
      <w:lvlText w:val="%6."/>
      <w:lvlJc w:val="right"/>
      <w:pPr>
        <w:ind w:left="4677" w:hanging="180"/>
      </w:pPr>
    </w:lvl>
    <w:lvl w:ilvl="6" w:tplc="1D8AB80A" w:tentative="1">
      <w:start w:val="1"/>
      <w:numFmt w:val="decimal"/>
      <w:lvlText w:val="%7."/>
      <w:lvlJc w:val="left"/>
      <w:pPr>
        <w:ind w:left="5397" w:hanging="360"/>
      </w:pPr>
    </w:lvl>
    <w:lvl w:ilvl="7" w:tplc="FAB201FC" w:tentative="1">
      <w:start w:val="1"/>
      <w:numFmt w:val="lowerLetter"/>
      <w:lvlText w:val="%8."/>
      <w:lvlJc w:val="left"/>
      <w:pPr>
        <w:ind w:left="6117" w:hanging="360"/>
      </w:pPr>
    </w:lvl>
    <w:lvl w:ilvl="8" w:tplc="6D3402F0" w:tentative="1">
      <w:start w:val="1"/>
      <w:numFmt w:val="lowerRoman"/>
      <w:lvlText w:val="%9."/>
      <w:lvlJc w:val="right"/>
      <w:pPr>
        <w:ind w:left="6837" w:hanging="180"/>
      </w:pPr>
    </w:lvl>
  </w:abstractNum>
  <w:abstractNum w:abstractNumId="15">
    <w:nsid w:val="6F351A56"/>
    <w:multiLevelType w:val="hybridMultilevel"/>
    <w:tmpl w:val="EF80B480"/>
    <w:lvl w:ilvl="0" w:tplc="8CF0399E">
      <w:start w:val="1"/>
      <w:numFmt w:val="lowerRoman"/>
      <w:lvlText w:val="(%1)"/>
      <w:lvlJc w:val="left"/>
      <w:pPr>
        <w:tabs>
          <w:tab w:val="num" w:pos="418"/>
        </w:tabs>
        <w:ind w:left="1495" w:hanging="360"/>
      </w:pPr>
      <w:rPr>
        <w:rFonts w:ascii="Verdana" w:eastAsia="Times New Roman" w:hAnsi="Verdana" w:cs="Times New Roman" w:hint="default"/>
        <w:b w:val="0"/>
        <w:bCs w:val="0"/>
        <w:i w:val="0"/>
        <w:iCs w:val="0"/>
        <w:caps w:val="0"/>
        <w:smallCaps w:val="0"/>
        <w:strike w:val="0"/>
        <w:dstrike w:val="0"/>
        <w:noProof w:val="0"/>
        <w:vanish w:val="0"/>
        <w:color w:val="auto"/>
        <w:spacing w:val="0"/>
        <w:w w:val="100"/>
        <w:kern w:val="0"/>
        <w:position w:val="0"/>
        <w:sz w:val="18"/>
        <w:szCs w:val="18"/>
        <w:highlight w:val="none"/>
        <w:u w:val="none"/>
        <w:effect w:val="none"/>
        <w:bdr w:val="nil"/>
        <w:shd w:val="clear" w:color="auto" w:fill="auto"/>
        <w:rtl w:val="0"/>
        <w:cs w:val="0"/>
      </w:rPr>
    </w:lvl>
    <w:lvl w:ilvl="1" w:tplc="F4EEFE78" w:tentative="1">
      <w:start w:val="1"/>
      <w:numFmt w:val="lowerLetter"/>
      <w:lvlText w:val="%2."/>
      <w:lvlJc w:val="left"/>
      <w:pPr>
        <w:ind w:left="2215" w:hanging="360"/>
      </w:pPr>
    </w:lvl>
    <w:lvl w:ilvl="2" w:tplc="EA5EC930" w:tentative="1">
      <w:start w:val="1"/>
      <w:numFmt w:val="lowerRoman"/>
      <w:lvlText w:val="%3."/>
      <w:lvlJc w:val="right"/>
      <w:pPr>
        <w:ind w:left="2935" w:hanging="180"/>
      </w:pPr>
    </w:lvl>
    <w:lvl w:ilvl="3" w:tplc="C7B29182" w:tentative="1">
      <w:start w:val="1"/>
      <w:numFmt w:val="decimal"/>
      <w:lvlText w:val="%4."/>
      <w:lvlJc w:val="left"/>
      <w:pPr>
        <w:ind w:left="3655" w:hanging="360"/>
      </w:pPr>
    </w:lvl>
    <w:lvl w:ilvl="4" w:tplc="A7A4D8E6" w:tentative="1">
      <w:start w:val="1"/>
      <w:numFmt w:val="lowerLetter"/>
      <w:lvlText w:val="%5."/>
      <w:lvlJc w:val="left"/>
      <w:pPr>
        <w:ind w:left="4375" w:hanging="360"/>
      </w:pPr>
    </w:lvl>
    <w:lvl w:ilvl="5" w:tplc="6844757E" w:tentative="1">
      <w:start w:val="1"/>
      <w:numFmt w:val="lowerRoman"/>
      <w:lvlText w:val="%6."/>
      <w:lvlJc w:val="right"/>
      <w:pPr>
        <w:ind w:left="5095" w:hanging="180"/>
      </w:pPr>
    </w:lvl>
    <w:lvl w:ilvl="6" w:tplc="F3EC3B6C" w:tentative="1">
      <w:start w:val="1"/>
      <w:numFmt w:val="decimal"/>
      <w:lvlText w:val="%7."/>
      <w:lvlJc w:val="left"/>
      <w:pPr>
        <w:ind w:left="5815" w:hanging="360"/>
      </w:pPr>
    </w:lvl>
    <w:lvl w:ilvl="7" w:tplc="12E8CF36" w:tentative="1">
      <w:start w:val="1"/>
      <w:numFmt w:val="lowerLetter"/>
      <w:lvlText w:val="%8."/>
      <w:lvlJc w:val="left"/>
      <w:pPr>
        <w:ind w:left="6535" w:hanging="360"/>
      </w:pPr>
    </w:lvl>
    <w:lvl w:ilvl="8" w:tplc="DB782946" w:tentative="1">
      <w:start w:val="1"/>
      <w:numFmt w:val="lowerRoman"/>
      <w:lvlText w:val="%9."/>
      <w:lvlJc w:val="right"/>
      <w:pPr>
        <w:ind w:left="7255" w:hanging="180"/>
      </w:pPr>
    </w:lvl>
  </w:abstractNum>
  <w:abstractNum w:abstractNumId="16">
    <w:nsid w:val="6F351A57"/>
    <w:multiLevelType w:val="hybridMultilevel"/>
    <w:tmpl w:val="42FC2B20"/>
    <w:lvl w:ilvl="0" w:tplc="838AA5E2">
      <w:start w:val="1"/>
      <w:numFmt w:val="lowerRoman"/>
      <w:lvlText w:val="(%1)"/>
      <w:lvlJc w:val="left"/>
      <w:pPr>
        <w:ind w:left="720" w:hanging="360"/>
      </w:pPr>
      <w:rPr>
        <w:rFonts w:hint="default"/>
      </w:rPr>
    </w:lvl>
    <w:lvl w:ilvl="1" w:tplc="7D98C214" w:tentative="1">
      <w:start w:val="1"/>
      <w:numFmt w:val="lowerLetter"/>
      <w:lvlText w:val="%2."/>
      <w:lvlJc w:val="left"/>
      <w:pPr>
        <w:ind w:left="1440" w:hanging="360"/>
      </w:pPr>
    </w:lvl>
    <w:lvl w:ilvl="2" w:tplc="02ACC3EC" w:tentative="1">
      <w:start w:val="1"/>
      <w:numFmt w:val="lowerRoman"/>
      <w:lvlText w:val="%3."/>
      <w:lvlJc w:val="right"/>
      <w:pPr>
        <w:ind w:left="2160" w:hanging="180"/>
      </w:pPr>
    </w:lvl>
    <w:lvl w:ilvl="3" w:tplc="AFDCFD52" w:tentative="1">
      <w:start w:val="1"/>
      <w:numFmt w:val="decimal"/>
      <w:lvlText w:val="%4."/>
      <w:lvlJc w:val="left"/>
      <w:pPr>
        <w:ind w:left="2880" w:hanging="360"/>
      </w:pPr>
    </w:lvl>
    <w:lvl w:ilvl="4" w:tplc="EFB8E694" w:tentative="1">
      <w:start w:val="1"/>
      <w:numFmt w:val="lowerLetter"/>
      <w:lvlText w:val="%5."/>
      <w:lvlJc w:val="left"/>
      <w:pPr>
        <w:ind w:left="3600" w:hanging="360"/>
      </w:pPr>
    </w:lvl>
    <w:lvl w:ilvl="5" w:tplc="61A44CE8" w:tentative="1">
      <w:start w:val="1"/>
      <w:numFmt w:val="lowerRoman"/>
      <w:lvlText w:val="%6."/>
      <w:lvlJc w:val="right"/>
      <w:pPr>
        <w:ind w:left="4320" w:hanging="180"/>
      </w:pPr>
    </w:lvl>
    <w:lvl w:ilvl="6" w:tplc="E0AA6D72" w:tentative="1">
      <w:start w:val="1"/>
      <w:numFmt w:val="decimal"/>
      <w:lvlText w:val="%7."/>
      <w:lvlJc w:val="left"/>
      <w:pPr>
        <w:ind w:left="5040" w:hanging="360"/>
      </w:pPr>
    </w:lvl>
    <w:lvl w:ilvl="7" w:tplc="140207CC" w:tentative="1">
      <w:start w:val="1"/>
      <w:numFmt w:val="lowerLetter"/>
      <w:lvlText w:val="%8."/>
      <w:lvlJc w:val="left"/>
      <w:pPr>
        <w:ind w:left="5760" w:hanging="360"/>
      </w:pPr>
    </w:lvl>
    <w:lvl w:ilvl="8" w:tplc="6C347A40" w:tentative="1">
      <w:start w:val="1"/>
      <w:numFmt w:val="lowerRoman"/>
      <w:lvlText w:val="%9."/>
      <w:lvlJc w:val="right"/>
      <w:pPr>
        <w:ind w:left="6480" w:hanging="180"/>
      </w:pPr>
    </w:lvl>
  </w:abstractNum>
  <w:abstractNum w:abstractNumId="17">
    <w:nsid w:val="6F351A58"/>
    <w:multiLevelType w:val="hybridMultilevel"/>
    <w:tmpl w:val="B14C37E6"/>
    <w:lvl w:ilvl="0" w:tplc="423E90EE">
      <w:start w:val="1"/>
      <w:numFmt w:val="lowerRoman"/>
      <w:lvlText w:val="(%1)"/>
      <w:lvlJc w:val="left"/>
      <w:pPr>
        <w:ind w:left="720" w:hanging="360"/>
      </w:pPr>
      <w:rPr>
        <w:rFonts w:hint="default"/>
      </w:rPr>
    </w:lvl>
    <w:lvl w:ilvl="1" w:tplc="6F349620" w:tentative="1">
      <w:start w:val="1"/>
      <w:numFmt w:val="lowerLetter"/>
      <w:lvlText w:val="%2."/>
      <w:lvlJc w:val="left"/>
      <w:pPr>
        <w:ind w:left="1440" w:hanging="360"/>
      </w:pPr>
    </w:lvl>
    <w:lvl w:ilvl="2" w:tplc="AD589828" w:tentative="1">
      <w:start w:val="1"/>
      <w:numFmt w:val="lowerRoman"/>
      <w:lvlText w:val="%3."/>
      <w:lvlJc w:val="right"/>
      <w:pPr>
        <w:ind w:left="2160" w:hanging="180"/>
      </w:pPr>
    </w:lvl>
    <w:lvl w:ilvl="3" w:tplc="A7DC5622" w:tentative="1">
      <w:start w:val="1"/>
      <w:numFmt w:val="decimal"/>
      <w:lvlText w:val="%4."/>
      <w:lvlJc w:val="left"/>
      <w:pPr>
        <w:ind w:left="2880" w:hanging="360"/>
      </w:pPr>
    </w:lvl>
    <w:lvl w:ilvl="4" w:tplc="DB4EDEEA" w:tentative="1">
      <w:start w:val="1"/>
      <w:numFmt w:val="lowerLetter"/>
      <w:lvlText w:val="%5."/>
      <w:lvlJc w:val="left"/>
      <w:pPr>
        <w:ind w:left="3600" w:hanging="360"/>
      </w:pPr>
    </w:lvl>
    <w:lvl w:ilvl="5" w:tplc="61AA22CC" w:tentative="1">
      <w:start w:val="1"/>
      <w:numFmt w:val="lowerRoman"/>
      <w:lvlText w:val="%6."/>
      <w:lvlJc w:val="right"/>
      <w:pPr>
        <w:ind w:left="4320" w:hanging="180"/>
      </w:pPr>
    </w:lvl>
    <w:lvl w:ilvl="6" w:tplc="5DB69222" w:tentative="1">
      <w:start w:val="1"/>
      <w:numFmt w:val="decimal"/>
      <w:lvlText w:val="%7."/>
      <w:lvlJc w:val="left"/>
      <w:pPr>
        <w:ind w:left="5040" w:hanging="360"/>
      </w:pPr>
    </w:lvl>
    <w:lvl w:ilvl="7" w:tplc="BE44EB46" w:tentative="1">
      <w:start w:val="1"/>
      <w:numFmt w:val="lowerLetter"/>
      <w:lvlText w:val="%8."/>
      <w:lvlJc w:val="left"/>
      <w:pPr>
        <w:ind w:left="5760" w:hanging="360"/>
      </w:pPr>
    </w:lvl>
    <w:lvl w:ilvl="8" w:tplc="5D16999C" w:tentative="1">
      <w:start w:val="1"/>
      <w:numFmt w:val="lowerRoman"/>
      <w:lvlText w:val="%9."/>
      <w:lvlJc w:val="right"/>
      <w:pPr>
        <w:ind w:left="6480" w:hanging="180"/>
      </w:pPr>
    </w:lvl>
  </w:abstractNum>
  <w:abstractNum w:abstractNumId="18">
    <w:nsid w:val="6F351A59"/>
    <w:multiLevelType w:val="hybridMultilevel"/>
    <w:tmpl w:val="12AEDBD0"/>
    <w:lvl w:ilvl="0" w:tplc="C7B64208">
      <w:start w:val="1"/>
      <w:numFmt w:val="bullet"/>
      <w:lvlText w:val=""/>
      <w:lvlJc w:val="left"/>
      <w:pPr>
        <w:ind w:left="1080" w:hanging="360"/>
      </w:pPr>
      <w:rPr>
        <w:rFonts w:ascii="Symbol" w:hAnsi="Symbol" w:hint="default"/>
      </w:rPr>
    </w:lvl>
    <w:lvl w:ilvl="1" w:tplc="C17A1C64" w:tentative="1">
      <w:start w:val="1"/>
      <w:numFmt w:val="bullet"/>
      <w:lvlText w:val="o"/>
      <w:lvlJc w:val="left"/>
      <w:pPr>
        <w:ind w:left="1800" w:hanging="360"/>
      </w:pPr>
      <w:rPr>
        <w:rFonts w:ascii="Courier New" w:hAnsi="Courier New" w:cs="Courier New" w:hint="default"/>
      </w:rPr>
    </w:lvl>
    <w:lvl w:ilvl="2" w:tplc="A95223FC" w:tentative="1">
      <w:start w:val="1"/>
      <w:numFmt w:val="bullet"/>
      <w:lvlText w:val=""/>
      <w:lvlJc w:val="left"/>
      <w:pPr>
        <w:ind w:left="2520" w:hanging="360"/>
      </w:pPr>
      <w:rPr>
        <w:rFonts w:ascii="Wingdings" w:hAnsi="Wingdings" w:hint="default"/>
      </w:rPr>
    </w:lvl>
    <w:lvl w:ilvl="3" w:tplc="DB06F00A" w:tentative="1">
      <w:start w:val="1"/>
      <w:numFmt w:val="bullet"/>
      <w:lvlText w:val=""/>
      <w:lvlJc w:val="left"/>
      <w:pPr>
        <w:ind w:left="3240" w:hanging="360"/>
      </w:pPr>
      <w:rPr>
        <w:rFonts w:ascii="Symbol" w:hAnsi="Symbol" w:hint="default"/>
      </w:rPr>
    </w:lvl>
    <w:lvl w:ilvl="4" w:tplc="6D52752C" w:tentative="1">
      <w:start w:val="1"/>
      <w:numFmt w:val="bullet"/>
      <w:lvlText w:val="o"/>
      <w:lvlJc w:val="left"/>
      <w:pPr>
        <w:ind w:left="3960" w:hanging="360"/>
      </w:pPr>
      <w:rPr>
        <w:rFonts w:ascii="Courier New" w:hAnsi="Courier New" w:cs="Courier New" w:hint="default"/>
      </w:rPr>
    </w:lvl>
    <w:lvl w:ilvl="5" w:tplc="A66CFB8E" w:tentative="1">
      <w:start w:val="1"/>
      <w:numFmt w:val="bullet"/>
      <w:lvlText w:val=""/>
      <w:lvlJc w:val="left"/>
      <w:pPr>
        <w:ind w:left="4680" w:hanging="360"/>
      </w:pPr>
      <w:rPr>
        <w:rFonts w:ascii="Wingdings" w:hAnsi="Wingdings" w:hint="default"/>
      </w:rPr>
    </w:lvl>
    <w:lvl w:ilvl="6" w:tplc="1CD0B33C" w:tentative="1">
      <w:start w:val="1"/>
      <w:numFmt w:val="bullet"/>
      <w:lvlText w:val=""/>
      <w:lvlJc w:val="left"/>
      <w:pPr>
        <w:ind w:left="5400" w:hanging="360"/>
      </w:pPr>
      <w:rPr>
        <w:rFonts w:ascii="Symbol" w:hAnsi="Symbol" w:hint="default"/>
      </w:rPr>
    </w:lvl>
    <w:lvl w:ilvl="7" w:tplc="A6E651B8" w:tentative="1">
      <w:start w:val="1"/>
      <w:numFmt w:val="bullet"/>
      <w:lvlText w:val="o"/>
      <w:lvlJc w:val="left"/>
      <w:pPr>
        <w:ind w:left="6120" w:hanging="360"/>
      </w:pPr>
      <w:rPr>
        <w:rFonts w:ascii="Courier New" w:hAnsi="Courier New" w:cs="Courier New" w:hint="default"/>
      </w:rPr>
    </w:lvl>
    <w:lvl w:ilvl="8" w:tplc="54103C5E" w:tentative="1">
      <w:start w:val="1"/>
      <w:numFmt w:val="bullet"/>
      <w:lvlText w:val=""/>
      <w:lvlJc w:val="left"/>
      <w:pPr>
        <w:ind w:left="6840" w:hanging="360"/>
      </w:pPr>
      <w:rPr>
        <w:rFonts w:ascii="Wingdings" w:hAnsi="Wingdings" w:hint="default"/>
      </w:rPr>
    </w:lvl>
  </w:abstractNum>
  <w:abstractNum w:abstractNumId="19">
    <w:nsid w:val="6F351A5A"/>
    <w:multiLevelType w:val="hybridMultilevel"/>
    <w:tmpl w:val="1D8E5BAC"/>
    <w:lvl w:ilvl="0" w:tplc="2956560C">
      <w:start w:val="1"/>
      <w:numFmt w:val="bullet"/>
      <w:lvlText w:val=""/>
      <w:lvlJc w:val="left"/>
      <w:pPr>
        <w:ind w:left="720" w:hanging="360"/>
      </w:pPr>
      <w:rPr>
        <w:rFonts w:ascii="Symbol" w:hAnsi="Symbol" w:hint="default"/>
      </w:rPr>
    </w:lvl>
    <w:lvl w:ilvl="1" w:tplc="65667D84" w:tentative="1">
      <w:start w:val="1"/>
      <w:numFmt w:val="lowerLetter"/>
      <w:lvlText w:val="%2."/>
      <w:lvlJc w:val="left"/>
      <w:pPr>
        <w:ind w:left="1440" w:hanging="360"/>
      </w:pPr>
    </w:lvl>
    <w:lvl w:ilvl="2" w:tplc="C64E5420" w:tentative="1">
      <w:start w:val="1"/>
      <w:numFmt w:val="lowerRoman"/>
      <w:lvlText w:val="%3."/>
      <w:lvlJc w:val="right"/>
      <w:pPr>
        <w:ind w:left="2160" w:hanging="180"/>
      </w:pPr>
    </w:lvl>
    <w:lvl w:ilvl="3" w:tplc="D4C8791A" w:tentative="1">
      <w:start w:val="1"/>
      <w:numFmt w:val="decimal"/>
      <w:lvlText w:val="%4."/>
      <w:lvlJc w:val="left"/>
      <w:pPr>
        <w:ind w:left="2880" w:hanging="360"/>
      </w:pPr>
    </w:lvl>
    <w:lvl w:ilvl="4" w:tplc="61C63F8A" w:tentative="1">
      <w:start w:val="1"/>
      <w:numFmt w:val="lowerLetter"/>
      <w:lvlText w:val="%5."/>
      <w:lvlJc w:val="left"/>
      <w:pPr>
        <w:ind w:left="3600" w:hanging="360"/>
      </w:pPr>
    </w:lvl>
    <w:lvl w:ilvl="5" w:tplc="0728EA76" w:tentative="1">
      <w:start w:val="1"/>
      <w:numFmt w:val="lowerRoman"/>
      <w:lvlText w:val="%6."/>
      <w:lvlJc w:val="right"/>
      <w:pPr>
        <w:ind w:left="4320" w:hanging="180"/>
      </w:pPr>
    </w:lvl>
    <w:lvl w:ilvl="6" w:tplc="54B8ABE2" w:tentative="1">
      <w:start w:val="1"/>
      <w:numFmt w:val="decimal"/>
      <w:lvlText w:val="%7."/>
      <w:lvlJc w:val="left"/>
      <w:pPr>
        <w:ind w:left="5040" w:hanging="360"/>
      </w:pPr>
    </w:lvl>
    <w:lvl w:ilvl="7" w:tplc="98765990" w:tentative="1">
      <w:start w:val="1"/>
      <w:numFmt w:val="lowerLetter"/>
      <w:lvlText w:val="%8."/>
      <w:lvlJc w:val="left"/>
      <w:pPr>
        <w:ind w:left="5760" w:hanging="360"/>
      </w:pPr>
    </w:lvl>
    <w:lvl w:ilvl="8" w:tplc="6C16E9B0" w:tentative="1">
      <w:start w:val="1"/>
      <w:numFmt w:val="lowerRoman"/>
      <w:lvlText w:val="%9."/>
      <w:lvlJc w:val="right"/>
      <w:pPr>
        <w:ind w:left="6480" w:hanging="180"/>
      </w:pPr>
    </w:lvl>
  </w:abstractNum>
  <w:abstractNum w:abstractNumId="20">
    <w:nsid w:val="6F351A5B"/>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21">
    <w:nsid w:val="6F351A5C"/>
    <w:multiLevelType w:val="singleLevel"/>
    <w:tmpl w:val="00000004"/>
    <w:name w:val="WW8Num4"/>
    <w:lvl w:ilvl="0">
      <w:start w:val="1"/>
      <w:numFmt w:val="bullet"/>
      <w:lvlText w:val=""/>
      <w:lvlJc w:val="left"/>
      <w:pPr>
        <w:tabs>
          <w:tab w:val="num" w:pos="720"/>
        </w:tabs>
        <w:ind w:left="720" w:hanging="360"/>
      </w:pPr>
      <w:rPr>
        <w:rFonts w:ascii="Symbol" w:hAnsi="Symbol"/>
        <w:caps w:val="0"/>
        <w:smallCaps w:val="0"/>
        <w:strike w:val="0"/>
        <w:dstrike w:val="0"/>
        <w:vanish w:val="0"/>
        <w:color w:val="000000"/>
        <w:position w:val="0"/>
        <w:sz w:val="24"/>
        <w:vertAlign w:val="baseline"/>
      </w:rPr>
    </w:lvl>
  </w:abstractNum>
  <w:abstractNum w:abstractNumId="22">
    <w:nsid w:val="6F351A5D"/>
    <w:multiLevelType w:val="multilevel"/>
    <w:tmpl w:val="EA926228"/>
    <w:name w:val="WW8Num5"/>
    <w:lvl w:ilvl="0">
      <w:start w:val="1"/>
      <w:numFmt w:val="decimal"/>
      <w:pStyle w:val="Notes0"/>
      <w:lvlText w:val="%1"/>
      <w:lvlJc w:val="left"/>
      <w:pPr>
        <w:tabs>
          <w:tab w:val="num" w:pos="432"/>
        </w:tabs>
        <w:ind w:left="432" w:hanging="432"/>
      </w:pPr>
      <w:rPr>
        <w:rFonts w:hint="default"/>
        <w:lang w:val="en-GB"/>
      </w:rPr>
    </w:lvl>
    <w:lvl w:ilvl="1">
      <w:start w:val="1"/>
      <w:numFmt w:val="decimal"/>
      <w:pStyle w:val="Title110"/>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F351A5E"/>
    <w:multiLevelType w:val="singleLevel"/>
    <w:tmpl w:val="00000002"/>
    <w:name w:val="WW8Num1"/>
    <w:lvl w:ilvl="0">
      <w:start w:val="293"/>
      <w:numFmt w:val="bullet"/>
      <w:lvlText w:val="-"/>
      <w:lvlJc w:val="left"/>
      <w:pPr>
        <w:tabs>
          <w:tab w:val="num" w:pos="720"/>
        </w:tabs>
        <w:ind w:left="720" w:hanging="360"/>
      </w:pPr>
      <w:rPr>
        <w:rFonts w:ascii="Arial" w:hAnsi="Arial" w:cs="Arial"/>
      </w:rPr>
    </w:lvl>
  </w:abstractNum>
  <w:abstractNum w:abstractNumId="24">
    <w:nsid w:val="6F351A5F"/>
    <w:multiLevelType w:val="singleLevel"/>
    <w:tmpl w:val="00000006"/>
    <w:name w:val="WW8Num8"/>
    <w:lvl w:ilvl="0">
      <w:start w:val="293"/>
      <w:numFmt w:val="bullet"/>
      <w:lvlText w:val="-"/>
      <w:lvlJc w:val="left"/>
      <w:pPr>
        <w:tabs>
          <w:tab w:val="num" w:pos="720"/>
        </w:tabs>
        <w:ind w:left="720" w:hanging="360"/>
      </w:pPr>
      <w:rPr>
        <w:rFonts w:ascii="Arial" w:hAnsi="Arial" w:cs="Arial"/>
      </w:rPr>
    </w:lvl>
  </w:abstractNum>
  <w:abstractNum w:abstractNumId="25">
    <w:nsid w:val="6F351A60"/>
    <w:multiLevelType w:val="multilevel"/>
    <w:tmpl w:val="CC101C62"/>
    <w:name w:val="WW8Num5"/>
    <w:lvl w:ilvl="0">
      <w:start w:val="2"/>
      <w:numFmt w:val="decimal"/>
      <w:pStyle w:val="Notes1"/>
      <w:lvlText w:val="%1"/>
      <w:lvlJc w:val="left"/>
      <w:pPr>
        <w:tabs>
          <w:tab w:val="num" w:pos="432"/>
        </w:tabs>
        <w:ind w:left="432" w:hanging="432"/>
      </w:pPr>
      <w:rPr>
        <w:rFonts w:hint="default"/>
        <w:lang w:val="en-GB"/>
      </w:rPr>
    </w:lvl>
    <w:lvl w:ilvl="1">
      <w:start w:val="1"/>
      <w:numFmt w:val="decimal"/>
      <w:pStyle w:val="Title111"/>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351A61"/>
    <w:multiLevelType w:val="multilevel"/>
    <w:tmpl w:val="86DC0B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nsid w:val="6F351A62"/>
    <w:multiLevelType w:val="multilevel"/>
    <w:tmpl w:val="4B488448"/>
    <w:lvl w:ilvl="0">
      <w:start w:val="1"/>
      <w:numFmt w:val="bullet"/>
      <w:lvlText w:val=""/>
      <w:lvlJc w:val="left"/>
      <w:pPr>
        <w:tabs>
          <w:tab w:val="num" w:pos="431"/>
        </w:tabs>
        <w:ind w:left="431" w:hanging="431"/>
      </w:pPr>
      <w:rPr>
        <w:rFonts w:ascii="Wingdings" w:hAnsi="Wingdings" w:hint="default"/>
      </w:rPr>
    </w:lvl>
    <w:lvl w:ilvl="1">
      <w:start w:val="1"/>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8">
    <w:nsid w:val="6F351A63"/>
    <w:multiLevelType w:val="hybridMultilevel"/>
    <w:tmpl w:val="8A58B420"/>
    <w:lvl w:ilvl="0" w:tplc="3BD6EED6">
      <w:start w:val="293"/>
      <w:numFmt w:val="bullet"/>
      <w:lvlText w:val="-"/>
      <w:lvlJc w:val="left"/>
      <w:pPr>
        <w:ind w:left="720" w:hanging="360"/>
      </w:pPr>
      <w:rPr>
        <w:rFonts w:ascii="Arial" w:hAnsi="Arial" w:cs="Arial" w:hint="default"/>
      </w:rPr>
    </w:lvl>
    <w:lvl w:ilvl="1" w:tplc="3418FF18" w:tentative="1">
      <w:start w:val="1"/>
      <w:numFmt w:val="bullet"/>
      <w:lvlText w:val="o"/>
      <w:lvlJc w:val="left"/>
      <w:pPr>
        <w:ind w:left="1440" w:hanging="360"/>
      </w:pPr>
      <w:rPr>
        <w:rFonts w:ascii="Courier New" w:hAnsi="Courier New" w:cs="Courier New" w:hint="default"/>
      </w:rPr>
    </w:lvl>
    <w:lvl w:ilvl="2" w:tplc="C6BC8E90" w:tentative="1">
      <w:start w:val="1"/>
      <w:numFmt w:val="bullet"/>
      <w:lvlText w:val=""/>
      <w:lvlJc w:val="left"/>
      <w:pPr>
        <w:ind w:left="2160" w:hanging="360"/>
      </w:pPr>
      <w:rPr>
        <w:rFonts w:ascii="Wingdings" w:hAnsi="Wingdings" w:hint="default"/>
      </w:rPr>
    </w:lvl>
    <w:lvl w:ilvl="3" w:tplc="ACD85584" w:tentative="1">
      <w:start w:val="1"/>
      <w:numFmt w:val="bullet"/>
      <w:lvlText w:val=""/>
      <w:lvlJc w:val="left"/>
      <w:pPr>
        <w:ind w:left="2880" w:hanging="360"/>
      </w:pPr>
      <w:rPr>
        <w:rFonts w:ascii="Symbol" w:hAnsi="Symbol" w:hint="default"/>
      </w:rPr>
    </w:lvl>
    <w:lvl w:ilvl="4" w:tplc="2DAA2A4A" w:tentative="1">
      <w:start w:val="1"/>
      <w:numFmt w:val="bullet"/>
      <w:lvlText w:val="o"/>
      <w:lvlJc w:val="left"/>
      <w:pPr>
        <w:ind w:left="3600" w:hanging="360"/>
      </w:pPr>
      <w:rPr>
        <w:rFonts w:ascii="Courier New" w:hAnsi="Courier New" w:cs="Courier New" w:hint="default"/>
      </w:rPr>
    </w:lvl>
    <w:lvl w:ilvl="5" w:tplc="DD4C5AF0" w:tentative="1">
      <w:start w:val="1"/>
      <w:numFmt w:val="bullet"/>
      <w:lvlText w:val=""/>
      <w:lvlJc w:val="left"/>
      <w:pPr>
        <w:ind w:left="4320" w:hanging="360"/>
      </w:pPr>
      <w:rPr>
        <w:rFonts w:ascii="Wingdings" w:hAnsi="Wingdings" w:hint="default"/>
      </w:rPr>
    </w:lvl>
    <w:lvl w:ilvl="6" w:tplc="FE7209FC" w:tentative="1">
      <w:start w:val="1"/>
      <w:numFmt w:val="bullet"/>
      <w:lvlText w:val=""/>
      <w:lvlJc w:val="left"/>
      <w:pPr>
        <w:ind w:left="5040" w:hanging="360"/>
      </w:pPr>
      <w:rPr>
        <w:rFonts w:ascii="Symbol" w:hAnsi="Symbol" w:hint="default"/>
      </w:rPr>
    </w:lvl>
    <w:lvl w:ilvl="7" w:tplc="48E4BB88" w:tentative="1">
      <w:start w:val="1"/>
      <w:numFmt w:val="bullet"/>
      <w:lvlText w:val="o"/>
      <w:lvlJc w:val="left"/>
      <w:pPr>
        <w:ind w:left="5760" w:hanging="360"/>
      </w:pPr>
      <w:rPr>
        <w:rFonts w:ascii="Courier New" w:hAnsi="Courier New" w:cs="Courier New" w:hint="default"/>
      </w:rPr>
    </w:lvl>
    <w:lvl w:ilvl="8" w:tplc="CEF8AFDE" w:tentative="1">
      <w:start w:val="1"/>
      <w:numFmt w:val="bullet"/>
      <w:lvlText w:val=""/>
      <w:lvlJc w:val="left"/>
      <w:pPr>
        <w:ind w:left="6480" w:hanging="360"/>
      </w:pPr>
      <w:rPr>
        <w:rFonts w:ascii="Wingdings" w:hAnsi="Wingdings" w:hint="default"/>
      </w:rPr>
    </w:lvl>
  </w:abstractNum>
  <w:abstractNum w:abstractNumId="29">
    <w:nsid w:val="6F351A64"/>
    <w:multiLevelType w:val="hybridMultilevel"/>
    <w:tmpl w:val="6040F0EC"/>
    <w:name w:val="WW8Num82"/>
    <w:lvl w:ilvl="0" w:tplc="1490409C">
      <w:start w:val="293"/>
      <w:numFmt w:val="bullet"/>
      <w:lvlText w:val="-"/>
      <w:lvlJc w:val="left"/>
      <w:pPr>
        <w:tabs>
          <w:tab w:val="num" w:pos="720"/>
        </w:tabs>
        <w:ind w:left="720" w:hanging="360"/>
      </w:pPr>
      <w:rPr>
        <w:rFonts w:ascii="Arial" w:hAnsi="Arial" w:cs="Arial" w:hint="default"/>
      </w:rPr>
    </w:lvl>
    <w:lvl w:ilvl="1" w:tplc="0AE2B9B4" w:tentative="1">
      <w:start w:val="1"/>
      <w:numFmt w:val="bullet"/>
      <w:lvlText w:val="o"/>
      <w:lvlJc w:val="left"/>
      <w:pPr>
        <w:tabs>
          <w:tab w:val="num" w:pos="1440"/>
        </w:tabs>
        <w:ind w:left="1440" w:hanging="360"/>
      </w:pPr>
      <w:rPr>
        <w:rFonts w:ascii="Courier New" w:hAnsi="Courier New" w:cs="Courier New" w:hint="default"/>
      </w:rPr>
    </w:lvl>
    <w:lvl w:ilvl="2" w:tplc="CF880A7E" w:tentative="1">
      <w:start w:val="1"/>
      <w:numFmt w:val="bullet"/>
      <w:lvlText w:val=""/>
      <w:lvlJc w:val="left"/>
      <w:pPr>
        <w:tabs>
          <w:tab w:val="num" w:pos="2160"/>
        </w:tabs>
        <w:ind w:left="2160" w:hanging="360"/>
      </w:pPr>
      <w:rPr>
        <w:rFonts w:ascii="Wingdings" w:hAnsi="Wingdings" w:hint="default"/>
      </w:rPr>
    </w:lvl>
    <w:lvl w:ilvl="3" w:tplc="D1C65902" w:tentative="1">
      <w:start w:val="1"/>
      <w:numFmt w:val="bullet"/>
      <w:lvlText w:val=""/>
      <w:lvlJc w:val="left"/>
      <w:pPr>
        <w:tabs>
          <w:tab w:val="num" w:pos="2880"/>
        </w:tabs>
        <w:ind w:left="2880" w:hanging="360"/>
      </w:pPr>
      <w:rPr>
        <w:rFonts w:ascii="Symbol" w:hAnsi="Symbol" w:hint="default"/>
      </w:rPr>
    </w:lvl>
    <w:lvl w:ilvl="4" w:tplc="F9862D38" w:tentative="1">
      <w:start w:val="1"/>
      <w:numFmt w:val="bullet"/>
      <w:lvlText w:val="o"/>
      <w:lvlJc w:val="left"/>
      <w:pPr>
        <w:tabs>
          <w:tab w:val="num" w:pos="3600"/>
        </w:tabs>
        <w:ind w:left="3600" w:hanging="360"/>
      </w:pPr>
      <w:rPr>
        <w:rFonts w:ascii="Courier New" w:hAnsi="Courier New" w:cs="Courier New" w:hint="default"/>
      </w:rPr>
    </w:lvl>
    <w:lvl w:ilvl="5" w:tplc="14AEA052" w:tentative="1">
      <w:start w:val="1"/>
      <w:numFmt w:val="bullet"/>
      <w:lvlText w:val=""/>
      <w:lvlJc w:val="left"/>
      <w:pPr>
        <w:tabs>
          <w:tab w:val="num" w:pos="4320"/>
        </w:tabs>
        <w:ind w:left="4320" w:hanging="360"/>
      </w:pPr>
      <w:rPr>
        <w:rFonts w:ascii="Wingdings" w:hAnsi="Wingdings" w:hint="default"/>
      </w:rPr>
    </w:lvl>
    <w:lvl w:ilvl="6" w:tplc="F086E09A" w:tentative="1">
      <w:start w:val="1"/>
      <w:numFmt w:val="bullet"/>
      <w:lvlText w:val=""/>
      <w:lvlJc w:val="left"/>
      <w:pPr>
        <w:tabs>
          <w:tab w:val="num" w:pos="5040"/>
        </w:tabs>
        <w:ind w:left="5040" w:hanging="360"/>
      </w:pPr>
      <w:rPr>
        <w:rFonts w:ascii="Symbol" w:hAnsi="Symbol" w:hint="default"/>
      </w:rPr>
    </w:lvl>
    <w:lvl w:ilvl="7" w:tplc="0FAA73CA" w:tentative="1">
      <w:start w:val="1"/>
      <w:numFmt w:val="bullet"/>
      <w:lvlText w:val="o"/>
      <w:lvlJc w:val="left"/>
      <w:pPr>
        <w:tabs>
          <w:tab w:val="num" w:pos="5760"/>
        </w:tabs>
        <w:ind w:left="5760" w:hanging="360"/>
      </w:pPr>
      <w:rPr>
        <w:rFonts w:ascii="Courier New" w:hAnsi="Courier New" w:cs="Courier New" w:hint="default"/>
      </w:rPr>
    </w:lvl>
    <w:lvl w:ilvl="8" w:tplc="6A7CB6D2" w:tentative="1">
      <w:start w:val="1"/>
      <w:numFmt w:val="bullet"/>
      <w:lvlText w:val=""/>
      <w:lvlJc w:val="left"/>
      <w:pPr>
        <w:tabs>
          <w:tab w:val="num" w:pos="6480"/>
        </w:tabs>
        <w:ind w:left="6480" w:hanging="360"/>
      </w:pPr>
      <w:rPr>
        <w:rFonts w:ascii="Wingdings" w:hAnsi="Wingdings" w:hint="default"/>
      </w:rPr>
    </w:lvl>
  </w:abstractNum>
  <w:abstractNum w:abstractNumId="30">
    <w:nsid w:val="6F351A65"/>
    <w:multiLevelType w:val="hybridMultilevel"/>
    <w:tmpl w:val="B6101AC2"/>
    <w:lvl w:ilvl="0" w:tplc="2E9EDAFC">
      <w:numFmt w:val="bullet"/>
      <w:lvlText w:val="-"/>
      <w:lvlJc w:val="left"/>
      <w:pPr>
        <w:ind w:left="720" w:hanging="360"/>
      </w:pPr>
      <w:rPr>
        <w:rFonts w:ascii="Arial" w:eastAsia="Times New Roman" w:hAnsi="Arial" w:cs="Times New Roman" w:hint="default"/>
      </w:rPr>
    </w:lvl>
    <w:lvl w:ilvl="1" w:tplc="7150A048">
      <w:start w:val="1"/>
      <w:numFmt w:val="bullet"/>
      <w:lvlText w:val="o"/>
      <w:lvlJc w:val="left"/>
      <w:pPr>
        <w:ind w:left="1440" w:hanging="360"/>
      </w:pPr>
      <w:rPr>
        <w:rFonts w:ascii="Courier New" w:hAnsi="Courier New" w:cs="Courier New" w:hint="default"/>
      </w:rPr>
    </w:lvl>
    <w:lvl w:ilvl="2" w:tplc="636A30BA">
      <w:start w:val="1"/>
      <w:numFmt w:val="bullet"/>
      <w:lvlText w:val=""/>
      <w:lvlJc w:val="left"/>
      <w:pPr>
        <w:ind w:left="2160" w:hanging="360"/>
      </w:pPr>
      <w:rPr>
        <w:rFonts w:ascii="Wingdings" w:hAnsi="Wingdings" w:hint="default"/>
      </w:rPr>
    </w:lvl>
    <w:lvl w:ilvl="3" w:tplc="D910D040">
      <w:start w:val="1"/>
      <w:numFmt w:val="bullet"/>
      <w:lvlText w:val=""/>
      <w:lvlJc w:val="left"/>
      <w:pPr>
        <w:ind w:left="2880" w:hanging="360"/>
      </w:pPr>
      <w:rPr>
        <w:rFonts w:ascii="Symbol" w:hAnsi="Symbol" w:hint="default"/>
      </w:rPr>
    </w:lvl>
    <w:lvl w:ilvl="4" w:tplc="9C32907C">
      <w:start w:val="1"/>
      <w:numFmt w:val="bullet"/>
      <w:lvlText w:val="o"/>
      <w:lvlJc w:val="left"/>
      <w:pPr>
        <w:ind w:left="3600" w:hanging="360"/>
      </w:pPr>
      <w:rPr>
        <w:rFonts w:ascii="Courier New" w:hAnsi="Courier New" w:cs="Courier New" w:hint="default"/>
      </w:rPr>
    </w:lvl>
    <w:lvl w:ilvl="5" w:tplc="5E0699C2">
      <w:start w:val="1"/>
      <w:numFmt w:val="bullet"/>
      <w:lvlText w:val=""/>
      <w:lvlJc w:val="left"/>
      <w:pPr>
        <w:ind w:left="4320" w:hanging="360"/>
      </w:pPr>
      <w:rPr>
        <w:rFonts w:ascii="Wingdings" w:hAnsi="Wingdings" w:hint="default"/>
      </w:rPr>
    </w:lvl>
    <w:lvl w:ilvl="6" w:tplc="33E400FC">
      <w:start w:val="1"/>
      <w:numFmt w:val="bullet"/>
      <w:lvlText w:val=""/>
      <w:lvlJc w:val="left"/>
      <w:pPr>
        <w:ind w:left="5040" w:hanging="360"/>
      </w:pPr>
      <w:rPr>
        <w:rFonts w:ascii="Symbol" w:hAnsi="Symbol" w:hint="default"/>
      </w:rPr>
    </w:lvl>
    <w:lvl w:ilvl="7" w:tplc="46966A8C">
      <w:start w:val="1"/>
      <w:numFmt w:val="bullet"/>
      <w:lvlText w:val="o"/>
      <w:lvlJc w:val="left"/>
      <w:pPr>
        <w:ind w:left="5760" w:hanging="360"/>
      </w:pPr>
      <w:rPr>
        <w:rFonts w:ascii="Courier New" w:hAnsi="Courier New" w:cs="Courier New" w:hint="default"/>
      </w:rPr>
    </w:lvl>
    <w:lvl w:ilvl="8" w:tplc="F08242E4">
      <w:start w:val="1"/>
      <w:numFmt w:val="bullet"/>
      <w:lvlText w:val=""/>
      <w:lvlJc w:val="left"/>
      <w:pPr>
        <w:ind w:left="6480" w:hanging="360"/>
      </w:pPr>
      <w:rPr>
        <w:rFonts w:ascii="Wingdings" w:hAnsi="Wingdings" w:hint="default"/>
      </w:rPr>
    </w:lvl>
  </w:abstractNum>
  <w:abstractNum w:abstractNumId="31">
    <w:nsid w:val="6F351A66"/>
    <w:multiLevelType w:val="multilevel"/>
    <w:tmpl w:val="E85495D4"/>
    <w:name w:val="WW8Num53"/>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576"/>
        </w:tabs>
        <w:ind w:left="576" w:hanging="576"/>
      </w:pPr>
      <w:rPr>
        <w:rFonts w:hint="default"/>
      </w:rPr>
    </w:lvl>
    <w:lvl w:ilvl="2">
      <w:start w:val="1"/>
      <w:numFmt w:val="decimal"/>
      <w:pStyle w:val="Title1110"/>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F351A67"/>
    <w:multiLevelType w:val="hybridMultilevel"/>
    <w:tmpl w:val="35C41564"/>
    <w:lvl w:ilvl="0" w:tplc="D6B6BA46">
      <w:start w:val="293"/>
      <w:numFmt w:val="bullet"/>
      <w:lvlText w:val="-"/>
      <w:lvlJc w:val="left"/>
      <w:pPr>
        <w:ind w:left="720" w:hanging="360"/>
      </w:pPr>
      <w:rPr>
        <w:rFonts w:ascii="Arial" w:hAnsi="Arial" w:cs="Arial" w:hint="default"/>
      </w:rPr>
    </w:lvl>
    <w:lvl w:ilvl="1" w:tplc="80CC8A98" w:tentative="1">
      <w:start w:val="1"/>
      <w:numFmt w:val="bullet"/>
      <w:lvlText w:val="o"/>
      <w:lvlJc w:val="left"/>
      <w:pPr>
        <w:ind w:left="1440" w:hanging="360"/>
      </w:pPr>
      <w:rPr>
        <w:rFonts w:ascii="Courier New" w:hAnsi="Courier New" w:cs="Courier New" w:hint="default"/>
      </w:rPr>
    </w:lvl>
    <w:lvl w:ilvl="2" w:tplc="7CD69532" w:tentative="1">
      <w:start w:val="1"/>
      <w:numFmt w:val="bullet"/>
      <w:lvlText w:val=""/>
      <w:lvlJc w:val="left"/>
      <w:pPr>
        <w:ind w:left="2160" w:hanging="360"/>
      </w:pPr>
      <w:rPr>
        <w:rFonts w:ascii="Wingdings" w:hAnsi="Wingdings" w:hint="default"/>
      </w:rPr>
    </w:lvl>
    <w:lvl w:ilvl="3" w:tplc="33883E74" w:tentative="1">
      <w:start w:val="1"/>
      <w:numFmt w:val="bullet"/>
      <w:lvlText w:val=""/>
      <w:lvlJc w:val="left"/>
      <w:pPr>
        <w:ind w:left="2880" w:hanging="360"/>
      </w:pPr>
      <w:rPr>
        <w:rFonts w:ascii="Symbol" w:hAnsi="Symbol" w:hint="default"/>
      </w:rPr>
    </w:lvl>
    <w:lvl w:ilvl="4" w:tplc="6D9EBE46" w:tentative="1">
      <w:start w:val="1"/>
      <w:numFmt w:val="bullet"/>
      <w:lvlText w:val="o"/>
      <w:lvlJc w:val="left"/>
      <w:pPr>
        <w:ind w:left="3600" w:hanging="360"/>
      </w:pPr>
      <w:rPr>
        <w:rFonts w:ascii="Courier New" w:hAnsi="Courier New" w:cs="Courier New" w:hint="default"/>
      </w:rPr>
    </w:lvl>
    <w:lvl w:ilvl="5" w:tplc="F4A87A72" w:tentative="1">
      <w:start w:val="1"/>
      <w:numFmt w:val="bullet"/>
      <w:lvlText w:val=""/>
      <w:lvlJc w:val="left"/>
      <w:pPr>
        <w:ind w:left="4320" w:hanging="360"/>
      </w:pPr>
      <w:rPr>
        <w:rFonts w:ascii="Wingdings" w:hAnsi="Wingdings" w:hint="default"/>
      </w:rPr>
    </w:lvl>
    <w:lvl w:ilvl="6" w:tplc="F88462C2" w:tentative="1">
      <w:start w:val="1"/>
      <w:numFmt w:val="bullet"/>
      <w:lvlText w:val=""/>
      <w:lvlJc w:val="left"/>
      <w:pPr>
        <w:ind w:left="5040" w:hanging="360"/>
      </w:pPr>
      <w:rPr>
        <w:rFonts w:ascii="Symbol" w:hAnsi="Symbol" w:hint="default"/>
      </w:rPr>
    </w:lvl>
    <w:lvl w:ilvl="7" w:tplc="1BA602B6" w:tentative="1">
      <w:start w:val="1"/>
      <w:numFmt w:val="bullet"/>
      <w:lvlText w:val="o"/>
      <w:lvlJc w:val="left"/>
      <w:pPr>
        <w:ind w:left="5760" w:hanging="360"/>
      </w:pPr>
      <w:rPr>
        <w:rFonts w:ascii="Courier New" w:hAnsi="Courier New" w:cs="Courier New" w:hint="default"/>
      </w:rPr>
    </w:lvl>
    <w:lvl w:ilvl="8" w:tplc="610211AC" w:tentative="1">
      <w:start w:val="1"/>
      <w:numFmt w:val="bullet"/>
      <w:lvlText w:val=""/>
      <w:lvlJc w:val="left"/>
      <w:pPr>
        <w:ind w:left="6480" w:hanging="360"/>
      </w:pPr>
      <w:rPr>
        <w:rFonts w:ascii="Wingdings" w:hAnsi="Wingdings" w:hint="default"/>
      </w:rPr>
    </w:lvl>
  </w:abstractNum>
  <w:abstractNum w:abstractNumId="33">
    <w:nsid w:val="6F351A68"/>
    <w:multiLevelType w:val="multilevel"/>
    <w:tmpl w:val="40FEDBDE"/>
    <w:lvl w:ilvl="0">
      <w:start w:val="1"/>
      <w:numFmt w:val="bullet"/>
      <w:lvlText w:val=""/>
      <w:lvlJc w:val="left"/>
      <w:pPr>
        <w:tabs>
          <w:tab w:val="num" w:pos="431"/>
        </w:tabs>
        <w:ind w:left="431" w:hanging="431"/>
      </w:pPr>
      <w:rPr>
        <w:rFonts w:ascii="Wingdings" w:hAnsi="Wingdings" w:hint="default"/>
      </w:rPr>
    </w:lvl>
    <w:lvl w:ilvl="1">
      <w:start w:val="1"/>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34">
    <w:nsid w:val="6F351A69"/>
    <w:multiLevelType w:val="multilevel"/>
    <w:tmpl w:val="1C9AA89E"/>
    <w:name w:val="WW8Num2"/>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357"/>
        </w:tabs>
        <w:ind w:left="357" w:hanging="357"/>
      </w:pPr>
      <w:rPr>
        <w:rFont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nsid w:val="6F351A6A"/>
    <w:multiLevelType w:val="hybridMultilevel"/>
    <w:tmpl w:val="F2122D3E"/>
    <w:lvl w:ilvl="0" w:tplc="010C7EEE">
      <w:start w:val="1"/>
      <w:numFmt w:val="bullet"/>
      <w:lvlText w:val=""/>
      <w:lvlJc w:val="left"/>
      <w:pPr>
        <w:tabs>
          <w:tab w:val="num" w:pos="431"/>
        </w:tabs>
        <w:ind w:left="431" w:hanging="431"/>
      </w:pPr>
      <w:rPr>
        <w:rFonts w:ascii="Wingdings" w:hAnsi="Wingdings" w:hint="default"/>
      </w:rPr>
    </w:lvl>
    <w:lvl w:ilvl="1" w:tplc="DA36FDAA" w:tentative="1">
      <w:start w:val="1"/>
      <w:numFmt w:val="bullet"/>
      <w:lvlText w:val="o"/>
      <w:lvlJc w:val="left"/>
      <w:pPr>
        <w:tabs>
          <w:tab w:val="num" w:pos="1440"/>
        </w:tabs>
        <w:ind w:left="1440" w:hanging="360"/>
      </w:pPr>
      <w:rPr>
        <w:rFonts w:ascii="Courier New" w:hAnsi="Courier New" w:cs="Courier New" w:hint="default"/>
      </w:rPr>
    </w:lvl>
    <w:lvl w:ilvl="2" w:tplc="03D43D28" w:tentative="1">
      <w:start w:val="1"/>
      <w:numFmt w:val="bullet"/>
      <w:lvlText w:val=""/>
      <w:lvlJc w:val="left"/>
      <w:pPr>
        <w:tabs>
          <w:tab w:val="num" w:pos="2160"/>
        </w:tabs>
        <w:ind w:left="2160" w:hanging="360"/>
      </w:pPr>
      <w:rPr>
        <w:rFonts w:ascii="Wingdings" w:hAnsi="Wingdings" w:hint="default"/>
      </w:rPr>
    </w:lvl>
    <w:lvl w:ilvl="3" w:tplc="892256A8" w:tentative="1">
      <w:start w:val="1"/>
      <w:numFmt w:val="bullet"/>
      <w:lvlText w:val=""/>
      <w:lvlJc w:val="left"/>
      <w:pPr>
        <w:tabs>
          <w:tab w:val="num" w:pos="2880"/>
        </w:tabs>
        <w:ind w:left="2880" w:hanging="360"/>
      </w:pPr>
      <w:rPr>
        <w:rFonts w:ascii="Symbol" w:hAnsi="Symbol" w:hint="default"/>
      </w:rPr>
    </w:lvl>
    <w:lvl w:ilvl="4" w:tplc="FF063B18" w:tentative="1">
      <w:start w:val="1"/>
      <w:numFmt w:val="bullet"/>
      <w:lvlText w:val="o"/>
      <w:lvlJc w:val="left"/>
      <w:pPr>
        <w:tabs>
          <w:tab w:val="num" w:pos="3600"/>
        </w:tabs>
        <w:ind w:left="3600" w:hanging="360"/>
      </w:pPr>
      <w:rPr>
        <w:rFonts w:ascii="Courier New" w:hAnsi="Courier New" w:cs="Courier New" w:hint="default"/>
      </w:rPr>
    </w:lvl>
    <w:lvl w:ilvl="5" w:tplc="8F96F608" w:tentative="1">
      <w:start w:val="1"/>
      <w:numFmt w:val="bullet"/>
      <w:lvlText w:val=""/>
      <w:lvlJc w:val="left"/>
      <w:pPr>
        <w:tabs>
          <w:tab w:val="num" w:pos="4320"/>
        </w:tabs>
        <w:ind w:left="4320" w:hanging="360"/>
      </w:pPr>
      <w:rPr>
        <w:rFonts w:ascii="Wingdings" w:hAnsi="Wingdings" w:hint="default"/>
      </w:rPr>
    </w:lvl>
    <w:lvl w:ilvl="6" w:tplc="396A1762" w:tentative="1">
      <w:start w:val="1"/>
      <w:numFmt w:val="bullet"/>
      <w:lvlText w:val=""/>
      <w:lvlJc w:val="left"/>
      <w:pPr>
        <w:tabs>
          <w:tab w:val="num" w:pos="5040"/>
        </w:tabs>
        <w:ind w:left="5040" w:hanging="360"/>
      </w:pPr>
      <w:rPr>
        <w:rFonts w:ascii="Symbol" w:hAnsi="Symbol" w:hint="default"/>
      </w:rPr>
    </w:lvl>
    <w:lvl w:ilvl="7" w:tplc="52340FAE" w:tentative="1">
      <w:start w:val="1"/>
      <w:numFmt w:val="bullet"/>
      <w:lvlText w:val="o"/>
      <w:lvlJc w:val="left"/>
      <w:pPr>
        <w:tabs>
          <w:tab w:val="num" w:pos="5760"/>
        </w:tabs>
        <w:ind w:left="5760" w:hanging="360"/>
      </w:pPr>
      <w:rPr>
        <w:rFonts w:ascii="Courier New" w:hAnsi="Courier New" w:cs="Courier New" w:hint="default"/>
      </w:rPr>
    </w:lvl>
    <w:lvl w:ilvl="8" w:tplc="F304845C" w:tentative="1">
      <w:start w:val="1"/>
      <w:numFmt w:val="bullet"/>
      <w:lvlText w:val=""/>
      <w:lvlJc w:val="left"/>
      <w:pPr>
        <w:tabs>
          <w:tab w:val="num" w:pos="6480"/>
        </w:tabs>
        <w:ind w:left="6480" w:hanging="360"/>
      </w:pPr>
      <w:rPr>
        <w:rFonts w:ascii="Wingdings" w:hAnsi="Wingdings" w:hint="default"/>
      </w:rPr>
    </w:lvl>
  </w:abstractNum>
  <w:abstractNum w:abstractNumId="36">
    <w:nsid w:val="6F351A6B"/>
    <w:multiLevelType w:val="hybridMultilevel"/>
    <w:tmpl w:val="8E5A7388"/>
    <w:lvl w:ilvl="0" w:tplc="52AABA92">
      <w:numFmt w:val="bullet"/>
      <w:lvlText w:val="-"/>
      <w:lvlJc w:val="left"/>
      <w:pPr>
        <w:tabs>
          <w:tab w:val="num" w:pos="720"/>
        </w:tabs>
        <w:ind w:left="720" w:hanging="363"/>
      </w:pPr>
      <w:rPr>
        <w:rFonts w:ascii="Futura Lt BT" w:hAnsi="Futura Lt BT" w:cs="Times New Roman" w:hint="default"/>
      </w:rPr>
    </w:lvl>
    <w:lvl w:ilvl="1" w:tplc="EE803B22">
      <w:start w:val="1"/>
      <w:numFmt w:val="bullet"/>
      <w:lvlText w:val="o"/>
      <w:lvlJc w:val="left"/>
      <w:pPr>
        <w:tabs>
          <w:tab w:val="num" w:pos="1440"/>
        </w:tabs>
        <w:ind w:left="1440" w:hanging="360"/>
      </w:pPr>
      <w:rPr>
        <w:rFonts w:ascii="Courier New" w:hAnsi="Courier New" w:cs="Courier New" w:hint="default"/>
      </w:rPr>
    </w:lvl>
    <w:lvl w:ilvl="2" w:tplc="FB323F62">
      <w:start w:val="1"/>
      <w:numFmt w:val="bullet"/>
      <w:lvlText w:val=""/>
      <w:lvlJc w:val="left"/>
      <w:pPr>
        <w:tabs>
          <w:tab w:val="num" w:pos="2160"/>
        </w:tabs>
        <w:ind w:left="2160" w:hanging="360"/>
      </w:pPr>
      <w:rPr>
        <w:rFonts w:ascii="Wingdings" w:hAnsi="Wingdings" w:hint="default"/>
      </w:rPr>
    </w:lvl>
    <w:lvl w:ilvl="3" w:tplc="EF066F02">
      <w:start w:val="1"/>
      <w:numFmt w:val="bullet"/>
      <w:lvlText w:val=""/>
      <w:lvlJc w:val="left"/>
      <w:pPr>
        <w:tabs>
          <w:tab w:val="num" w:pos="2880"/>
        </w:tabs>
        <w:ind w:left="2880" w:hanging="360"/>
      </w:pPr>
      <w:rPr>
        <w:rFonts w:ascii="Symbol" w:hAnsi="Symbol" w:hint="default"/>
      </w:rPr>
    </w:lvl>
    <w:lvl w:ilvl="4" w:tplc="213423F4">
      <w:start w:val="1"/>
      <w:numFmt w:val="bullet"/>
      <w:lvlText w:val="o"/>
      <w:lvlJc w:val="left"/>
      <w:pPr>
        <w:tabs>
          <w:tab w:val="num" w:pos="3600"/>
        </w:tabs>
        <w:ind w:left="3600" w:hanging="360"/>
      </w:pPr>
      <w:rPr>
        <w:rFonts w:ascii="Courier New" w:hAnsi="Courier New" w:cs="Courier New" w:hint="default"/>
      </w:rPr>
    </w:lvl>
    <w:lvl w:ilvl="5" w:tplc="990E31D6">
      <w:start w:val="1"/>
      <w:numFmt w:val="bullet"/>
      <w:lvlText w:val=""/>
      <w:lvlJc w:val="left"/>
      <w:pPr>
        <w:tabs>
          <w:tab w:val="num" w:pos="4320"/>
        </w:tabs>
        <w:ind w:left="4320" w:hanging="360"/>
      </w:pPr>
      <w:rPr>
        <w:rFonts w:ascii="Wingdings" w:hAnsi="Wingdings" w:hint="default"/>
      </w:rPr>
    </w:lvl>
    <w:lvl w:ilvl="6" w:tplc="3E00DA5E">
      <w:start w:val="1"/>
      <w:numFmt w:val="bullet"/>
      <w:lvlText w:val=""/>
      <w:lvlJc w:val="left"/>
      <w:pPr>
        <w:tabs>
          <w:tab w:val="num" w:pos="5040"/>
        </w:tabs>
        <w:ind w:left="5040" w:hanging="360"/>
      </w:pPr>
      <w:rPr>
        <w:rFonts w:ascii="Symbol" w:hAnsi="Symbol" w:hint="default"/>
      </w:rPr>
    </w:lvl>
    <w:lvl w:ilvl="7" w:tplc="C26A14EA">
      <w:start w:val="1"/>
      <w:numFmt w:val="bullet"/>
      <w:lvlText w:val="o"/>
      <w:lvlJc w:val="left"/>
      <w:pPr>
        <w:tabs>
          <w:tab w:val="num" w:pos="5760"/>
        </w:tabs>
        <w:ind w:left="5760" w:hanging="360"/>
      </w:pPr>
      <w:rPr>
        <w:rFonts w:ascii="Courier New" w:hAnsi="Courier New" w:cs="Courier New" w:hint="default"/>
      </w:rPr>
    </w:lvl>
    <w:lvl w:ilvl="8" w:tplc="BAE0C5D4">
      <w:start w:val="1"/>
      <w:numFmt w:val="bullet"/>
      <w:lvlText w:val=""/>
      <w:lvlJc w:val="left"/>
      <w:pPr>
        <w:tabs>
          <w:tab w:val="num" w:pos="6480"/>
        </w:tabs>
        <w:ind w:left="6480" w:hanging="360"/>
      </w:pPr>
      <w:rPr>
        <w:rFonts w:ascii="Wingdings" w:hAnsi="Wingdings" w:hint="default"/>
      </w:rPr>
    </w:lvl>
  </w:abstractNum>
  <w:abstractNum w:abstractNumId="37">
    <w:nsid w:val="6F351A6C"/>
    <w:multiLevelType w:val="hybridMultilevel"/>
    <w:tmpl w:val="C7242F70"/>
    <w:lvl w:ilvl="0" w:tplc="F6082868">
      <w:numFmt w:val="bullet"/>
      <w:lvlText w:val="-"/>
      <w:lvlJc w:val="left"/>
      <w:pPr>
        <w:tabs>
          <w:tab w:val="num" w:pos="720"/>
        </w:tabs>
        <w:ind w:left="720" w:hanging="363"/>
      </w:pPr>
      <w:rPr>
        <w:rFonts w:ascii="Futura Lt BT" w:hAnsi="Futura Lt BT" w:cs="Times New Roman" w:hint="default"/>
      </w:rPr>
    </w:lvl>
    <w:lvl w:ilvl="1" w:tplc="600C4A7A" w:tentative="1">
      <w:start w:val="1"/>
      <w:numFmt w:val="bullet"/>
      <w:lvlText w:val="o"/>
      <w:lvlJc w:val="left"/>
      <w:pPr>
        <w:tabs>
          <w:tab w:val="num" w:pos="1440"/>
        </w:tabs>
        <w:ind w:left="1440" w:hanging="360"/>
      </w:pPr>
      <w:rPr>
        <w:rFonts w:ascii="Courier New" w:hAnsi="Courier New" w:cs="Courier New" w:hint="default"/>
      </w:rPr>
    </w:lvl>
    <w:lvl w:ilvl="2" w:tplc="7EF87E56" w:tentative="1">
      <w:start w:val="1"/>
      <w:numFmt w:val="bullet"/>
      <w:lvlText w:val=""/>
      <w:lvlJc w:val="left"/>
      <w:pPr>
        <w:tabs>
          <w:tab w:val="num" w:pos="2160"/>
        </w:tabs>
        <w:ind w:left="2160" w:hanging="360"/>
      </w:pPr>
      <w:rPr>
        <w:rFonts w:ascii="Wingdings" w:hAnsi="Wingdings" w:hint="default"/>
      </w:rPr>
    </w:lvl>
    <w:lvl w:ilvl="3" w:tplc="3E581F98" w:tentative="1">
      <w:start w:val="1"/>
      <w:numFmt w:val="bullet"/>
      <w:lvlText w:val=""/>
      <w:lvlJc w:val="left"/>
      <w:pPr>
        <w:tabs>
          <w:tab w:val="num" w:pos="2880"/>
        </w:tabs>
        <w:ind w:left="2880" w:hanging="360"/>
      </w:pPr>
      <w:rPr>
        <w:rFonts w:ascii="Symbol" w:hAnsi="Symbol" w:hint="default"/>
      </w:rPr>
    </w:lvl>
    <w:lvl w:ilvl="4" w:tplc="5B3A2B5E" w:tentative="1">
      <w:start w:val="1"/>
      <w:numFmt w:val="bullet"/>
      <w:lvlText w:val="o"/>
      <w:lvlJc w:val="left"/>
      <w:pPr>
        <w:tabs>
          <w:tab w:val="num" w:pos="3600"/>
        </w:tabs>
        <w:ind w:left="3600" w:hanging="360"/>
      </w:pPr>
      <w:rPr>
        <w:rFonts w:ascii="Courier New" w:hAnsi="Courier New" w:cs="Courier New" w:hint="default"/>
      </w:rPr>
    </w:lvl>
    <w:lvl w:ilvl="5" w:tplc="2B907BBE" w:tentative="1">
      <w:start w:val="1"/>
      <w:numFmt w:val="bullet"/>
      <w:lvlText w:val=""/>
      <w:lvlJc w:val="left"/>
      <w:pPr>
        <w:tabs>
          <w:tab w:val="num" w:pos="4320"/>
        </w:tabs>
        <w:ind w:left="4320" w:hanging="360"/>
      </w:pPr>
      <w:rPr>
        <w:rFonts w:ascii="Wingdings" w:hAnsi="Wingdings" w:hint="default"/>
      </w:rPr>
    </w:lvl>
    <w:lvl w:ilvl="6" w:tplc="C2640FF4" w:tentative="1">
      <w:start w:val="1"/>
      <w:numFmt w:val="bullet"/>
      <w:lvlText w:val=""/>
      <w:lvlJc w:val="left"/>
      <w:pPr>
        <w:tabs>
          <w:tab w:val="num" w:pos="5040"/>
        </w:tabs>
        <w:ind w:left="5040" w:hanging="360"/>
      </w:pPr>
      <w:rPr>
        <w:rFonts w:ascii="Symbol" w:hAnsi="Symbol" w:hint="default"/>
      </w:rPr>
    </w:lvl>
    <w:lvl w:ilvl="7" w:tplc="4918889C" w:tentative="1">
      <w:start w:val="1"/>
      <w:numFmt w:val="bullet"/>
      <w:lvlText w:val="o"/>
      <w:lvlJc w:val="left"/>
      <w:pPr>
        <w:tabs>
          <w:tab w:val="num" w:pos="5760"/>
        </w:tabs>
        <w:ind w:left="5760" w:hanging="360"/>
      </w:pPr>
      <w:rPr>
        <w:rFonts w:ascii="Courier New" w:hAnsi="Courier New" w:cs="Courier New" w:hint="default"/>
      </w:rPr>
    </w:lvl>
    <w:lvl w:ilvl="8" w:tplc="3F8EBF0E" w:tentative="1">
      <w:start w:val="1"/>
      <w:numFmt w:val="bullet"/>
      <w:lvlText w:val=""/>
      <w:lvlJc w:val="left"/>
      <w:pPr>
        <w:tabs>
          <w:tab w:val="num" w:pos="6480"/>
        </w:tabs>
        <w:ind w:left="6480" w:hanging="360"/>
      </w:pPr>
      <w:rPr>
        <w:rFonts w:ascii="Wingdings" w:hAnsi="Wingdings" w:hint="default"/>
      </w:rPr>
    </w:lvl>
  </w:abstractNum>
  <w:abstractNum w:abstractNumId="38">
    <w:nsid w:val="6F351A6D"/>
    <w:multiLevelType w:val="multilevel"/>
    <w:tmpl w:val="E8FA3B46"/>
    <w:name w:val="WW8Num5"/>
    <w:lvl w:ilvl="0">
      <w:start w:val="3"/>
      <w:numFmt w:val="decimal"/>
      <w:pStyle w:val="Notes2"/>
      <w:lvlText w:val="%1"/>
      <w:lvlJc w:val="left"/>
      <w:pPr>
        <w:tabs>
          <w:tab w:val="num" w:pos="432"/>
        </w:tabs>
        <w:ind w:left="432" w:hanging="432"/>
      </w:pPr>
      <w:rPr>
        <w:rFonts w:hint="default"/>
        <w:lang w:val="en-GB"/>
      </w:rPr>
    </w:lvl>
    <w:lvl w:ilvl="1">
      <w:start w:val="1"/>
      <w:numFmt w:val="decimal"/>
      <w:pStyle w:val="Title112"/>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F351A6E"/>
    <w:multiLevelType w:val="multilevel"/>
    <w:tmpl w:val="0736EBDE"/>
    <w:lvl w:ilvl="0">
      <w:numFmt w:val="bullet"/>
      <w:lvlText w:val="-"/>
      <w:lvlJc w:val="left"/>
      <w:pPr>
        <w:tabs>
          <w:tab w:val="num" w:pos="720"/>
        </w:tabs>
        <w:ind w:left="720" w:hanging="363"/>
      </w:pPr>
      <w:rPr>
        <w:rFonts w:ascii="Futura Lt BT" w:hAnsi="Futura Lt BT" w:cs="Times New Roman" w:hint="default"/>
      </w:rPr>
    </w:lvl>
    <w:lvl w:ilvl="1">
      <w:start w:val="1"/>
      <w:numFmt w:val="bullet"/>
      <w:lvlText w:val="◦"/>
      <w:lvlJc w:val="left"/>
      <w:pPr>
        <w:tabs>
          <w:tab w:val="num" w:pos="1512"/>
        </w:tabs>
        <w:ind w:left="1512" w:hanging="360"/>
      </w:pPr>
      <w:rPr>
        <w:rFonts w:ascii="OpenSymbol" w:hAnsi="OpenSymbol" w:cs="OpenSymbol"/>
      </w:rPr>
    </w:lvl>
    <w:lvl w:ilvl="2">
      <w:start w:val="1"/>
      <w:numFmt w:val="bullet"/>
      <w:lvlText w:val="▪"/>
      <w:lvlJc w:val="left"/>
      <w:pPr>
        <w:tabs>
          <w:tab w:val="num" w:pos="1872"/>
        </w:tabs>
        <w:ind w:left="1872" w:hanging="360"/>
      </w:pPr>
      <w:rPr>
        <w:rFonts w:ascii="OpenSymbol" w:hAnsi="OpenSymbol" w:cs="OpenSymbol"/>
      </w:rPr>
    </w:lvl>
    <w:lvl w:ilvl="3">
      <w:start w:val="1"/>
      <w:numFmt w:val="bullet"/>
      <w:lvlText w:val=""/>
      <w:lvlJc w:val="left"/>
      <w:pPr>
        <w:tabs>
          <w:tab w:val="num" w:pos="2232"/>
        </w:tabs>
        <w:ind w:left="2232" w:hanging="360"/>
      </w:pPr>
      <w:rPr>
        <w:rFonts w:ascii="Symbol" w:hAnsi="Symbol" w:cs="OpenSymbol"/>
      </w:rPr>
    </w:lvl>
    <w:lvl w:ilvl="4">
      <w:start w:val="1"/>
      <w:numFmt w:val="bullet"/>
      <w:lvlText w:val="◦"/>
      <w:lvlJc w:val="left"/>
      <w:pPr>
        <w:tabs>
          <w:tab w:val="num" w:pos="2592"/>
        </w:tabs>
        <w:ind w:left="2592" w:hanging="360"/>
      </w:pPr>
      <w:rPr>
        <w:rFonts w:ascii="OpenSymbol" w:hAnsi="OpenSymbol" w:cs="OpenSymbol"/>
      </w:rPr>
    </w:lvl>
    <w:lvl w:ilvl="5">
      <w:start w:val="1"/>
      <w:numFmt w:val="bullet"/>
      <w:lvlText w:val="▪"/>
      <w:lvlJc w:val="left"/>
      <w:pPr>
        <w:tabs>
          <w:tab w:val="num" w:pos="2952"/>
        </w:tabs>
        <w:ind w:left="2952" w:hanging="360"/>
      </w:pPr>
      <w:rPr>
        <w:rFonts w:ascii="OpenSymbol" w:hAnsi="OpenSymbol" w:cs="OpenSymbol"/>
      </w:rPr>
    </w:lvl>
    <w:lvl w:ilvl="6">
      <w:start w:val="1"/>
      <w:numFmt w:val="bullet"/>
      <w:lvlText w:val=""/>
      <w:lvlJc w:val="left"/>
      <w:pPr>
        <w:tabs>
          <w:tab w:val="num" w:pos="3312"/>
        </w:tabs>
        <w:ind w:left="3312" w:hanging="360"/>
      </w:pPr>
      <w:rPr>
        <w:rFonts w:ascii="Symbol" w:hAnsi="Symbol" w:cs="OpenSymbol"/>
      </w:rPr>
    </w:lvl>
    <w:lvl w:ilvl="7">
      <w:start w:val="1"/>
      <w:numFmt w:val="bullet"/>
      <w:lvlText w:val="◦"/>
      <w:lvlJc w:val="left"/>
      <w:pPr>
        <w:tabs>
          <w:tab w:val="num" w:pos="3672"/>
        </w:tabs>
        <w:ind w:left="3672" w:hanging="360"/>
      </w:pPr>
      <w:rPr>
        <w:rFonts w:ascii="OpenSymbol" w:hAnsi="OpenSymbol" w:cs="OpenSymbol"/>
      </w:rPr>
    </w:lvl>
    <w:lvl w:ilvl="8">
      <w:start w:val="1"/>
      <w:numFmt w:val="bullet"/>
      <w:lvlText w:val="▪"/>
      <w:lvlJc w:val="left"/>
      <w:pPr>
        <w:tabs>
          <w:tab w:val="num" w:pos="4032"/>
        </w:tabs>
        <w:ind w:left="4032" w:hanging="360"/>
      </w:pPr>
      <w:rPr>
        <w:rFonts w:ascii="OpenSymbol" w:hAnsi="OpenSymbol" w:cs="OpenSymbol"/>
      </w:rPr>
    </w:lvl>
  </w:abstractNum>
  <w:abstractNum w:abstractNumId="40">
    <w:nsid w:val="6F351A6F"/>
    <w:multiLevelType w:val="multilevel"/>
    <w:tmpl w:val="DE90D416"/>
    <w:name w:val="WW8Num5"/>
    <w:lvl w:ilvl="0">
      <w:start w:val="3"/>
      <w:numFmt w:val="decimal"/>
      <w:pStyle w:val="Notes3"/>
      <w:lvlText w:val="%1"/>
      <w:lvlJc w:val="left"/>
      <w:pPr>
        <w:tabs>
          <w:tab w:val="num" w:pos="432"/>
        </w:tabs>
        <w:ind w:left="432" w:hanging="432"/>
      </w:pPr>
      <w:rPr>
        <w:rFonts w:hint="default"/>
        <w:lang w:val="en-GB"/>
      </w:rPr>
    </w:lvl>
    <w:lvl w:ilvl="1">
      <w:start w:val="2"/>
      <w:numFmt w:val="decimal"/>
      <w:pStyle w:val="Title113"/>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F351A70"/>
    <w:multiLevelType w:val="multilevel"/>
    <w:tmpl w:val="E85495D4"/>
    <w:name w:val="WW8Num53"/>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576"/>
        </w:tabs>
        <w:ind w:left="576" w:hanging="576"/>
      </w:pPr>
      <w:rPr>
        <w:rFonts w:hint="default"/>
      </w:rPr>
    </w:lvl>
    <w:lvl w:ilvl="2">
      <w:start w:val="1"/>
      <w:numFmt w:val="decimal"/>
      <w:pStyle w:val="Title1111"/>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F351A71"/>
    <w:multiLevelType w:val="multilevel"/>
    <w:tmpl w:val="FE68A5C4"/>
    <w:lvl w:ilvl="0">
      <w:numFmt w:val="bullet"/>
      <w:lvlText w:val="-"/>
      <w:lvlJc w:val="left"/>
      <w:pPr>
        <w:tabs>
          <w:tab w:val="num" w:pos="720"/>
        </w:tabs>
        <w:ind w:left="720" w:hanging="363"/>
      </w:pPr>
      <w:rPr>
        <w:rFonts w:ascii="Futura Lt BT" w:hAnsi="Futura Lt BT" w:cs="Times New Roman" w:hint="default"/>
      </w:rPr>
    </w:lvl>
    <w:lvl w:ilvl="1">
      <w:start w:val="1"/>
      <w:numFmt w:val="bullet"/>
      <w:lvlText w:val="◦"/>
      <w:lvlJc w:val="left"/>
      <w:pPr>
        <w:tabs>
          <w:tab w:val="num" w:pos="1512"/>
        </w:tabs>
        <w:ind w:left="1512" w:hanging="360"/>
      </w:pPr>
      <w:rPr>
        <w:rFonts w:ascii="OpenSymbol" w:hAnsi="OpenSymbol" w:cs="OpenSymbol"/>
      </w:rPr>
    </w:lvl>
    <w:lvl w:ilvl="2">
      <w:start w:val="1"/>
      <w:numFmt w:val="bullet"/>
      <w:lvlText w:val="▪"/>
      <w:lvlJc w:val="left"/>
      <w:pPr>
        <w:tabs>
          <w:tab w:val="num" w:pos="1872"/>
        </w:tabs>
        <w:ind w:left="1872" w:hanging="360"/>
      </w:pPr>
      <w:rPr>
        <w:rFonts w:ascii="OpenSymbol" w:hAnsi="OpenSymbol" w:cs="OpenSymbol"/>
      </w:rPr>
    </w:lvl>
    <w:lvl w:ilvl="3">
      <w:start w:val="1"/>
      <w:numFmt w:val="bullet"/>
      <w:lvlText w:val=""/>
      <w:lvlJc w:val="left"/>
      <w:pPr>
        <w:tabs>
          <w:tab w:val="num" w:pos="2232"/>
        </w:tabs>
        <w:ind w:left="2232" w:hanging="360"/>
      </w:pPr>
      <w:rPr>
        <w:rFonts w:ascii="Symbol" w:hAnsi="Symbol" w:cs="OpenSymbol"/>
      </w:rPr>
    </w:lvl>
    <w:lvl w:ilvl="4">
      <w:start w:val="1"/>
      <w:numFmt w:val="bullet"/>
      <w:lvlText w:val="◦"/>
      <w:lvlJc w:val="left"/>
      <w:pPr>
        <w:tabs>
          <w:tab w:val="num" w:pos="2592"/>
        </w:tabs>
        <w:ind w:left="2592" w:hanging="360"/>
      </w:pPr>
      <w:rPr>
        <w:rFonts w:ascii="OpenSymbol" w:hAnsi="OpenSymbol" w:cs="OpenSymbol"/>
      </w:rPr>
    </w:lvl>
    <w:lvl w:ilvl="5">
      <w:start w:val="1"/>
      <w:numFmt w:val="bullet"/>
      <w:lvlText w:val="▪"/>
      <w:lvlJc w:val="left"/>
      <w:pPr>
        <w:tabs>
          <w:tab w:val="num" w:pos="2952"/>
        </w:tabs>
        <w:ind w:left="2952" w:hanging="360"/>
      </w:pPr>
      <w:rPr>
        <w:rFonts w:ascii="OpenSymbol" w:hAnsi="OpenSymbol" w:cs="OpenSymbol"/>
      </w:rPr>
    </w:lvl>
    <w:lvl w:ilvl="6">
      <w:start w:val="1"/>
      <w:numFmt w:val="bullet"/>
      <w:lvlText w:val=""/>
      <w:lvlJc w:val="left"/>
      <w:pPr>
        <w:tabs>
          <w:tab w:val="num" w:pos="3312"/>
        </w:tabs>
        <w:ind w:left="3312" w:hanging="360"/>
      </w:pPr>
      <w:rPr>
        <w:rFonts w:ascii="Symbol" w:hAnsi="Symbol" w:cs="OpenSymbol"/>
      </w:rPr>
    </w:lvl>
    <w:lvl w:ilvl="7">
      <w:start w:val="1"/>
      <w:numFmt w:val="bullet"/>
      <w:lvlText w:val="◦"/>
      <w:lvlJc w:val="left"/>
      <w:pPr>
        <w:tabs>
          <w:tab w:val="num" w:pos="3672"/>
        </w:tabs>
        <w:ind w:left="3672" w:hanging="360"/>
      </w:pPr>
      <w:rPr>
        <w:rFonts w:ascii="OpenSymbol" w:hAnsi="OpenSymbol" w:cs="OpenSymbol"/>
      </w:rPr>
    </w:lvl>
    <w:lvl w:ilvl="8">
      <w:start w:val="1"/>
      <w:numFmt w:val="bullet"/>
      <w:lvlText w:val="▪"/>
      <w:lvlJc w:val="left"/>
      <w:pPr>
        <w:tabs>
          <w:tab w:val="num" w:pos="4032"/>
        </w:tabs>
        <w:ind w:left="4032" w:hanging="360"/>
      </w:pPr>
      <w:rPr>
        <w:rFonts w:ascii="OpenSymbol" w:hAnsi="OpenSymbol" w:cs="OpenSymbol"/>
      </w:rPr>
    </w:lvl>
  </w:abstractNum>
  <w:abstractNum w:abstractNumId="43">
    <w:nsid w:val="6F351A72"/>
    <w:multiLevelType w:val="multilevel"/>
    <w:tmpl w:val="313ADC1A"/>
    <w:name w:val="WW8Num532"/>
    <w:lvl w:ilvl="0">
      <w:start w:val="3"/>
      <w:numFmt w:val="decimal"/>
      <w:lvlText w:val="%1."/>
      <w:lvlJc w:val="left"/>
      <w:pPr>
        <w:tabs>
          <w:tab w:val="num" w:pos="360"/>
        </w:tabs>
        <w:ind w:left="360" w:hanging="360"/>
      </w:pPr>
      <w:rPr>
        <w:rFonts w:hint="default"/>
      </w:rPr>
    </w:lvl>
    <w:lvl w:ilvl="1">
      <w:start w:val="2"/>
      <w:numFmt w:val="decimal"/>
      <w:lvlRestart w:val="0"/>
      <w:lvlText w:val="3.%2."/>
      <w:lvlJc w:val="left"/>
      <w:pPr>
        <w:tabs>
          <w:tab w:val="num" w:pos="431"/>
        </w:tabs>
        <w:ind w:left="431" w:hanging="431"/>
      </w:pPr>
      <w:rPr>
        <w:rFonts w:hint="default"/>
      </w:rPr>
    </w:lvl>
    <w:lvl w:ilvl="2">
      <w:start w:val="2"/>
      <w:numFmt w:val="decimal"/>
      <w:pStyle w:val="Title3210"/>
      <w:lvlText w:val="3.%2.%3"/>
      <w:lvlJc w:val="left"/>
      <w:pPr>
        <w:tabs>
          <w:tab w:val="num" w:pos="822"/>
        </w:tabs>
        <w:ind w:left="822" w:hanging="680"/>
      </w:pPr>
      <w:rPr>
        <w:rFonts w:hint="default"/>
      </w:rPr>
    </w:lvl>
    <w:lvl w:ilvl="3">
      <w:start w:val="1"/>
      <w:numFmt w:val="decimal"/>
      <w:lvlText w:val="%1.%2.%3.%4."/>
      <w:lvlJc w:val="left"/>
      <w:pPr>
        <w:tabs>
          <w:tab w:val="num" w:pos="431"/>
        </w:tabs>
        <w:ind w:left="454" w:hanging="454"/>
      </w:pPr>
      <w:rPr>
        <w:rFonts w:hint="default"/>
      </w:rPr>
    </w:lvl>
    <w:lvl w:ilvl="4">
      <w:start w:val="1"/>
      <w:numFmt w:val="decimal"/>
      <w:lvlText w:val="%1.%2.%3.%4.%5."/>
      <w:lvlJc w:val="left"/>
      <w:pPr>
        <w:tabs>
          <w:tab w:val="num" w:pos="737"/>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6F351A73"/>
    <w:multiLevelType w:val="multilevel"/>
    <w:tmpl w:val="EA926228"/>
    <w:name w:val="WW8Num5"/>
    <w:lvl w:ilvl="0">
      <w:start w:val="1"/>
      <w:numFmt w:val="decimal"/>
      <w:pStyle w:val="Notes4"/>
      <w:lvlText w:val="%1"/>
      <w:lvlJc w:val="left"/>
      <w:pPr>
        <w:tabs>
          <w:tab w:val="num" w:pos="432"/>
        </w:tabs>
        <w:ind w:left="432" w:hanging="432"/>
      </w:pPr>
      <w:rPr>
        <w:rFonts w:hint="default"/>
        <w:lang w:val="en-GB"/>
      </w:rPr>
    </w:lvl>
    <w:lvl w:ilvl="1">
      <w:start w:val="1"/>
      <w:numFmt w:val="decimal"/>
      <w:pStyle w:val="Title114"/>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F351A74"/>
    <w:multiLevelType w:val="multilevel"/>
    <w:tmpl w:val="02F24F50"/>
    <w:name w:val="WW8Num532"/>
    <w:lvl w:ilvl="0">
      <w:start w:val="3"/>
      <w:numFmt w:val="decimal"/>
      <w:lvlText w:val="%1."/>
      <w:lvlJc w:val="left"/>
      <w:pPr>
        <w:tabs>
          <w:tab w:val="num" w:pos="360"/>
        </w:tabs>
        <w:ind w:left="360" w:hanging="360"/>
      </w:pPr>
      <w:rPr>
        <w:rFonts w:hint="default"/>
      </w:rPr>
    </w:lvl>
    <w:lvl w:ilvl="1">
      <w:start w:val="2"/>
      <w:numFmt w:val="decimal"/>
      <w:lvlRestart w:val="0"/>
      <w:lvlText w:val="3.%2."/>
      <w:lvlJc w:val="left"/>
      <w:pPr>
        <w:tabs>
          <w:tab w:val="num" w:pos="431"/>
        </w:tabs>
        <w:ind w:left="431" w:hanging="431"/>
      </w:pPr>
      <w:rPr>
        <w:rFonts w:hint="default"/>
      </w:rPr>
    </w:lvl>
    <w:lvl w:ilvl="2">
      <w:start w:val="3"/>
      <w:numFmt w:val="decimal"/>
      <w:pStyle w:val="Title3211"/>
      <w:lvlText w:val="3.%2.%3"/>
      <w:lvlJc w:val="left"/>
      <w:pPr>
        <w:tabs>
          <w:tab w:val="num" w:pos="822"/>
        </w:tabs>
        <w:ind w:left="822" w:hanging="680"/>
      </w:pPr>
      <w:rPr>
        <w:rFonts w:hint="default"/>
      </w:rPr>
    </w:lvl>
    <w:lvl w:ilvl="3">
      <w:start w:val="1"/>
      <w:numFmt w:val="decimal"/>
      <w:lvlText w:val="%1.%2.%3.%4."/>
      <w:lvlJc w:val="left"/>
      <w:pPr>
        <w:tabs>
          <w:tab w:val="num" w:pos="431"/>
        </w:tabs>
        <w:ind w:left="454" w:hanging="454"/>
      </w:pPr>
      <w:rPr>
        <w:rFonts w:hint="default"/>
      </w:rPr>
    </w:lvl>
    <w:lvl w:ilvl="4">
      <w:start w:val="1"/>
      <w:numFmt w:val="decimal"/>
      <w:lvlText w:val="%1.%2.%3.%4.%5."/>
      <w:lvlJc w:val="left"/>
      <w:pPr>
        <w:tabs>
          <w:tab w:val="num" w:pos="737"/>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6F351A75"/>
    <w:multiLevelType w:val="multilevel"/>
    <w:tmpl w:val="EA926228"/>
    <w:name w:val="WW8Num5"/>
    <w:lvl w:ilvl="0">
      <w:start w:val="1"/>
      <w:numFmt w:val="decimal"/>
      <w:pStyle w:val="Notes5"/>
      <w:lvlText w:val="%1"/>
      <w:lvlJc w:val="left"/>
      <w:pPr>
        <w:tabs>
          <w:tab w:val="num" w:pos="432"/>
        </w:tabs>
        <w:ind w:left="432" w:hanging="432"/>
      </w:pPr>
      <w:rPr>
        <w:rFonts w:hint="default"/>
        <w:lang w:val="en-GB"/>
      </w:rPr>
    </w:lvl>
    <w:lvl w:ilvl="1">
      <w:start w:val="1"/>
      <w:numFmt w:val="decimal"/>
      <w:pStyle w:val="Title115"/>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6F351A76"/>
    <w:multiLevelType w:val="multilevel"/>
    <w:tmpl w:val="D2BE84DE"/>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6F351A77"/>
    <w:multiLevelType w:val="hybridMultilevel"/>
    <w:tmpl w:val="E23C9EFE"/>
    <w:lvl w:ilvl="0" w:tplc="3EB879D8">
      <w:numFmt w:val="bullet"/>
      <w:lvlText w:val="-"/>
      <w:lvlJc w:val="left"/>
      <w:pPr>
        <w:tabs>
          <w:tab w:val="num" w:pos="720"/>
        </w:tabs>
        <w:ind w:left="720" w:hanging="360"/>
      </w:pPr>
      <w:rPr>
        <w:rFonts w:ascii="Futura Lt BT" w:hAnsi="Futura Lt BT" w:cs="Times New Roman" w:hint="default"/>
      </w:rPr>
    </w:lvl>
    <w:lvl w:ilvl="1" w:tplc="D1680058" w:tentative="1">
      <w:start w:val="1"/>
      <w:numFmt w:val="bullet"/>
      <w:lvlText w:val="o"/>
      <w:lvlJc w:val="left"/>
      <w:pPr>
        <w:tabs>
          <w:tab w:val="num" w:pos="1440"/>
        </w:tabs>
        <w:ind w:left="1440" w:hanging="360"/>
      </w:pPr>
      <w:rPr>
        <w:rFonts w:ascii="Courier New" w:hAnsi="Courier New" w:cs="Courier New" w:hint="default"/>
      </w:rPr>
    </w:lvl>
    <w:lvl w:ilvl="2" w:tplc="B11E6B22" w:tentative="1">
      <w:start w:val="1"/>
      <w:numFmt w:val="bullet"/>
      <w:lvlText w:val=""/>
      <w:lvlJc w:val="left"/>
      <w:pPr>
        <w:tabs>
          <w:tab w:val="num" w:pos="2160"/>
        </w:tabs>
        <w:ind w:left="2160" w:hanging="360"/>
      </w:pPr>
      <w:rPr>
        <w:rFonts w:ascii="Wingdings" w:hAnsi="Wingdings" w:hint="default"/>
      </w:rPr>
    </w:lvl>
    <w:lvl w:ilvl="3" w:tplc="5A782204" w:tentative="1">
      <w:start w:val="1"/>
      <w:numFmt w:val="bullet"/>
      <w:lvlText w:val=""/>
      <w:lvlJc w:val="left"/>
      <w:pPr>
        <w:tabs>
          <w:tab w:val="num" w:pos="2880"/>
        </w:tabs>
        <w:ind w:left="2880" w:hanging="360"/>
      </w:pPr>
      <w:rPr>
        <w:rFonts w:ascii="Symbol" w:hAnsi="Symbol" w:hint="default"/>
      </w:rPr>
    </w:lvl>
    <w:lvl w:ilvl="4" w:tplc="7840C1A0" w:tentative="1">
      <w:start w:val="1"/>
      <w:numFmt w:val="bullet"/>
      <w:lvlText w:val="o"/>
      <w:lvlJc w:val="left"/>
      <w:pPr>
        <w:tabs>
          <w:tab w:val="num" w:pos="3600"/>
        </w:tabs>
        <w:ind w:left="3600" w:hanging="360"/>
      </w:pPr>
      <w:rPr>
        <w:rFonts w:ascii="Courier New" w:hAnsi="Courier New" w:cs="Courier New" w:hint="default"/>
      </w:rPr>
    </w:lvl>
    <w:lvl w:ilvl="5" w:tplc="B3BCB25C" w:tentative="1">
      <w:start w:val="1"/>
      <w:numFmt w:val="bullet"/>
      <w:lvlText w:val=""/>
      <w:lvlJc w:val="left"/>
      <w:pPr>
        <w:tabs>
          <w:tab w:val="num" w:pos="4320"/>
        </w:tabs>
        <w:ind w:left="4320" w:hanging="360"/>
      </w:pPr>
      <w:rPr>
        <w:rFonts w:ascii="Wingdings" w:hAnsi="Wingdings" w:hint="default"/>
      </w:rPr>
    </w:lvl>
    <w:lvl w:ilvl="6" w:tplc="2AF0A94E" w:tentative="1">
      <w:start w:val="1"/>
      <w:numFmt w:val="bullet"/>
      <w:lvlText w:val=""/>
      <w:lvlJc w:val="left"/>
      <w:pPr>
        <w:tabs>
          <w:tab w:val="num" w:pos="5040"/>
        </w:tabs>
        <w:ind w:left="5040" w:hanging="360"/>
      </w:pPr>
      <w:rPr>
        <w:rFonts w:ascii="Symbol" w:hAnsi="Symbol" w:hint="default"/>
      </w:rPr>
    </w:lvl>
    <w:lvl w:ilvl="7" w:tplc="BA50FEE0" w:tentative="1">
      <w:start w:val="1"/>
      <w:numFmt w:val="bullet"/>
      <w:lvlText w:val="o"/>
      <w:lvlJc w:val="left"/>
      <w:pPr>
        <w:tabs>
          <w:tab w:val="num" w:pos="5760"/>
        </w:tabs>
        <w:ind w:left="5760" w:hanging="360"/>
      </w:pPr>
      <w:rPr>
        <w:rFonts w:ascii="Courier New" w:hAnsi="Courier New" w:cs="Courier New" w:hint="default"/>
      </w:rPr>
    </w:lvl>
    <w:lvl w:ilvl="8" w:tplc="A6102D44" w:tentative="1">
      <w:start w:val="1"/>
      <w:numFmt w:val="bullet"/>
      <w:lvlText w:val=""/>
      <w:lvlJc w:val="left"/>
      <w:pPr>
        <w:tabs>
          <w:tab w:val="num" w:pos="6480"/>
        </w:tabs>
        <w:ind w:left="6480" w:hanging="360"/>
      </w:pPr>
      <w:rPr>
        <w:rFonts w:ascii="Wingdings" w:hAnsi="Wingdings" w:hint="default"/>
      </w:rPr>
    </w:lvl>
  </w:abstractNum>
  <w:abstractNum w:abstractNumId="49">
    <w:nsid w:val="6F351A78"/>
    <w:multiLevelType w:val="hybridMultilevel"/>
    <w:tmpl w:val="36C6AE94"/>
    <w:lvl w:ilvl="0" w:tplc="FE523C0E">
      <w:start w:val="1"/>
      <w:numFmt w:val="lowerRoman"/>
      <w:pStyle w:val="Listi0"/>
      <w:lvlText w:val="%1)"/>
      <w:lvlJc w:val="left"/>
      <w:pPr>
        <w:tabs>
          <w:tab w:val="num" w:pos="1080"/>
        </w:tabs>
        <w:ind w:left="1080" w:hanging="720"/>
      </w:pPr>
      <w:rPr>
        <w:rFonts w:cs="Times New Roman" w:hint="default"/>
      </w:rPr>
    </w:lvl>
    <w:lvl w:ilvl="1" w:tplc="61D20F6E">
      <w:start w:val="1"/>
      <w:numFmt w:val="lowerLetter"/>
      <w:lvlText w:val="%2."/>
      <w:lvlJc w:val="left"/>
      <w:pPr>
        <w:tabs>
          <w:tab w:val="num" w:pos="1440"/>
        </w:tabs>
        <w:ind w:left="1440" w:hanging="360"/>
      </w:pPr>
      <w:rPr>
        <w:rFonts w:cs="Times New Roman"/>
      </w:rPr>
    </w:lvl>
    <w:lvl w:ilvl="2" w:tplc="3E42E578">
      <w:start w:val="1"/>
      <w:numFmt w:val="lowerRoman"/>
      <w:lvlText w:val="%3."/>
      <w:lvlJc w:val="right"/>
      <w:pPr>
        <w:tabs>
          <w:tab w:val="num" w:pos="2160"/>
        </w:tabs>
        <w:ind w:left="2160" w:hanging="180"/>
      </w:pPr>
      <w:rPr>
        <w:rFonts w:cs="Times New Roman"/>
      </w:rPr>
    </w:lvl>
    <w:lvl w:ilvl="3" w:tplc="E668A568">
      <w:start w:val="1"/>
      <w:numFmt w:val="decimal"/>
      <w:lvlText w:val="%4."/>
      <w:lvlJc w:val="left"/>
      <w:pPr>
        <w:tabs>
          <w:tab w:val="num" w:pos="2880"/>
        </w:tabs>
        <w:ind w:left="2880" w:hanging="360"/>
      </w:pPr>
      <w:rPr>
        <w:rFonts w:cs="Times New Roman"/>
      </w:rPr>
    </w:lvl>
    <w:lvl w:ilvl="4" w:tplc="11F8C6E8">
      <w:start w:val="1"/>
      <w:numFmt w:val="lowerLetter"/>
      <w:lvlText w:val="%5."/>
      <w:lvlJc w:val="left"/>
      <w:pPr>
        <w:tabs>
          <w:tab w:val="num" w:pos="3600"/>
        </w:tabs>
        <w:ind w:left="3600" w:hanging="360"/>
      </w:pPr>
      <w:rPr>
        <w:rFonts w:cs="Times New Roman"/>
      </w:rPr>
    </w:lvl>
    <w:lvl w:ilvl="5" w:tplc="483EEDF8">
      <w:start w:val="1"/>
      <w:numFmt w:val="lowerRoman"/>
      <w:lvlText w:val="%6."/>
      <w:lvlJc w:val="right"/>
      <w:pPr>
        <w:tabs>
          <w:tab w:val="num" w:pos="4320"/>
        </w:tabs>
        <w:ind w:left="4320" w:hanging="180"/>
      </w:pPr>
      <w:rPr>
        <w:rFonts w:cs="Times New Roman"/>
      </w:rPr>
    </w:lvl>
    <w:lvl w:ilvl="6" w:tplc="F3324C80">
      <w:start w:val="1"/>
      <w:numFmt w:val="decimal"/>
      <w:lvlText w:val="%7."/>
      <w:lvlJc w:val="left"/>
      <w:pPr>
        <w:tabs>
          <w:tab w:val="num" w:pos="5040"/>
        </w:tabs>
        <w:ind w:left="5040" w:hanging="360"/>
      </w:pPr>
      <w:rPr>
        <w:rFonts w:cs="Times New Roman"/>
      </w:rPr>
    </w:lvl>
    <w:lvl w:ilvl="7" w:tplc="451826A2">
      <w:start w:val="1"/>
      <w:numFmt w:val="lowerLetter"/>
      <w:lvlText w:val="%8."/>
      <w:lvlJc w:val="left"/>
      <w:pPr>
        <w:tabs>
          <w:tab w:val="num" w:pos="5760"/>
        </w:tabs>
        <w:ind w:left="5760" w:hanging="360"/>
      </w:pPr>
      <w:rPr>
        <w:rFonts w:cs="Times New Roman"/>
      </w:rPr>
    </w:lvl>
    <w:lvl w:ilvl="8" w:tplc="6EECEA46">
      <w:start w:val="1"/>
      <w:numFmt w:val="lowerRoman"/>
      <w:lvlText w:val="%9."/>
      <w:lvlJc w:val="right"/>
      <w:pPr>
        <w:tabs>
          <w:tab w:val="num" w:pos="6480"/>
        </w:tabs>
        <w:ind w:left="6480" w:hanging="180"/>
      </w:pPr>
      <w:rPr>
        <w:rFonts w:cs="Times New Roman"/>
      </w:rPr>
    </w:lvl>
  </w:abstractNum>
  <w:abstractNum w:abstractNumId="50">
    <w:nsid w:val="6F351A79"/>
    <w:multiLevelType w:val="multilevel"/>
    <w:tmpl w:val="EA926228"/>
    <w:name w:val="WW8Num5"/>
    <w:lvl w:ilvl="0">
      <w:start w:val="1"/>
      <w:numFmt w:val="decimal"/>
      <w:pStyle w:val="Notes6"/>
      <w:lvlText w:val="%1"/>
      <w:lvlJc w:val="left"/>
      <w:pPr>
        <w:tabs>
          <w:tab w:val="num" w:pos="432"/>
        </w:tabs>
        <w:ind w:left="432" w:hanging="432"/>
      </w:pPr>
      <w:rPr>
        <w:rFonts w:hint="default"/>
        <w:lang w:val="en-GB"/>
      </w:rPr>
    </w:lvl>
    <w:lvl w:ilvl="1">
      <w:start w:val="1"/>
      <w:numFmt w:val="decimal"/>
      <w:pStyle w:val="Title116"/>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6F351A7A"/>
    <w:multiLevelType w:val="multilevel"/>
    <w:tmpl w:val="D21C2936"/>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2"/>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6F351A7B"/>
    <w:multiLevelType w:val="multilevel"/>
    <w:tmpl w:val="EA926228"/>
    <w:name w:val="WW8Num5"/>
    <w:lvl w:ilvl="0">
      <w:start w:val="1"/>
      <w:numFmt w:val="decimal"/>
      <w:pStyle w:val="Notes7"/>
      <w:lvlText w:val="%1"/>
      <w:lvlJc w:val="left"/>
      <w:pPr>
        <w:tabs>
          <w:tab w:val="num" w:pos="432"/>
        </w:tabs>
        <w:ind w:left="432" w:hanging="432"/>
      </w:pPr>
      <w:rPr>
        <w:rFonts w:hint="default"/>
        <w:lang w:val="en-GB"/>
      </w:rPr>
    </w:lvl>
    <w:lvl w:ilvl="1">
      <w:start w:val="1"/>
      <w:numFmt w:val="decimal"/>
      <w:pStyle w:val="Title117"/>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nsid w:val="6F351A7C"/>
    <w:multiLevelType w:val="multilevel"/>
    <w:tmpl w:val="ABF41DF4"/>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3"/>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6F351A7D"/>
    <w:multiLevelType w:val="multilevel"/>
    <w:tmpl w:val="EA926228"/>
    <w:name w:val="WW8Num5"/>
    <w:lvl w:ilvl="0">
      <w:start w:val="1"/>
      <w:numFmt w:val="decimal"/>
      <w:pStyle w:val="Notes8"/>
      <w:lvlText w:val="%1"/>
      <w:lvlJc w:val="left"/>
      <w:pPr>
        <w:tabs>
          <w:tab w:val="num" w:pos="432"/>
        </w:tabs>
        <w:ind w:left="432" w:hanging="432"/>
      </w:pPr>
      <w:rPr>
        <w:rFonts w:hint="default"/>
        <w:lang w:val="en-GB"/>
      </w:rPr>
    </w:lvl>
    <w:lvl w:ilvl="1">
      <w:start w:val="1"/>
      <w:numFmt w:val="decimal"/>
      <w:pStyle w:val="Title118"/>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nsid w:val="6F351A7E"/>
    <w:multiLevelType w:val="multilevel"/>
    <w:tmpl w:val="AAF651C0"/>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4"/>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6F351A7F"/>
    <w:multiLevelType w:val="multilevel"/>
    <w:tmpl w:val="EA926228"/>
    <w:name w:val="WW8Num5"/>
    <w:lvl w:ilvl="0">
      <w:start w:val="1"/>
      <w:numFmt w:val="decimal"/>
      <w:pStyle w:val="Notes9"/>
      <w:lvlText w:val="%1"/>
      <w:lvlJc w:val="left"/>
      <w:pPr>
        <w:tabs>
          <w:tab w:val="num" w:pos="432"/>
        </w:tabs>
        <w:ind w:left="432" w:hanging="432"/>
      </w:pPr>
      <w:rPr>
        <w:rFonts w:hint="default"/>
        <w:lang w:val="en-GB"/>
      </w:rPr>
    </w:lvl>
    <w:lvl w:ilvl="1">
      <w:start w:val="1"/>
      <w:numFmt w:val="decimal"/>
      <w:pStyle w:val="Title119"/>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nsid w:val="6F351A80"/>
    <w:multiLevelType w:val="multilevel"/>
    <w:tmpl w:val="E07C77F4"/>
    <w:lvl w:ilvl="0">
      <w:start w:val="3"/>
      <w:numFmt w:val="decimal"/>
      <w:lvlText w:val="%1"/>
      <w:lvlJc w:val="left"/>
      <w:pPr>
        <w:tabs>
          <w:tab w:val="num" w:pos="1170"/>
        </w:tabs>
        <w:ind w:left="1170" w:hanging="1170"/>
      </w:pPr>
      <w:rPr>
        <w:rFonts w:hint="default"/>
      </w:rPr>
    </w:lvl>
    <w:lvl w:ilvl="1">
      <w:start w:val="2"/>
      <w:numFmt w:val="decimal"/>
      <w:lvlText w:val="%1.%2"/>
      <w:lvlJc w:val="left"/>
      <w:pPr>
        <w:tabs>
          <w:tab w:val="num" w:pos="1170"/>
        </w:tabs>
        <w:ind w:left="1170" w:hanging="1170"/>
      </w:pPr>
      <w:rPr>
        <w:rFonts w:hint="default"/>
      </w:rPr>
    </w:lvl>
    <w:lvl w:ilvl="2">
      <w:start w:val="3"/>
      <w:numFmt w:val="decimal"/>
      <w:lvlText w:val="%1.%2.%3"/>
      <w:lvlJc w:val="left"/>
      <w:pPr>
        <w:tabs>
          <w:tab w:val="num" w:pos="1170"/>
        </w:tabs>
        <w:ind w:left="1170" w:hanging="1170"/>
      </w:pPr>
      <w:rPr>
        <w:rFonts w:hint="default"/>
      </w:rPr>
    </w:lvl>
    <w:lvl w:ilvl="3">
      <w:start w:val="4"/>
      <w:numFmt w:val="decimal"/>
      <w:lvlText w:val="%1.%2.%3.%4"/>
      <w:lvlJc w:val="left"/>
      <w:pPr>
        <w:tabs>
          <w:tab w:val="num" w:pos="1170"/>
        </w:tabs>
        <w:ind w:left="1170" w:hanging="1170"/>
      </w:pPr>
      <w:rPr>
        <w:rFonts w:hint="default"/>
      </w:rPr>
    </w:lvl>
    <w:lvl w:ilvl="4">
      <w:start w:val="2"/>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6F351A81"/>
    <w:multiLevelType w:val="multilevel"/>
    <w:tmpl w:val="EA926228"/>
    <w:name w:val="WW8Num5"/>
    <w:lvl w:ilvl="0">
      <w:start w:val="1"/>
      <w:numFmt w:val="decimal"/>
      <w:pStyle w:val="Notes10"/>
      <w:lvlText w:val="%1"/>
      <w:lvlJc w:val="left"/>
      <w:pPr>
        <w:tabs>
          <w:tab w:val="num" w:pos="432"/>
        </w:tabs>
        <w:ind w:left="432" w:hanging="432"/>
      </w:pPr>
      <w:rPr>
        <w:rFonts w:hint="default"/>
        <w:lang w:val="en-GB"/>
      </w:rPr>
    </w:lvl>
    <w:lvl w:ilvl="1">
      <w:start w:val="1"/>
      <w:numFmt w:val="decimal"/>
      <w:pStyle w:val="Title11100"/>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nsid w:val="6F351A82"/>
    <w:multiLevelType w:val="multilevel"/>
    <w:tmpl w:val="7368D728"/>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5"/>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6F351A83"/>
    <w:multiLevelType w:val="multilevel"/>
    <w:tmpl w:val="EA926228"/>
    <w:name w:val="WW8Num5"/>
    <w:lvl w:ilvl="0">
      <w:start w:val="1"/>
      <w:numFmt w:val="decimal"/>
      <w:pStyle w:val="Notes11"/>
      <w:lvlText w:val="%1"/>
      <w:lvlJc w:val="left"/>
      <w:pPr>
        <w:tabs>
          <w:tab w:val="num" w:pos="432"/>
        </w:tabs>
        <w:ind w:left="432" w:hanging="432"/>
      </w:pPr>
      <w:rPr>
        <w:rFonts w:hint="default"/>
        <w:lang w:val="en-GB"/>
      </w:rPr>
    </w:lvl>
    <w:lvl w:ilvl="1">
      <w:start w:val="1"/>
      <w:numFmt w:val="decimal"/>
      <w:pStyle w:val="Title11110"/>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nsid w:val="6F351A84"/>
    <w:multiLevelType w:val="multilevel"/>
    <w:tmpl w:val="DF04237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6"/>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6F351A85"/>
    <w:multiLevelType w:val="multilevel"/>
    <w:tmpl w:val="580E6384"/>
    <w:name w:val="WW8Num532"/>
    <w:lvl w:ilvl="0">
      <w:start w:val="3"/>
      <w:numFmt w:val="decimal"/>
      <w:lvlText w:val="%1."/>
      <w:lvlJc w:val="left"/>
      <w:pPr>
        <w:tabs>
          <w:tab w:val="num" w:pos="360"/>
        </w:tabs>
        <w:ind w:left="360" w:hanging="360"/>
      </w:pPr>
      <w:rPr>
        <w:rFonts w:hint="default"/>
      </w:rPr>
    </w:lvl>
    <w:lvl w:ilvl="1">
      <w:start w:val="2"/>
      <w:numFmt w:val="decimal"/>
      <w:lvlRestart w:val="0"/>
      <w:lvlText w:val="3.%2."/>
      <w:lvlJc w:val="left"/>
      <w:pPr>
        <w:tabs>
          <w:tab w:val="num" w:pos="431"/>
        </w:tabs>
        <w:ind w:left="431" w:hanging="431"/>
      </w:pPr>
      <w:rPr>
        <w:rFonts w:hint="default"/>
      </w:rPr>
    </w:lvl>
    <w:lvl w:ilvl="2">
      <w:start w:val="4"/>
      <w:numFmt w:val="decimal"/>
      <w:pStyle w:val="Title3212"/>
      <w:lvlText w:val="3.%2.%3"/>
      <w:lvlJc w:val="left"/>
      <w:pPr>
        <w:tabs>
          <w:tab w:val="num" w:pos="822"/>
        </w:tabs>
        <w:ind w:left="822" w:hanging="680"/>
      </w:pPr>
      <w:rPr>
        <w:rFonts w:hint="default"/>
      </w:rPr>
    </w:lvl>
    <w:lvl w:ilvl="3">
      <w:start w:val="1"/>
      <w:numFmt w:val="decimal"/>
      <w:lvlText w:val="%1.%2.%3.%4."/>
      <w:lvlJc w:val="left"/>
      <w:pPr>
        <w:tabs>
          <w:tab w:val="num" w:pos="431"/>
        </w:tabs>
        <w:ind w:left="454" w:hanging="454"/>
      </w:pPr>
      <w:rPr>
        <w:rFonts w:hint="default"/>
      </w:rPr>
    </w:lvl>
    <w:lvl w:ilvl="4">
      <w:start w:val="1"/>
      <w:numFmt w:val="decimal"/>
      <w:lvlText w:val="%1.%2.%3.%4.%5."/>
      <w:lvlJc w:val="left"/>
      <w:pPr>
        <w:tabs>
          <w:tab w:val="num" w:pos="737"/>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nsid w:val="6F351A86"/>
    <w:multiLevelType w:val="multilevel"/>
    <w:tmpl w:val="EA926228"/>
    <w:name w:val="WW8Num5"/>
    <w:lvl w:ilvl="0">
      <w:start w:val="1"/>
      <w:numFmt w:val="decimal"/>
      <w:pStyle w:val="Notes12"/>
      <w:lvlText w:val="%1"/>
      <w:lvlJc w:val="left"/>
      <w:pPr>
        <w:tabs>
          <w:tab w:val="num" w:pos="432"/>
        </w:tabs>
        <w:ind w:left="432" w:hanging="432"/>
      </w:pPr>
      <w:rPr>
        <w:rFonts w:hint="default"/>
        <w:lang w:val="en-GB"/>
      </w:rPr>
    </w:lvl>
    <w:lvl w:ilvl="1">
      <w:start w:val="1"/>
      <w:numFmt w:val="decimal"/>
      <w:pStyle w:val="Title1112"/>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nsid w:val="6F351A87"/>
    <w:multiLevelType w:val="multilevel"/>
    <w:tmpl w:val="EA926228"/>
    <w:name w:val="WW8Num5"/>
    <w:lvl w:ilvl="0">
      <w:start w:val="1"/>
      <w:numFmt w:val="decimal"/>
      <w:pStyle w:val="Notes13"/>
      <w:lvlText w:val="%1"/>
      <w:lvlJc w:val="left"/>
      <w:pPr>
        <w:tabs>
          <w:tab w:val="num" w:pos="432"/>
        </w:tabs>
        <w:ind w:left="432" w:hanging="432"/>
      </w:pPr>
      <w:rPr>
        <w:rFonts w:hint="default"/>
        <w:lang w:val="en-GB"/>
      </w:rPr>
    </w:lvl>
    <w:lvl w:ilvl="1">
      <w:start w:val="1"/>
      <w:numFmt w:val="decimal"/>
      <w:pStyle w:val="Title1113"/>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nsid w:val="6F351A88"/>
    <w:multiLevelType w:val="multilevel"/>
    <w:tmpl w:val="01F8C758"/>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5"/>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6F351A89"/>
    <w:multiLevelType w:val="multilevel"/>
    <w:tmpl w:val="EA926228"/>
    <w:name w:val="WW8Num5"/>
    <w:lvl w:ilvl="0">
      <w:start w:val="1"/>
      <w:numFmt w:val="decimal"/>
      <w:pStyle w:val="Notes14"/>
      <w:lvlText w:val="%1"/>
      <w:lvlJc w:val="left"/>
      <w:pPr>
        <w:tabs>
          <w:tab w:val="num" w:pos="432"/>
        </w:tabs>
        <w:ind w:left="432" w:hanging="432"/>
      </w:pPr>
      <w:rPr>
        <w:rFonts w:hint="default"/>
        <w:lang w:val="en-GB"/>
      </w:rPr>
    </w:lvl>
    <w:lvl w:ilvl="1">
      <w:start w:val="1"/>
      <w:numFmt w:val="decimal"/>
      <w:pStyle w:val="Title1114"/>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nsid w:val="6F351A8A"/>
    <w:multiLevelType w:val="hybridMultilevel"/>
    <w:tmpl w:val="75360A3C"/>
    <w:lvl w:ilvl="0" w:tplc="70B42E96">
      <w:start w:val="1"/>
      <w:numFmt w:val="bullet"/>
      <w:lvlText w:val=""/>
      <w:lvlJc w:val="left"/>
      <w:pPr>
        <w:ind w:left="360" w:hanging="360"/>
      </w:pPr>
      <w:rPr>
        <w:rFonts w:ascii="Symbol" w:hAnsi="Symbol" w:hint="default"/>
      </w:rPr>
    </w:lvl>
    <w:lvl w:ilvl="1" w:tplc="AF18AEF0" w:tentative="1">
      <w:start w:val="1"/>
      <w:numFmt w:val="bullet"/>
      <w:lvlText w:val="o"/>
      <w:lvlJc w:val="left"/>
      <w:pPr>
        <w:ind w:left="1080" w:hanging="360"/>
      </w:pPr>
      <w:rPr>
        <w:rFonts w:ascii="Courier New" w:hAnsi="Courier New" w:cs="Courier New" w:hint="default"/>
      </w:rPr>
    </w:lvl>
    <w:lvl w:ilvl="2" w:tplc="C472C2D4" w:tentative="1">
      <w:start w:val="1"/>
      <w:numFmt w:val="bullet"/>
      <w:lvlText w:val=""/>
      <w:lvlJc w:val="left"/>
      <w:pPr>
        <w:ind w:left="1800" w:hanging="360"/>
      </w:pPr>
      <w:rPr>
        <w:rFonts w:ascii="Wingdings" w:hAnsi="Wingdings" w:hint="default"/>
      </w:rPr>
    </w:lvl>
    <w:lvl w:ilvl="3" w:tplc="C1822BD2" w:tentative="1">
      <w:start w:val="1"/>
      <w:numFmt w:val="bullet"/>
      <w:lvlText w:val=""/>
      <w:lvlJc w:val="left"/>
      <w:pPr>
        <w:ind w:left="2520" w:hanging="360"/>
      </w:pPr>
      <w:rPr>
        <w:rFonts w:ascii="Symbol" w:hAnsi="Symbol" w:hint="default"/>
      </w:rPr>
    </w:lvl>
    <w:lvl w:ilvl="4" w:tplc="8EC8309C" w:tentative="1">
      <w:start w:val="1"/>
      <w:numFmt w:val="bullet"/>
      <w:lvlText w:val="o"/>
      <w:lvlJc w:val="left"/>
      <w:pPr>
        <w:ind w:left="3240" w:hanging="360"/>
      </w:pPr>
      <w:rPr>
        <w:rFonts w:ascii="Courier New" w:hAnsi="Courier New" w:cs="Courier New" w:hint="default"/>
      </w:rPr>
    </w:lvl>
    <w:lvl w:ilvl="5" w:tplc="2BAA6EE4" w:tentative="1">
      <w:start w:val="1"/>
      <w:numFmt w:val="bullet"/>
      <w:lvlText w:val=""/>
      <w:lvlJc w:val="left"/>
      <w:pPr>
        <w:ind w:left="3960" w:hanging="360"/>
      </w:pPr>
      <w:rPr>
        <w:rFonts w:ascii="Wingdings" w:hAnsi="Wingdings" w:hint="default"/>
      </w:rPr>
    </w:lvl>
    <w:lvl w:ilvl="6" w:tplc="BFD27E82" w:tentative="1">
      <w:start w:val="1"/>
      <w:numFmt w:val="bullet"/>
      <w:lvlText w:val=""/>
      <w:lvlJc w:val="left"/>
      <w:pPr>
        <w:ind w:left="4680" w:hanging="360"/>
      </w:pPr>
      <w:rPr>
        <w:rFonts w:ascii="Symbol" w:hAnsi="Symbol" w:hint="default"/>
      </w:rPr>
    </w:lvl>
    <w:lvl w:ilvl="7" w:tplc="DC962B28" w:tentative="1">
      <w:start w:val="1"/>
      <w:numFmt w:val="bullet"/>
      <w:lvlText w:val="o"/>
      <w:lvlJc w:val="left"/>
      <w:pPr>
        <w:ind w:left="5400" w:hanging="360"/>
      </w:pPr>
      <w:rPr>
        <w:rFonts w:ascii="Courier New" w:hAnsi="Courier New" w:cs="Courier New" w:hint="default"/>
      </w:rPr>
    </w:lvl>
    <w:lvl w:ilvl="8" w:tplc="191A4A76" w:tentative="1">
      <w:start w:val="1"/>
      <w:numFmt w:val="bullet"/>
      <w:lvlText w:val=""/>
      <w:lvlJc w:val="left"/>
      <w:pPr>
        <w:ind w:left="6120" w:hanging="360"/>
      </w:pPr>
      <w:rPr>
        <w:rFonts w:ascii="Wingdings" w:hAnsi="Wingdings" w:hint="default"/>
      </w:rPr>
    </w:lvl>
  </w:abstractNum>
  <w:abstractNum w:abstractNumId="68">
    <w:nsid w:val="6F351A8B"/>
    <w:multiLevelType w:val="multilevel"/>
    <w:tmpl w:val="EA926228"/>
    <w:name w:val="WW8Num5"/>
    <w:lvl w:ilvl="0">
      <w:start w:val="1"/>
      <w:numFmt w:val="decimal"/>
      <w:pStyle w:val="Notes15"/>
      <w:lvlText w:val="%1"/>
      <w:lvlJc w:val="left"/>
      <w:pPr>
        <w:tabs>
          <w:tab w:val="num" w:pos="432"/>
        </w:tabs>
        <w:ind w:left="432" w:hanging="432"/>
      </w:pPr>
      <w:rPr>
        <w:rFonts w:hint="default"/>
        <w:lang w:val="en-GB"/>
      </w:rPr>
    </w:lvl>
    <w:lvl w:ilvl="1">
      <w:start w:val="1"/>
      <w:numFmt w:val="decimal"/>
      <w:pStyle w:val="Title1115"/>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nsid w:val="6F351A8C"/>
    <w:multiLevelType w:val="hybridMultilevel"/>
    <w:tmpl w:val="DD6AEF06"/>
    <w:lvl w:ilvl="0" w:tplc="54161F8A">
      <w:start w:val="1"/>
      <w:numFmt w:val="bullet"/>
      <w:lvlText w:val=""/>
      <w:lvlJc w:val="left"/>
      <w:pPr>
        <w:ind w:left="360" w:hanging="360"/>
      </w:pPr>
      <w:rPr>
        <w:rFonts w:ascii="Symbol" w:hAnsi="Symbol" w:hint="default"/>
      </w:rPr>
    </w:lvl>
    <w:lvl w:ilvl="1" w:tplc="59CAEFD8" w:tentative="1">
      <w:start w:val="1"/>
      <w:numFmt w:val="bullet"/>
      <w:lvlText w:val="o"/>
      <w:lvlJc w:val="left"/>
      <w:pPr>
        <w:ind w:left="1080" w:hanging="360"/>
      </w:pPr>
      <w:rPr>
        <w:rFonts w:ascii="Courier New" w:hAnsi="Courier New" w:cs="Courier New" w:hint="default"/>
      </w:rPr>
    </w:lvl>
    <w:lvl w:ilvl="2" w:tplc="BD3C198C" w:tentative="1">
      <w:start w:val="1"/>
      <w:numFmt w:val="bullet"/>
      <w:lvlText w:val=""/>
      <w:lvlJc w:val="left"/>
      <w:pPr>
        <w:ind w:left="1800" w:hanging="360"/>
      </w:pPr>
      <w:rPr>
        <w:rFonts w:ascii="Wingdings" w:hAnsi="Wingdings" w:hint="default"/>
      </w:rPr>
    </w:lvl>
    <w:lvl w:ilvl="3" w:tplc="72D49AF6" w:tentative="1">
      <w:start w:val="1"/>
      <w:numFmt w:val="bullet"/>
      <w:lvlText w:val=""/>
      <w:lvlJc w:val="left"/>
      <w:pPr>
        <w:ind w:left="2520" w:hanging="360"/>
      </w:pPr>
      <w:rPr>
        <w:rFonts w:ascii="Symbol" w:hAnsi="Symbol" w:hint="default"/>
      </w:rPr>
    </w:lvl>
    <w:lvl w:ilvl="4" w:tplc="36386EA4" w:tentative="1">
      <w:start w:val="1"/>
      <w:numFmt w:val="bullet"/>
      <w:lvlText w:val="o"/>
      <w:lvlJc w:val="left"/>
      <w:pPr>
        <w:ind w:left="3240" w:hanging="360"/>
      </w:pPr>
      <w:rPr>
        <w:rFonts w:ascii="Courier New" w:hAnsi="Courier New" w:cs="Courier New" w:hint="default"/>
      </w:rPr>
    </w:lvl>
    <w:lvl w:ilvl="5" w:tplc="EA7AC70A" w:tentative="1">
      <w:start w:val="1"/>
      <w:numFmt w:val="bullet"/>
      <w:lvlText w:val=""/>
      <w:lvlJc w:val="left"/>
      <w:pPr>
        <w:ind w:left="3960" w:hanging="360"/>
      </w:pPr>
      <w:rPr>
        <w:rFonts w:ascii="Wingdings" w:hAnsi="Wingdings" w:hint="default"/>
      </w:rPr>
    </w:lvl>
    <w:lvl w:ilvl="6" w:tplc="58B8EFE8" w:tentative="1">
      <w:start w:val="1"/>
      <w:numFmt w:val="bullet"/>
      <w:lvlText w:val=""/>
      <w:lvlJc w:val="left"/>
      <w:pPr>
        <w:ind w:left="4680" w:hanging="360"/>
      </w:pPr>
      <w:rPr>
        <w:rFonts w:ascii="Symbol" w:hAnsi="Symbol" w:hint="default"/>
      </w:rPr>
    </w:lvl>
    <w:lvl w:ilvl="7" w:tplc="2562A748" w:tentative="1">
      <w:start w:val="1"/>
      <w:numFmt w:val="bullet"/>
      <w:lvlText w:val="o"/>
      <w:lvlJc w:val="left"/>
      <w:pPr>
        <w:ind w:left="5400" w:hanging="360"/>
      </w:pPr>
      <w:rPr>
        <w:rFonts w:ascii="Courier New" w:hAnsi="Courier New" w:cs="Courier New" w:hint="default"/>
      </w:rPr>
    </w:lvl>
    <w:lvl w:ilvl="8" w:tplc="E020D564" w:tentative="1">
      <w:start w:val="1"/>
      <w:numFmt w:val="bullet"/>
      <w:lvlText w:val=""/>
      <w:lvlJc w:val="left"/>
      <w:pPr>
        <w:ind w:left="6120" w:hanging="360"/>
      </w:pPr>
      <w:rPr>
        <w:rFonts w:ascii="Wingdings" w:hAnsi="Wingdings" w:hint="default"/>
      </w:rPr>
    </w:lvl>
  </w:abstractNum>
  <w:abstractNum w:abstractNumId="70">
    <w:nsid w:val="6F351A8D"/>
    <w:multiLevelType w:val="multilevel"/>
    <w:tmpl w:val="71C885E0"/>
    <w:name w:val="WW8Num532"/>
    <w:lvl w:ilvl="0">
      <w:start w:val="3"/>
      <w:numFmt w:val="decimal"/>
      <w:lvlText w:val="%1."/>
      <w:lvlJc w:val="left"/>
      <w:pPr>
        <w:tabs>
          <w:tab w:val="num" w:pos="360"/>
        </w:tabs>
        <w:ind w:left="360" w:hanging="360"/>
      </w:pPr>
      <w:rPr>
        <w:rFonts w:hint="default"/>
      </w:rPr>
    </w:lvl>
    <w:lvl w:ilvl="1">
      <w:start w:val="2"/>
      <w:numFmt w:val="decimal"/>
      <w:lvlRestart w:val="0"/>
      <w:lvlText w:val="3.%2."/>
      <w:lvlJc w:val="left"/>
      <w:pPr>
        <w:tabs>
          <w:tab w:val="num" w:pos="431"/>
        </w:tabs>
        <w:ind w:left="431" w:hanging="431"/>
      </w:pPr>
      <w:rPr>
        <w:rFonts w:hint="default"/>
      </w:rPr>
    </w:lvl>
    <w:lvl w:ilvl="2">
      <w:start w:val="6"/>
      <w:numFmt w:val="decimal"/>
      <w:pStyle w:val="Title3213"/>
      <w:lvlText w:val="3.%2.%3"/>
      <w:lvlJc w:val="left"/>
      <w:pPr>
        <w:tabs>
          <w:tab w:val="num" w:pos="822"/>
        </w:tabs>
        <w:ind w:left="822" w:hanging="680"/>
      </w:pPr>
      <w:rPr>
        <w:rFonts w:hint="default"/>
      </w:rPr>
    </w:lvl>
    <w:lvl w:ilvl="3">
      <w:start w:val="1"/>
      <w:numFmt w:val="decimal"/>
      <w:lvlText w:val="%1.%2.%3.%4."/>
      <w:lvlJc w:val="left"/>
      <w:pPr>
        <w:tabs>
          <w:tab w:val="num" w:pos="431"/>
        </w:tabs>
        <w:ind w:left="454" w:hanging="454"/>
      </w:pPr>
      <w:rPr>
        <w:rFonts w:hint="default"/>
      </w:rPr>
    </w:lvl>
    <w:lvl w:ilvl="4">
      <w:start w:val="1"/>
      <w:numFmt w:val="decimal"/>
      <w:lvlText w:val="%1.%2.%3.%4.%5."/>
      <w:lvlJc w:val="left"/>
      <w:pPr>
        <w:tabs>
          <w:tab w:val="num" w:pos="737"/>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nsid w:val="6F351A8E"/>
    <w:multiLevelType w:val="multilevel"/>
    <w:tmpl w:val="EA926228"/>
    <w:name w:val="WW8Num5"/>
    <w:lvl w:ilvl="0">
      <w:start w:val="1"/>
      <w:numFmt w:val="decimal"/>
      <w:pStyle w:val="Notes16"/>
      <w:lvlText w:val="%1"/>
      <w:lvlJc w:val="left"/>
      <w:pPr>
        <w:tabs>
          <w:tab w:val="num" w:pos="432"/>
        </w:tabs>
        <w:ind w:left="432" w:hanging="432"/>
      </w:pPr>
      <w:rPr>
        <w:rFonts w:hint="default"/>
        <w:lang w:val="en-GB"/>
      </w:rPr>
    </w:lvl>
    <w:lvl w:ilvl="1">
      <w:start w:val="1"/>
      <w:numFmt w:val="decimal"/>
      <w:pStyle w:val="Title1116"/>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nsid w:val="6F351A8F"/>
    <w:multiLevelType w:val="multilevel"/>
    <w:tmpl w:val="EA926228"/>
    <w:lvl w:ilvl="0">
      <w:start w:val="1"/>
      <w:numFmt w:val="decimal"/>
      <w:pStyle w:val="Notes17"/>
      <w:lvlText w:val="%1"/>
      <w:lvlJc w:val="left"/>
      <w:pPr>
        <w:tabs>
          <w:tab w:val="num" w:pos="432"/>
        </w:tabs>
        <w:ind w:left="432" w:hanging="432"/>
      </w:pPr>
      <w:rPr>
        <w:rFonts w:hint="default"/>
        <w:lang w:val="en-GB"/>
      </w:rPr>
    </w:lvl>
    <w:lvl w:ilvl="1">
      <w:start w:val="1"/>
      <w:numFmt w:val="decimal"/>
      <w:pStyle w:val="Title1117"/>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nsid w:val="6F351A90"/>
    <w:multiLevelType w:val="multilevel"/>
    <w:tmpl w:val="EA926228"/>
    <w:name w:val="WW8Num5"/>
    <w:lvl w:ilvl="0">
      <w:start w:val="1"/>
      <w:numFmt w:val="decimal"/>
      <w:pStyle w:val="Notes18"/>
      <w:lvlText w:val="%1"/>
      <w:lvlJc w:val="left"/>
      <w:pPr>
        <w:tabs>
          <w:tab w:val="num" w:pos="432"/>
        </w:tabs>
        <w:ind w:left="432" w:hanging="432"/>
      </w:pPr>
      <w:rPr>
        <w:rFonts w:hint="default"/>
        <w:lang w:val="en-GB"/>
      </w:rPr>
    </w:lvl>
    <w:lvl w:ilvl="1">
      <w:start w:val="1"/>
      <w:numFmt w:val="decimal"/>
      <w:pStyle w:val="Title1118"/>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nsid w:val="6F351A91"/>
    <w:multiLevelType w:val="multilevel"/>
    <w:tmpl w:val="EA926228"/>
    <w:lvl w:ilvl="0">
      <w:start w:val="1"/>
      <w:numFmt w:val="decimal"/>
      <w:pStyle w:val="Notes19"/>
      <w:lvlText w:val="%1"/>
      <w:lvlJc w:val="left"/>
      <w:pPr>
        <w:tabs>
          <w:tab w:val="num" w:pos="432"/>
        </w:tabs>
        <w:ind w:left="432" w:hanging="432"/>
      </w:pPr>
      <w:rPr>
        <w:rFonts w:hint="default"/>
        <w:lang w:val="en-GB"/>
      </w:rPr>
    </w:lvl>
    <w:lvl w:ilvl="1">
      <w:start w:val="1"/>
      <w:numFmt w:val="decimal"/>
      <w:pStyle w:val="Title1119"/>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nsid w:val="6F351A92"/>
    <w:multiLevelType w:val="multilevel"/>
    <w:tmpl w:val="FDE8646A"/>
    <w:lvl w:ilvl="0">
      <w:start w:val="3"/>
      <w:numFmt w:val="decimal"/>
      <w:lvlText w:val="%1"/>
      <w:lvlJc w:val="left"/>
      <w:pPr>
        <w:tabs>
          <w:tab w:val="num" w:pos="432"/>
        </w:tabs>
        <w:ind w:left="432" w:hanging="432"/>
      </w:pPr>
      <w:rPr>
        <w:rFonts w:hint="default"/>
      </w:rPr>
    </w:lvl>
    <w:lvl w:ilvl="1">
      <w:start w:val="4"/>
      <w:numFmt w:val="decimal"/>
      <w:lvlText w:val="%1.%2"/>
      <w:lvlJc w:val="left"/>
      <w:pPr>
        <w:tabs>
          <w:tab w:val="num" w:pos="431"/>
        </w:tabs>
        <w:ind w:left="431" w:hanging="431"/>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94"/>
        </w:tabs>
        <w:ind w:left="794" w:hanging="794"/>
      </w:pPr>
      <w:rPr>
        <w:rFonts w:hint="default"/>
      </w:rPr>
    </w:lvl>
    <w:lvl w:ilvl="4">
      <w:start w:val="1"/>
      <w:numFmt w:val="decimal"/>
      <w:lvlRestart w:val="0"/>
      <w:lvlText w:val="%1.%2.%3..%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nsid w:val="6F351A93"/>
    <w:multiLevelType w:val="multilevel"/>
    <w:tmpl w:val="EA926228"/>
    <w:name w:val="WW8Num5"/>
    <w:lvl w:ilvl="0">
      <w:start w:val="1"/>
      <w:numFmt w:val="decimal"/>
      <w:pStyle w:val="Notes20"/>
      <w:lvlText w:val="%1"/>
      <w:lvlJc w:val="left"/>
      <w:pPr>
        <w:tabs>
          <w:tab w:val="num" w:pos="432"/>
        </w:tabs>
        <w:ind w:left="432" w:hanging="432"/>
      </w:pPr>
      <w:rPr>
        <w:rFonts w:hint="default"/>
        <w:lang w:val="en-GB"/>
      </w:rPr>
    </w:lvl>
    <w:lvl w:ilvl="1">
      <w:start w:val="1"/>
      <w:numFmt w:val="decimal"/>
      <w:pStyle w:val="Title1120"/>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nsid w:val="6F351A94"/>
    <w:multiLevelType w:val="multilevel"/>
    <w:tmpl w:val="2294FCA2"/>
    <w:name w:val="WW8Num5332"/>
    <w:lvl w:ilvl="0">
      <w:start w:val="3"/>
      <w:numFmt w:val="decimal"/>
      <w:lvlText w:val="%1."/>
      <w:lvlJc w:val="left"/>
      <w:pPr>
        <w:tabs>
          <w:tab w:val="num" w:pos="360"/>
        </w:tabs>
        <w:ind w:left="360" w:hanging="360"/>
      </w:pPr>
      <w:rPr>
        <w:rFonts w:hint="default"/>
      </w:rPr>
    </w:lvl>
    <w:lvl w:ilvl="1">
      <w:start w:val="4"/>
      <w:numFmt w:val="decimal"/>
      <w:lvlRestart w:val="0"/>
      <w:lvlText w:val="3.%2."/>
      <w:lvlJc w:val="left"/>
      <w:pPr>
        <w:tabs>
          <w:tab w:val="num" w:pos="431"/>
        </w:tabs>
        <w:ind w:left="431" w:hanging="431"/>
      </w:pPr>
      <w:rPr>
        <w:rFonts w:hint="default"/>
      </w:rPr>
    </w:lvl>
    <w:lvl w:ilvl="2">
      <w:start w:val="2"/>
      <w:numFmt w:val="decimal"/>
      <w:lvlText w:val="3.%2.%3."/>
      <w:lvlJc w:val="left"/>
      <w:pPr>
        <w:tabs>
          <w:tab w:val="num" w:pos="567"/>
        </w:tabs>
        <w:ind w:left="567" w:hanging="567"/>
      </w:pPr>
      <w:rPr>
        <w:rFonts w:hint="default"/>
      </w:rPr>
    </w:lvl>
    <w:lvl w:ilvl="3">
      <w:start w:val="2"/>
      <w:numFmt w:val="decimal"/>
      <w:lvlText w:val="%1.%2.%3.%4."/>
      <w:lvlJc w:val="left"/>
      <w:pPr>
        <w:tabs>
          <w:tab w:val="num" w:pos="431"/>
        </w:tabs>
        <w:ind w:left="454" w:hanging="454"/>
      </w:pPr>
      <w:rPr>
        <w:rFonts w:hint="default"/>
      </w:rPr>
    </w:lvl>
    <w:lvl w:ilvl="4">
      <w:start w:val="1"/>
      <w:numFmt w:val="decimal"/>
      <w:lvlText w:val="%1.%2.%3.%4.%5."/>
      <w:lvlJc w:val="left"/>
      <w:pPr>
        <w:tabs>
          <w:tab w:val="num" w:pos="1021"/>
        </w:tabs>
        <w:ind w:left="1021" w:hanging="1021"/>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nsid w:val="6F351A95"/>
    <w:multiLevelType w:val="hybridMultilevel"/>
    <w:tmpl w:val="AC84B144"/>
    <w:lvl w:ilvl="0" w:tplc="30E081A2">
      <w:numFmt w:val="bullet"/>
      <w:lvlText w:val="-"/>
      <w:lvlJc w:val="left"/>
      <w:pPr>
        <w:tabs>
          <w:tab w:val="num" w:pos="720"/>
        </w:tabs>
        <w:ind w:left="720" w:hanging="360"/>
      </w:pPr>
      <w:rPr>
        <w:rFonts w:ascii="Futura Lt BT" w:hAnsi="Futura Lt BT" w:cs="Times New Roman" w:hint="default"/>
      </w:rPr>
    </w:lvl>
    <w:lvl w:ilvl="1" w:tplc="AB546906" w:tentative="1">
      <w:start w:val="1"/>
      <w:numFmt w:val="bullet"/>
      <w:lvlText w:val="o"/>
      <w:lvlJc w:val="left"/>
      <w:pPr>
        <w:tabs>
          <w:tab w:val="num" w:pos="1080"/>
        </w:tabs>
        <w:ind w:left="1080" w:hanging="360"/>
      </w:pPr>
      <w:rPr>
        <w:rFonts w:ascii="Courier New" w:hAnsi="Courier New" w:cs="Courier New" w:hint="default"/>
      </w:rPr>
    </w:lvl>
    <w:lvl w:ilvl="2" w:tplc="63C4D222" w:tentative="1">
      <w:start w:val="1"/>
      <w:numFmt w:val="bullet"/>
      <w:lvlText w:val=""/>
      <w:lvlJc w:val="left"/>
      <w:pPr>
        <w:tabs>
          <w:tab w:val="num" w:pos="1800"/>
        </w:tabs>
        <w:ind w:left="1800" w:hanging="360"/>
      </w:pPr>
      <w:rPr>
        <w:rFonts w:ascii="Wingdings" w:hAnsi="Wingdings" w:hint="default"/>
      </w:rPr>
    </w:lvl>
    <w:lvl w:ilvl="3" w:tplc="DB783FFA" w:tentative="1">
      <w:start w:val="1"/>
      <w:numFmt w:val="bullet"/>
      <w:lvlText w:val=""/>
      <w:lvlJc w:val="left"/>
      <w:pPr>
        <w:tabs>
          <w:tab w:val="num" w:pos="2520"/>
        </w:tabs>
        <w:ind w:left="2520" w:hanging="360"/>
      </w:pPr>
      <w:rPr>
        <w:rFonts w:ascii="Symbol" w:hAnsi="Symbol" w:hint="default"/>
      </w:rPr>
    </w:lvl>
    <w:lvl w:ilvl="4" w:tplc="A5EAA78C" w:tentative="1">
      <w:start w:val="1"/>
      <w:numFmt w:val="bullet"/>
      <w:lvlText w:val="o"/>
      <w:lvlJc w:val="left"/>
      <w:pPr>
        <w:tabs>
          <w:tab w:val="num" w:pos="3240"/>
        </w:tabs>
        <w:ind w:left="3240" w:hanging="360"/>
      </w:pPr>
      <w:rPr>
        <w:rFonts w:ascii="Courier New" w:hAnsi="Courier New" w:cs="Courier New" w:hint="default"/>
      </w:rPr>
    </w:lvl>
    <w:lvl w:ilvl="5" w:tplc="366C1EA0" w:tentative="1">
      <w:start w:val="1"/>
      <w:numFmt w:val="bullet"/>
      <w:lvlText w:val=""/>
      <w:lvlJc w:val="left"/>
      <w:pPr>
        <w:tabs>
          <w:tab w:val="num" w:pos="3960"/>
        </w:tabs>
        <w:ind w:left="3960" w:hanging="360"/>
      </w:pPr>
      <w:rPr>
        <w:rFonts w:ascii="Wingdings" w:hAnsi="Wingdings" w:hint="default"/>
      </w:rPr>
    </w:lvl>
    <w:lvl w:ilvl="6" w:tplc="2582481A" w:tentative="1">
      <w:start w:val="1"/>
      <w:numFmt w:val="bullet"/>
      <w:lvlText w:val=""/>
      <w:lvlJc w:val="left"/>
      <w:pPr>
        <w:tabs>
          <w:tab w:val="num" w:pos="4680"/>
        </w:tabs>
        <w:ind w:left="4680" w:hanging="360"/>
      </w:pPr>
      <w:rPr>
        <w:rFonts w:ascii="Symbol" w:hAnsi="Symbol" w:hint="default"/>
      </w:rPr>
    </w:lvl>
    <w:lvl w:ilvl="7" w:tplc="8DAC6624" w:tentative="1">
      <w:start w:val="1"/>
      <w:numFmt w:val="bullet"/>
      <w:lvlText w:val="o"/>
      <w:lvlJc w:val="left"/>
      <w:pPr>
        <w:tabs>
          <w:tab w:val="num" w:pos="5400"/>
        </w:tabs>
        <w:ind w:left="5400" w:hanging="360"/>
      </w:pPr>
      <w:rPr>
        <w:rFonts w:ascii="Courier New" w:hAnsi="Courier New" w:cs="Courier New" w:hint="default"/>
      </w:rPr>
    </w:lvl>
    <w:lvl w:ilvl="8" w:tplc="0B24E4D6" w:tentative="1">
      <w:start w:val="1"/>
      <w:numFmt w:val="bullet"/>
      <w:lvlText w:val=""/>
      <w:lvlJc w:val="left"/>
      <w:pPr>
        <w:tabs>
          <w:tab w:val="num" w:pos="6120"/>
        </w:tabs>
        <w:ind w:left="6120" w:hanging="360"/>
      </w:pPr>
      <w:rPr>
        <w:rFonts w:ascii="Wingdings" w:hAnsi="Wingdings" w:hint="default"/>
      </w:rPr>
    </w:lvl>
  </w:abstractNum>
  <w:abstractNum w:abstractNumId="79">
    <w:nsid w:val="6F351A96"/>
    <w:multiLevelType w:val="hybridMultilevel"/>
    <w:tmpl w:val="AC84B144"/>
    <w:lvl w:ilvl="0" w:tplc="694AC14C">
      <w:numFmt w:val="bullet"/>
      <w:lvlText w:val="-"/>
      <w:lvlJc w:val="left"/>
      <w:pPr>
        <w:tabs>
          <w:tab w:val="num" w:pos="720"/>
        </w:tabs>
        <w:ind w:left="720" w:hanging="360"/>
      </w:pPr>
      <w:rPr>
        <w:rFonts w:ascii="Futura Lt BT" w:hAnsi="Futura Lt BT" w:cs="Times New Roman" w:hint="default"/>
      </w:rPr>
    </w:lvl>
    <w:lvl w:ilvl="1" w:tplc="121AF272">
      <w:start w:val="1"/>
      <w:numFmt w:val="bullet"/>
      <w:lvlText w:val="o"/>
      <w:lvlJc w:val="left"/>
      <w:pPr>
        <w:tabs>
          <w:tab w:val="num" w:pos="1080"/>
        </w:tabs>
        <w:ind w:left="1080" w:hanging="360"/>
      </w:pPr>
      <w:rPr>
        <w:rFonts w:ascii="Courier New" w:hAnsi="Courier New" w:cs="Courier New" w:hint="default"/>
      </w:rPr>
    </w:lvl>
    <w:lvl w:ilvl="2" w:tplc="AD8C787C">
      <w:start w:val="1"/>
      <w:numFmt w:val="bullet"/>
      <w:lvlText w:val=""/>
      <w:lvlJc w:val="left"/>
      <w:pPr>
        <w:tabs>
          <w:tab w:val="num" w:pos="1800"/>
        </w:tabs>
        <w:ind w:left="1800" w:hanging="360"/>
      </w:pPr>
      <w:rPr>
        <w:rFonts w:ascii="Wingdings" w:hAnsi="Wingdings" w:hint="default"/>
      </w:rPr>
    </w:lvl>
    <w:lvl w:ilvl="3" w:tplc="B46C331C">
      <w:start w:val="1"/>
      <w:numFmt w:val="bullet"/>
      <w:lvlText w:val=""/>
      <w:lvlJc w:val="left"/>
      <w:pPr>
        <w:tabs>
          <w:tab w:val="num" w:pos="2520"/>
        </w:tabs>
        <w:ind w:left="2520" w:hanging="360"/>
      </w:pPr>
      <w:rPr>
        <w:rFonts w:ascii="Symbol" w:hAnsi="Symbol" w:hint="default"/>
      </w:rPr>
    </w:lvl>
    <w:lvl w:ilvl="4" w:tplc="1BB41A52">
      <w:start w:val="1"/>
      <w:numFmt w:val="bullet"/>
      <w:lvlText w:val="o"/>
      <w:lvlJc w:val="left"/>
      <w:pPr>
        <w:tabs>
          <w:tab w:val="num" w:pos="3240"/>
        </w:tabs>
        <w:ind w:left="3240" w:hanging="360"/>
      </w:pPr>
      <w:rPr>
        <w:rFonts w:ascii="Courier New" w:hAnsi="Courier New" w:cs="Courier New" w:hint="default"/>
      </w:rPr>
    </w:lvl>
    <w:lvl w:ilvl="5" w:tplc="35208452">
      <w:start w:val="1"/>
      <w:numFmt w:val="bullet"/>
      <w:lvlText w:val=""/>
      <w:lvlJc w:val="left"/>
      <w:pPr>
        <w:tabs>
          <w:tab w:val="num" w:pos="3960"/>
        </w:tabs>
        <w:ind w:left="3960" w:hanging="360"/>
      </w:pPr>
      <w:rPr>
        <w:rFonts w:ascii="Wingdings" w:hAnsi="Wingdings" w:hint="default"/>
      </w:rPr>
    </w:lvl>
    <w:lvl w:ilvl="6" w:tplc="A1A61034">
      <w:start w:val="1"/>
      <w:numFmt w:val="bullet"/>
      <w:lvlText w:val=""/>
      <w:lvlJc w:val="left"/>
      <w:pPr>
        <w:tabs>
          <w:tab w:val="num" w:pos="4680"/>
        </w:tabs>
        <w:ind w:left="4680" w:hanging="360"/>
      </w:pPr>
      <w:rPr>
        <w:rFonts w:ascii="Symbol" w:hAnsi="Symbol" w:hint="default"/>
      </w:rPr>
    </w:lvl>
    <w:lvl w:ilvl="7" w:tplc="0C847E76">
      <w:start w:val="1"/>
      <w:numFmt w:val="bullet"/>
      <w:lvlText w:val="o"/>
      <w:lvlJc w:val="left"/>
      <w:pPr>
        <w:tabs>
          <w:tab w:val="num" w:pos="5400"/>
        </w:tabs>
        <w:ind w:left="5400" w:hanging="360"/>
      </w:pPr>
      <w:rPr>
        <w:rFonts w:ascii="Courier New" w:hAnsi="Courier New" w:cs="Courier New" w:hint="default"/>
      </w:rPr>
    </w:lvl>
    <w:lvl w:ilvl="8" w:tplc="0F8234AA">
      <w:start w:val="1"/>
      <w:numFmt w:val="bullet"/>
      <w:lvlText w:val=""/>
      <w:lvlJc w:val="left"/>
      <w:pPr>
        <w:tabs>
          <w:tab w:val="num" w:pos="6120"/>
        </w:tabs>
        <w:ind w:left="6120" w:hanging="360"/>
      </w:pPr>
      <w:rPr>
        <w:rFonts w:ascii="Wingdings" w:hAnsi="Wingdings" w:hint="default"/>
      </w:rPr>
    </w:lvl>
  </w:abstractNum>
  <w:abstractNum w:abstractNumId="80">
    <w:nsid w:val="6F351A97"/>
    <w:multiLevelType w:val="multilevel"/>
    <w:tmpl w:val="EA926228"/>
    <w:name w:val="WW8Num5"/>
    <w:lvl w:ilvl="0">
      <w:start w:val="1"/>
      <w:numFmt w:val="decimal"/>
      <w:pStyle w:val="Notes21"/>
      <w:lvlText w:val="%1"/>
      <w:lvlJc w:val="left"/>
      <w:pPr>
        <w:tabs>
          <w:tab w:val="num" w:pos="432"/>
        </w:tabs>
        <w:ind w:left="432" w:hanging="432"/>
      </w:pPr>
      <w:rPr>
        <w:rFonts w:hint="default"/>
        <w:lang w:val="en-GB"/>
      </w:rPr>
    </w:lvl>
    <w:lvl w:ilvl="1">
      <w:start w:val="1"/>
      <w:numFmt w:val="decimal"/>
      <w:pStyle w:val="Title1121"/>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nsid w:val="6F351A98"/>
    <w:multiLevelType w:val="multilevel"/>
    <w:tmpl w:val="408EED60"/>
    <w:name w:val="WW8Num5332"/>
    <w:lvl w:ilvl="0">
      <w:start w:val="3"/>
      <w:numFmt w:val="decimal"/>
      <w:lvlText w:val="%1."/>
      <w:lvlJc w:val="left"/>
      <w:pPr>
        <w:tabs>
          <w:tab w:val="num" w:pos="360"/>
        </w:tabs>
        <w:ind w:left="360" w:hanging="360"/>
      </w:pPr>
      <w:rPr>
        <w:rFonts w:hint="default"/>
      </w:rPr>
    </w:lvl>
    <w:lvl w:ilvl="1">
      <w:start w:val="4"/>
      <w:numFmt w:val="decimal"/>
      <w:lvlRestart w:val="0"/>
      <w:lvlText w:val="3.%2."/>
      <w:lvlJc w:val="left"/>
      <w:pPr>
        <w:tabs>
          <w:tab w:val="num" w:pos="431"/>
        </w:tabs>
        <w:ind w:left="431" w:hanging="431"/>
      </w:pPr>
      <w:rPr>
        <w:rFonts w:hint="default"/>
      </w:rPr>
    </w:lvl>
    <w:lvl w:ilvl="2">
      <w:start w:val="2"/>
      <w:numFmt w:val="decimal"/>
      <w:lvlText w:val="3.%2.%3."/>
      <w:lvlJc w:val="left"/>
      <w:pPr>
        <w:tabs>
          <w:tab w:val="num" w:pos="567"/>
        </w:tabs>
        <w:ind w:left="567" w:hanging="567"/>
      </w:pPr>
      <w:rPr>
        <w:rFonts w:hint="default"/>
      </w:rPr>
    </w:lvl>
    <w:lvl w:ilvl="3">
      <w:start w:val="2"/>
      <w:numFmt w:val="decimal"/>
      <w:lvlText w:val="%1.%2.%3.%4."/>
      <w:lvlJc w:val="left"/>
      <w:pPr>
        <w:tabs>
          <w:tab w:val="num" w:pos="431"/>
        </w:tabs>
        <w:ind w:left="454" w:hanging="454"/>
      </w:pPr>
      <w:rPr>
        <w:rFonts w:hint="default"/>
      </w:rPr>
    </w:lvl>
    <w:lvl w:ilvl="4">
      <w:start w:val="3"/>
      <w:numFmt w:val="decimal"/>
      <w:lvlText w:val="%1.%2.%3.%4.%5"/>
      <w:lvlJc w:val="left"/>
      <w:pPr>
        <w:tabs>
          <w:tab w:val="num" w:pos="1021"/>
        </w:tabs>
        <w:ind w:left="1021" w:hanging="1021"/>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nsid w:val="6F351A99"/>
    <w:multiLevelType w:val="multilevel"/>
    <w:tmpl w:val="2E62EAD8"/>
    <w:lvl w:ilvl="0">
      <w:start w:val="3"/>
      <w:numFmt w:val="decimal"/>
      <w:lvlText w:val="%1"/>
      <w:lvlJc w:val="left"/>
      <w:pPr>
        <w:tabs>
          <w:tab w:val="num" w:pos="432"/>
        </w:tabs>
        <w:ind w:left="432" w:hanging="432"/>
      </w:pPr>
      <w:rPr>
        <w:rFonts w:hint="default"/>
      </w:rPr>
    </w:lvl>
    <w:lvl w:ilvl="1">
      <w:start w:val="4"/>
      <w:numFmt w:val="decimal"/>
      <w:lvlText w:val="%1.%2"/>
      <w:lvlJc w:val="left"/>
      <w:pPr>
        <w:tabs>
          <w:tab w:val="num" w:pos="431"/>
        </w:tabs>
        <w:ind w:left="431" w:hanging="431"/>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94"/>
        </w:tabs>
        <w:ind w:left="794" w:hanging="794"/>
      </w:pPr>
      <w:rPr>
        <w:rFonts w:hint="default"/>
      </w:rPr>
    </w:lvl>
    <w:lvl w:ilvl="4">
      <w:start w:val="1"/>
      <w:numFmt w:val="decimal"/>
      <w:lvlRestart w:val="0"/>
      <w:lvlText w:val="%1.%2.%3..%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nsid w:val="6F351A9A"/>
    <w:multiLevelType w:val="multilevel"/>
    <w:tmpl w:val="D92028A0"/>
    <w:lvl w:ilvl="0">
      <w:start w:val="3"/>
      <w:numFmt w:val="decimal"/>
      <w:lvlText w:val="%1"/>
      <w:lvlJc w:val="left"/>
      <w:pPr>
        <w:tabs>
          <w:tab w:val="num" w:pos="432"/>
        </w:tabs>
        <w:ind w:left="432" w:hanging="432"/>
      </w:pPr>
      <w:rPr>
        <w:rFonts w:hint="default"/>
      </w:rPr>
    </w:lvl>
    <w:lvl w:ilvl="1">
      <w:start w:val="4"/>
      <w:numFmt w:val="decimal"/>
      <w:lvlText w:val="%1.%2"/>
      <w:lvlJc w:val="left"/>
      <w:pPr>
        <w:tabs>
          <w:tab w:val="num" w:pos="431"/>
        </w:tabs>
        <w:ind w:left="431" w:hanging="431"/>
      </w:pPr>
      <w:rPr>
        <w:rFonts w:hint="default"/>
      </w:rPr>
    </w:lvl>
    <w:lvl w:ilvl="2">
      <w:start w:val="2"/>
      <w:numFmt w:val="decimal"/>
      <w:lvlText w:val="%1.%2.%3"/>
      <w:lvlJc w:val="left"/>
      <w:pPr>
        <w:tabs>
          <w:tab w:val="num" w:pos="720"/>
        </w:tabs>
        <w:ind w:left="720" w:hanging="720"/>
      </w:pPr>
      <w:rPr>
        <w:rFonts w:hint="default"/>
      </w:rPr>
    </w:lvl>
    <w:lvl w:ilvl="3">
      <w:start w:val="4"/>
      <w:numFmt w:val="decimal"/>
      <w:lvlText w:val="%1.%2.%3.%4"/>
      <w:lvlJc w:val="left"/>
      <w:pPr>
        <w:tabs>
          <w:tab w:val="num" w:pos="794"/>
        </w:tabs>
        <w:ind w:left="794" w:hanging="794"/>
      </w:pPr>
      <w:rPr>
        <w:rFonts w:hint="default"/>
      </w:rPr>
    </w:lvl>
    <w:lvl w:ilvl="4">
      <w:start w:val="1"/>
      <w:numFmt w:val="decimal"/>
      <w:lvlRestart w:val="0"/>
      <w:lvlText w:val="%1.%2.%3..%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nsid w:val="6F351A9B"/>
    <w:multiLevelType w:val="multilevel"/>
    <w:tmpl w:val="EA926228"/>
    <w:name w:val="WW8Num5"/>
    <w:lvl w:ilvl="0">
      <w:start w:val="1"/>
      <w:numFmt w:val="decimal"/>
      <w:pStyle w:val="Notes22"/>
      <w:lvlText w:val="%1"/>
      <w:lvlJc w:val="left"/>
      <w:pPr>
        <w:tabs>
          <w:tab w:val="num" w:pos="432"/>
        </w:tabs>
        <w:ind w:left="432" w:hanging="432"/>
      </w:pPr>
      <w:rPr>
        <w:rFonts w:hint="default"/>
        <w:lang w:val="en-GB"/>
      </w:rPr>
    </w:lvl>
    <w:lvl w:ilvl="1">
      <w:start w:val="1"/>
      <w:numFmt w:val="decimal"/>
      <w:pStyle w:val="Title1122"/>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nsid w:val="6F351A9C"/>
    <w:multiLevelType w:val="multilevel"/>
    <w:tmpl w:val="40FA0C9A"/>
    <w:name w:val="WW8Num533"/>
    <w:lvl w:ilvl="0">
      <w:start w:val="3"/>
      <w:numFmt w:val="decimal"/>
      <w:lvlText w:val="%1."/>
      <w:lvlJc w:val="left"/>
      <w:pPr>
        <w:tabs>
          <w:tab w:val="num" w:pos="360"/>
        </w:tabs>
        <w:ind w:left="360" w:hanging="360"/>
      </w:pPr>
      <w:rPr>
        <w:rFonts w:hint="default"/>
      </w:rPr>
    </w:lvl>
    <w:lvl w:ilvl="1">
      <w:start w:val="4"/>
      <w:numFmt w:val="decimal"/>
      <w:lvlRestart w:val="0"/>
      <w:lvlText w:val="3.%2."/>
      <w:lvlJc w:val="left"/>
      <w:pPr>
        <w:tabs>
          <w:tab w:val="num" w:pos="431"/>
        </w:tabs>
        <w:ind w:left="431" w:hanging="431"/>
      </w:pPr>
      <w:rPr>
        <w:rFonts w:hint="default"/>
      </w:rPr>
    </w:lvl>
    <w:lvl w:ilvl="2">
      <w:start w:val="3"/>
      <w:numFmt w:val="decimal"/>
      <w:lvlText w:val="3.%2.%3"/>
      <w:lvlJc w:val="left"/>
      <w:pPr>
        <w:tabs>
          <w:tab w:val="num" w:pos="680"/>
        </w:tabs>
        <w:ind w:left="680" w:hanging="680"/>
      </w:pPr>
      <w:rPr>
        <w:rFonts w:hint="default"/>
      </w:rPr>
    </w:lvl>
    <w:lvl w:ilvl="3">
      <w:start w:val="1"/>
      <w:numFmt w:val="decimal"/>
      <w:lvlText w:val="%1.%2.%3.%4."/>
      <w:lvlJc w:val="left"/>
      <w:pPr>
        <w:tabs>
          <w:tab w:val="num" w:pos="431"/>
        </w:tabs>
        <w:ind w:left="454" w:hanging="454"/>
      </w:pPr>
      <w:rPr>
        <w:rFonts w:hint="default"/>
      </w:rPr>
    </w:lvl>
    <w:lvl w:ilvl="4">
      <w:start w:val="1"/>
      <w:numFmt w:val="decimal"/>
      <w:lvlText w:val="%1.%2.%3.%4.%5."/>
      <w:lvlJc w:val="left"/>
      <w:pPr>
        <w:tabs>
          <w:tab w:val="num" w:pos="737"/>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nsid w:val="6F351A9D"/>
    <w:multiLevelType w:val="multilevel"/>
    <w:tmpl w:val="C37624AE"/>
    <w:name w:val="WW8Num5"/>
    <w:lvl w:ilvl="0">
      <w:start w:val="4"/>
      <w:numFmt w:val="decimal"/>
      <w:pStyle w:val="Notes23"/>
      <w:lvlText w:val="%1"/>
      <w:lvlJc w:val="left"/>
      <w:pPr>
        <w:tabs>
          <w:tab w:val="num" w:pos="432"/>
        </w:tabs>
        <w:ind w:left="432" w:hanging="432"/>
      </w:pPr>
      <w:rPr>
        <w:rFonts w:hint="default"/>
        <w:lang w:val="en-GB"/>
      </w:rPr>
    </w:lvl>
    <w:lvl w:ilvl="1">
      <w:start w:val="1"/>
      <w:numFmt w:val="decimal"/>
      <w:pStyle w:val="Title1123"/>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nsid w:val="6F351A9E"/>
    <w:multiLevelType w:val="multilevel"/>
    <w:tmpl w:val="C37624AE"/>
    <w:name w:val="WW8Num5"/>
    <w:lvl w:ilvl="0">
      <w:start w:val="4"/>
      <w:numFmt w:val="decimal"/>
      <w:pStyle w:val="Notes24"/>
      <w:lvlText w:val="%1"/>
      <w:lvlJc w:val="left"/>
      <w:pPr>
        <w:tabs>
          <w:tab w:val="num" w:pos="432"/>
        </w:tabs>
        <w:ind w:left="432" w:hanging="432"/>
      </w:pPr>
      <w:rPr>
        <w:rFonts w:hint="default"/>
        <w:lang w:val="en-GB"/>
      </w:rPr>
    </w:lvl>
    <w:lvl w:ilvl="1">
      <w:start w:val="1"/>
      <w:numFmt w:val="decimal"/>
      <w:pStyle w:val="Title1124"/>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nsid w:val="6F351A9F"/>
    <w:multiLevelType w:val="multilevel"/>
    <w:tmpl w:val="5B401FA0"/>
    <w:name w:val="WW8Num5"/>
    <w:lvl w:ilvl="0">
      <w:start w:val="4"/>
      <w:numFmt w:val="decimal"/>
      <w:pStyle w:val="Notes25"/>
      <w:lvlText w:val="%1"/>
      <w:lvlJc w:val="left"/>
      <w:pPr>
        <w:tabs>
          <w:tab w:val="num" w:pos="432"/>
        </w:tabs>
        <w:ind w:left="432" w:hanging="432"/>
      </w:pPr>
      <w:rPr>
        <w:rFonts w:hint="default"/>
        <w:lang w:val="en-GB"/>
      </w:rPr>
    </w:lvl>
    <w:lvl w:ilvl="1">
      <w:start w:val="2"/>
      <w:numFmt w:val="decimal"/>
      <w:pStyle w:val="Title1125"/>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nsid w:val="6F351AA0"/>
    <w:multiLevelType w:val="hybridMultilevel"/>
    <w:tmpl w:val="A61ACEF2"/>
    <w:lvl w:ilvl="0" w:tplc="7B340EC2">
      <w:numFmt w:val="bullet"/>
      <w:lvlText w:val="-"/>
      <w:lvlJc w:val="left"/>
      <w:pPr>
        <w:tabs>
          <w:tab w:val="num" w:pos="720"/>
        </w:tabs>
        <w:ind w:left="720" w:hanging="360"/>
      </w:pPr>
      <w:rPr>
        <w:rFonts w:ascii="Futura Lt BT" w:hAnsi="Futura Lt BT" w:cs="Times New Roman" w:hint="default"/>
      </w:rPr>
    </w:lvl>
    <w:lvl w:ilvl="1" w:tplc="A02E6FA8">
      <w:start w:val="1"/>
      <w:numFmt w:val="bullet"/>
      <w:lvlText w:val="o"/>
      <w:lvlJc w:val="left"/>
      <w:pPr>
        <w:tabs>
          <w:tab w:val="num" w:pos="1440"/>
        </w:tabs>
        <w:ind w:left="1440" w:hanging="360"/>
      </w:pPr>
      <w:rPr>
        <w:rFonts w:ascii="Courier New" w:hAnsi="Courier New" w:cs="Courier New" w:hint="default"/>
      </w:rPr>
    </w:lvl>
    <w:lvl w:ilvl="2" w:tplc="155E10C8" w:tentative="1">
      <w:start w:val="1"/>
      <w:numFmt w:val="bullet"/>
      <w:lvlText w:val=""/>
      <w:lvlJc w:val="left"/>
      <w:pPr>
        <w:tabs>
          <w:tab w:val="num" w:pos="2160"/>
        </w:tabs>
        <w:ind w:left="2160" w:hanging="360"/>
      </w:pPr>
      <w:rPr>
        <w:rFonts w:ascii="Wingdings" w:hAnsi="Wingdings" w:hint="default"/>
      </w:rPr>
    </w:lvl>
    <w:lvl w:ilvl="3" w:tplc="32F8D5E0" w:tentative="1">
      <w:start w:val="1"/>
      <w:numFmt w:val="bullet"/>
      <w:lvlText w:val=""/>
      <w:lvlJc w:val="left"/>
      <w:pPr>
        <w:tabs>
          <w:tab w:val="num" w:pos="2880"/>
        </w:tabs>
        <w:ind w:left="2880" w:hanging="360"/>
      </w:pPr>
      <w:rPr>
        <w:rFonts w:ascii="Symbol" w:hAnsi="Symbol" w:hint="default"/>
      </w:rPr>
    </w:lvl>
    <w:lvl w:ilvl="4" w:tplc="A1F6F34C" w:tentative="1">
      <w:start w:val="1"/>
      <w:numFmt w:val="bullet"/>
      <w:lvlText w:val="o"/>
      <w:lvlJc w:val="left"/>
      <w:pPr>
        <w:tabs>
          <w:tab w:val="num" w:pos="3600"/>
        </w:tabs>
        <w:ind w:left="3600" w:hanging="360"/>
      </w:pPr>
      <w:rPr>
        <w:rFonts w:ascii="Courier New" w:hAnsi="Courier New" w:cs="Courier New" w:hint="default"/>
      </w:rPr>
    </w:lvl>
    <w:lvl w:ilvl="5" w:tplc="4D16CE42" w:tentative="1">
      <w:start w:val="1"/>
      <w:numFmt w:val="bullet"/>
      <w:lvlText w:val=""/>
      <w:lvlJc w:val="left"/>
      <w:pPr>
        <w:tabs>
          <w:tab w:val="num" w:pos="4320"/>
        </w:tabs>
        <w:ind w:left="4320" w:hanging="360"/>
      </w:pPr>
      <w:rPr>
        <w:rFonts w:ascii="Wingdings" w:hAnsi="Wingdings" w:hint="default"/>
      </w:rPr>
    </w:lvl>
    <w:lvl w:ilvl="6" w:tplc="453A4324" w:tentative="1">
      <w:start w:val="1"/>
      <w:numFmt w:val="bullet"/>
      <w:lvlText w:val=""/>
      <w:lvlJc w:val="left"/>
      <w:pPr>
        <w:tabs>
          <w:tab w:val="num" w:pos="5040"/>
        </w:tabs>
        <w:ind w:left="5040" w:hanging="360"/>
      </w:pPr>
      <w:rPr>
        <w:rFonts w:ascii="Symbol" w:hAnsi="Symbol" w:hint="default"/>
      </w:rPr>
    </w:lvl>
    <w:lvl w:ilvl="7" w:tplc="130C0DB4" w:tentative="1">
      <w:start w:val="1"/>
      <w:numFmt w:val="bullet"/>
      <w:lvlText w:val="o"/>
      <w:lvlJc w:val="left"/>
      <w:pPr>
        <w:tabs>
          <w:tab w:val="num" w:pos="5760"/>
        </w:tabs>
        <w:ind w:left="5760" w:hanging="360"/>
      </w:pPr>
      <w:rPr>
        <w:rFonts w:ascii="Courier New" w:hAnsi="Courier New" w:cs="Courier New" w:hint="default"/>
      </w:rPr>
    </w:lvl>
    <w:lvl w:ilvl="8" w:tplc="07F6EC26" w:tentative="1">
      <w:start w:val="1"/>
      <w:numFmt w:val="bullet"/>
      <w:lvlText w:val=""/>
      <w:lvlJc w:val="left"/>
      <w:pPr>
        <w:tabs>
          <w:tab w:val="num" w:pos="6480"/>
        </w:tabs>
        <w:ind w:left="6480" w:hanging="360"/>
      </w:pPr>
      <w:rPr>
        <w:rFonts w:ascii="Wingdings" w:hAnsi="Wingdings" w:hint="default"/>
      </w:rPr>
    </w:lvl>
  </w:abstractNum>
  <w:abstractNum w:abstractNumId="90">
    <w:nsid w:val="6F351AA1"/>
    <w:multiLevelType w:val="multilevel"/>
    <w:tmpl w:val="BCF0F7F4"/>
    <w:name w:val="WW8Num5"/>
    <w:lvl w:ilvl="0">
      <w:start w:val="4"/>
      <w:numFmt w:val="decimal"/>
      <w:pStyle w:val="Notes26"/>
      <w:lvlText w:val="%1"/>
      <w:lvlJc w:val="left"/>
      <w:pPr>
        <w:tabs>
          <w:tab w:val="num" w:pos="432"/>
        </w:tabs>
        <w:ind w:left="432" w:hanging="432"/>
      </w:pPr>
      <w:rPr>
        <w:rFonts w:hint="default"/>
        <w:lang w:val="en-GB"/>
      </w:rPr>
    </w:lvl>
    <w:lvl w:ilvl="1">
      <w:start w:val="2"/>
      <w:numFmt w:val="decimal"/>
      <w:pStyle w:val="Title1126"/>
      <w:lvlText w:val="%1.%2"/>
      <w:lvlJc w:val="left"/>
      <w:pPr>
        <w:tabs>
          <w:tab w:val="num" w:pos="431"/>
        </w:tabs>
        <w:ind w:left="431" w:hanging="431"/>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nsid w:val="6F351AA2"/>
    <w:multiLevelType w:val="multilevel"/>
    <w:tmpl w:val="EA926228"/>
    <w:name w:val="WW8Num5"/>
    <w:lvl w:ilvl="0">
      <w:start w:val="1"/>
      <w:numFmt w:val="decimal"/>
      <w:pStyle w:val="Notes"/>
      <w:lvlText w:val="%1"/>
      <w:lvlJc w:val="left"/>
      <w:pPr>
        <w:tabs>
          <w:tab w:val="num" w:pos="432"/>
        </w:tabs>
        <w:ind w:left="432" w:hanging="432"/>
      </w:pPr>
      <w:rPr>
        <w:rFonts w:hint="default"/>
        <w:lang w:val="en-GB"/>
      </w:rPr>
    </w:lvl>
    <w:lvl w:ilvl="1">
      <w:start w:val="1"/>
      <w:numFmt w:val="decimal"/>
      <w:pStyle w:val="Title11"/>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nsid w:val="6F351AA3"/>
    <w:multiLevelType w:val="multilevel"/>
    <w:tmpl w:val="DE1EA1B0"/>
    <w:name w:val="WW8Num5"/>
    <w:lvl w:ilvl="0">
      <w:start w:val="12"/>
      <w:numFmt w:val="decimal"/>
      <w:pStyle w:val="Notes27"/>
      <w:lvlText w:val="%1"/>
      <w:lvlJc w:val="left"/>
      <w:pPr>
        <w:tabs>
          <w:tab w:val="num" w:pos="432"/>
        </w:tabs>
        <w:ind w:left="432" w:hanging="432"/>
      </w:pPr>
      <w:rPr>
        <w:rFonts w:hint="default"/>
        <w:lang w:val="en-GB"/>
      </w:rPr>
    </w:lvl>
    <w:lvl w:ilvl="1">
      <w:start w:val="1"/>
      <w:numFmt w:val="decimal"/>
      <w:pStyle w:val="Title1127"/>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nsid w:val="6F351AA4"/>
    <w:multiLevelType w:val="hybridMultilevel"/>
    <w:tmpl w:val="C5FE403C"/>
    <w:lvl w:ilvl="0" w:tplc="B70A890E">
      <w:numFmt w:val="bullet"/>
      <w:lvlText w:val="-"/>
      <w:lvlJc w:val="left"/>
      <w:pPr>
        <w:ind w:left="720" w:hanging="360"/>
      </w:pPr>
      <w:rPr>
        <w:rFonts w:ascii="Arial" w:eastAsia="Times New Roman" w:hAnsi="Arial" w:cs="Arial" w:hint="default"/>
      </w:rPr>
    </w:lvl>
    <w:lvl w:ilvl="1" w:tplc="750E0E12" w:tentative="1">
      <w:start w:val="1"/>
      <w:numFmt w:val="bullet"/>
      <w:lvlText w:val="o"/>
      <w:lvlJc w:val="left"/>
      <w:pPr>
        <w:ind w:left="1440" w:hanging="360"/>
      </w:pPr>
      <w:rPr>
        <w:rFonts w:ascii="Courier New" w:hAnsi="Courier New" w:cs="Courier New" w:hint="default"/>
      </w:rPr>
    </w:lvl>
    <w:lvl w:ilvl="2" w:tplc="49CED84E" w:tentative="1">
      <w:start w:val="1"/>
      <w:numFmt w:val="bullet"/>
      <w:lvlText w:val=""/>
      <w:lvlJc w:val="left"/>
      <w:pPr>
        <w:ind w:left="2160" w:hanging="360"/>
      </w:pPr>
      <w:rPr>
        <w:rFonts w:ascii="Wingdings" w:hAnsi="Wingdings" w:hint="default"/>
      </w:rPr>
    </w:lvl>
    <w:lvl w:ilvl="3" w:tplc="D41A99EC" w:tentative="1">
      <w:start w:val="1"/>
      <w:numFmt w:val="bullet"/>
      <w:lvlText w:val=""/>
      <w:lvlJc w:val="left"/>
      <w:pPr>
        <w:ind w:left="2880" w:hanging="360"/>
      </w:pPr>
      <w:rPr>
        <w:rFonts w:ascii="Symbol" w:hAnsi="Symbol" w:hint="default"/>
      </w:rPr>
    </w:lvl>
    <w:lvl w:ilvl="4" w:tplc="9D66D4DE" w:tentative="1">
      <w:start w:val="1"/>
      <w:numFmt w:val="bullet"/>
      <w:lvlText w:val="o"/>
      <w:lvlJc w:val="left"/>
      <w:pPr>
        <w:ind w:left="3600" w:hanging="360"/>
      </w:pPr>
      <w:rPr>
        <w:rFonts w:ascii="Courier New" w:hAnsi="Courier New" w:cs="Courier New" w:hint="default"/>
      </w:rPr>
    </w:lvl>
    <w:lvl w:ilvl="5" w:tplc="FE3E5BF8" w:tentative="1">
      <w:start w:val="1"/>
      <w:numFmt w:val="bullet"/>
      <w:lvlText w:val=""/>
      <w:lvlJc w:val="left"/>
      <w:pPr>
        <w:ind w:left="4320" w:hanging="360"/>
      </w:pPr>
      <w:rPr>
        <w:rFonts w:ascii="Wingdings" w:hAnsi="Wingdings" w:hint="default"/>
      </w:rPr>
    </w:lvl>
    <w:lvl w:ilvl="6" w:tplc="C466053E" w:tentative="1">
      <w:start w:val="1"/>
      <w:numFmt w:val="bullet"/>
      <w:lvlText w:val=""/>
      <w:lvlJc w:val="left"/>
      <w:pPr>
        <w:ind w:left="5040" w:hanging="360"/>
      </w:pPr>
      <w:rPr>
        <w:rFonts w:ascii="Symbol" w:hAnsi="Symbol" w:hint="default"/>
      </w:rPr>
    </w:lvl>
    <w:lvl w:ilvl="7" w:tplc="56545EF2" w:tentative="1">
      <w:start w:val="1"/>
      <w:numFmt w:val="bullet"/>
      <w:lvlText w:val="o"/>
      <w:lvlJc w:val="left"/>
      <w:pPr>
        <w:ind w:left="5760" w:hanging="360"/>
      </w:pPr>
      <w:rPr>
        <w:rFonts w:ascii="Courier New" w:hAnsi="Courier New" w:cs="Courier New" w:hint="default"/>
      </w:rPr>
    </w:lvl>
    <w:lvl w:ilvl="8" w:tplc="BFFA59F8" w:tentative="1">
      <w:start w:val="1"/>
      <w:numFmt w:val="bullet"/>
      <w:lvlText w:val=""/>
      <w:lvlJc w:val="left"/>
      <w:pPr>
        <w:ind w:left="6480" w:hanging="360"/>
      </w:pPr>
      <w:rPr>
        <w:rFonts w:ascii="Wingdings" w:hAnsi="Wingdings" w:hint="default"/>
      </w:rPr>
    </w:lvl>
  </w:abstractNum>
  <w:abstractNum w:abstractNumId="94">
    <w:nsid w:val="6F351AA5"/>
    <w:multiLevelType w:val="multilevel"/>
    <w:tmpl w:val="EA926228"/>
    <w:name w:val="WW8Num5"/>
    <w:lvl w:ilvl="0">
      <w:start w:val="1"/>
      <w:numFmt w:val="decimal"/>
      <w:pStyle w:val="Notes28"/>
      <w:lvlText w:val="%1"/>
      <w:lvlJc w:val="left"/>
      <w:pPr>
        <w:tabs>
          <w:tab w:val="num" w:pos="432"/>
        </w:tabs>
        <w:ind w:left="432" w:hanging="432"/>
      </w:pPr>
      <w:rPr>
        <w:lang w:val="en-GB"/>
      </w:rPr>
    </w:lvl>
    <w:lvl w:ilvl="1">
      <w:start w:val="1"/>
      <w:numFmt w:val="decimal"/>
      <w:pStyle w:val="Title1128"/>
      <w:lvlText w:val="%1.%2"/>
      <w:lvlJc w:val="left"/>
      <w:pPr>
        <w:tabs>
          <w:tab w:val="num" w:pos="431"/>
        </w:tabs>
        <w:ind w:left="431" w:hanging="43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5">
    <w:nsid w:val="6F351AA6"/>
    <w:multiLevelType w:val="hybridMultilevel"/>
    <w:tmpl w:val="F38271A4"/>
    <w:lvl w:ilvl="0" w:tplc="34A6459A">
      <w:start w:val="1"/>
      <w:numFmt w:val="bullet"/>
      <w:lvlText w:val=""/>
      <w:lvlJc w:val="left"/>
      <w:pPr>
        <w:ind w:left="720" w:hanging="360"/>
      </w:pPr>
      <w:rPr>
        <w:rFonts w:ascii="Symbol" w:hAnsi="Symbol" w:hint="default"/>
      </w:rPr>
    </w:lvl>
    <w:lvl w:ilvl="1" w:tplc="902C7D86">
      <w:start w:val="1"/>
      <w:numFmt w:val="bullet"/>
      <w:lvlText w:val="o"/>
      <w:lvlJc w:val="left"/>
      <w:pPr>
        <w:ind w:left="1440" w:hanging="360"/>
      </w:pPr>
      <w:rPr>
        <w:rFonts w:ascii="Courier New" w:hAnsi="Courier New" w:cs="Courier New" w:hint="default"/>
      </w:rPr>
    </w:lvl>
    <w:lvl w:ilvl="2" w:tplc="EBB41C1C">
      <w:start w:val="1"/>
      <w:numFmt w:val="bullet"/>
      <w:lvlText w:val=""/>
      <w:lvlJc w:val="left"/>
      <w:pPr>
        <w:ind w:left="2160" w:hanging="360"/>
      </w:pPr>
      <w:rPr>
        <w:rFonts w:ascii="Wingdings" w:hAnsi="Wingdings" w:hint="default"/>
      </w:rPr>
    </w:lvl>
    <w:lvl w:ilvl="3" w:tplc="C46AB902">
      <w:start w:val="1"/>
      <w:numFmt w:val="bullet"/>
      <w:lvlText w:val=""/>
      <w:lvlJc w:val="left"/>
      <w:pPr>
        <w:ind w:left="2880" w:hanging="360"/>
      </w:pPr>
      <w:rPr>
        <w:rFonts w:ascii="Symbol" w:hAnsi="Symbol" w:hint="default"/>
      </w:rPr>
    </w:lvl>
    <w:lvl w:ilvl="4" w:tplc="0B8A169C">
      <w:start w:val="1"/>
      <w:numFmt w:val="bullet"/>
      <w:lvlText w:val="o"/>
      <w:lvlJc w:val="left"/>
      <w:pPr>
        <w:ind w:left="3600" w:hanging="360"/>
      </w:pPr>
      <w:rPr>
        <w:rFonts w:ascii="Courier New" w:hAnsi="Courier New" w:cs="Courier New" w:hint="default"/>
      </w:rPr>
    </w:lvl>
    <w:lvl w:ilvl="5" w:tplc="C7F6B9D8">
      <w:start w:val="1"/>
      <w:numFmt w:val="bullet"/>
      <w:lvlText w:val=""/>
      <w:lvlJc w:val="left"/>
      <w:pPr>
        <w:ind w:left="4320" w:hanging="360"/>
      </w:pPr>
      <w:rPr>
        <w:rFonts w:ascii="Wingdings" w:hAnsi="Wingdings" w:hint="default"/>
      </w:rPr>
    </w:lvl>
    <w:lvl w:ilvl="6" w:tplc="09B49EFC">
      <w:start w:val="1"/>
      <w:numFmt w:val="bullet"/>
      <w:lvlText w:val=""/>
      <w:lvlJc w:val="left"/>
      <w:pPr>
        <w:ind w:left="5040" w:hanging="360"/>
      </w:pPr>
      <w:rPr>
        <w:rFonts w:ascii="Symbol" w:hAnsi="Symbol" w:hint="default"/>
      </w:rPr>
    </w:lvl>
    <w:lvl w:ilvl="7" w:tplc="96386AA8">
      <w:start w:val="1"/>
      <w:numFmt w:val="bullet"/>
      <w:lvlText w:val="o"/>
      <w:lvlJc w:val="left"/>
      <w:pPr>
        <w:ind w:left="5760" w:hanging="360"/>
      </w:pPr>
      <w:rPr>
        <w:rFonts w:ascii="Courier New" w:hAnsi="Courier New" w:cs="Courier New" w:hint="default"/>
      </w:rPr>
    </w:lvl>
    <w:lvl w:ilvl="8" w:tplc="402091AC">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0"/>
  </w:num>
  <w:num w:numId="6">
    <w:abstractNumId w:val="8"/>
  </w:num>
  <w:num w:numId="7">
    <w:abstractNumId w:val="10"/>
  </w:num>
  <w:num w:numId="8">
    <w:abstractNumId w:val="4"/>
  </w:num>
  <w:num w:numId="9">
    <w:abstractNumId w:val="11"/>
  </w:num>
  <w:num w:numId="10">
    <w:abstractNumId w:val="9"/>
  </w:num>
  <w:num w:numId="11">
    <w:abstractNumId w:val="12"/>
  </w:num>
  <w:num w:numId="12">
    <w:abstractNumId w:val="2"/>
  </w:num>
  <w:num w:numId="13">
    <w:abstractNumId w:val="7"/>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907"/>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IP_META_DOC_TBL00001" w:val="&lt;OBJECT&gt;&lt;META&gt;&lt;ID&gt;&lt;/ID&gt;&lt;NAME&gt;DOC_TBL00001&lt;/NAME&gt;&lt;TYPE&gt;&lt;ID&gt;19&lt;/ID&gt;&lt;FRIENDLYNAME&gt;Table&lt;/FRIENDLYNAME&gt;&lt;LABEL&gt;&lt;/LABEL&gt;&lt;/TYPE&gt;&lt;STATUS&gt;SEM&lt;/STATUS&gt;&lt;SAFE&gt;&lt;/SAFE&gt;&lt;MARKCHANGES&gt;0&lt;/MARKCHANGES&gt;&lt;USESTYLES&gt;0&lt;/USESTYLES&gt;&lt;USETEMPLATES&gt;0&lt;/USETEMPLATES&gt;&lt;FXC&gt;0&lt;/FXC&gt;&lt;FXR&gt;0&lt;/FXR&gt;&lt;FORMAT&gt;&lt;/FORMAT&gt;&lt;FMODUS&gt;&lt;/FMODUS&gt;&lt;FLCID&gt;1033&lt;/FLCID&gt;&lt;RELATION&gt;&lt;/RELATION&gt;&lt;LINKED&gt;&lt;/LINKED&gt;&lt;SVALUE&gt;&lt;/SVALUE&gt;&lt;INFO&gt;&lt;/INFO&gt;&lt;/META&gt;&lt;UPDATE&gt;&lt;DATE&gt;10.1.6.35&lt;/DATE&gt;&lt;DYNAMIZEDBY&gt;milotlu&lt;/DYNAMIZEDBY&gt;&lt;DYNAMIZEDON&gt;20/03/2017 18:47:34&lt;/DYNAMIZEDON&gt;&lt;LASTUPDATEDBY&gt;wittaan&lt;/LASTUPDATEDBY&gt;&lt;LASTUPDATEDON&gt;6/2/2017 6:02:46 AM&lt;/LASTUPDATEDON&gt;&lt;UTC&gt;1&lt;/UTC&gt;&lt;/UPDATE&gt;&lt;QUERIES bbk=&quot;9445&quot; bbkdesc=&quot;2016 Annual Accounts/EDF Annual Accounts/DC - Aggregated balance sheet (xlsx)&quot; datapro=&quot;BS&quot; tdatapro=&quot;BS&quot; author=&quot;&quot; modtime=&quot;6/7/2016 4:36:24 PM&quot; moduser=&quot;vanbena&quot; rolluptime=&quot;&quot; syuser=&quot;vanbena&quot; syuzeit=&quot;6/7/2016 4:36:24 PM&quot; root=&quot;/DATA&quot; colcount=&quot;4&quot; rowcount=&quot;32&quot; url=&quot;&quot; dynamizeds=&quot;SAP Disclosure Management - Production&quot; dynamizedstype=&quot;9&quot; refreshds=&quot;&quot; viewtype=&quot;1&quot;&gt;&lt;QUERY reftype=&quot;ABS&quot; elmntsel=&quot;TABLE&quot; bbk=&quot;9445&quot; bbkdesc=&quot;2016 Annual Accounts/EDF Annual Accounts/DC - Aggregated balance sheet (xlsx)&quot; datapro=&quot;BS&quot; infos=&quot;&quot; iscomment=&quot;0&quot;&gt;&lt;SELECT&gt;/BBOOK/DATAPROVIDER[./META/PROPS/ID='BS']/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preutan&lt;/DYNAMIZEDBY&gt;&lt;DYNAMIZEDON&gt;17/05/2017 10:13:49&lt;/DYNAMIZEDON&gt;&lt;LASTUPDATEDBY&gt;wittaan&lt;/LASTUPDATEDBY&gt;&lt;LASTUPDATEDON&gt;6/2/2017 5:55:31 AM&lt;/LASTUPDATEDON&gt;&lt;UTC&gt;1&lt;/UTC&gt;&lt;/UPDATE&gt;&lt;QUERIES bbk=&quot;9489&quot; bbkdesc=&quot;2016 Annual Accounts/EDF Annual Accounts/DC - Aggregated Statement of financial performance (xlsx)&quot; datapro=&quot;PL&quot; tdatapro=&quot;PL&quot; author=&quot;&quot; modtime=&quot;12/2/2014 8:39:14 AM&quot; moduser=&quot;vignale&quot; rolluptime=&quot;&quot; syuser=&quot;vignale&quot; syuzeit=&quot;12/2/2014 8:39:14 AM&quot; root=&quot;/DATA&quot; colcount=&quot;4&quot; rowcount=&quot;19&quot; url=&quot;&quot; dynamizeds=&quot;SAP Disclosure Management - Production&quot; dynamizedstype=&quot;9&quot; refreshds=&quot;&quot; viewtype=&quot;1&quot;&gt;&lt;QUERY reftype=&quot;ABS&quot; elmntsel=&quot;TABLE&quot; bbk=&quot;9489&quot; bbkdesc=&quot;2016 Annual Accounts/EDF Annual Accounts/DC - Aggregated Statement of financial performance (xlsx)&quot; datapro=&quot;PL&quot; infos=&quot;&quot; iscomment=&quot;0&quot;&gt;&lt;SELECT&gt;/BBOOK/DATAPROVIDER[./META/PROPS/ID='PL']/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1033&lt;/FLCID&gt;&lt;RELATION&gt;&lt;/RELATION&gt;&lt;LINKED&gt;&lt;/LINKED&gt;&lt;SVALUE&gt;&lt;/SVALUE&gt;&lt;INFO&gt;&lt;/INFO&gt;&lt;/META&gt;&lt;UPDATE&gt;&lt;DATE&gt;10.1.6.35&lt;/DATE&gt;&lt;DYNAMIZEDBY&gt;milotlu&lt;/DYNAMIZEDBY&gt;&lt;DYNAMIZEDON&gt;20/03/2017 10:32:40&lt;/DYNAMIZEDON&gt;&lt;LASTUPDATEDBY&gt;wittaan&lt;/LASTUPDATEDBY&gt;&lt;LASTUPDATEDON&gt;6/2/2017 6:03:01 AM&lt;/LASTUPDATEDON&gt;&lt;UTC&gt;1&lt;/UTC&gt;&lt;/UPDATE&gt;&lt;QUERIES bbk=&quot;9547&quot; bbkdesc=&quot;2016 Annual Accounts/EDF Annual Accounts/DC - Aggregated cashflow statement (xlsx)&quot; datapro=&quot;CF&quot; tdatapro=&quot;CF&quot; author=&quot;&quot; modtime=&quot;3/25/2015 8:13:45 AM&quot; moduser=&quot;wittaan&quot; rolluptime=&quot;&quot; syuser=&quot;wittaan&quot; syuzeit=&quot;3/25/2015 8:13:45 AM&quot; root=&quot;/DATA&quot; colcount=&quot;4&quot; rowcount=&quot;22&quot; url=&quot;&quot; dynamizeds=&quot;SAP Disclosure Management - Production&quot; dynamizedstype=&quot;9&quot; refreshds=&quot;&quot; viewtype=&quot;1&quot;&gt;&lt;QUERY reftype=&quot;ABS&quot; elmntsel=&quot;TABLE&quot; bbk=&quot;9547&quot; bbkdesc=&quot;2016 Annual Accounts/EDF Annual Accounts/DC - Aggregated cashflow statement (xlsx)&quot; datapro=&quot;CF&quot; infos=&quot;&quot; iscomment=&quot;0&quot;&gt;&lt;SELECT&gt;/BBOOK/DATAPROVIDER[./META/PROPS/ID='CF']/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5/2/2017 9:14:37 AM&lt;/DYNAMIZEDON&gt;&lt;LASTUPDATEDBY&gt;wittaan&lt;/LASTUPDATEDBY&gt;&lt;LASTUPDATEDON&gt;6/2/2017 6:28:33 AM&lt;/LASTUPDATEDON&gt;&lt;UTC&gt;1&lt;/UTC&gt;&lt;/UPDATE&gt;&lt;QUERIES bbk=&quot;9530&quot; bbkdesc=&quot;2016 Annual Accounts/EDF Annual Accounts/DC - Aggregated statement of changes in net assets (xlsx)&quot; datapro=&quot;CNA&quot; tdatapro=&quot;CNA&quot; author=&quot;&quot; modtime=&quot;6/2/2017 6:26:26 AM&quot; moduser=&quot;wittaan&quot; rolluptime=&quot;&quot; syuser=&quot;wittaan&quot; syuzeit=&quot;6/2/2017 6:26:26 AM&quot; root=&quot;/BBOOK/DATAPROVIDER[./META/PROPS/ID='CNA']/DATA&quot; colcount=&quot;7&quot; rowcount=&quot;12&quot; url=&quot;&quot; dynamizeds=&quot;SAP Disclosure Management - Production&quot; dynamizedstype=&quot;9&quot; refreshds=&quot;&quot; viewtype=&quot;1&quot;&gt;&lt;QUERY reftype=&quot;ABS&quot; elmntsel=&quot;TABLE&quot; bbk=&quot;9530&quot; bbkdesc=&quot;2016 Annual Accounts/EDF Annual Accounts/DC - Aggregated statement of changes in net assets (xlsx)&quot; datapro=&quot;CNA&quot; infos=&quot;&quot; iscomment=&quot;0&quot;&gt;&lt;SELECT&gt;/BBOOK/DATAPROVIDER[./META/PROPS/ID='CNA']/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1033&lt;/FLCID&gt;&lt;RELATION&gt;&lt;/RELATION&gt;&lt;LINKED&gt;&lt;/LINKED&gt;&lt;SVALUE&gt;&lt;/SVALUE&gt;&lt;INFO&gt;&lt;/INFO&gt;&lt;/META&gt;&lt;UPDATE&gt;&lt;DATE&gt;10.1.6.35&lt;/DATE&gt;&lt;DYNAMIZEDBY&gt;carlben&lt;/DYNAMIZEDBY&gt;&lt;DYNAMIZEDON&gt;5/2/2017 9:30:51 AM&lt;/DYNAMIZEDON&gt;&lt;LASTUPDATEDBY&gt;wittaan&lt;/LASTUPDATEDBY&gt;&lt;LASTUPDATEDON&gt;6/2/2017 6:03:42 AM&lt;/LASTUPDATEDON&gt;&lt;UTC&gt;1&lt;/UTC&gt;&lt;/UPDATE&gt;&lt;QUERIES bbk=&quot;9560&quot; bbkdesc=&quot;2016 Annual Accounts/EDF Annual Accounts/DC - Balance sheet of the eighth ninth 10th and 11th EDF (xlsx)&quot; datapro=&quot;BSEDF&quot; tdatapro=&quot;BSEDF&quot; author=&quot;&quot; modtime=&quot;6/1/2017 5:37:54 PM&quot; moduser=&quot;wittaan&quot; rolluptime=&quot;&quot; syuser=&quot;wittaan&quot; syuzeit=&quot;6/1/2017 5:37:54 PM&quot; root=&quot;/BBOOK/DATAPROVIDER[./META/PROPS/ID='BSEDF']/DATA&quot; colcount=&quot;11&quot; rowcount=&quot;36&quot; url=&quot;&quot; dynamizeds=&quot;SAP Disclosure Management - Production&quot; dynamizedstype=&quot;9&quot; refreshds=&quot;&quot; viewtype=&quot;1&quot;&gt;&lt;QUERY reftype=&quot;ABS&quot; elmntsel=&quot;TABLE&quot; bbk=&quot;9560&quot; bbkdesc=&quot;2016 Annual Accounts/EDF Annual Accounts/DC - Balance sheet of the eighth ninth 10th and 11th EDF (xlsx)&quot; datapro=&quot;BSEDF&quot; infos=&quot;&quot; iscomment=&quot;0&quot;&gt;&lt;SELECT&gt;/BBOOK/DATAPROVIDER[./META/PROPS/ID='BSEDF']/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preutan&lt;/DYNAMIZEDBY&gt;&lt;DYNAMIZEDON&gt;17/05/2017 10:30:42&lt;/DYNAMIZEDON&gt;&lt;LASTUPDATEDBY&gt;wittaan&lt;/LASTUPDATEDBY&gt;&lt;LASTUPDATEDON&gt;6/2/2017 6:42:34 AM&lt;/LASTUPDATEDON&gt;&lt;UTC&gt;1&lt;/UTC&gt;&lt;/UPDATE&gt;&lt;QUERIES bbk=&quot;9513&quot; bbkdesc=&quot;2016 Annual Accounts/EDF Annual Accounts/DC - Statement of financial performance of the eighth ninth 10th and 11th EDF (xlsx)&quot; datapro=&quot;PLEDF&quot; tdatapro=&quot;PLEDF&quot; author=&quot;&quot; modtime=&quot;5/2/2017 9:35:35 AM&quot; moduser=&quot;carlben&quot; rolluptime=&quot;&quot; syuser=&quot;carlben&quot; syuzeit=&quot;5/2/2017 9:35:35 AM&quot; root=&quot;/DATA&quot; colcount=&quot;11&quot; rowcount=&quot;21&quot; url=&quot;&quot; dynamizeds=&quot;SAP Disclosure Management - Production&quot; dynamizedstype=&quot;9&quot; refreshds=&quot;&quot; viewtype=&quot;1&quot;&gt;&lt;QUERY reftype=&quot;ABS&quot; elmntsel=&quot;TABLE&quot; bbk=&quot;9513&quot; bbkdesc=&quot;2016 Annual Accounts/EDF Annual Accounts/DC - Statement of financial performance of the eighth ninth 10th and 11th EDF (xlsx)&quot; datapro=&quot;PLEDF&quot; infos=&quot;&quot; iscomment=&quot;0&quot;&gt;&lt;SELECT&gt;/BBOOK/DATAPROVIDER[./META/PROPS/ID='PLEDF']/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vanbena&lt;/DYNAMIZEDBY&gt;&lt;DYNAMIZEDON&gt;22/03/2017 09:57:00&lt;/DYNAMIZEDON&gt;&lt;LASTUPDATEDBY&gt;wittaan&lt;/LASTUPDATEDBY&gt;&lt;LASTUPDATEDON&gt;6/2/2017 6:46:19 AM&lt;/LASTUPDATEDON&gt;&lt;UTC&gt;1&lt;/UTC&gt;&lt;/UPDATE&gt;&lt;QUERIES bbk=&quot;9548&quot; bbkdesc=&quot;2016 Annual Accounts/EDF Annual Accounts/DC - Statement of changes in net assets of the eighth EDF (xlsx)&quot; datapro=&quot;CNA8&quot; tdatapro=&quot;CNA8&quot; author=&quot;&quot; modtime=&quot;3/21/2015 3:06:47 PM&quot; moduser=&quot;wittaan&quot; rolluptime=&quot;&quot; syuser=&quot;wittaan&quot; syuzeit=&quot;3/21/2015 3:06:47 PM&quot; root=&quot;/DATA&quot; colcount=&quot;8&quot; rowcount=&quot;12&quot; url=&quot;&quot; dynamizeds=&quot;SAP Disclosure Management - Production&quot; dynamizedstype=&quot;9&quot; refreshds=&quot;&quot; viewtype=&quot;1&quot;&gt;&lt;QUERY reftype=&quot;ABS&quot; elmntsel=&quot;TABLE&quot; bbk=&quot;9548&quot; bbkdesc=&quot;2016 Annual Accounts/EDF Annual Accounts/DC - Statement of changes in net assets of the eighth EDF (xlsx)&quot; datapro=&quot;CNA8&quot; infos=&quot;&quot; iscomment=&quot;0&quot;&gt;&lt;SELECT&gt;/BBOOK/DATAPROVIDER[./META/PROPS/ID='CNA8']/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vanbena&lt;/DYNAMIZEDBY&gt;&lt;DYNAMIZEDON&gt;22/03/2017 11:03:29&lt;/DYNAMIZEDON&gt;&lt;LASTUPDATEDBY&gt;wittaan&lt;/LASTUPDATEDBY&gt;&lt;LASTUPDATEDON&gt;6/2/2017 6:46:24 AM&lt;/LASTUPDATEDON&gt;&lt;UTC&gt;1&lt;/UTC&gt;&lt;/UPDATE&gt;&lt;QUERIES bbk=&quot;9552&quot; bbkdesc=&quot;2016 Annual Accounts/EDF Annual Accounts/DC - Statement of changes in net assets of the ninth EDF (xlsx)&quot; datapro=&quot;CNA9&quot; tdatapro=&quot;CNA9&quot; author=&quot;&quot; modtime=&quot;6/2/2017 6:21:02 AM&quot; moduser=&quot;wittaan&quot; rolluptime=&quot;&quot; syuser=&quot;wittaan&quot; syuzeit=&quot;6/2/2017 6:21:02 AM&quot; root=&quot;/BBOOK/DATAPROVIDER[./META/PROPS/ID='CNA9']/DATA&quot; colcount=&quot;8&quot; rowcount=&quot;12&quot; url=&quot;&quot; dynamizeds=&quot;SAP Disclosure Management - Production&quot; dynamizedstype=&quot;9&quot; refreshds=&quot;&quot; viewtype=&quot;1&quot;&gt;&lt;QUERY reftype=&quot;ABS&quot; elmntsel=&quot;TABLE&quot; bbk=&quot;9552&quot; bbkdesc=&quot;2016 Annual Accounts/EDF Annual Accounts/DC - Statement of changes in net assets of the ninth EDF (xlsx)&quot; datapro=&quot;CNA9&quot; infos=&quot;&quot; iscomment=&quot;0&quot;&gt;&lt;SELECT&gt;/BBOOK/DATAPROVIDER[./META/PROPS/ID='CNA9']/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vanbena&lt;/DYNAMIZEDBY&gt;&lt;DYNAMIZEDON&gt;22/03/2017 12:52:55&lt;/DYNAMIZEDON&gt;&lt;LASTUPDATEDBY&gt;wittaan&lt;/LASTUPDATEDBY&gt;&lt;LASTUPDATEDON&gt;6/2/2017 6:46:29 AM&lt;/LASTUPDATEDON&gt;&lt;UTC&gt;1&lt;/UTC&gt;&lt;/UPDATE&gt;&lt;QUERIES bbk=&quot;9540&quot; bbkdesc=&quot;2016 Annual Accounts/EDF Annual Accounts/DC - Statement of changes in net assets of the 10th EDF (xlsx)&quot; datapro=&quot;CNA10&quot; tdatapro=&quot;CNA10&quot; author=&quot;&quot; modtime=&quot;6/2/2017 6:21:01 AM&quot; moduser=&quot;wittaan&quot; rolluptime=&quot;&quot; syuser=&quot;wittaan&quot; syuzeit=&quot;6/2/2017 6:21:01 AM&quot; root=&quot;/BBOOK/DATAPROVIDER[./META/PROPS/ID='CNA10']/DATA&quot; colcount=&quot;8&quot; rowcount=&quot;14&quot; url=&quot;&quot; dynamizeds=&quot;SAP Disclosure Management - Production&quot; dynamizedstype=&quot;9&quot; refreshds=&quot;&quot; viewtype=&quot;1&quot;&gt;&lt;QUERY reftype=&quot;ABS&quot; elmntsel=&quot;TABLE&quot; bbk=&quot;9540&quot; bbkdesc=&quot;2016 Annual Accounts/EDF Annual Accounts 2015/DC - Statement of changes in net assets of the 10th EDF (xlsx)&quot; datapro=&quot;CNA10&quot; infos=&quot;&quot; iscomment=&quot;0&quot;&gt;&lt;SELECT&gt;/BBOOK/DATAPROVIDER[./META/PROPS/ID='CNA10']/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22/12/2015 09:56:50&lt;/DYNAMIZEDON&gt;&lt;LASTUPDATEDBY&gt;wittaan&lt;/LASTUPDATEDBY&gt;&lt;LASTUPDATEDON&gt;6/2/2017 6:46:34 AM&lt;/LASTUPDATEDON&gt;&lt;UTC&gt;1&lt;/UTC&gt;&lt;/UPDATE&gt;&lt;QUERIES bbk=&quot;9527&quot; bbkdesc=&quot;2016 Annual Accounts/EDF Annual Accounts/DC - Statement of changes in net assets of the 11th EDF (xlsx)&quot; datapro=&quot;CNA11&quot; tdatapro=&quot;CNA11&quot; author=&quot;&quot; modtime=&quot;6/2/2017 6:21:01 AM&quot; moduser=&quot;wittaan&quot; rolluptime=&quot;&quot; syuser=&quot;wittaan&quot; syuzeit=&quot;6/2/2017 6:21:01 AM&quot; root=&quot;/BBOOK/DATAPROVIDER[./META/PROPS/ID='CNA11']/DATA&quot; colcount=&quot;8&quot; rowcount=&quot;10&quot; url=&quot;&quot; dynamizeds=&quot;SAP Disclosure Management - Production&quot; dynamizedstype=&quot;9&quot; refreshds=&quot;&quot; viewtype=&quot;1&quot;&gt;&lt;QUERY reftype=&quot;ABS&quot; elmntsel=&quot;TABLE&quot; bbk=&quot;9527&quot; bbkdesc=&quot;2016 Annual Accounts/EDF Annual Accounts/DC - Statement of changes in net assets of the 11th EDF (xlsx)&quot; datapro=&quot;CNA11&quot; infos=&quot;&quot; iscomment=&quot;0&quot;&gt;&lt;SELECT&gt;/BBOOK/DATAPROVIDER[./META/PROPS/ID='CNA11']/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SEM&lt;/STATUS&gt;&lt;SAFE&gt;&lt;/SAFE&gt;&lt;MARKCHANGES&gt;0&lt;/MARKCHANGES&gt;&lt;USESTYLES&gt;0&lt;/USESTYLES&gt;&lt;USETEMPLATES&gt;0&lt;/USETEMPLATES&gt;&lt;FXC&gt;0&lt;/FXC&gt;&lt;FXR&gt;0&lt;/FXR&gt;&lt;FORMAT&gt;&lt;/FORMAT&gt;&lt;FMODUS&gt;&lt;/FMODUS&gt;&lt;FLCID&gt;2057&lt;/FLCID&gt;&lt;RELATION&gt;&lt;/RELATION&gt;&lt;LINKED&gt;&lt;/LINKED&gt;&lt;SVALUE&gt;&lt;/SVALUE&gt;&lt;INFO&gt;&lt;/INFO&gt;&lt;/META&gt;&lt;UPDATE&gt;&lt;DATE&gt;10.1.6.35&lt;/DATE&gt;&lt;DYNAMIZEDBY&gt;porteca&lt;/DYNAMIZEDBY&gt;&lt;DYNAMIZEDON&gt;14/02/2017 15:36:09&lt;/DYNAMIZEDON&gt;&lt;LASTUPDATEDBY&gt;wittaan&lt;/LASTUPDATEDBY&gt;&lt;LASTUPDATEDON&gt;6/2/2017 6:19:01 AM&lt;/LASTUPDATEDON&gt;&lt;UTC&gt;1&lt;/UTC&gt;&lt;/UPDATE&gt;&lt;QUERIES bbk=&quot;8904&quot; bbkdesc=&quot;2016 Annual Accounts/EU Annual Accounts/DC - Currency table (xlsx)&quot; datapro=&quot;CURRENCY&quot; tdatapro=&quot;CURRENCY&quot; author=&quot;&quot; modtime=&quot;2/6/2017 4:36:20 PM&quot; moduser=&quot;koehlmn&quot; rolluptime=&quot;&quot; syuser=&quot;koehlmn&quot; syuzeit=&quot;2/6/2017 4:36:20 PM&quot; root=&quot;/DATA&quot; colcount=&quot;6&quot; rowcount=&quot;7&quot; url=&quot;&quot; dynamizeds=&quot;SAP Disclosure Management - Production&quot; dynamizedstype=&quot;9&quot; refreshds=&quot;&quot; viewtype=&quot;1&quot;&gt;&lt;QUERY reftype=&quot;ABS&quot; elmntsel=&quot;TABLE&quot; bbk=&quot;8904&quot; bbkdesc=&quot;2016 Annual Accounts/EU Annual Accounts/DC - Currency table (xlsx)&quot; datapro=&quot;CURRENCY&quot; infos=&quot;&quot; iscomment=&quot;0&quot;&gt;&lt;SELECT&gt;/BBOOK/DATAPROVIDER[./META/PROPS/ID='CURRENCY']/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porteca&lt;/DYNAMIZEDBY&gt;&lt;DYNAMIZEDON&gt;14/02/2017 14:44:06&lt;/DYNAMIZEDON&gt;&lt;LASTUPDATEDBY&gt;wittaan&lt;/LASTUPDATEDBY&gt;&lt;LASTUPDATEDON&gt;6/2/2017 6:19:01 AM&lt;/LASTUPDATEDON&gt;&lt;UTC&gt;1&lt;/UTC&gt;&lt;/UPDATE&gt;&lt;QUERIES bbk=&quot;9242&quot; bbkdesc=&quot;2016 Annual Accounts/EEAS Annual accounts/DC - DeprecRates (xlsx)&quot; datapro=&quot;DEPRECRATES&quot; tdatapro=&quot;DEPRECRATES&quot; author=&quot;&quot; modtime=&quot;2/13/2017 11:27:49 AM&quot; moduser=&quot;oerboan&quot; rolluptime=&quot;&quot; syuser=&quot;oerboan&quot; syuzeit=&quot;2/13/2017 11:27:49 AM&quot; root=&quot;/DATA&quot; colcount=&quot;2&quot; rowcount=&quot;7&quot; url=&quot;&quot; dynamizeds=&quot;SAP Disclosure Management - Production&quot; dynamizedstype=&quot;9&quot; refreshds=&quot;&quot; viewtype=&quot;1&quot;&gt;&lt;QUERY reftype=&quot;ABS&quot; elmntsel=&quot;TABLE&quot; bbk=&quot;9242&quot; bbkdesc=&quot;2016 Annual Accounts/EEAS Annual accounts/DC - DeprecRates (xlsx)&quot; datapro=&quot;DEPRECRATES&quot; infos=&quot;&quot; iscomment=&quot;0&quot;&gt;&lt;SELECT&gt;/BBOOK/DATAPROVIDER[./META/PROPS/ID='DEPRECRATES']/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11/05/2017 14:17:12&lt;/DYNAMIZEDON&gt;&lt;LASTUPDATEDBY&gt;wittaan&lt;/LASTUPDATEDBY&gt;&lt;LASTUPDATEDON&gt;6/2/2017 6:20:09 AM&lt;/LASTUPDATEDON&gt;&lt;UTC&gt;1&lt;/UTC&gt;&lt;/UPDATE&gt;&lt;QUERIES bbk=&quot;10675&quot; bbkdesc=&quot;2016 Annual Accounts/EDF Annual Accounts/DC - Pre financing (xlsx)&quot; datapro=&quot;NCAssetsPF&quot; tdatapro=&quot;NCAssetsPF&quot; author=&quot;&quot; modtime=&quot;6/1/2017 5:39:32 PM&quot; moduser=&quot;wittaan&quot; rolluptime=&quot;&quot; syuser=&quot;wittaan&quot; syuzeit=&quot;6/1/2017 5:39:32 PM&quot; root=&quot;/BBOOK/DATAPROVIDER[./META/PROPS/ID='NCAssetsPF']/DATA&quot; colcount=&quot;8&quot; rowcount=&quot;5&quot; url=&quot;&quot; dynamizeds=&quot;Disclosure Management - Production&quot; dynamizedstype=&quot;9&quot; refreshds=&quot;&quot; viewtype=&quot;1&quot;&gt;&lt;QUERY reftype=&quot;ABS&quot; elmntsel=&quot;TABLE&quot; bbk=&quot;10675&quot; bbkdesc=&quot;2016 Annual Accounts/EDF Annual Accounts/DC - Pre financing (xlsx)&quot; datapro=&quot;NCAssetsPF&quot; infos=&quot;&quot; iscomment=&quot;0&quot;&gt;&lt;SELECT&gt;/BBOOK/DATAPROVIDER[./META/PROPS/ID='NCAssetsPF']/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20/03/2017 21:56:25&lt;/DYNAMIZEDON&gt;&lt;LASTUPDATEDBY&gt;wittaan&lt;/LASTUPDATEDBY&gt;&lt;LASTUPDATEDON&gt;6/2/2017 8:26:51 AM&lt;/LASTUPDATEDON&gt;&lt;UTC&gt;1&lt;/UTC&gt;&lt;/UPDATE&gt;&lt;QUERIES bbk=&quot;9486&quot; bbkdesc=&quot;2016 Annual Accounts/EDF Annual Accounts/DC - Non current Pre financing (xlsx)&quot; datapro=&quot;NCAssetsPFMgmt&quot; tdatapro=&quot;NCAssetsPFMgmt&quot; author=&quot;&quot; modtime=&quot;12/14/2015 9:15:07 AM&quot; moduser=&quot;wittaan&quot; rolluptime=&quot;&quot; syuser=&quot;wittaan&quot; syuzeit=&quot;12/14/2015 9:15:07 AM&quot; root=&quot;/DATA&quot; colcount=&quot;3&quot; rowcount=&quot;17&quot; url=&quot;&quot; dynamizeds=&quot;Disclosure Management - Production&quot; dynamizedstype=&quot;9&quot; refreshds=&quot;&quot; viewtype=&quot;1&quot;&gt;&lt;QUERY reftype=&quot;ABS&quot; elmntsel=&quot;TABLE&quot; bbk=&quot;9486&quot; bbkdesc=&quot;2016 Annual Accounts/EDF Annual Accounts/DC - Non current Pre financing (xlsx)&quot; datapro=&quot;NCAssetsPFMgmt&quot; infos=&quot;&quot; iscomment=&quot;0&quot;&gt;&lt;SELECT&gt;/BBOOK/DATAPROVIDER[./META/PROPS/ID='NCAssetsPFMgmt']/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preutan&lt;/DYNAMIZEDBY&gt;&lt;DYNAMIZEDON&gt;24/05/2017 15:17:53&lt;/DYNAMIZEDON&gt;&lt;LASTUPDATEDBY&gt;wittaan&lt;/LASTUPDATEDBY&gt;&lt;LASTUPDATEDON&gt;6/2/2017 8:34:22 AM&lt;/LASTUPDATEDON&gt;&lt;UTC&gt;1&lt;/UTC&gt;&lt;/UPDATE&gt;&lt;QUERIES bbk=&quot;9561&quot; bbkdesc=&quot;2016 Annual Accounts/EDF Annual Accounts/DC - Current Pre financing (xlsx)&quot; datapro=&quot;CAssetsPF&quot; tdatapro=&quot;CAssetsPF&quot; author=&quot;&quot; modtime=&quot;6/2/2017 8:32:05 AM&quot; moduser=&quot;wittaan&quot; rolluptime=&quot;&quot; syuser=&quot;wittaan&quot; syuzeit=&quot;6/2/2017 8:32:05 AM&quot; root=&quot;/BBOOK/DATAPROVIDER[./META/PROPS/ID='CAssetsPF']/DATA&quot; colcount=&quot;7&quot; rowcount=&quot;5&quot; url=&quot;&quot; dynamizeds=&quot;SAP Disclosure Management - Production&quot; dynamizedstype=&quot;9&quot; refreshds=&quot;&quot; viewtype=&quot;1&quot;&gt;&lt;QUERY reftype=&quot;ABS&quot; elmntsel=&quot;TABLE&quot; bbk=&quot;9561&quot; bbkdesc=&quot;2016 Annual Accounts/EDF Annual Accounts 2015/DC - Current Pre financing (xlsx)&quot; datapro=&quot;CAssetsPF&quot; infos=&quot;&quot; iscomment=&quot;0&quot;&gt;&lt;SELECT&gt;/BBOOK/DATAPROVIDER[./META/PROPS/ID='CAssetsPF']/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20/03/2017 21:48:04&lt;/DYNAMIZEDON&gt;&lt;LASTUPDATEDBY&gt;wittaan&lt;/LASTUPDATEDBY&gt;&lt;LASTUPDATEDON&gt;6/2/2017 8:34:27 AM&lt;/LASTUPDATEDON&gt;&lt;UTC&gt;1&lt;/UTC&gt;&lt;/UPDATE&gt;&lt;QUERIES bbk=&quot;9561&quot; bbkdesc=&quot;2016 Annual Accounts/EDF Annual Accounts/DC - Current Pre financing (xlsx)&quot; datapro=&quot;CAssetsPFMgmt&quot; tdatapro=&quot;CAssetsPFMgmt&quot; author=&quot;&quot; modtime=&quot;6/2/2017 8:32:05 AM&quot; moduser=&quot;wittaan&quot; rolluptime=&quot;&quot; syuser=&quot;wittaan&quot; syuzeit=&quot;6/2/2017 8:32:05 AM&quot; root=&quot;/BBOOK/DATAPROVIDER[./META/PROPS/ID='CAssetsPF']/DATA&quot; colcount=&quot;3&quot; rowcount=&quot;17&quot; url=&quot;&quot; dynamizeds=&quot;SAP Disclosure Management - Production&quot; dynamizedstype=&quot;9&quot; refreshds=&quot;&quot; viewtype=&quot;1&quot;&gt;&lt;QUERY reftype=&quot;ABS&quot; elmntsel=&quot;TABLE&quot; bbk=&quot;9561&quot; bbkdesc=&quot;2016 Annual Accounts/EDF Annual Accounts 2015/DC - Current Pre financing (xlsx)&quot; datapro=&quot;CAssetsPFMgmt&quot; infos=&quot;&quot; iscomment=&quot;0&quot;&gt;&lt;SELECT&gt;/BBOOK/DATAPROVIDER[./META/PROPS/ID='CAssetsPFMgmt']/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12/05/2017 09:37:09&lt;/DYNAMIZEDON&gt;&lt;LASTUPDATEDBY&gt;wittaan&lt;/LASTUPDATEDBY&gt;&lt;LASTUPDATEDON&gt;6/2/2017 6:20:08 AM&lt;/LASTUPDATEDON&gt;&lt;UTC&gt;1&lt;/UTC&gt;&lt;/UPDATE&gt;&lt;QUERIES bbk=&quot;10749&quot; bbkdesc=&quot;2016 Annual Accounts/EDF Annual Accounts/DC - Trust fund contributions (xlsx)&quot; datapro=&quot;TFCONTRIB&quot; tdatapro=&quot;TFCONTRIB&quot; author=&quot;&quot; modtime=&quot;5/12/2017 8:22:40 AM&quot; moduser=&quot;carlben&quot; rolluptime=&quot;&quot; syuser=&quot;carlben&quot; syuzeit=&quot;5/12/2017 8:22:40 AM&quot; root=&quot;/DATA&quot; colcount=&quot;5&quot; rowcount=&quot;5&quot; url=&quot;&quot; dynamizeds=&quot;Disclosure Management - Production&quot; dynamizedstype=&quot;9&quot; refreshds=&quot;&quot; viewtype=&quot;1&quot;&gt;&lt;QUERY reftype=&quot;ABS&quot; elmntsel=&quot;TABLE&quot; bbk=&quot;10749&quot; bbkdesc=&quot;2016 Annual Accounts/EDF Annual Accounts/DC - Trust fund contributions (xlsx)&quot; datapro=&quot;TFCONTRIB&quot; infos=&quot;&quot; iscomment=&quot;0&quot;&gt;&lt;SELECT&gt;/BBOOK/DATAPROVIDER[./META/PROPS/ID='TFCONTRIB']/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22/03/2017 15:28:09&lt;/DYNAMIZEDON&gt;&lt;LASTUPDATEDBY&gt;wittaan&lt;/LASTUPDATEDBY&gt;&lt;LASTUPDATEDON&gt;6/2/2017 5:55:23 AM&lt;/LASTUPDATEDON&gt;&lt;UTC&gt;1&lt;/UTC&gt;&lt;/UPDATE&gt;&lt;QUERIES bbk=&quot;9569&quot; bbkdesc=&quot;2016 Annual Accounts/EDF Annual Accounts/DC - Exchange receivables and Non-exchange recoverables (xlsx)&quot; datapro=&quot;ERNER&quot; tdatapro=&quot;ERNER&quot; author=&quot;&quot; modtime=&quot;6/1/2017 5:38:32 PM&quot; moduser=&quot;wittaan&quot; rolluptime=&quot;&quot; syuser=&quot;wittaan&quot; syuzeit=&quot;6/1/2017 5:38:32 PM&quot; root=&quot;/BBOOK/DATAPROVIDER[./META/PROPS/ID='ERNER']/DATA&quot; colcount=&quot;4&quot; rowcount=&quot;5&quot; url=&quot;&quot; dynamizeds=&quot;SAP Disclosure Management - Production&quot; dynamizedstype=&quot;9&quot; refreshds=&quot;&quot; viewtype=&quot;1&quot;&gt;&lt;QUERY reftype=&quot;ABS&quot; elmntsel=&quot;TABLE&quot; bbk=&quot;9569&quot; bbkdesc=&quot;2016 Annual Accounts/EDF Annual Accounts/DC - Exchange receivables and Non-exchange recoverables (xlsx)&quot; datapro=&quot;ERNER&quot; infos=&quot;&quot; iscomment=&quot;0&quot;&gt;&lt;SELECT&gt;/BBOOK/DATAPROVIDER[./META/PROPS/ID='ERNER']/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12/21/2016 9:46:24 PM&lt;/DYNAMIZEDON&gt;&lt;LASTUPDATEDBY&gt;wittaan&lt;/LASTUPDATEDBY&gt;&lt;LASTUPDATEDON&gt;6/2/2017 5:55:23 AM&lt;/LASTUPDATEDON&gt;&lt;UTC&gt;1&lt;/UTC&gt;&lt;/UPDATE&gt;&lt;QUERIES bbk=&quot;9474&quot; bbkdesc=&quot;2016 Annual Accounts/EDF Annual Accounts/DC - Non-exchange receivables-detail (xlsx)&quot; datapro=&quot;CAssetsReceivables&quot; tdatapro=&quot;CAssetsReceivables&quot; author=&quot;&quot; modtime=&quot;6/1/2017 5:37:29 PM&quot; moduser=&quot;wittaan&quot; rolluptime=&quot;&quot; syuser=&quot;wittaan&quot; syuzeit=&quot;6/1/2017 5:37:29 PM&quot; root=&quot;/BBOOK/DATAPROVIDER[./META/PROPS/ID='CAssetsReceivables']/DATA&quot; colcount=&quot;7&quot; rowcount=&quot;9&quot; url=&quot;&quot; dynamizeds=&quot;SAP Disclosure Management - Production&quot; dynamizedstype=&quot;9&quot; refreshds=&quot;&quot; viewtype=&quot;1&quot;&gt;&lt;QUERY reftype=&quot;ABS&quot; elmntsel=&quot;TABLE&quot; bbk=&quot;9474&quot; bbkdesc=&quot;2016 Annual Accounts/EDF Annual Accounts/DC - Non-exchange receivables-detail (xlsx)&quot; datapro=&quot;CAssetsReceivables&quot; infos=&quot;&quot; iscomment=&quot;0&quot;&gt;&lt;SELECT&gt;/BBOOK/DATAPROVIDER[./META/PROPS/ID='CAssetsReceivables']/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16/05/2017 07:31:59&lt;/DYNAMIZEDON&gt;&lt;LASTUPDATEDBY&gt;wittaan&lt;/LASTUPDATEDBY&gt;&lt;LASTUPDATEDON&gt;6/2/2017 5:55:23 AM&lt;/LASTUPDATEDON&gt;&lt;UTC&gt;1&lt;/UTC&gt;&lt;/UPDATE&gt;&lt;QUERIES bbk=&quot;9477&quot; bbkdesc=&quot;2016 Annual Accounts/EDF Annual Accounts/DC - Receivable from Member States (xls)&quot; datapro=&quot;MSRECEIV&quot; tdatapro=&quot;MSRECEIV&quot; author=&quot;&quot; modtime=&quot;3/22/2017 3:19:24 PM&quot; moduser=&quot;vanbena&quot; rolluptime=&quot;&quot; syuser=&quot;vanbena&quot; syuzeit=&quot;3/22/2017 3:19:24 PM&quot; root=&quot;/DATA&quot; colcount=&quot;4&quot; rowcount=&quot;25&quot; url=&quot;&quot; dynamizeds=&quot;SAP Disclosure Management - Production&quot; dynamizedstype=&quot;9&quot; refreshds=&quot;&quot; viewtype=&quot;1&quot;&gt;&lt;QUERY reftype=&quot;ABS&quot; elmntsel=&quot;TABLE&quot; bbk=&quot;9477&quot; bbkdesc=&quot;2016 Annual Accounts/EDF Annual Accounts/DC - Receivable from Member States (xls)&quot; datapro=&quot;MSRECEIV&quot; infos=&quot;&quot; iscomment=&quot;0&quot;&gt;&lt;SELECT&gt;/BBOOK/DATAPROVIDER[./META/PROPS/ID='MSRECEIV']/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12/21/2016 9:44:30 PM&lt;/DYNAMIZEDON&gt;&lt;LASTUPDATEDBY&gt;wittaan&lt;/LASTUPDATEDBY&gt;&lt;LASTUPDATEDON&gt;6/2/2017 5:55:23 AM&lt;/LASTUPDATEDON&gt;&lt;UTC&gt;1&lt;/UTC&gt;&lt;/UPDATE&gt;&lt;QUERIES bbk=&quot;10435&quot; bbkdesc=&quot;2016 Annual Accounts/EDF Annual Accounts/DC - Exchange receivables-detail (xlsx)&quot; datapro=&quot;CAssetsReceivables&quot; tdatapro=&quot;CAssetsReceivables&quot; author=&quot;&quot; modtime=&quot;6/1/2017 5:39:10 PM&quot; moduser=&quot;wittaan&quot; rolluptime=&quot;&quot; syuser=&quot;wittaan&quot; syuzeit=&quot;6/1/2017 5:39:10 PM&quot; root=&quot;/BBOOK/DATAPROVIDER[./META/PROPS/ID='CAssetsReceivables']/DATA&quot; colcount=&quot;7&quot; rowcount=&quot;5&quot; url=&quot;&quot; dynamizeds=&quot;SAP Disclosure Management - Production&quot; dynamizedstype=&quot;9&quot; refreshds=&quot;&quot; viewtype=&quot;1&quot;&gt;&lt;QUERY reftype=&quot;ABS&quot; elmntsel=&quot;TABLE&quot; bbk=&quot;10435&quot; bbkdesc=&quot;2016 Annual Accounts/EDF Annual Accounts/DC - Exchange receivables-detail (xlsx)&quot; datapro=&quot;CAssetsReceivables&quot; infos=&quot;&quot; iscomment=&quot;0&quot;&gt;&lt;SELECT&gt;/BBOOK/DATAPROVIDER[./META/PROPS/ID='CAssetsReceivables']/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12/21/2016 10:02:04 PM&lt;/DYNAMIZEDON&gt;&lt;LASTUPDATEDBY&gt;wittaan&lt;/LASTUPDATEDBY&gt;&lt;LASTUPDATEDON&gt;6/2/2017 6:06:38 AM&lt;/LASTUPDATEDON&gt;&lt;UTC&gt;1&lt;/UTC&gt;&lt;/UPDATE&gt;&lt;QUERIES bbk=&quot;9510&quot; bbkdesc=&quot;2016 Annual Accounts/EDF Annual Accounts/DC - Cash and cash equivalents current assets (xlsx)&quot; datapro=&quot;CAssetsCash&quot; tdatapro=&quot;CAssetsCash&quot; author=&quot;&quot; modtime=&quot;12/3/2015 1:30:42 PM&quot; moduser=&quot;MILOTLU&quot; rolluptime=&quot;&quot; syuser=&quot;MILOTLU&quot; syuzeit=&quot;12/3/2015 1:30:42 PM&quot; root=&quot;/DATA&quot; colcount=&quot;7&quot; rowcount=&quot;8&quot; url=&quot;&quot; dynamizeds=&quot;SAP Disclosure Management - Production&quot; dynamizedstype=&quot;9&quot; refreshds=&quot;&quot; viewtype=&quot;1&quot;&gt;&lt;QUERY reftype=&quot;ABS&quot; elmntsel=&quot;TABLE&quot; bbk=&quot;9510&quot; bbkdesc=&quot;2016 Annual Accounts/EDF Annual Accounts/DC - Cash and cash equivalents current assets (xlsx)&quot; datapro=&quot;CAssetsCash&quot; infos=&quot;&quot; iscomment=&quot;0&quot;&gt;&lt;SELECT&gt;/BBOOK/DATAPROVIDER[./META/PROPS/ID='CAssetsCash']/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02/12/2016 16:03:18&lt;/DYNAMIZEDON&gt;&lt;LASTUPDATEDBY&gt;wittaan&lt;/LASTUPDATEDBY&gt;&lt;LASTUPDATEDON&gt;6/2/2017 6:52:23 AM&lt;/LASTUPDATEDON&gt;&lt;UTC&gt;1&lt;/UTC&gt;&lt;/UPDATE&gt;&lt;QUERIES bbk=&quot;9575&quot; bbkdesc=&quot;2016 Annual Accounts/EDF Annual Accounts/DC Non current provisions (xlsx)&quot; datapro=&quot;NCLiabPayables&quot; tdatapro=&quot;NCLiabPayables&quot; author=&quot;&quot; modtime=&quot;6/2/2017 6:21:03 AM&quot; moduser=&quot;wittaan&quot; rolluptime=&quot;&quot; syuser=&quot;wittaan&quot; syuzeit=&quot;6/2/2017 6:21:03 AM&quot; root=&quot;/BBOOK/DATAPROVIDER[./META/PROPS/ID='NCLiabPayables']/DATA&quot; colcount=&quot;7&quot; rowcount=&quot;4&quot; url=&quot;&quot; dynamizeds=&quot;SAP Disclosure Management - Production&quot; dynamizedstype=&quot;9&quot; refreshds=&quot;&quot; viewtype=&quot;1&quot;&gt;&lt;QUERY reftype=&quot;ABS&quot; elmntsel=&quot;TABLE&quot; bbk=&quot;9575&quot; bbkdesc=&quot;2016 Annual Accounts/EDF Annual Accounts 2015/DC Non current provisions (xlsx)&quot; datapro=&quot;NCLiabPayables&quot; infos=&quot;&quot; iscomment=&quot;0&quot;&gt;&lt;SELECT&gt;/BBOOK/DATAPROVIDER[./META/PROPS/ID='NCLiabPayables']/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29/05/2017 06:16:16&lt;/DYNAMIZEDON&gt;&lt;LASTUPDATEDBY&gt;wittaan&lt;/LASTUPDATEDBY&gt;&lt;LASTUPDATEDON&gt;6/2/2017 6:06:39 AM&lt;/LASTUPDATEDON&gt;&lt;UTC&gt;1&lt;/UTC&gt;&lt;/UPDATE&gt;&lt;QUERIES bbk=&quot;9436&quot; bbkdesc=&quot;2016 Annual Accounts/EDF Annual Accounts/DC - NC Financial liabilities (xlsx)&quot; datapro=&quot;NCLiabPayables&quot; tdatapro=&quot;NCLiabPayables&quot; author=&quot;&quot; modtime=&quot;12/3/2015 11:43:40 AM&quot; moduser=&quot;MILOTLU&quot; rolluptime=&quot;&quot; syuser=&quot;MILOTLU&quot; syuzeit=&quot;12/3/2015 11:43:40 AM&quot; root=&quot;/DATA&quot; colcount=&quot;7&quot; rowcount=&quot;4&quot; url=&quot;&quot; dynamizeds=&quot;SAP Disclosure Management - Production&quot; dynamizedstype=&quot;9&quot; refreshds=&quot;&quot; viewtype=&quot;1&quot;&gt;&lt;QUERY reftype=&quot;ABS&quot; elmntsel=&quot;TABLE&quot; bbk=&quot;9436&quot; bbkdesc=&quot;2016 Annual Accounts/EDF Annual Accounts 2015/DC - Non current Payables (xlsx)&quot; datapro=&quot;NCLiabPayables&quot; infos=&quot;&quot; iscomment=&quot;0&quot;&gt;&lt;SELECT&gt;/BBOOK/DATAPROVIDER[./META/PROPS/ID='NCLiabPayables']/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1033&lt;/FLCID&gt;&lt;RELATION&gt;&lt;/RELATION&gt;&lt;LINKED&gt;&lt;/LINKED&gt;&lt;SVALUE&gt;&lt;/SVALUE&gt;&lt;INFO&gt;&lt;/INFO&gt;&lt;/META&gt;&lt;UPDATE&gt;&lt;DATE&gt;10.1.6.35&lt;/DATE&gt;&lt;DYNAMIZEDBY&gt;milotlu&lt;/DYNAMIZEDBY&gt;&lt;DYNAMIZEDON&gt;02/12/2016 16:55:58&lt;/DYNAMIZEDON&gt;&lt;LASTUPDATEDBY&gt;wittaan&lt;/LASTUPDATEDBY&gt;&lt;LASTUPDATEDON&gt;6/2/2017 6:10:24 AM&lt;/LASTUPDATEDON&gt;&lt;UTC&gt;1&lt;/UTC&gt;&lt;/UPDATE&gt;&lt;QUERIES bbk=&quot;9542&quot; bbkdesc=&quot;2016 Annual Accounts/EDF Annual Accounts/DC - Payables (xlsx)&quot; datapro=&quot;CLIABPAYABLES&quot; tdatapro=&quot;CLIABPAYABLES&quot; author=&quot;&quot; modtime=&quot;6/2/2017 6:07:16 AM&quot; moduser=&quot;wittaan&quot; rolluptime=&quot;&quot; syuser=&quot;wittaan&quot; syuzeit=&quot;6/2/2017 6:07:16 AM&quot; root=&quot;/BBOOK/DATAPROVIDER[./META/PROPS/ID='CLIABPAYABLES']/DATA&quot; colcount=&quot;8&quot; rowcount=&quot;5&quot; url=&quot;&quot; dynamizeds=&quot;SAP Disclosure Management - Production&quot; dynamizedstype=&quot;9&quot; refreshds=&quot;&quot; viewtype=&quot;1&quot;&gt;&lt;QUERY reftype=&quot;ABS&quot; elmntsel=&quot;TABLE&quot; bbk=&quot;9542&quot; bbkdesc=&quot;2016 Annual Accounts/EDF Annual Accounts/DC - Payables (xlsx)&quot; datapro=&quot;CLIABPAYABLES&quot; infos=&quot;&quot; iscomment=&quot;0&quot;&gt;&lt;SELECT&gt;/BBOOK/DATAPROVIDER[./META/PROPS/ID='CLIABPAYABLES']/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1033&lt;/FLCID&gt;&lt;RELATION&gt;&lt;/RELATION&gt;&lt;LINKED&gt;&lt;/LINKED&gt;&lt;SVALUE&gt;&lt;/SVALUE&gt;&lt;INFO&gt;&lt;/INFO&gt;&lt;/META&gt;&lt;UPDATE&gt;&lt;DATE&gt;10.1.6.35&lt;/DATE&gt;&lt;DYNAMIZEDBY&gt;milotlu&lt;/DYNAMIZEDBY&gt;&lt;DYNAMIZEDON&gt;22/03/2017 13:25:08&lt;/DYNAMIZEDON&gt;&lt;LASTUPDATEDBY&gt;wittaan&lt;/LASTUPDATEDBY&gt;&lt;LASTUPDATEDON&gt;6/2/2017 6:10:24 AM&lt;/LASTUPDATEDON&gt;&lt;UTC&gt;1&lt;/UTC&gt;&lt;/UPDATE&gt;&lt;QUERIES bbk=&quot;9509&quot; bbkdesc=&quot;2016 Annual Accounts/EDF Annual Accounts/DC - Current payables (xlsx)&quot; datapro=&quot;CPAYABLES&quot; tdatapro=&quot;CPAYABLES&quot; author=&quot;&quot; modtime=&quot;6/2/2017 6:04:22 AM&quot; moduser=&quot;wittaan&quot; rolluptime=&quot;&quot; syuser=&quot;wittaan&quot; syuzeit=&quot;6/2/2017 6:04:22 AM&quot; root=&quot;/BBOOK/DATAPROVIDER[./META/PROPS/ID='CPAYABLES']/DATA&quot; colcount=&quot;7&quot; rowcount=&quot;8&quot; url=&quot;&quot; dynamizeds=&quot;SAP Disclosure Management - Production&quot; dynamizedstype=&quot;9&quot; refreshds=&quot;&quot; viewtype=&quot;1&quot;&gt;&lt;QUERY reftype=&quot;ABS&quot; elmntsel=&quot;TABLE&quot; bbk=&quot;9509&quot; bbkdesc=&quot;2016 Annual Accounts/EDF Annual Accounts/DC - Current payables (xlsx)&quot; datapro=&quot;CPAYABLES&quot; infos=&quot;&quot; iscomment=&quot;0&quot;&gt;&lt;SELECT&gt;/BBOOK/DATAPROVIDER[./META/PROPS/ID='CPAYABLES']/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1033&lt;/FLCID&gt;&lt;RELATION&gt;&lt;/RELATION&gt;&lt;LINKED&gt;&lt;/LINKED&gt;&lt;SVALUE&gt;&lt;/SVALUE&gt;&lt;INFO&gt;&lt;/INFO&gt;&lt;/META&gt;&lt;UPDATE&gt;&lt;DATE&gt;10.1.6.35&lt;/DATE&gt;&lt;DYNAMIZEDBY&gt;milotlu&lt;/DYNAMIZEDBY&gt;&lt;DYNAMIZEDON&gt;02/12/2016 17:54:08&lt;/DYNAMIZEDON&gt;&lt;LASTUPDATEDBY&gt;wittaan&lt;/LASTUPDATEDBY&gt;&lt;LASTUPDATEDON&gt;6/2/2017 6:10:24 AM&lt;/LASTUPDATEDON&gt;&lt;UTC&gt;1&lt;/UTC&gt;&lt;/UPDATE&gt;&lt;QUERIES bbk=&quot;10438&quot; bbkdesc=&quot;2016 Annual Accounts/EDF Annual Accounts/DC - Sundry payables (xlsx)&quot; datapro=&quot;SUNPAY&quot; tdatapro=&quot;SUNPAY&quot; author=&quot;&quot; modtime=&quot;6/1/2017 5:39:10 PM&quot; moduser=&quot;wittaan&quot; rolluptime=&quot;&quot; syuser=&quot;wittaan&quot; syuzeit=&quot;6/1/2017 5:39:10 PM&quot; root=&quot;/BBOOK/DATAPROVIDER[./META/PROPS/ID='SUNPAY']/DATA&quot; colcount=&quot;8&quot; rowcount=&quot;6&quot; url=&quot;&quot; dynamizeds=&quot;SAP Disclosure Management - Production&quot; dynamizedstype=&quot;9&quot; refreshds=&quot;&quot; viewtype=&quot;1&quot;&gt;&lt;QUERY reftype=&quot;ABS&quot; elmntsel=&quot;TABLE&quot; bbk=&quot;10438&quot; bbkdesc=&quot;2016 Annual Accounts/EDF Annual Accounts/DC - Sundry payables (xlsx)&quot; datapro=&quot;SUNPAY&quot; infos=&quot;&quot; iscomment=&quot;0&quot;&gt;&lt;SELECT&gt;/BBOOK/DATAPROVIDER[./META/PROPS/ID='SUNPAY']/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29/05/2017 06:20:13&lt;/DYNAMIZEDON&gt;&lt;LASTUPDATEDBY&gt;wittaan&lt;/LASTUPDATEDBY&gt;&lt;LASTUPDATEDON&gt;6/2/2017 6:10:24 AM&lt;/LASTUPDATEDON&gt;&lt;UTC&gt;1&lt;/UTC&gt;&lt;/UPDATE&gt;&lt;QUERIES bbk=&quot;10639&quot; bbkdesc=&quot;2016 Annual Accounts/EDF Annual Accounts/DC - Cofinancing payables (xlsx)&quot; datapro=&quot;COFIPAY&quot; tdatapro=&quot;COFIPAY&quot; author=&quot;&quot; modtime=&quot;3/21/2017 10:18:08 AM&quot; moduser=&quot;MILOTLU&quot; rolluptime=&quot;&quot; syuser=&quot;MILOTLU&quot; syuzeit=&quot;3/21/2017 10:18:08 AM&quot; root=&quot;/DATA&quot; colcount=&quot;7&quot; rowcount=&quot;26&quot; url=&quot;&quot; dynamizeds=&quot;Disclosure Management - Production&quot; dynamizedstype=&quot;9&quot; refreshds=&quot;&quot; viewtype=&quot;1&quot;&gt;&lt;QUERY reftype=&quot;ABS&quot; elmntsel=&quot;TABLE&quot; bbk=&quot;10639&quot; bbkdesc=&quot;2016 Annual Accounts/EDF Annual Accounts/DC - Cofinancing payables (xlsx)&quot; datapro=&quot;COFIPAY&quot; infos=&quot;&quot; iscomment=&quot;0&quot;&gt;&lt;SELECT&gt;/BBOOK/DATAPROVIDER[./META/PROPS/ID='COFIPAY']/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29/05/2017 06:21:29&lt;/DYNAMIZEDON&gt;&lt;LASTUPDATEDBY&gt;wittaan&lt;/LASTUPDATEDBY&gt;&lt;LASTUPDATEDON&gt;6/2/2017 6:10:24 AM&lt;/LASTUPDATEDON&gt;&lt;UTC&gt;1&lt;/UTC&gt;&lt;/UPDATE&gt;&lt;QUERIES bbk=&quot;9546&quot; bbkdesc=&quot;2016 Annual Accounts/EDF Annual Accounts/DC - Deferred capital contribution detail (xlsx)&quot; datapro=&quot;DFCC&quot; tdatapro=&quot;DFCC&quot; author=&quot;&quot; modtime=&quot;5/8/2017 12:37:36 PM&quot; moduser=&quot;carlben&quot; rolluptime=&quot;&quot; syuser=&quot;carlben&quot; syuzeit=&quot;5/8/2017 12:37:36 PM&quot; root=&quot;/DATA&quot; colcount=&quot;7&quot; rowcount=&quot;6&quot; url=&quot;&quot; dynamizeds=&quot;SAP Disclosure Management - Production&quot; dynamizedstype=&quot;9&quot; refreshds=&quot;&quot; viewtype=&quot;1&quot;&gt;&lt;QUERY reftype=&quot;ABS&quot; elmntsel=&quot;TABLE&quot; bbk=&quot;9546&quot; bbkdesc=&quot;2016 Annual Accounts/EDF Annual Accounts/DC - Deferred capital contribution detail (xlsx)&quot; datapro=&quot;DFCC&quot; infos=&quot;&quot; iscomment=&quot;0&quot;&gt;&lt;SELECT&gt;/BBOOK/DATAPROVIDER[./META/PROPS/ID='DFCC']/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29/05/2017 06:24:35&lt;/DYNAMIZEDON&gt;&lt;LASTUPDATEDBY&gt;wittaan&lt;/LASTUPDATEDBY&gt;&lt;LASTUPDATEDON&gt;6/2/2017 6:13:18 AM&lt;/LASTUPDATEDON&gt;&lt;UTC&gt;1&lt;/UTC&gt;&lt;/UPDATE&gt;&lt;QUERIES bbk=&quot;9551&quot; bbkdesc=&quot;2016 Annual Accounts/EDF Annual Accounts/DC - Accrued charges (xlsx)&quot; datapro=&quot;ACCRUEDCHARGES&quot; tdatapro=&quot;ACCRUEDCHARGES&quot; author=&quot;&quot; modtime=&quot;12/3/2015 11:45:06 AM&quot; moduser=&quot;MILOTLU&quot; rolluptime=&quot;&quot; syuser=&quot;MILOTLU&quot; syuzeit=&quot;12/3/2015 11:45:06 AM&quot; root=&quot;/DATA&quot; colcount=&quot;7&quot; rowcount=&quot;5&quot; url=&quot;&quot; dynamizeds=&quot;SAP Disclosure Management - Production&quot; dynamizedstype=&quot;9&quot; refreshds=&quot;&quot; viewtype=&quot;1&quot;&gt;&lt;QUERY reftype=&quot;ABS&quot; elmntsel=&quot;TABLE&quot; bbk=&quot;9551&quot; bbkdesc=&quot;2016 Annual Accounts/EDF Annual Accounts 2015/DC - Accrued charges (xlsx)&quot; datapro=&quot;ACCRUEDCHARGES&quot; infos=&quot;&quot; iscomment=&quot;0&quot;&gt;&lt;SELECT&gt;/BBOOK/DATAPROVIDER[./META/PROPS/ID='ACCRUEDCHARGES']/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29/05/2017 06:31:41&lt;/DYNAMIZEDON&gt;&lt;LASTUPDATEDBY&gt;wittaan&lt;/LASTUPDATEDBY&gt;&lt;LASTUPDATEDON&gt;6/2/2017 6:03:03 AM&lt;/LASTUPDATEDON&gt;&lt;UTC&gt;1&lt;/UTC&gt;&lt;/UPDATE&gt;&lt;QUERIES bbk=&quot;9461&quot; bbkdesc=&quot;2016 Annual Accounts/EDF Annual Accounts/DC - Called fund capital (xlsx)&quot; datapro=&quot;NACalledFundCapital&quot; tdatapro=&quot;NACalledFundCapital&quot; author=&quot;&quot; modtime=&quot;5/8/2017 12:27:43 PM&quot; moduser=&quot;carlben&quot; rolluptime=&quot;&quot; syuser=&quot;carlben&quot; syuzeit=&quot;5/8/2017 12:27:43 PM&quot; root=&quot;/DATA&quot; colcount=&quot;6&quot; rowcount=&quot;9&quot; url=&quot;&quot; dynamizeds=&quot;SAP Disclosure Management - Production&quot; dynamizedstype=&quot;9&quot; refreshds=&quot;&quot; viewtype=&quot;1&quot;&gt;&lt;QUERY reftype=&quot;ABS&quot; elmntsel=&quot;TABLE&quot; bbk=&quot;9461&quot; bbkdesc=&quot;2016 Annual Accounts/EDF Annual Accounts 2015/DC - Called fund capital (xlsx)&quot; datapro=&quot;NACalledFundCapital&quot; infos=&quot;&quot; iscomment=&quot;0&quot;&gt;&lt;SELECT&gt;/BBOOK/DATAPROVIDER[./META/PROPS/ID='NACalledFundCapital']/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12/21/2016 10:30:57 PM&lt;/DYNAMIZEDON&gt;&lt;LASTUPDATEDBY&gt;wittaan&lt;/LASTUPDATEDBY&gt;&lt;LASTUPDATEDON&gt;6/2/2017 6:03:03 AM&lt;/LASTUPDATEDON&gt;&lt;UTC&gt;1&lt;/UTC&gt;&lt;/UPDATE&gt;&lt;QUERIES bbk=&quot;9461&quot; bbkdesc=&quot;2016 Annual Accounts/EDF Annual Accounts/DC - Called fund capital (xlsx)&quot; datapro=&quot;NACalledFundCapitalMS&quot; tdatapro=&quot;NACalledFundCapitalMS&quot; author=&quot;&quot; modtime=&quot;12/21/2016 8:31:44 PM&quot; moduser=&quot;MILOTLU&quot; rolluptime=&quot;&quot; syuser=&quot;MILOTLU&quot; syuzeit=&quot;12/21/2016 8:31:44 PM&quot; root=&quot;/DATA&quot; colcount=&quot;5&quot; rowcount=&quot;30&quot; url=&quot;&quot; dynamizeds=&quot;SAP Disclosure Management - Production&quot; dynamizedstype=&quot;9&quot; refreshds=&quot;&quot; viewtype=&quot;1&quot;&gt;&lt;QUERY reftype=&quot;ABS&quot; elmntsel=&quot;TABLE&quot; bbk=&quot;9461&quot; bbkdesc=&quot;2016 Annual Accounts/EDF Annual Accounts/DC - Called fund capital (xlsx)&quot; datapro=&quot;NACalledFundCapitalMS&quot; infos=&quot;&quot; iscomment=&quot;0&quot;&gt;&lt;SELECT&gt;/BBOOK/DATAPROVIDER[./META/PROPS/ID='NACalledFundCapitalMS']/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vanbena&lt;/DYNAMIZEDBY&gt;&lt;DYNAMIZEDON&gt;22/03/2017 16:36:13&lt;/DYNAMIZEDON&gt;&lt;LASTUPDATEDBY&gt;wittaan&lt;/LASTUPDATEDBY&gt;&lt;LASTUPDATEDON&gt;6/2/2017 6:19:00 AM&lt;/LASTUPDATEDON&gt;&lt;UTC&gt;1&lt;/UTC&gt;&lt;/UPDATE&gt;&lt;QUERIES bbk=&quot;9576&quot; bbkdesc=&quot;2016 Annual Accounts/EDF Annual Accounts/DC - Transfers between Active EDFs (xlsx)&quot; datapro=&quot;NAOtherReserves&quot; tdatapro=&quot;NAOtherReserves&quot; author=&quot;&quot; modtime=&quot;6/2/2017 6:14:08 AM&quot; moduser=&quot;wittaan&quot; rolluptime=&quot;&quot; syuser=&quot;wittaan&quot; syuzeit=&quot;6/2/2017 6:14:08 AM&quot; root=&quot;/BBOOK/DATAPROVIDER[./META/PROPS/ID='NAOtherReserves']/DATA&quot; colcount=&quot;6&quot; rowcount=&quot;13&quot; url=&quot;&quot; dynamizeds=&quot;SAP Disclosure Management - Production&quot; dynamizedstype=&quot;9&quot; refreshds=&quot;&quot; viewtype=&quot;1&quot;&gt;&lt;QUERY reftype=&quot;ABS&quot; elmntsel=&quot;TABLE&quot; bbk=&quot;9576&quot; bbkdesc=&quot;2016 Annual Accounts/EDF Annual Accounts 2015/DC - Transfers between Active EDFs (xlsx)&quot; datapro=&quot;NAOtherReserves&quot; infos=&quot;&quot; iscomment=&quot;0&quot;&gt;&lt;SELECT&gt;/BBOOK/DATAPROVIDER[./META/PROPS/ID='NAOtherReserves']/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11/05/2017 12:46:06&lt;/DYNAMIZEDON&gt;&lt;LASTUPDATEDBY&gt;wittaan&lt;/LASTUPDATEDBY&gt;&lt;LASTUPDATEDON&gt;6/2/2017 5:55:11 AM&lt;/LASTUPDATEDON&gt;&lt;UTC&gt;1&lt;/UTC&gt;&lt;/UPDATE&gt;&lt;QUERIES bbk=&quot;9555&quot; bbkdesc=&quot;2016 Annual Accounts/EDF Annual Accounts/DC - Called fund capital from closed EDFs carried forward (xlsx)&quot; datapro=&quot;NAOtherReserves&quot; tdatapro=&quot;NAOtherReserves&quot; author=&quot;&quot; modtime=&quot;3/16/2016 5:33:27 PM&quot; moduser=&quot;vanbena&quot; rolluptime=&quot;&quot; syuser=&quot;vanbena&quot; syuzeit=&quot;3/16/2016 5:33:27 PM&quot; root=&quot;/DATA&quot; colcount=&quot;7&quot; rowcount=&quot;4&quot; url=&quot;&quot; dynamizeds=&quot;Disclosure Management - Production&quot; dynamizedstype=&quot;9&quot; refreshds=&quot;&quot; viewtype=&quot;1&quot;&gt;&lt;QUERY reftype=&quot;ABS&quot; elmntsel=&quot;TABLE&quot; bbk=&quot;9555&quot; bbkdesc=&quot;2016 Annual Accounts/EDF Annual Accounts/DC - Other reserves (xlsx)&quot; datapro=&quot;NAOtherReserves&quot; infos=&quot;&quot; iscomment=&quot;0&quot;&gt;&lt;SELECT&gt;/BBOOK/DATAPROVIDER[./META/PROPS/ID='NAOtherReserves']/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12/21/2016 10:38:49 PM&lt;/DYNAMIZEDON&gt;&lt;LASTUPDATEDBY&gt;wittaan&lt;/LASTUPDATEDBY&gt;&lt;LASTUPDATEDON&gt;6/2/2017 7:36:06 AM&lt;/LASTUPDATEDON&gt;&lt;UTC&gt;1&lt;/UTC&gt;&lt;/UPDATE&gt;&lt;QUERIES bbk=&quot;9490&quot; bbkdesc=&quot;2016 Annual Accounts/EDF Annual Accounts/DC - Exchange and non-exchange revenue (xlsx)&quot; datapro=&quot;REVEXCHNONEX&quot; tdatapro=&quot;REVEXCHNONEX&quot; author=&quot;&quot; modtime=&quot;12/3/2015 11:47:35 AM&quot; moduser=&quot;MILOTLU&quot; rolluptime=&quot;&quot; syuser=&quot;MILOTLU&quot; syuzeit=&quot;12/3/2015 11:47:35 AM&quot; root=&quot;/DATA&quot; colcount=&quot;4&quot; rowcount=&quot;5&quot; url=&quot;&quot; dynamizeds=&quot;SAP Disclosure Management - Production&quot; dynamizedstype=&quot;9&quot; refreshds=&quot;&quot; viewtype=&quot;1&quot;&gt;&lt;QUERY reftype=&quot;ABS&quot; elmntsel=&quot;TABLE&quot; bbk=&quot;9490&quot; bbkdesc=&quot;2016 Annual Accounts/EDF Annual Accounts 2015/DC - Exchange and non-exchange revenue (xlsx)&quot; datapro=&quot;REVEXCHNONEX&quot; infos=&quot;&quot; iscomment=&quot;0&quot;&gt;&lt;SELECT&gt;/BBOOK/DATAPROVIDER[./META/PROPS/ID='REVEXCHNONEX']/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milotlu&lt;/DYNAMIZEDBY&gt;&lt;DYNAMIZEDON&gt;24/03/2015 12:12:48&lt;/DYNAMIZEDON&gt;&lt;LASTUPDATEDBY&gt;wittaan&lt;/LASTUPDATEDBY&gt;&lt;LASTUPDATEDON&gt;6/2/2017 7:35:56 AM&lt;/LASTUPDATEDON&gt;&lt;UTC&gt;1&lt;/UTC&gt;&lt;/UPDATE&gt;&lt;QUERIES bbk=&quot;9468&quot; bbkdesc=&quot;2016 Annual Accounts/EDF Annual Accounts/DC - Revenue non-ex transactions (xlsx)&quot; datapro=&quot;OR&quot; tdatapro=&quot;OR&quot; author=&quot;&quot; modtime=&quot;6/2/2017 7:35:13 AM&quot; moduser=&quot;wittaan&quot; rolluptime=&quot;&quot; syuser=&quot;wittaan&quot; syuzeit=&quot;6/2/2017 7:35:13 AM&quot; root=&quot;/BBOOK/DATAPROVIDER[./META/PROPS/ID='OR']/DATA&quot; colcount=&quot;8&quot; rowcount=&quot;6&quot; url=&quot;&quot; dynamizeds=&quot;SAP Disclosure Management - Production&quot; dynamizedstype=&quot;9&quot; refreshds=&quot;&quot; viewtype=&quot;1&quot;&gt;&lt;QUERY reftype=&quot;ABS&quot; elmntsel=&quot;TABLE&quot; bbk=&quot;9468&quot; bbkdesc=&quot;2016 Annual Accounts/EDF Annual Accounts 2015/DC - Operating revenue (xlsx)&quot; datapro=&quot;OR&quot; infos=&quot;&quot; iscomment=&quot;0&quot;&gt;&lt;SELECT&gt;/BBOOK/DATAPROVIDER[./META/PROPS/ID='OR']/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17/03/2016 09:47:17&lt;/DYNAMIZEDON&gt;&lt;LASTUPDATEDBY&gt;wittaan&lt;/LASTUPDATEDBY&gt;&lt;LASTUPDATEDON&gt;6/2/2017 7:36:01 AM&lt;/LASTUPDATEDON&gt;&lt;UTC&gt;1&lt;/UTC&gt;&lt;/UPDATE&gt;&lt;QUERIES bbk=&quot;9468&quot; bbkdesc=&quot;2016 Annual Accounts/EDF Annual Accounts/DC - Revenue non-ex transactions (xlsx)&quot; datapro=&quot;ORbyMgmtMode&quot; tdatapro=&quot;ORbyMgmtMode&quot; author=&quot;&quot; modtime=&quot;6/2/2017 7:35:13 AM&quot; moduser=&quot;wittaan&quot; rolluptime=&quot;&quot; syuser=&quot;wittaan&quot; syuzeit=&quot;6/2/2017 7:35:13 AM&quot; root=&quot;/BBOOK/DATAPROVIDER[./META/PROPS/ID='ORbyMgmtMode']/DATA&quot; colcount=&quot;3&quot; rowcount=&quot;13&quot; url=&quot;&quot; dynamizeds=&quot;SAP Disclosure Management - Production&quot; dynamizedstype=&quot;9&quot; refreshds=&quot;&quot; viewtype=&quot;1&quot;&gt;&lt;QUERY reftype=&quot;ABS&quot; elmntsel=&quot;TABLE&quot; bbk=&quot;9468&quot; bbkdesc=&quot;2016 Annual Accounts/EDF Annual Accounts 2015/DC - Operating revenue (xlsx)&quot; datapro=&quot;ORbyMgmtMode&quot; infos=&quot;&quot; iscomment=&quot;0&quot;&gt;&lt;SELECT&gt;/BBOOK/DATAPROVIDER[./META/PROPS/ID='ORbyMgmtMode']/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5/16/2017 1:54:08 PM&lt;/DYNAMIZEDON&gt;&lt;LASTUPDATEDBY&gt;wittaan&lt;/LASTUPDATEDBY&gt;&lt;LASTUPDATEDON&gt;6/2/2017 7:36:11 AM&lt;/LASTUPDATEDON&gt;&lt;UTC&gt;1&lt;/UTC&gt;&lt;/UPDATE&gt;&lt;QUERIES bbk=&quot;10440&quot; bbkdesc=&quot;2016 Annual Accounts/EDF Annual Accounts/DC - Exchange revenue (xlsx)&quot; datapro=&quot;EXREV&quot; tdatapro=&quot;EXREV&quot; author=&quot;&quot; modtime=&quot;6/2/2017 6:21:03 AM&quot; moduser=&quot;wittaan&quot; rolluptime=&quot;&quot; syuser=&quot;wittaan&quot; syuzeit=&quot;6/2/2017 6:21:03 AM&quot; root=&quot;/BBOOK/DATAPROVIDER[./META/PROPS/ID='EXREV']/DATA&quot; colcount=&quot;7&quot; rowcount=&quot;6&quot; url=&quot;&quot; dynamizeds=&quot;SAP Disclosure Management - Production&quot; dynamizedstype=&quot;9&quot; refreshds=&quot;&quot; viewtype=&quot;1&quot;&gt;&lt;QUERY reftype=&quot;ABS&quot; elmntsel=&quot;TABLE&quot; bbk=&quot;10440&quot; bbkdesc=&quot;2016 Annual Accounts/EDF Annual Accounts/DC - Exchange revenue (xlsx)&quot; datapro=&quot;EXREV&quot; infos=&quot;&quot; iscomment=&quot;0&quot;&gt;&lt;SELECT&gt;/BBOOK/DATAPROVIDER[./META/PROPS/ID='EXREV']/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20/03/2017 22:42:26&lt;/DYNAMIZEDON&gt;&lt;LASTUPDATEDBY&gt;wittaan&lt;/LASTUPDATEDBY&gt;&lt;LASTUPDATEDON&gt;6/2/2017 7:40:14 AM&lt;/LASTUPDATEDON&gt;&lt;UTC&gt;1&lt;/UTC&gt;&lt;/UPDATE&gt;&lt;QUERIES bbk=&quot;9454&quot; bbkdesc=&quot;2016 Annual Accounts/EDF Annual Accounts/DC - Aid instruments (xlsx)&quot; datapro=&quot;OEAI&quot; tdatapro=&quot;OEAI&quot; author=&quot;&quot; modtime=&quot;6/2/2017 7:37:15 AM&quot; moduser=&quot;wittaan&quot; rolluptime=&quot;&quot; syuser=&quot;wittaan&quot; syuzeit=&quot;6/2/2017 7:37:15 AM&quot; root=&quot;/BBOOK/DATAPROVIDER[./META/PROPS/ID='OEAI']/DATA&quot; colcount=&quot;7&quot; rowcount=&quot;15&quot; url=&quot;&quot; dynamizeds=&quot;SAP Disclosure Management - Production&quot; dynamizedstype=&quot;9&quot; refreshds=&quot;&quot; viewtype=&quot;1&quot;&gt;&lt;QUERY reftype=&quot;ABS&quot; elmntsel=&quot;TABLE&quot; bbk=&quot;9454&quot; bbkdesc=&quot;2016 Annual Accounts/EDF Annual Accounts/DC - Aid instruments (xlsx)&quot; datapro=&quot;OEAI&quot; infos=&quot;&quot; iscomment=&quot;0&quot;&gt;&lt;SELECT&gt;/BBOOK/DATAPROVIDER[./META/PROPS/ID='OEAI']/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08/12/2016 15:05:19&lt;/DYNAMIZEDON&gt;&lt;LASTUPDATEDBY&gt;wittaan&lt;/LASTUPDATEDBY&gt;&lt;LASTUPDATEDON&gt;6/2/2017 7:40:09 AM&lt;/LASTUPDATEDON&gt;&lt;UTC&gt;1&lt;/UTC&gt;&lt;/UPDATE&gt;&lt;QUERIES bbk=&quot;10443&quot; bbkdesc=&quot;2016 Annual Accounts/EDF Annual Accounts/DC - Co-financing (xlsx)&quot; datapro=&quot;COFIN&quot; tdatapro=&quot;COFIN&quot; author=&quot;&quot; modtime=&quot;6/2/2017 6:21:03 AM&quot; moduser=&quot;wittaan&quot; rolluptime=&quot;&quot; syuser=&quot;wittaan&quot; syuzeit=&quot;6/2/2017 6:21:03 AM&quot; root=&quot;/BBOOK/DATAPROVIDER[./META/PROPS/ID='COFIN']/DATA&quot; colcount=&quot;7&quot; rowcount=&quot;3&quot; url=&quot;&quot; dynamizeds=&quot;SAP Disclosure Management - Production&quot; dynamizedstype=&quot;9&quot; refreshds=&quot;&quot; viewtype=&quot;1&quot;&gt;&lt;QUERY reftype=&quot;ABS&quot; elmntsel=&quot;TABLE&quot; bbk=&quot;10443&quot; bbkdesc=&quot;2016 Annual Accounts/EDF Annual Accounts/DC - Co-financing (xlsx)&quot; datapro=&quot;COFIN&quot; infos=&quot;&quot; iscomment=&quot;0&quot;&gt;&lt;SELECT&gt;/BBOOK/DATAPROVIDER[./META/PROPS/ID='COFIN']/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20/03/2017 22:43:31&lt;/DYNAMIZEDON&gt;&lt;LASTUPDATEDBY&gt;wittaan&lt;/LASTUPDATEDBY&gt;&lt;LASTUPDATEDON&gt;6/2/2017 7:40:19 AM&lt;/LASTUPDATEDON&gt;&lt;UTC&gt;1&lt;/UTC&gt;&lt;/UPDATE&gt;&lt;QUERIES bbk=&quot;9524&quot; bbkdesc=&quot;2016 Annual Accounts/EDF Annual Accounts/DC - Aid_cofinancing by mng type (xlsx)&quot; datapro=&quot;OEbyMgmtMode&quot; tdatapro=&quot;OEbyMgmtMode&quot; author=&quot;&quot; modtime=&quot;6/2/2017 7:39:00 AM&quot; moduser=&quot;wittaan&quot; rolluptime=&quot;&quot; syuser=&quot;wittaan&quot; syuzeit=&quot;6/2/2017 7:39:00 AM&quot; root=&quot;/BBOOK/DATAPROVIDER[./META/PROPS/ID='OEbyMgmtMode']/DATA&quot; colcount=&quot;3&quot; rowcount=&quot;17&quot; url=&quot;&quot; dynamizeds=&quot;SAP Disclosure Management - Production&quot; dynamizedstype=&quot;9&quot; refreshds=&quot;&quot; viewtype=&quot;1&quot;&gt;&lt;QUERY reftype=&quot;ABS&quot; elmntsel=&quot;TABLE&quot; bbk=&quot;9524&quot; bbkdesc=&quot;2016 Annual Accounts/EDF Annual Accounts 2015/DC - Operating expenses (xlsx)&quot; datapro=&quot;OEbyMgmtMode&quot; infos=&quot;&quot; iscomment=&quot;0&quot;&gt;&lt;SELECT&gt;/BBOOK/DATAPROVIDER[./META/PROPS/ID='OEbyMgmtMode']/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08/12/2016 15:11:32&lt;/DYNAMIZEDON&gt;&lt;LASTUPDATEDBY&gt;wittaan&lt;/LASTUPDATEDBY&gt;&lt;LASTUPDATEDON&gt;6/2/2017 7:40:24 AM&lt;/LASTUPDATEDON&gt;&lt;UTC&gt;1&lt;/UTC&gt;&lt;/UPDATE&gt;&lt;QUERIES bbk=&quot;10441&quot; bbkdesc=&quot;2016 Annual Accounts/EDF Annual Accounts/DC - Finance costs (xlsx)&quot; datapro=&quot;FINCOST&quot; tdatapro=&quot;FINCOST&quot; author=&quot;&quot; modtime=&quot;6/2/2017 6:21:03 AM&quot; moduser=&quot;wittaan&quot; rolluptime=&quot;&quot; syuser=&quot;wittaan&quot; syuzeit=&quot;6/2/2017 6:21:03 AM&quot; root=&quot;/BBOOK/DATAPROVIDER[./META/PROPS/ID='FINCOST']/DATA&quot; colcount=&quot;7&quot; rowcount=&quot;5&quot; url=&quot;&quot; dynamizeds=&quot;SAP Disclosure Management - Production&quot; dynamizedstype=&quot;9&quot; refreshds=&quot;&quot; viewtype=&quot;1&quot;&gt;&lt;QUERY reftype=&quot;ABS&quot; elmntsel=&quot;TABLE&quot; bbk=&quot;10441&quot; bbkdesc=&quot;2016 Annual Accounts/EDF Annual Accounts/DC - Finance costs (xlsx)&quot; datapro=&quot;FINCOST&quot; infos=&quot;&quot; iscomment=&quot;0&quot;&gt;&lt;SELECT&gt;/BBOOK/DATAPROVIDER[./META/PROPS/ID='FINCOST']/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10/05/2017 13:59:32&lt;/DYNAMIZEDON&gt;&lt;LASTUPDATEDBY&gt;wittaan&lt;/LASTUPDATEDBY&gt;&lt;LASTUPDATEDON&gt;6/2/2017 7:40:29 AM&lt;/LASTUPDATEDON&gt;&lt;UTC&gt;1&lt;/UTC&gt;&lt;/UPDATE&gt;&lt;QUERIES bbk=&quot;10442&quot; bbkdesc=&quot;2016 Annual Accounts/EDF Annual Accounts/DC - Other Expenses (xlsx)&quot; datapro=&quot;OTHEXP&quot; tdatapro=&quot;OTHEXP&quot; author=&quot;&quot; modtime=&quot;5/8/2017 11:25:18 AM&quot; moduser=&quot;carlben&quot; rolluptime=&quot;&quot; syuser=&quot;carlben&quot; syuzeit=&quot;5/8/2017 11:25:18 AM&quot; root=&quot;/DATA&quot; colcount=&quot;7&quot; rowcount=&quot;8&quot; url=&quot;&quot; dynamizeds=&quot;SAP Disclosure Management - Production&quot; dynamizedstype=&quot;9&quot; refreshds=&quot;&quot; viewtype=&quot;1&quot;&gt;&lt;QUERY reftype=&quot;ABS&quot; elmntsel=&quot;TABLE&quot; bbk=&quot;10442&quot; bbkdesc=&quot;2016 Annual Accounts/EDF Annual Accounts/DC - Other Expenses (xlsx)&quot; datapro=&quot;OTHEXP&quot; infos=&quot;&quot; iscomment=&quot;0&quot;&gt;&lt;SELECT&gt;/BBOOK/DATAPROVIDER[./META/PROPS/ID='OTHEXP']/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29/05/2017 06:34:02&lt;/DYNAMIZEDON&gt;&lt;LASTUPDATEDBY&gt;wittaan&lt;/LASTUPDATEDBY&gt;&lt;LASTUPDATEDON&gt;6/2/2017 6:03:04 AM&lt;/LASTUPDATEDON&gt;&lt;UTC&gt;1&lt;/UTC&gt;&lt;/UPDATE&gt;&lt;QUERIES bbk=&quot;9511&quot; bbkdesc=&quot;2016 Annual Accounts/EDF Annual Accounts/DC - Contingent assets (xlsx)&quot; datapro=&quot;CONA&quot; tdatapro=&quot;CONA&quot; author=&quot;&quot; modtime=&quot;3/21/2017 12:55:35 PM&quot; moduser=&quot;MILOTLU&quot; rolluptime=&quot;&quot; syuser=&quot;MILOTLU&quot; syuzeit=&quot;3/21/2017 12:55:35 PM&quot; root=&quot;/DATA&quot; colcount=&quot;7&quot; rowcount=&quot;5&quot; url=&quot;&quot; dynamizeds=&quot;SAP Disclosure Management - Production&quot; dynamizedstype=&quot;9&quot; refreshds=&quot;&quot; viewtype=&quot;1&quot;&gt;&lt;QUERY reftype=&quot;ABS&quot; elmntsel=&quot;TABLE&quot; bbk=&quot;9511&quot; bbkdesc=&quot;2016 Annual Accounts/EDF Annual Accounts 2015/DC - Contingent assets (xlsx)&quot; datapro=&quot;CONA&quot; infos=&quot;&quot; iscomment=&quot;0&quot;&gt;&lt;SELECT&gt;/BBOOK/DATAPROVIDER[./META/PROPS/ID='CONA']/DATA/ROW&lt;/SELECT&gt;&lt;FILTERS&gt;&lt;FILTER&gt;&lt;/FILTER&gt;&lt;/FILTERS&gt;&lt;/QUERY&gt;&lt;/QUERIES&gt;&lt;/OBJECT&gt;"/>
    <w:docVar w:name="BIP_META_DOC_TBL00045" w:val="&lt;OBJECT&gt;&lt;META&gt;&lt;ID&gt;&lt;/ID&gt;&lt;NAME&gt;DOC_TBL0004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29/05/2017 06:37:05&lt;/DYNAMIZEDON&gt;&lt;LASTUPDATEDBY&gt;wittaan&lt;/LASTUPDATEDBY&gt;&lt;LASTUPDATEDON&gt;6/2/2017 6:02:54 AM&lt;/LASTUPDATEDON&gt;&lt;UTC&gt;1&lt;/UTC&gt;&lt;/UPDATE&gt;&lt;QUERIES bbk=&quot;9439&quot; bbkdesc=&quot;2016 Annual Accounts/EDF Annual Accounts/DC - Outstanding commitments not yet expensed (xlsx)&quot; datapro=&quot;OCNYE&quot; tdatapro=&quot;OCNYE&quot; author=&quot;&quot; modtime=&quot;5/8/2017 12:27:30 PM&quot; moduser=&quot;carlben&quot; rolluptime=&quot;&quot; syuser=&quot;carlben&quot; syuzeit=&quot;5/8/2017 12:27:30 PM&quot; root=&quot;/DATA&quot; colcount=&quot;7&quot; rowcount=&quot;4&quot; url=&quot;&quot; dynamizeds=&quot;SAP Disclosure Management - Production&quot; dynamizedstype=&quot;9&quot; refreshds=&quot;&quot; viewtype=&quot;1&quot;&gt;&lt;QUERY reftype=&quot;ABS&quot; elmntsel=&quot;TABLE&quot; bbk=&quot;9439&quot; bbkdesc=&quot;2016 Annual Accounts/EDF Annual Accounts 2015/DC - Outstanding commitments not yet expensed (xlsx)&quot; datapro=&quot;OCNYE&quot; infos=&quot;&quot; iscomment=&quot;0&quot;&gt;&lt;SELECT&gt;/BBOOK/DATAPROVIDER[./META/PROPS/ID='OCNYE']/DATA/ROW&lt;/SELECT&gt;&lt;FILTERS&gt;&lt;FILTER&gt;&lt;/FILTER&gt;&lt;/FILTERS&gt;&lt;/QUERY&gt;&lt;/QUERIES&gt;&lt;/OBJECT&gt;"/>
    <w:docVar w:name="BIP_META_DOC_TBL00046" w:val="&lt;OBJECT&gt;&lt;META&gt;&lt;ID&gt;&lt;/ID&gt;&lt;NAME&gt;DOC_TBL0004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10/05/2017 14:17:58&lt;/DYNAMIZEDON&gt;&lt;LASTUPDATEDBY&gt;wittaan&lt;/LASTUPDATEDBY&gt;&lt;LASTUPDATEDON&gt;6/2/2017 6:57:58 AM&lt;/LASTUPDATEDON&gt;&lt;UTC&gt;1&lt;/UTC&gt;&lt;/UPDATE&gt;&lt;QUERIES bbk=&quot;9570&quot; bbkdesc=&quot;2016 Annual Accounts/EDF Annual Accounts/DC - Exposure of the EDF to currency risk at year end (xlsx)&quot; datapro=&quot;CR&quot; tdatapro=&quot;CR&quot; author=&quot;&quot; modtime=&quot;6/2/2017 6:57:10 AM&quot; moduser=&quot;wittaan&quot; rolluptime=&quot;&quot; syuser=&quot;wittaan&quot; syuzeit=&quot;6/2/2017 6:57:10 AM&quot; root=&quot;/BBOOK/DATAPROVIDER[./META/PROPS/ID='CR']/DATA&quot; colcount=&quot;16&quot; rowcount=&quot;12&quot; url=&quot;&quot; dynamizeds=&quot;SAP Disclosure Management - Production&quot; dynamizedstype=&quot;9&quot; refreshds=&quot;&quot; viewtype=&quot;1&quot;&gt;&lt;QUERY reftype=&quot;ABS&quot; elmntsel=&quot;TABLE&quot; bbk=&quot;9570&quot; bbkdesc=&quot;2016 Annual Accounts/EDF Annual Accounts 2015/DC - Exposure of the EDF to currency risk at year end (xlsx)&quot; datapro=&quot;CR&quot; infos=&quot;&quot; iscomment=&quot;0&quot;&gt;&lt;SELECT&gt;/BBOOK/DATAPROVIDER[./META/PROPS/ID='CR']/DATA/ROW&lt;/SELECT&gt;&lt;FILTERS&gt;&lt;FILTER&gt;&lt;/FILTER&gt;&lt;/FILTERS&gt;&lt;/QUERY&gt;&lt;/QUERIES&gt;&lt;/OBJECT&gt;"/>
    <w:docVar w:name="BIP_META_DOC_TBL00047" w:val="&lt;OBJECT&gt;&lt;META&gt;&lt;ID&gt;&lt;/ID&gt;&lt;NAME&gt;DOC_TBL0004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3/02/2015 09:32:01&lt;/DYNAMIZEDON&gt;&lt;LASTUPDATEDBY&gt;wittaan&lt;/LASTUPDATEDBY&gt;&lt;LASTUPDATEDON&gt;6/2/2017 7:02:24 AM&lt;/LASTUPDATEDON&gt;&lt;UTC&gt;1&lt;/UTC&gt;&lt;/UPDATE&gt;&lt;QUERIES bbk=&quot;9571&quot; bbkdesc=&quot;2016 Annual Accounts/EDF Annual Accounts/DC - Credit risk (xlsx)&quot; datapro=&quot;CDTR&quot; tdatapro=&quot;CDTR&quot; author=&quot;&quot; modtime=&quot;6/2/2017 7:01:34 AM&quot; moduser=&quot;wittaan&quot; rolluptime=&quot;&quot; syuser=&quot;wittaan&quot; syuzeit=&quot;6/2/2017 7:01:34 AM&quot; root=&quot;/BBOOK/DATAPROVIDER[./META/PROPS/ID='CDTR']/DATA&quot; colcount=&quot;6&quot; rowcount=&quot;7&quot; url=&quot;&quot; dynamizeds=&quot;SAP Disclosure Management - Production&quot; dynamizedstype=&quot;9&quot; refreshds=&quot;&quot; viewtype=&quot;1&quot;&gt;&lt;QUERY reftype=&quot;ABS&quot; elmntsel=&quot;TABLE&quot; bbk=&quot;9571&quot; bbkdesc=&quot;2016 Annual Accounts/EDF Annual Accounts 2015/DC - Credit risk (xlsx)&quot; datapro=&quot;CDTR&quot; infos=&quot;&quot; iscomment=&quot;0&quot;&gt;&lt;SELECT&gt;/BBOOK/DATAPROVIDER[./META/PROPS/ID='CDTR']/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5/03/2015 08:50:09&lt;/DYNAMIZEDON&gt;&lt;LASTUPDATEDBY&gt;wittaan&lt;/LASTUPDATEDBY&gt;&lt;LASTUPDATEDON&gt;6/2/2017 7:02:29 AM&lt;/LASTUPDATEDON&gt;&lt;UTC&gt;1&lt;/UTC&gt;&lt;/UPDATE&gt;&lt;QUERIES bbk=&quot;9571&quot; bbkdesc=&quot;2016 Annual Accounts/EDF Annual Accounts/DC - Credit risk (xlsx)&quot; datapro=&quot;FARC&quot; tdatapro=&quot;FARC&quot; author=&quot;&quot; modtime=&quot;6/2/2017 7:01:34 AM&quot; moduser=&quot;wittaan&quot; rolluptime=&quot;&quot; syuser=&quot;wittaan&quot; syuzeit=&quot;6/2/2017 7:01:34 AM&quot; root=&quot;/BBOOK/DATAPROVIDER[./META/PROPS/ID='FARC']/DATA&quot; colcount=&quot;7&quot; rowcount=&quot;14&quot; url=&quot;&quot; dynamizeds=&quot;SAP Disclosure Management - Production&quot; dynamizedstype=&quot;9&quot; refreshds=&quot;&quot; viewtype=&quot;1&quot;&gt;&lt;QUERY reftype=&quot;ABS&quot; elmntsel=&quot;TABLE&quot; bbk=&quot;9571&quot; bbkdesc=&quot;2016 Annual Accounts/EDF Annual Accounts 2015/DC - Credit risk (xlsx)&quot; datapro=&quot;FARC&quot; infos=&quot;&quot; iscomment=&quot;0&quot;&gt;&lt;SELECT&gt;/BBOOK/DATAPROVIDER[./META/PROPS/ID='FARC']/DATA/ROW&lt;/SELECT&gt;&lt;FILTERS&gt;&lt;FILTER&gt;&lt;/FILTER&gt;&lt;/FILTERS&gt;&lt;/QUERY&gt;&lt;/QUERIES&gt;&lt;/OBJECT&gt;"/>
    <w:docVar w:name="BIP_META_DOC_TBL00049" w:val="&lt;OBJECT&gt;&lt;META&gt;&lt;ID&gt;&lt;/ID&gt;&lt;NAME&gt;DOC_TBL0004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preutan&lt;/DYNAMIZEDBY&gt;&lt;DYNAMIZEDON&gt;17/05/2017 13:06:50&lt;/DYNAMIZEDON&gt;&lt;LASTUPDATEDBY&gt;wittaan&lt;/LASTUPDATEDBY&gt;&lt;LASTUPDATEDON&gt;6/2/2017 6:13:21 AM&lt;/LASTUPDATEDON&gt;&lt;UTC&gt;1&lt;/UTC&gt;&lt;/UPDATE&gt;&lt;QUERIES bbk=&quot;9572&quot; bbkdesc=&quot;2016 Annual Accounts/EDF Annual Accounts/DC - Maturity analysis of financial liabilities (xlsx)&quot; datapro=&quot;LR&quot; tdatapro=&quot;LR&quot; author=&quot;&quot; modtime=&quot;6/1/2017 5:39:00 PM&quot; moduser=&quot;wittaan&quot; rolluptime=&quot;&quot; syuser=&quot;wittaan&quot; syuzeit=&quot;6/1/2017 5:39:00 PM&quot; root=&quot;/BBOOK/DATAPROVIDER[./META/PROPS/ID='LR']/DATA&quot; colcount=&quot;5&quot; rowcount=&quot;6&quot; url=&quot;&quot; dynamizeds=&quot;SAP Disclosure Management - Production&quot; dynamizedstype=&quot;9&quot; refreshds=&quot;&quot; viewtype=&quot;1&quot;&gt;&lt;QUERY reftype=&quot;ABS&quot; elmntsel=&quot;TABLE&quot; bbk=&quot;9572&quot; bbkdesc=&quot;2016 Annual Accounts/EDF Annual Accounts 2015/DC - Maturity analysis of financial liabilities (xlsx)&quot; datapro=&quot;LR&quot; infos=&quot;&quot; iscomment=&quot;0&quot;&gt;&lt;SELECT&gt;/BBOOK/DATAPROVIDER[./META/PROPS/ID='LR']/DATA/ROW&lt;/SELECT&gt;&lt;FILTERS&gt;&lt;FILTER&gt;&lt;/FILTER&gt;&lt;/FILTERS&gt;&lt;/QUERY&gt;&lt;/QUERIES&gt;&lt;/OBJECT&gt;"/>
    <w:docVar w:name="BIP_META_DOC_TBL00050" w:val="&lt;OBJECT&gt;&lt;META&gt;&lt;ID&gt;&lt;/ID&gt;&lt;NAME&gt;DOC_TBL0005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3/2015 7:58:40 AM&lt;/DYNAMIZEDON&gt;&lt;LASTUPDATEDBY&gt;wittaan&lt;/LASTUPDATEDBY&gt;&lt;LASTUPDATEDON&gt;6/2/2017 6:10:34 AM&lt;/LASTUPDATEDON&gt;&lt;UTC&gt;1&lt;/UTC&gt;&lt;/UPDATE&gt;&lt;QUERIES bbk=&quot;9442&quot; bbkdesc=&quot;2016 Annual Accounts/EDF Annual Accounts/DC - Economic result and Budget result (xlsx)&quot; datapro=&quot;ECRBDGR&quot; tdatapro=&quot;ECRBDGR&quot; author=&quot;&quot; modtime=&quot;6/2/2017 5:55:42 AM&quot; moduser=&quot;wittaan&quot; rolluptime=&quot;&quot; syuser=&quot;wittaan&quot; syuzeit=&quot;6/2/2017 5:55:42 AM&quot; root=&quot;/BBOOK/DATAPROVIDER[./META/PROPS/ID='ECRBDGR']/DATA&quot; colcount=&quot;3&quot; rowcount=&quot;18&quot; url=&quot;&quot; dynamizeds=&quot;SAP Disclosure Management - Production&quot; dynamizedstype=&quot;9&quot; refreshds=&quot;&quot; viewtype=&quot;1&quot;&gt;&lt;QUERY reftype=&quot;ABS&quot; elmntsel=&quot;TABLE&quot; bbk=&quot;9442&quot; bbkdesc=&quot;2016 Annual Accounts/EDF Annual Accounts 2015/DC - Economic result and Budget result (xlsx)&quot; datapro=&quot;ECRBDGR&quot; infos=&quot;&quot; iscomment=&quot;0&quot;&gt;&lt;SELECT&gt;/BBOOK/DATAPROVIDER[./META/PROPS/ID='ECRBDGR']/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1&lt;/USETEMPLATES&gt;&lt;FXC&gt;1&lt;/FXC&gt;&lt;FXR&gt;0&lt;/FXR&gt;&lt;FORMAT&gt;&lt;/FORMAT&gt;&lt;FMODUS&gt;&lt;/FMODUS&gt;&lt;FLCID&gt;1033&lt;/FLCID&gt;&lt;RELATION&gt;&lt;/RELATION&gt;&lt;LINKED&gt;&lt;/LINKED&gt;&lt;SVALUE&gt;&lt;/SVALUE&gt;&lt;INFO&gt;&lt;/INFO&gt;&lt;/META&gt;&lt;UPDATE&gt;&lt;DATE&gt;10.1.6.35&lt;/DATE&gt;&lt;DYNAMIZEDBY&gt;milotlu&lt;/DYNAMIZEDBY&gt;&lt;DYNAMIZEDON&gt;2/10/2017 3:37:43 PM&lt;/DYNAMIZEDON&gt;&lt;LASTUPDATEDBY&gt;wittaan&lt;/LASTUPDATEDBY&gt;&lt;LASTUPDATEDON&gt;6/2/2017 6:19:45 AM&lt;/LASTUPDATEDON&gt;&lt;UTC&gt;1&lt;/UTC&gt;&lt;/UPDATE&gt;&lt;QUERIES bbk=&quot;8796&quot; bbkdesc=&quot;2016 Annual Accounts/BEKOU Annual accounts/DC - Balance Sheet (xlsx)&quot; datapro=&quot;BS&quot; tdatapro=&quot;BS&quot; author=&quot;&quot; modtime=&quot;2/6/2015 10:28:46 AM&quot; moduser=&quot;vignale&quot; rolluptime=&quot;&quot; syuser=&quot;vignale&quot; syuzeit=&quot;2/6/2015 10:28:46 AM&quot; root=&quot;/DATA&quot; colcount=&quot;4&quot; rowcount=&quot;38&quot; url=&quot;&quot; dynamizeds=&quot;SAP Disclosure Management - Production&quot; dynamizedstype=&quot;9&quot; refreshds=&quot;&quot; viewtype=&quot;1&quot;&gt;&lt;QUERY reftype=&quot;ABS&quot; elmntsel=&quot;TABLE&quot; bbk=&quot;8796&quot; bbkdesc=&quot;2016 Annual Accounts/2015 BEKOU Annual accounts/DC - Balance Sheet (xlsx)&quot; datapro=&quot;BS&quot; infos=&quot;&quot; iscomment=&quot;0&quot;&gt;&lt;SELECT&gt;/BBOOK/DATAPROVIDER[./META/PROPS/ID='BS']/DATA/ROW&lt;/SELECT&gt;&lt;FILTERS&gt;&lt;FILTER&gt;&lt;/FILTER&gt;&lt;/FILTERS&gt;&lt;/QUERY&gt;&lt;/QUERIES&gt;&lt;/OBJECT&gt;"/>
    <w:docVar w:name="BIP_META_DOC_TBL00052" w:val="&lt;OBJECT&gt;&lt;META&gt;&lt;ID&gt;&lt;/ID&gt;&lt;NAME&gt;DOC_TBL00052&lt;/NAME&gt;&lt;TYPE&gt;&lt;ID&gt;19&lt;/ID&gt;&lt;FRIENDLYNAME&gt;Table&lt;/FRIENDLYNAME&gt;&lt;LABEL&gt;&lt;/LABEL&gt;&lt;/TYPE&gt;&lt;STATUS&gt;DYN&lt;/STATUS&gt;&lt;SAFE&gt;&lt;/SAFE&gt;&lt;MARKCHANGES&gt;0&lt;/MARKCHANGES&gt;&lt;USESTYLES&gt;0&lt;/USESTYLES&gt;&lt;USETEMPLATES&gt;1&lt;/USETEMPLATES&gt;&lt;FXC&gt;1&lt;/FXC&gt;&lt;FXR&gt;0&lt;/FXR&gt;&lt;FORMAT&gt;&lt;/FORMAT&gt;&lt;FMODUS&gt;&lt;/FMODUS&gt;&lt;FLCID&gt;1033&lt;/FLCID&gt;&lt;RELATION&gt;&lt;/RELATION&gt;&lt;LINKED&gt;&lt;/LINKED&gt;&lt;SVALUE&gt;&lt;/SVALUE&gt;&lt;INFO&gt;&lt;/INFO&gt;&lt;/META&gt;&lt;UPDATE&gt;&lt;DATE&gt;10.1.6.35&lt;/DATE&gt;&lt;DYNAMIZEDBY&gt;milotlu&lt;/DYNAMIZEDBY&gt;&lt;DYNAMIZEDON&gt;2/10/2017 3:48:59 PM&lt;/DYNAMIZEDON&gt;&lt;LASTUPDATEDBY&gt;wittaan&lt;/LASTUPDATEDBY&gt;&lt;LASTUPDATEDON&gt;6/2/2017 6:19:46 AM&lt;/LASTUPDATEDON&gt;&lt;UTC&gt;1&lt;/UTC&gt;&lt;/UPDATE&gt;&lt;QUERIES bbk=&quot;8798&quot; bbkdesc=&quot;2016 Annual Accounts/BEKOU Annual accounts/DC - Statement of Financial Performance (xlsx)&quot; datapro=&quot;FP&quot; tdatapro=&quot;FP&quot; author=&quot;&quot; modtime=&quot;11/16/2015 11:13:17 AM&quot; moduser=&quot;vanbena&quot; rolluptime=&quot;&quot; syuser=&quot;vanbena&quot; syuzeit=&quot;11/16/2015 11:13:17 AM&quot; root=&quot;/DATA&quot; colcount=&quot;4&quot; rowcount=&quot;19&quot; url=&quot;&quot; dynamizeds=&quot;SAP Disclosure Management - Production&quot; dynamizedstype=&quot;9&quot; refreshds=&quot;&quot; viewtype=&quot;1&quot;&gt;&lt;QUERY reftype=&quot;ABS&quot; elmntsel=&quot;TABLE&quot; bbk=&quot;8798&quot; bbkdesc=&quot;2016 Annual Accounts/2015 BEKOU Annual accounts/DC - Statement of Financial Performance (xlsx)&quot; datapro=&quot;FP&quot; infos=&quot;&quot; iscomment=&quot;0&quot;&gt;&lt;SELECT&gt;/BBOOK/DATAPROVIDER[./META/PROPS/ID='FP']/DATA/ROW&lt;/SELECT&gt;&lt;FILTERS&gt;&lt;FILTER&gt;&lt;/FILTER&gt;&lt;/FILTERS&gt;&lt;/QUERY&gt;&lt;/QUERIES&gt;&lt;/OBJECT&gt;"/>
    <w:docVar w:name="BIP_META_DOC_TBL00053" w:val="&lt;OBJECT&gt;&lt;META&gt;&lt;ID&gt;&lt;/ID&gt;&lt;NAME&gt;DOC_TBL00053&lt;/NAME&gt;&lt;TYPE&gt;&lt;ID&gt;19&lt;/ID&gt;&lt;FRIENDLYNAME&gt;Table&lt;/FRIENDLYNAME&gt;&lt;LABEL&gt;&lt;/LABEL&gt;&lt;/TYPE&gt;&lt;STATUS&gt;DYN&lt;/STATUS&gt;&lt;SAFE&gt;&lt;/SAFE&gt;&lt;MARKCHANGES&gt;0&lt;/MARKCHANGES&gt;&lt;USESTYLES&gt;0&lt;/USESTYLES&gt;&lt;USETEMPLATES&gt;1&lt;/USETEMPLATES&gt;&lt;FXC&gt;1&lt;/FXC&gt;&lt;FXR&gt;0&lt;/FXR&gt;&lt;FORMAT&gt;&lt;/FORMAT&gt;&lt;FMODUS&gt;&lt;/FMODUS&gt;&lt;FLCID&gt;2057&lt;/FLCID&gt;&lt;RELATION&gt;&lt;/RELATION&gt;&lt;LINKED&gt;&lt;/LINKED&gt;&lt;SVALUE&gt;&lt;/SVALUE&gt;&lt;INFO&gt;&lt;/INFO&gt;&lt;/META&gt;&lt;UPDATE&gt;&lt;DATE&gt;10.1.6.35&lt;/DATE&gt;&lt;DYNAMIZEDBY&gt;milotlu&lt;/DYNAMIZEDBY&gt;&lt;DYNAMIZEDON&gt;13/03/2017 16:05:40&lt;/DYNAMIZEDON&gt;&lt;LASTUPDATEDBY&gt;wittaan&lt;/LASTUPDATEDBY&gt;&lt;LASTUPDATEDON&gt;6/2/2017 6:19:47 AM&lt;/LASTUPDATEDON&gt;&lt;UTC&gt;1&lt;/UTC&gt;&lt;/UPDATE&gt;&lt;QUERIES bbk=&quot;10546&quot; bbkdesc=&quot;2016 Annual Accounts/BEKOU Annual accounts/DC Cashflow statement Bekou (xlsx)&quot; datapro=&quot;CF&quot; tdatapro=&quot;CF&quot; author=&quot;&quot; modtime=&quot;1/10/2017 3:14:35 PM&quot; moduser=&quot;MILOTLU&quot; rolluptime=&quot;&quot; syuser=&quot;MILOTLU&quot; syuzeit=&quot;1/10/2017 3:14:35 PM&quot; root=&quot;/DATA&quot; colcount=&quot;3&quot; rowcount=&quot;18&quot; url=&quot;&quot; dynamizeds=&quot;SAP Disclosure Management - Production&quot; dynamizedstype=&quot;9&quot; refreshds=&quot;&quot; viewtype=&quot;1&quot;&gt;&lt;QUERY reftype=&quot;ABS&quot; elmntsel=&quot;TABLE&quot; bbk=&quot;10546&quot; bbkdesc=&quot;2016 Annual Accounts/BEKOU Annual accounts/DC Cashflow statement Bekou (xlsx)&quot; datapro=&quot;CF&quot; infos=&quot;&quot; iscomment=&quot;0&quot;&gt;&lt;SELECT&gt;/BBOOK/DATAPROVIDER[./META/PROPS/ID='CF']/DATA/ROW&lt;/SELECT&gt;&lt;FILTERS&gt;&lt;FILTER&gt;&lt;/FILTER&gt;&lt;/FILTERS&gt;&lt;/QUERY&gt;&lt;/QUERIES&gt;&lt;/OBJECT&gt;"/>
    <w:docVar w:name="BIP_META_DOC_TBL00054" w:val="&lt;OBJECT&gt;&lt;META&gt;&lt;ID&gt;&lt;/ID&gt;&lt;NAME&gt;DOC_TBL0005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servela&lt;/DYNAMIZEDBY&gt;&lt;DYNAMIZEDON&gt;27/10/2016 08:36:12&lt;/DYNAMIZEDON&gt;&lt;LASTUPDATEDBY&gt;wittaan&lt;/LASTUPDATEDBY&gt;&lt;LASTUPDATEDON&gt;6/2/2017 6:19:48 AM&lt;/LASTUPDATEDON&gt;&lt;UTC&gt;1&lt;/UTC&gt;&lt;/UPDATE&gt;&lt;QUERIES bbk=&quot;8800&quot; bbkdesc=&quot;2016 Annual Accounts/2015 BEKOU Annual accounts/DC - Statement of changes in net assets (xlsx)&quot; datapro=&quot;CNA&quot; tdatapro=&quot;CNA&quot; author=&quot;&quot; modtime=&quot;2/6/2015 3:08:13 PM&quot; moduser=&quot;oerboan&quot; rolluptime=&quot;&quot; syuser=&quot;oerboan&quot; syuzeit=&quot;2/6/2015 3:08:13 PM&quot; root=&quot;/DATA&quot; colcount=&quot;4&quot; rowcount=&quot;5&quot; url=&quot;&quot; dynamizeds=&quot;SAP Disclosure Management - Production&quot; dynamizedstype=&quot;9&quot; refreshds=&quot;&quot; viewtype=&quot;1&quot;&gt;&lt;QUERY reftype=&quot;ABS&quot; elmntsel=&quot;TABLE&quot; bbk=&quot;8800&quot; bbkdesc=&quot;2016 Annual Accounts/2015 BEKOU Annual accounts/DC - Statement of changes in net assets (xlsx)&quot; datapro=&quot;CNA&quot; infos=&quot;&quot; iscomment=&quot;0&quot;&gt;&lt;SELECT&gt;/BBOOK/DATAPROVIDER[./META/PROPS/ID='CNA']/DATA/ROW&lt;/SELECT&gt;&lt;FILTERS&gt;&lt;FILTER&gt;&lt;/FILTER&gt;&lt;/FILTERS&gt;&lt;/QUERY&gt;&lt;/QUERIES&gt;&lt;/OBJECT&gt;"/>
    <w:docVar w:name="BIP_META_DOC_TBL00055" w:val="&lt;OBJECT&gt;&lt;META&gt;&lt;ID&gt;&lt;/ID&gt;&lt;NAME&gt;DOC_TBL00055&lt;/NAME&gt;&lt;TYPE&gt;&lt;ID&gt;19&lt;/ID&gt;&lt;FRIENDLYNAME&gt;Table&lt;/FRIENDLYNAME&gt;&lt;LABEL&gt;&lt;/LABEL&gt;&lt;/TYPE&gt;&lt;STATUS&gt;DYN&lt;/STATUS&gt;&lt;SAFE&gt;&lt;/SAFE&gt;&lt;MARKCHANGES&gt;0&lt;/MARKCHANGES&gt;&lt;USESTYLES&gt;0&lt;/USESTYLES&gt;&lt;USETEMPLATES&gt;1&lt;/USETEMPLATES&gt;&lt;FXC&gt;1&lt;/FXC&gt;&lt;FXR&gt;0&lt;/FXR&gt;&lt;FORMAT&gt;&lt;/FORMAT&gt;&lt;FMODUS&gt;&lt;/FMODUS&gt;&lt;FLCID&gt;1033&lt;/FLCID&gt;&lt;RELATION&gt;&lt;/RELATION&gt;&lt;LINKED&gt;&lt;/LINKED&gt;&lt;SVALUE&gt;&lt;/SVALUE&gt;&lt;INFO&gt;&lt;/INFO&gt;&lt;/META&gt;&lt;UPDATE&gt;&lt;DATE&gt;10.1.6.35&lt;/DATE&gt;&lt;DYNAMIZEDBY&gt;carlben&lt;/DYNAMIZEDBY&gt;&lt;DYNAMIZEDON&gt;07/03/2017 09:56:05&lt;/DYNAMIZEDON&gt;&lt;LASTUPDATEDBY&gt;wittaan&lt;/LASTUPDATEDBY&gt;&lt;LASTUPDATEDON&gt;6/2/2017 6:19:50 AM&lt;/LASTUPDATEDON&gt;&lt;UTC&gt;1&lt;/UTC&gt;&lt;/UPDATE&gt;&lt;QUERIES bbk=&quot;10410&quot; bbkdesc=&quot;2016 Annual Accounts/AFRICA EU Annual Accounts/DC - Balance Sheet (xlsx)&quot; datapro=&quot;BS&quot; tdatapro=&quot;BS&quot; author=&quot;&quot; modtime=&quot;2/6/2015 10:28:46 AM&quot; moduser=&quot;vignale&quot; rolluptime=&quot;&quot; syuser=&quot;vignale&quot; syuzeit=&quot;2/6/2015 10:28:46 AM&quot; root=&quot;/DATA&quot; colcount=&quot;4&quot; rowcount=&quot;38&quot; url=&quot;&quot; dynamizeds=&quot;SAP Disclosure Management - Production&quot; dynamizedstype=&quot;9&quot; refreshds=&quot;&quot; viewtype=&quot;1&quot;&gt;&lt;QUERY reftype=&quot;ABS&quot; elmntsel=&quot;TABLE&quot; bbk=&quot;10410&quot; bbkdesc=&quot;2016 Annual Accounts/AFRICA EU Annual Accounts/DC - Balance Sheet&quot; datapro=&quot;BS&quot; infos=&quot;&quot; iscomment=&quot;0&quot;&gt;&lt;SELECT&gt;/BBOOK/DATAPROVIDER[./META/PROPS/ID='BS']/DATA/ROW&lt;/SELECT&gt;&lt;FILTERS&gt;&lt;FILTER&gt;&lt;/FILTER&gt;&lt;/FILTERS&gt;&lt;/QUERY&gt;&lt;/QUERIES&gt;&lt;/OBJECT&gt;"/>
    <w:docVar w:name="BIP_META_DOC_TBL00056" w:val="&lt;OBJECT&gt;&lt;META&gt;&lt;ID&gt;&lt;/ID&gt;&lt;NAME&gt;DOC_TBL00056&lt;/NAME&gt;&lt;TYPE&gt;&lt;ID&gt;19&lt;/ID&gt;&lt;FRIENDLYNAME&gt;Table&lt;/FRIENDLYNAME&gt;&lt;LABEL&gt;&lt;/LABEL&gt;&lt;/TYPE&gt;&lt;STATUS&gt;DYN&lt;/STATUS&gt;&lt;SAFE&gt;&lt;/SAFE&gt;&lt;MARKCHANGES&gt;0&lt;/MARKCHANGES&gt;&lt;USESTYLES&gt;0&lt;/USESTYLES&gt;&lt;USETEMPLATES&gt;1&lt;/USETEMPLATES&gt;&lt;FXC&gt;1&lt;/FXC&gt;&lt;FXR&gt;0&lt;/FXR&gt;&lt;FORMAT&gt;&lt;/FORMAT&gt;&lt;FMODUS&gt;&lt;/FMODUS&gt;&lt;FLCID&gt;2057&lt;/FLCID&gt;&lt;RELATION&gt;&lt;/RELATION&gt;&lt;LINKED&gt;&lt;/LINKED&gt;&lt;SVALUE&gt;&lt;/SVALUE&gt;&lt;INFO&gt;&lt;/INFO&gt;&lt;/META&gt;&lt;UPDATE&gt;&lt;DATE&gt;10.1.6.35&lt;/DATE&gt;&lt;DYNAMIZEDBY&gt;milotlu&lt;/DYNAMIZEDBY&gt;&lt;DYNAMIZEDON&gt;2/10/2017 5:40:39 PM&lt;/DYNAMIZEDON&gt;&lt;LASTUPDATEDBY&gt;wittaan&lt;/LASTUPDATEDBY&gt;&lt;LASTUPDATEDON&gt;6/2/2017 6:19:49 AM&lt;/LASTUPDATEDON&gt;&lt;UTC&gt;1&lt;/UTC&gt;&lt;/UPDATE&gt;&lt;QUERIES bbk=&quot;10412&quot; bbkdesc=&quot;2016 Annual Accounts/AFRICA EU Annual Accounts/DC - Statement of Financial Performance (xlsx)&quot; datapro=&quot;FP&quot; tdatapro=&quot;FP&quot; author=&quot;&quot; modtime=&quot;11/16/2015 11:13:17 AM&quot; moduser=&quot;vanbena&quot; rolluptime=&quot;&quot; syuser=&quot;vanbena&quot; syuzeit=&quot;11/16/2015 11:13:17 AM&quot; root=&quot;/DATA&quot; colcount=&quot;4&quot; rowcount=&quot;19&quot; url=&quot;&quot; dynamizeds=&quot;SAP Disclosure Management - Production&quot; dynamizedstype=&quot;9&quot; refreshds=&quot;&quot; viewtype=&quot;1&quot;&gt;&lt;QUERY reftype=&quot;ABS&quot; elmntsel=&quot;TABLE&quot; bbk=&quot;10412&quot; bbkdesc=&quot;2016 Annual Accounts/AFRICA EU Annual Accounts/DC - Statement of Financial Performance&quot; datapro=&quot;FP&quot; infos=&quot;&quot; iscomment=&quot;0&quot;&gt;&lt;SELECT&gt;/BBOOK/DATAPROVIDER[./META/PROPS/ID='FP']/DATA/ROW&lt;/SELECT&gt;&lt;FILTERS&gt;&lt;FILTER&gt;&lt;/FILTER&gt;&lt;/FILTERS&gt;&lt;/QUERY&gt;&lt;/QUERIES&gt;&lt;/OBJECT&gt;"/>
    <w:docVar w:name="BIP_META_DOC_TBL00057" w:val="&lt;OBJECT&gt;&lt;META&gt;&lt;ID&gt;&lt;/ID&gt;&lt;NAME&gt;DOC_TBL00057&lt;/NAME&gt;&lt;TYPE&gt;&lt;ID&gt;19&lt;/ID&gt;&lt;FRIENDLYNAME&gt;Table&lt;/FRIENDLYNAME&gt;&lt;LABEL&gt;&lt;/LABEL&gt;&lt;/TYPE&gt;&lt;STATUS&gt;DYN&lt;/STATUS&gt;&lt;SAFE&gt;&lt;/SAFE&gt;&lt;MARKCHANGES&gt;0&lt;/MARKCHANGES&gt;&lt;USESTYLES&gt;0&lt;/USESTYLES&gt;&lt;USETEMPLATES&gt;1&lt;/USETEMPLATES&gt;&lt;FXC&gt;1&lt;/FXC&gt;&lt;FXR&gt;0&lt;/FXR&gt;&lt;FORMAT&gt;&lt;/FORMAT&gt;&lt;FMODUS&gt;&lt;/FMODUS&gt;&lt;FLCID&gt;1033&lt;/FLCID&gt;&lt;RELATION&gt;&lt;/RELATION&gt;&lt;LINKED&gt;&lt;/LINKED&gt;&lt;SVALUE&gt;&lt;/SVALUE&gt;&lt;INFO&gt;&lt;/INFO&gt;&lt;/META&gt;&lt;UPDATE&gt;&lt;DATE&gt;10.1.6.35&lt;/DATE&gt;&lt;DYNAMIZEDBY&gt;milotlu&lt;/DYNAMIZEDBY&gt;&lt;DYNAMIZEDON&gt;3/7/2017 1:14:32 PM&lt;/DYNAMIZEDON&gt;&lt;LASTUPDATEDBY&gt;wittaan&lt;/LASTUPDATEDBY&gt;&lt;LASTUPDATEDON&gt;6/2/2017 6:19:51 AM&lt;/LASTUPDATEDON&gt;&lt;UTC&gt;1&lt;/UTC&gt;&lt;/UPDATE&gt;&lt;QUERIES bbk=&quot;10548&quot; bbkdesc=&quot;2016 Annual Accounts/AFRICA EU Annual Accounts/DC Cashflow statement Africa (xlsx)&quot; datapro=&quot;CF&quot; tdatapro=&quot;CF&quot; author=&quot;&quot; modtime=&quot;3/7/2017 1:15:40 PM&quot; moduser=&quot;MILOTLU&quot; rolluptime=&quot;&quot; syuser=&quot;MILOTLU&quot; syuzeit=&quot;3/7/2017 1:15:40 PM&quot; root=&quot;/BBOOK/DATAPROVIDER[./META/PROPS/ID='CF']/DATA&quot; colcount=&quot;3&quot; rowcount=&quot;18&quot; url=&quot;&quot; dynamizeds=&quot;SAP Disclosure Management - Production&quot; dynamizedstype=&quot;9&quot; refreshds=&quot;&quot; viewtype=&quot;1&quot;&gt;&lt;QUERY reftype=&quot;ABS&quot; elmntsel=&quot;TABLE&quot; bbk=&quot;10548&quot; bbkdesc=&quot;2016 Annual Accounts/AFRICA EU Annual Accounts/DC Cashflow statement Africa (xlsx)&quot; datapro=&quot;CF&quot; infos=&quot;&quot; iscomment=&quot;0&quot;&gt;&lt;SELECT&gt;/BBOOK/DATAPROVIDER[./META/PROPS/ID='CF']/DATA/ROW&lt;/SELECT&gt;&lt;FILTERS&gt;&lt;FILTER&gt;&lt;/FILTER&gt;&lt;/FILTERS&gt;&lt;/QUERY&gt;&lt;/QUERIES&gt;&lt;/OBJECT&gt;"/>
    <w:docVar w:name="BIP_META_DOC_TBL00058" w:val="&lt;OBJECT&gt;&lt;META&gt;&lt;ID&gt;&lt;/ID&gt;&lt;NAME&gt;DOC_TBL0005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servela&lt;/DYNAMIZEDBY&gt;&lt;DYNAMIZEDON&gt;27/10/2016 08:36:12&lt;/DYNAMIZEDON&gt;&lt;LASTUPDATEDBY&gt;wittaan&lt;/LASTUPDATEDBY&gt;&lt;LASTUPDATEDON&gt;6/2/2017 6:19:52 AM&lt;/LASTUPDATEDON&gt;&lt;UTC&gt;1&lt;/UTC&gt;&lt;/UPDATE&gt;&lt;QUERIES bbk=&quot;10414&quot; bbkdesc=&quot;2016 Annual Accounts/AFRICA EU Annual Accounts/DC - Statement of changes in net assets&quot; datapro=&quot;CNA&quot; tdatapro=&quot;CNA&quot; author=&quot;&quot; modtime=&quot;2/6/2015 3:08:13 PM&quot; moduser=&quot;oerboan&quot; rolluptime=&quot;&quot; syuser=&quot;oerboan&quot; syuzeit=&quot;2/6/2015 3:08:13 PM&quot; root=&quot;/DATA&quot; colcount=&quot;4&quot; rowcount=&quot;5&quot; url=&quot;&quot; dynamizeds=&quot;SAP Disclosure Management - Production&quot; dynamizedstype=&quot;9&quot; refreshds=&quot;&quot; viewtype=&quot;1&quot;&gt;&lt;QUERY reftype=&quot;ABS&quot; elmntsel=&quot;TABLE&quot; bbk=&quot;10414&quot; bbkdesc=&quot;2016 Annual Accounts/AFRICA EU Annual Accounts/DC - Statement of changes in net assets&quot; datapro=&quot;CNA&quot; infos=&quot;&quot; iscomment=&quot;0&quot;&gt;&lt;SELECT&gt;/BBOOK/DATAPROVIDER[./META/PROPS/ID='CNA']/DATA/ROW&lt;/SELECT&gt;&lt;FILTERS&gt;&lt;FILTER&gt;&lt;/FILTER&gt;&lt;/FILTERS&gt;&lt;/QUERY&gt;&lt;/QUERIES&gt;&lt;/OBJECT&gt;"/>
    <w:docVar w:name="BIP_META_DOC_TBL00059" w:val="&lt;OBJECT&gt;&lt;META&gt;&lt;ID&gt;&lt;/ID&gt;&lt;NAME&gt;DOC_TBL0005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20/12/2016 19:57:28&lt;/DYNAMIZEDON&gt;&lt;LASTUPDATEDBY&gt;wittaan&lt;/LASTUPDATEDBY&gt;&lt;LASTUPDATEDON&gt;6/2/2017 6:03:33 AM&lt;/LASTUPDATEDON&gt;&lt;UTC&gt;1&lt;/UTC&gt;&lt;/UPDATE&gt;&lt;QUERIES bbk=&quot;10444&quot; bbkdesc=&quot;2016 Annual Accounts/EDF Annual Accounts/DC-Conso BS (xlsx)&quot; datapro=&quot;CONSBS&quot; tdatapro=&quot;CONSBS&quot; author=&quot;&quot; modtime=&quot;6/1/2017 5:39:21 PM&quot; moduser=&quot;wittaan&quot; rolluptime=&quot;&quot; syuser=&quot;wittaan&quot; syuzeit=&quot;6/1/2017 5:39:21 PM&quot; root=&quot;/BBOOK/DATAPROVIDER[./META/PROPS/ID='CONSBS']/DATA&quot; colcount=&quot;3&quot; rowcount=&quot;33&quot; url=&quot;&quot; dynamizeds=&quot;SAP Disclosure Management - Production&quot; dynamizedstype=&quot;9&quot; refreshds=&quot;&quot; viewtype=&quot;1&quot;&gt;&lt;QUERY reftype=&quot;ABS&quot; elmntsel=&quot;TABLE&quot; bbk=&quot;10444&quot; bbkdesc=&quot;2016 Annual Accounts/EDF Annual Accounts/DC-Conso BS (xlsx)&quot; datapro=&quot;CONSBS&quot; infos=&quot;&quot; iscomment=&quot;0&quot;&gt;&lt;SELECT&gt;/BBOOK/DATAPROVIDER[./META/PROPS/ID='CONSBS']/DATA/ROW&lt;/SELECT&gt;&lt;FILTERS&gt;&lt;FILTER&gt;&lt;/FILTER&gt;&lt;/FILTERS&gt;&lt;/QUERY&gt;&lt;/QUERIES&gt;&lt;/OBJECT&gt;"/>
    <w:docVar w:name="BIP_META_DOC_TBL00060" w:val="&lt;OBJECT&gt;&lt;META&gt;&lt;ID&gt;&lt;/ID&gt;&lt;NAME&gt;DOC_TBL0006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21/03/2017 14:15:26&lt;/DYNAMIZEDON&gt;&lt;LASTUPDATEDBY&gt;wittaan&lt;/LASTUPDATEDBY&gt;&lt;LASTUPDATEDON&gt;6/2/2017 5:55:24 AM&lt;/LASTUPDATEDON&gt;&lt;UTC&gt;1&lt;/UTC&gt;&lt;/UPDATE&gt;&lt;QUERIES bbk=&quot;10447&quot; bbkdesc=&quot;2016 Annual Accounts/EDF Annual Accounts/DC-Conso PL (xlsx)&quot; datapro=&quot;CONSPL&quot; tdatapro=&quot;CONSPL&quot; author=&quot;&quot; modtime=&quot;6/1/2017 5:39:22 PM&quot; moduser=&quot;wittaan&quot; rolluptime=&quot;&quot; syuser=&quot;wittaan&quot; syuzeit=&quot;6/1/2017 5:39:22 PM&quot; root=&quot;/BBOOK/DATAPROVIDER[./META/PROPS/ID='CONSPL']/DATA&quot; colcount=&quot;3&quot; rowcount=&quot;21&quot; url=&quot;&quot; dynamizeds=&quot;SAP Disclosure Management - Production&quot; dynamizedstype=&quot;9&quot; refreshds=&quot;&quot; viewtype=&quot;1&quot;&gt;&lt;QUERY reftype=&quot;ABS&quot; elmntsel=&quot;TABLE&quot; bbk=&quot;10447&quot; bbkdesc=&quot;2016 Annual Accounts/EDF Annual Accounts/DC-Conso PL (xlsx)&quot; datapro=&quot;CONSPL&quot; infos=&quot;&quot; iscomment=&quot;0&quot;&gt;&lt;SELECT&gt;/BBOOK/DATAPROVIDER[./META/PROPS/ID='CONSPL']/DATA/ROW&lt;/SELECT&gt;&lt;FILTERS&gt;&lt;FILTER&gt;&lt;/FILTER&gt;&lt;/FILTERS&gt;&lt;/QUERY&gt;&lt;/QUERIES&gt;&lt;/OBJECT&gt;"/>
    <w:docVar w:name="BIP_META_DOC_TBL00061" w:val="&lt;OBJECT&gt;&lt;META&gt;&lt;ID&gt;&lt;/ID&gt;&lt;NAME&gt;DOC_TBL0006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24/03/2017 12:59:57&lt;/DYNAMIZEDON&gt;&lt;LASTUPDATEDBY&gt;wittaan&lt;/LASTUPDATEDBY&gt;&lt;LASTUPDATEDON&gt;6/2/2017 6:02:42 AM&lt;/LASTUPDATEDON&gt;&lt;UTC&gt;1&lt;/UTC&gt;&lt;/UPDATE&gt;&lt;QUERIES bbk=&quot;10637&quot; bbkdesc=&quot;2016 Annual Accounts/EDF Annual Accounts/DC - consolidated CF EDF-TFs (xlsx)&quot; datapro=&quot;CF&quot; tdatapro=&quot;CF&quot; author=&quot;&quot; modtime=&quot;6/1/2017 5:39:28 PM&quot; moduser=&quot;wittaan&quot; rolluptime=&quot;&quot; syuser=&quot;wittaan&quot; syuzeit=&quot;6/1/2017 5:39:28 PM&quot; root=&quot;/BBOOK/DATAPROVIDER[./META/PROPS/ID='CF']/DATA&quot; colcount=&quot;3&quot; rowcount=&quot;22&quot; url=&quot;&quot; dynamizeds=&quot;Disclosure Management - Production&quot; dynamizedstype=&quot;9&quot; refreshds=&quot;&quot; viewtype=&quot;1&quot;&gt;&lt;QUERY reftype=&quot;ABS&quot; elmntsel=&quot;TABLE&quot; bbk=&quot;10637&quot; bbkdesc=&quot;2016 Annual Accounts/EDF Annual Accounts/DC - consolidated CF EDF-TFs (xlsx)&quot; datapro=&quot;CF&quot; infos=&quot;&quot; iscomment=&quot;0&quot;&gt;&lt;SELECT&gt;/BBOOK/DATAPROVIDER[./META/PROPS/ID='CF']/DATA/ROW&lt;/SELECT&gt;&lt;FILTERS&gt;&lt;FILTER&gt;&lt;/FILTER&gt;&lt;/FILTERS&gt;&lt;/QUERY&gt;&lt;/QUERIES&gt;&lt;/OBJECT&gt;"/>
    <w:docVar w:name="BIP_META_DOC_TBL00062" w:val="&lt;OBJECT&gt;&lt;META&gt;&lt;ID&gt;&lt;/ID&gt;&lt;NAME&gt;DOC_TBL0006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11/05/2017 14:39:37&lt;/DYNAMIZEDON&gt;&lt;LASTUPDATEDBY&gt;wittaan&lt;/LASTUPDATEDBY&gt;&lt;LASTUPDATEDON&gt;6/2/2017 6:02:46 AM&lt;/LASTUPDATEDON&gt;&lt;UTC&gt;1&lt;/UTC&gt;&lt;/UPDATE&gt;&lt;QUERIES bbk=&quot;10638&quot; bbkdesc=&quot;2016 Annual Accounts/EDF Annual Accounts/DC - Conso statement net assets EDF-TFs (xlsx)&quot; datapro=&quot;CNA&quot; tdatapro=&quot;CNA&quot; author=&quot;&quot; modtime=&quot;3/24/2017 1:09:56 PM&quot; moduser=&quot;MILOTLU&quot; rolluptime=&quot;&quot; syuser=&quot;MILOTLU&quot; syuzeit=&quot;3/24/2017 1:09:56 PM&quot; root=&quot;/DATA&quot; colcount=&quot;7&quot; rowcount=&quot;12&quot; url=&quot;&quot; dynamizeds=&quot;Disclosure Management - Production&quot; dynamizedstype=&quot;9&quot; refreshds=&quot;&quot; viewtype=&quot;1&quot;&gt;&lt;QUERY reftype=&quot;ABS&quot; elmntsel=&quot;TABLE&quot; bbk=&quot;10638&quot; bbkdesc=&quot;2016 Annual Accounts/EDF Annual Accounts/DC - Conso statement net assets EDF-TFs (xlsx)&quot; datapro=&quot;CNA&quot; infos=&quot;&quot; iscomment=&quot;0&quot;&gt;&lt;SELECT&gt;/BBOOK/DATAPROVIDER[./META/PROPS/ID='CNA']/DATA/ROW&lt;/SELECT&gt;&lt;FILTERS&gt;&lt;FILTER&gt;&lt;/FILTER&gt;&lt;/FILTERS&gt;&lt;/QUERY&gt;&lt;/QUERIES&gt;&lt;/OBJECT&gt;"/>
    <w:docVar w:name="BIP_VARIABLES" w:val="&lt;BBOOKS&gt;&lt;BBOOK bbname=&quot;DefaultVariables&quot;&gt;&lt;VARIABLES /&gt;&lt;/BBOOK&gt;&lt;BBOOK bbname=&quot;9445&quot; bbdesc=&quot;2016 Annual Accounts/EDF Annual Accounts/DC - Aggregated balance sheet (xlsx)&quot; dsname=&quot;SAP Disclosure Management - Production&quot;&gt;&lt;VARIABLES&gt;&lt;/VARIABLES&gt;&lt;/BBOOK&gt;&lt;BBOOK bbname=&quot;9489&quot; bbdesc=&quot;2016 Annual Accounts/EDF Annual Accounts/DC - Aggregated Statement of financial performance (xlsx)&quot; dsname=&quot;SAP Disclosure Management - Production&quot;&gt;&lt;VARIABLES /&gt;&lt;/BBOOK&gt;&lt;BBOOK bbname=&quot;9547&quot; bbdesc=&quot;2016 Annual Accounts/EDF Annual Accounts/DC - Aggregated cashflow statement (xlsx)&quot; dsname=&quot;SAP Disclosure Management - Production&quot;&gt;&lt;VARIABLES /&gt;&lt;/BBOOK&gt;&lt;BBOOK bbname=&quot;9530&quot; bbdesc=&quot;2016 Annual Accounts/EDF Annual Accounts/DC - Aggregated statement of changes in net assets (xlsx)&quot; dsname=&quot;SAP Disclosure Management - Production&quot;&gt;&lt;VARIABLES /&gt;&lt;/BBOOK&gt;&lt;BBOOK bbname=&quot;9560&quot; bbdesc=&quot;2016 Annual Accounts/EDF Annual Accounts/DC - Balance sheet of the eighth ninth 10th and 11th EDF (xlsx)&quot; dsname=&quot;SAP Disclosure Management - Production&quot;&gt;&lt;VARIABLES /&gt;&lt;/BBOOK&gt;&lt;BBOOK bbname=&quot;9513&quot; bbdesc=&quot;2016 Annual Accounts/EDF Annual Accounts/DC - Statement of financial performance of the eighth ninth 10th and 11th EDF (xlsx)&quot; dsname=&quot;SAP Disclosure Management - Production&quot;&gt;&lt;VARIABLES /&gt;&lt;/BBOOK&gt;&lt;BBOOK bbname=&quot;9548&quot; bbdesc=&quot;2016 Annual Accounts/EDF Annual Accounts/DC - Statement of changes in net assets of the eighth EDF (xlsx)&quot; dsname=&quot;SAP Disclosure Management - Production&quot;&gt;&lt;VARIABLES /&gt;&lt;/BBOOK&gt;&lt;BBOOK bbname=&quot;9552&quot; bbdesc=&quot;2016 Annual Accounts/EDF Annual Accounts/DC - Statement of changes in net assets of the ninth EDF (xlsx)&quot; dsname=&quot;SAP Disclosure Management - Production&quot;&gt;&lt;VARIABLES /&gt;&lt;/BBOOK&gt;&lt;BBOOK bbname=&quot;9540&quot; bbdesc=&quot;2016 Annual Accounts/EDF Annual Accounts/DC - Statement of changes in net assets of the 10th EDF (xlsx)&quot; dsname=&quot;SAP Disclosure Management - Production&quot;&gt;&lt;VARIABLES /&gt;&lt;/BBOOK&gt;&lt;BBOOK bbname=&quot;9527&quot; bbdesc=&quot;2016 Annual Accounts/EDF Annual Accounts/DC - Statement of changes in net assets of the 11th EDF (xlsx)&quot; dsname=&quot;SAP Disclosure Management - Production&quot;&gt;&lt;VARIABLES /&gt;&lt;/BBOOK&gt;&lt;BBOOK bbname=&quot;11&quot; bbdesc=&quot;2013 Annual Accounts/EU Annual Accounts/Trial Balance ECCS (xlsx)&quot; dsname=&quot;SAP Disclosure Management - Production&quot;&gt;&lt;VARIABLES /&gt;&lt;/BBOOK&gt;&lt;BBOOK bbname=&quot;21&quot; bbdesc=&quot;2013 Annual Accounts/EU Annual Accounts/Cashflow statement calculation (xlsx)&quot; dsname=&quot;SAP Disclosure Management - Production&quot;&gt;&lt;VARIABLES /&gt;&lt;/BBOOK&gt;&lt;BBOOK bbname=&quot;25&quot; bbdesc=&quot;2013 Annual Accounts/EU Annual Accounts/Statement of changes (xlsx)&quot; dsname=&quot;SAP Disclosure Management - Production&quot;&gt;&lt;VARIABLES /&gt;&lt;/BBOOK&gt;&lt;BBOOK bbname=&quot;14&quot; bbdesc=&quot;2013 Annual Accounts/EU Annual Accounts/Currency (xlsx)&quot; dsname=&quot;SAP Disclosre Management - Production&quot;&gt;&lt;VARIABLES /&gt;&lt;/BBOOK&gt;&lt;BBOOK bbname=&quot;17&quot; bbdesc=&quot;2013 Annual Accounts/EU Annual Accounts/Upload DeprecRates (xlsx)&quot; dsname=&quot;SAP Disclosre Management - Production&quot;&gt;&lt;VARIABLES /&gt;&lt;/BBOOK&gt;&lt;BBOOK bbname=&quot;20&quot; bbdesc=&quot;2013 Annual Accounts/EU Annual Accounts/Manual Table (xlsx)&quot; dsname=&quot;SAP Disclosre Management - Production&quot;&gt;&lt;VARIABLES /&gt;&lt;/BBOOK&gt;&lt;BBOOK bbname=&quot;18&quot; bbdesc=&quot;2013 Annual Accounts/EU Annual Accounts/DeprecRates upload (xlsx)&quot; dsname=&quot;SAP Disclosre Management - Production&quot;&gt;&lt;VARIABLES /&gt;&lt;/BBOOK&gt;&lt;BBOOK bbname=&quot;27&quot; bbdesc=&quot;2013 Annual Accounts/EU Annual Accounts/Upload Intangible FA 2012 (xlsx)&quot; dsname=&quot;SAP Disclosre Management - Production&quot;&gt;&lt;VARIABLES /&gt;&lt;/BBOOK&gt;&lt;BBOOK bbname=&quot;16&quot; bbdesc=&quot;2013 Annual Accounts/EU Annual Accounts/Assets (xlsx)&quot; dsname=&quot;SAP Disclosure Management - Production&quot;&gt;&lt;VARIABLES /&gt;&lt;/BBOOK&gt;&lt;BBOOK bbname=&quot;30&quot; bbdesc=&quot;2013 Annual Accounts/EU Annual Accounts/PPE 2012 (xlsx)&quot; dsname=&quot;SAP Disclosre Management - Production&quot;&gt;&lt;VARIABLES /&gt;&lt;/BBOOK&gt;&lt;BBOOK bbname=&quot;31&quot; bbdesc=&quot;2013 Annual Accounts/EU Annual Accounts/Finance Lease (xlsx)&quot; dsname=&quot;SAP Disclosre Management - Production&quot;&gt;&lt;VARIABLES /&gt;&lt;/BBOOK&gt;&lt;BBOOK bbname=&quot;64&quot; bbdesc=&quot;2013 Annual Accounts/EU Annual Accounts/MT_Silvie Deckers (xlsx)&quot; dsname=&quot;SAP Disclosre Management - Production&quot;&gt;&lt;VARIABLES /&gt;&lt;/BBOOK&gt;&lt;BBOOK bbname=&quot;69&quot; bbdesc=&quot;2013 Annual Accounts/EU Annual Accounts/Participations in joint ventures (xlsx)&quot; dsname=&quot;SAP Disclosure Management - Production&quot;&gt;&lt;VARIABLES /&gt;&lt;/BBOOK&gt;&lt;BBOOK bbname=&quot;197&quot; bbdesc=&quot;2013 Annual Accounts/EU Annual Accounts/Non current AFS financial assets (xlsx)&quot; dsname=&quot;SAP Disclosure Management - Production&quot;&gt;&lt;VARIABLES /&gt;&lt;/BBOOK&gt;&lt;BBOOK bbname=&quot;68&quot; bbdesc=&quot;2013 Annual Accounts/EU Annual Accounts/Non current financial assets (xlsx)&quot; dsname=&quot;SAP Disclosure Management - Production&quot;&gt;&lt;VARIABLES /&gt;&lt;/BBOOK&gt;&lt;BBOOK bbname=&quot;163&quot; bbdesc=&quot;2013 Annual Accounts/EU Annual Accounts/Receivables from Member States (xlsx)&quot; dsname=&quot;SAP Disclosure Management - Production&quot;&gt;&lt;VARIABLES /&gt;&lt;/BBOOK&gt;&lt;BBOOK bbname=&quot;200&quot; bbdesc=&quot;2013 Annual Accounts/EU Annual Accounts/MT_Valentina (xlsx)&quot; dsname=&quot;SAP Disclosure Management - Production&quot;&gt;&lt;VARIABLES /&gt;&lt;/BBOOK&gt;&lt;BBOOK bbname=&quot;133&quot; bbdesc=&quot;2013 Annual Accounts/EU Annual Accounts/MT_Annika Oerbom (xlsx)&quot; dsname=&quot;SAP Disclosure Management - Production&quot;&gt;&lt;VARIABLES /&gt;&lt;/BBOOK&gt;&lt;BBOOK bbname=&quot;155&quot; bbdesc=&quot;2013 Annual Accounts/EU Annual Accounts/Notes to financial performance (xlsx)&quot; dsname=&quot;SAP Disclosure Management - Production&quot;&gt;&lt;VARIABLES /&gt;&lt;/BBOOK&gt;&lt;BBOOK bbname=&quot;33&quot; bbdesc=&quot;2013 Annual Accounts/EU Annual Accounts/Upload Fin Lease 2nd part PY (xlsx)&quot; dsname=&quot;SAP Disclosure Management - Production&quot;&gt;&lt;VARIABLES /&gt;&lt;/BBOOK&gt;&lt;BBOOK bbname=&quot;156&quot; bbdesc=&quot;2013 Annual Accounts/EU Annual Accounts/Segment reporting calculation (xlsx)&quot; dsname=&quot;SAP Disclosure Management - Production&quot;&gt;&lt;VARIABLES /&gt;&lt;/BBOOK&gt;&lt;BBOOK bbname=&quot;202&quot; bbdesc=&quot;2013 Annual Accounts/EU Annual Accounts/CONTINGENT ASSETS AND LIABILITIES AND OTHER SIGN DISCL (xlsx)&quot; dsname=&quot;SAP Disclosure Management - Production&quot;&gt;&lt;VARIABLES /&gt;&lt;/BBOOK&gt;&lt;BBOOK bbname=&quot;203&quot; bbdesc=&quot;2013 Annual Accounts/EU Annual Accounts/PROTECTION OF THE EU BUDGET_NOTE 6 (xlsx)&quot; dsname=&quot;SAP Disclosure Management - Production&quot;&gt;&lt;VARIABLES /&gt;&lt;/BBOOK&gt;&lt;BBOOK bbname=&quot;204&quot; bbdesc=&quot;2013 Annual Accounts/EU Annual Accounts/FIN SUPPORT MECHANISMS (xlsx)&quot; dsname=&quot;SAP Disclosure Management - Production&quot;&gt;&lt;VARIABLES /&gt;&lt;/BBOOK&gt;&lt;BBOOK bbname=&quot;205&quot; bbdesc=&quot;2013 Annual Accounts/EU Annual Accounts/REL PARTY DISCLOSURES (xlsx)&quot; dsname=&quot;SAP Disclosure Management - Production&quot;&gt;&lt;VARIABLES /&gt;&lt;/BBOOK&gt;&lt;BBOOK bbname=&quot;173&quot; bbdesc=&quot;2013 Annual Accounts/EU Annual Accounts/Upload BO reports 2 (xlsx)&quot; dsname=&quot;SAP Disclosure Management - Production&quot;&gt;&lt;VARIABLES /&gt;&lt;/BBOOK&gt;&lt;BBOOK bbname=&quot;162&quot; bbdesc=&quot;2013 Annual Accounts/EU Annual Accounts/Upload BO reports (xlsx)&quot; dsname=&quot;SAP Disclosure Management - Production&quot;&gt;&lt;VARIABLES /&gt;&lt;/BBOOK&gt;&lt;BBOOK bbname=&quot;381&quot; bbdesc=&quot;2013 Annual Accounts/EC Annual Accounts/Trial Balance ECCS (xlsx)&quot; dsname=&quot;SAP Disclosure Management - Production&quot;&gt;&lt;VARIABLES /&gt;&lt;/BBOOK&gt;&lt;BBOOK bbname=&quot;408&quot; bbdesc=&quot;2013 Annual Accounts/EC Annual Accounts/DC - Balance Sheet (xlsx)&quot; dsname=&quot;SAP Disclosure Management - Production&quot;&gt;&lt;VARIABLES /&gt;&lt;/BBOOK&gt;&lt;BBOOK bbname=&quot;429&quot; bbdesc=&quot;2013 Annual Accounts/EC Annual Accounts/DC - Balance Sheet (xls)&quot; dsname=&quot;SAP Disclosure Management - Production&quot;&gt;&lt;VARIABLES /&gt;&lt;/BBOOK&gt;&lt;BBOOK bbname=&quot;550&quot; bbdesc=&quot;2013 Annual Accounts/EC Annual Accounts/DC - Balance Sheet (xlsx)&quot; dsname=&quot;SAP Disclosure Management - Production&quot;&gt;&lt;VARIABLES /&gt;&lt;/BBOOK&gt;&lt;BBOOK bbname=&quot;411&quot; bbdesc=&quot;2013 Annual Accounts/EC Annual Accounts/DC - Statement of Financial Performance (xlsx)&quot; dsname=&quot;SAP Disclosure Management - Production&quot;&gt;&lt;VARIABLES /&gt;&lt;/BBOOK&gt;&lt;BBOOK bbname=&quot;432&quot; bbdesc=&quot;2013 Annual Accounts/EC Annual Accounts/DC - Statement of Fin. Performance (xls)&quot; dsname=&quot;SAP Disclosure Management - Production&quot;&gt;&lt;VARIABLES /&gt;&lt;/BBOOK&gt;&lt;BBOOK bbname=&quot;552&quot; bbdesc=&quot;2013 Annual Accounts/EC Annual Accounts/DC - Statement of Financial Performance (xlsx)&quot; dsname=&quot;SAP Disclosure Management - Production&quot;&gt;&lt;VARIABLES /&gt;&lt;/BBOOK&gt;&lt;BBOOK bbname=&quot;236&quot; bbdesc=&quot;2013 Annual Accounts/EC Annual Accounts/Cashflow statement calculation (xlsx)&quot; dsname=&quot;SAP Disclosure Management - Production&quot;&gt;&lt;VARIABLES /&gt;&lt;/BBOOK&gt;&lt;BBOOK bbname=&quot;215&quot; bbdesc=&quot;2013 Annual Accounts/EC Annual Accounts/Assets (xlsx)&quot; dsname=&quot;SAP Disclosure Management - Production&quot;&gt;&lt;VARIABLES /&gt;&lt;/BBOOK&gt;&lt;BBOOK bbname=&quot;412&quot; bbdesc=&quot;2013 Annual Accounts/EC Annual Accounts/DC - Cashflow Statement (xlsx)&quot; dsname=&quot;SAP Disclosure Management - Production&quot;&gt;&lt;VARIABLES /&gt;&lt;/BBOOK&gt;&lt;BBOOK bbname=&quot;433&quot; bbdesc=&quot;2013 Annual Accounts/EC Annual Accounts/DC - Cashflow (xls)&quot; dsname=&quot;SAP Disclosure Management - Production&quot;&gt;&lt;VARIABLES /&gt;&lt;/BBOOK&gt;&lt;BBOOK bbname=&quot;551&quot; bbdesc=&quot;2013 Annual Accounts/EC Annual Accounts/DC CF calculation (xlsx)&quot; dsname=&quot;SAP Disclosure Management - Production&quot;&gt;&lt;VARIABLES /&gt;&lt;/BBOOK&gt;&lt;BBOOK bbname=&quot;606&quot; bbdesc=&quot;2013 Annual Accounts/EC Annual Accounts/DC - Cashflow statement automated (xlsx)&quot; dsname=&quot;SAP Disclosure Management - Production&quot;&gt;&lt;VARIABLES /&gt;&lt;/BBOOK&gt;&lt;BBOOK bbname=&quot;371&quot; bbdesc=&quot;2013 Annual Accounts/EU Annual Accounts/Statement of changes (xlsx)&quot; dsname=&quot;SAP Disclosure Management - Production&quot;&gt;&lt;VARIABLES /&gt;&lt;/BBOOK&gt;&lt;BBOOK bbname=&quot;428&quot; bbdesc=&quot;2013 Annual Accounts/EC Annual Accounts/DC - Statement of changes in net assets (xls)&quot; dsname=&quot;SAP Disclosure Management - Production&quot;&gt;&lt;VARIABLES /&gt;&lt;/BBOOK&gt;&lt;BBOOK bbname=&quot;553&quot; bbdesc=&quot;2013 Annual Accounts/EC Annual Accounts/DC - Statement of changes in net assets (xlsx)&quot; dsname=&quot;SAP Disclosure Management - Production&quot;&gt;&lt;VARIABLES /&gt;&lt;/BBOOK&gt;&lt;BBOOK bbname=&quot;251&quot; bbdesc=&quot;2013 Annual Accounts/EU Annual Accounts/Currency (xlsx)&quot; dsname=&quot;SAP Disclosre Management - Production&quot;&gt;&lt;VARIABLES /&gt;&lt;/BBOOK&gt;&lt;BBOOK bbname=&quot;388&quot; bbdesc=&quot;2013 Annual Accounts/EU Annual Accounts/Upload DeprecRates (xlsx)&quot; dsname=&quot;SAP Disclosre Management - Production&quot;&gt;&lt;VARIABLES /&gt;&lt;/BBOOK&gt;&lt;BBOOK bbname=&quot;309&quot; bbdesc=&quot;2013 Annual Accounts/EU Annual Accounts/Manual Table (xlsx)&quot; dsname=&quot;SAP Disclosre Management - Production&quot;&gt;&lt;VARIABLES /&gt;&lt;/BBOOK&gt;&lt;BBOOK bbname=&quot;440&quot; bbdesc=&quot;2013 Annual Accounts/EC Annual Accounts/DC - Significant Accounting Policies (xls)&quot; dsname=&quot;SAP Disclosure Management - Production&quot;&gt;&lt;VARIABLES /&gt;&lt;/BBOOK&gt;&lt;BBOOK bbname=&quot;557&quot; bbdesc=&quot;2013 Annual Accounts/EC Annual Accounts/DC - Significant accounting pol. - currency  table (xlsx)&quot; dsname=&quot;SAP Disclosure Management - Production&quot;&gt;&lt;VARIABLES /&gt;&lt;/BBOOK&gt;&lt;BBOOK bbname=&quot;267&quot; bbdesc=&quot;2013 Annual Accounts/EU Annual Accounts/DeprecRates upload (xlsx)&quot; dsname=&quot;SAP Disclosre Management - Production&quot;&gt;&lt;VARIABLES /&gt;&lt;/BBOOK&gt;&lt;BBOOK bbname=&quot;533&quot; bbdesc=&quot;2013 Annual Accounts/EC Annual Accounts/DC - Intangible fixed assets and PPE 2013 (xlsx)&quot; dsname=&quot;SAP Disclosure Management - Production&quot;&gt;&lt;VARIABLES /&gt;&lt;/BBOOK&gt;&lt;BBOOK bbname=&quot;342&quot; bbdesc=&quot;2013 Annual Accounts/EU Annual Accounts/PPE 2012 (xlsx)&quot; dsname=&quot;SAP Disclosre Management - Production&quot;&gt;&lt;VARIABLES /&gt;&lt;/BBOOK&gt;&lt;BBOOK bbname=&quot;279&quot; bbdesc=&quot;2013 Annual Accounts/EU Annual Accounts/Finance Lease (xlsx)&quot; dsname=&quot;SAP Disclosre Management - Production&quot;&gt;&lt;VARIABLES /&gt;&lt;/BBOOK&gt;&lt;BBOOK bbname=&quot;314&quot; bbdesc=&quot;2013 Annual Accounts/EU Annual Accounts/MT_Silvie Deckers (xlsx)&quot; dsname=&quot;SAP Disclosre Management - Production&quot;&gt;&lt;VARIABLES /&gt;&lt;/BBOOK&gt;&lt;BBOOK bbname=&quot;338&quot; bbdesc=&quot;2013 Annual Accounts/EU Annual Accounts/Participations in joint ventures (xlsx)&quot; dsname=&quot;SAP Disclosure Management - Production&quot;&gt;&lt;VARIABLES /&gt;&lt;/BBOOK&gt;&lt;BBOOK bbname=&quot;535&quot; bbdesc=&quot;2013 Annual Accounts/EC Annual Accounts/DC - Investments accounted for using the equity method new (xlsx)&quot; dsname=&quot;SAP Disclosure Management - Production&quot;&gt;&lt;VARIABLES /&gt;&lt;/BBOOK&gt;&lt;BBOOK bbname=&quot;316&quot; bbdesc=&quot;2013 Annual Accounts/EU Annual Accounts/Non current AFS financial assets (xlsx)&quot; dsname=&quot;SAP Disclosure Management - Production&quot;&gt;&lt;VARIABLES /&gt;&lt;/BBOOK&gt;&lt;BBOOK bbname=&quot;457&quot; bbdesc=&quot;2013 Annual Accounts/EC Annual Accounts/DC - Non current financial assets (xlsx)&quot; dsname=&quot;SAP Disclosure Management - Production&quot;&gt;&lt;VARIABLES /&gt;&lt;/BBOOK&gt;&lt;BBOOK bbname=&quot;458&quot; bbdesc=&quot;2013 Annual Accounts/EC Annual Accounts/DC - Non current receivables and recoverables (xlsx)&quot; dsname=&quot;SAP Disclosure Management - Production&quot;&gt;&lt;VARIABLES /&gt;&lt;/BBOOK&gt;&lt;BBOOK bbname=&quot;459&quot; bbdesc=&quot;2013 Annual Accounts/EC Annual Accounts/DC - Non current prefinancing (xlsx)&quot; dsname=&quot;SAP Disclosure Management - Production&quot;&gt;&lt;VARIABLES /&gt;&lt;/BBOOK&gt;&lt;BBOOK bbname=&quot;491&quot; bbdesc=&quot;2013 Annual Accounts/EC Annual Accounts/DC - Inventories (xlsx)&quot; dsname=&quot;SAP Disclosure Management - Production&quot;&gt;&lt;VARIABLES /&gt;&lt;/BBOOK&gt;&lt;BBOOK bbname=&quot;492&quot; bbdesc=&quot;2013 Annual Accounts/EC Annual Accounts/DC - Current financial assets (xlsx)&quot; dsname=&quot;SAP Disclosure Management - Production&quot;&gt;&lt;VARIABLES /&gt;&lt;/BBOOK&gt;&lt;BBOOK bbname=&quot;352&quot; bbdesc=&quot;2013 Annual Accounts/EC Annual Accounts/Receivables from Member States (xlsx)&quot; dsname=&quot;SAP Disclosure Management - Production&quot;&gt;&lt;VARIABLES /&gt;&lt;/BBOOK&gt;&lt;BBOOK bbname=&quot;315&quot; bbdesc=&quot;2013 Annual Accounts/EU Annual Accounts/MT_Valentina (xlsx)&quot; dsname=&quot;SAP Disclosure Management - Production&quot;&gt;&lt;VARIABLES /&gt;&lt;/BBOOK&gt;&lt;BBOOK bbname=&quot;493&quot; bbdesc=&quot;2013 Annual Accounts/EC Annual Accounts/DC - Current receivables and recoverables (xlsx)&quot; dsname=&quot;SAP Disclosure Management - Production&quot;&gt;&lt;VARIABLES /&gt;&lt;/BBOOK&gt;&lt;BBOOK bbname=&quot;494&quot; bbdesc=&quot;2013 Annual Accounts/EC Annual Accounts/DC - Current pre-financing (xlsx)&quot; dsname=&quot;SAP Disclosure Management - Production&quot;&gt;&lt;VARIABLES /&gt;&lt;/BBOOK&gt;&lt;BBOOK bbname=&quot;495&quot; bbdesc=&quot;2013 Annual Accounts/EC Annual Accounts/DC - Cash and cash equivalents (xlsx)&quot; dsname=&quot;SAP Disclosure Management - Production&quot;&gt;&lt;VARIABLES /&gt;&lt;/BBOOK&gt;&lt;BBOOK bbname=&quot;313&quot; bbdesc=&quot;2013 Annual Accounts/EU Annual Accounts/MT_Annika Oerbom (xlsx)&quot; dsname=&quot;SAP Disclosure Management - Production&quot;&gt;&lt;VARIABLES /&gt;&lt;/BBOOK&gt;&lt;BBOOK bbname=&quot;497&quot; bbdesc=&quot;2013 Annual Accounts/EC Annual Accounts/DC - Pension and other employee benefits (xlsx)&quot; dsname=&quot;SAP Disclosure Management - Production&quot;&gt;&lt;VARIABLES /&gt;&lt;/BBOOK&gt;&lt;BBOOK bbname=&quot;498&quot; bbdesc=&quot;2013 Annual Accounts/EC Annual Accounts/DC - Non-current provisions (xlsx)&quot; dsname=&quot;SAP Disclosure Management - Production&quot;&gt;&lt;VARIABLES /&gt;&lt;/BBOOK&gt;&lt;BBOOK bbname=&quot;503&quot; bbdesc=&quot;2013 Annual Accounts/EC Annual Accounts/DC - Current provisions (xlsx)&quot; dsname=&quot;SAP Disclosure Management - Production&quot;&gt;&lt;VARIABLES /&gt;&lt;/BBOOK&gt;&lt;BBOOK bbname=&quot;499&quot; bbdesc=&quot;2013 Annual Accounts/EC Annual Accounts/DC - Non-current financial liabilities (xlsx)&quot; dsname=&quot;SAP Disclosure Management - Production&quot;&gt;&lt;VARIABLES /&gt;&lt;/BBOOK&gt;&lt;BBOOK bbname=&quot;500&quot; bbdesc=&quot;2013 Annual Accounts/EC Annual Accounts/DC - Other non-current liabilities (xlsx)&quot; dsname=&quot;SAP Disclosure Management - Production&quot;&gt;&lt;VARIABLES /&gt;&lt;/BBOOK&gt;&lt;BBOOK bbname=&quot;505&quot; bbdesc=&quot;2013 Annual Accounts/EC Annual Accounts/DC - Payables (xlsx)&quot; dsname=&quot;SAP Disclosure Management - Production&quot;&gt;&lt;VARIABLES /&gt;&lt;/BBOOK&gt;&lt;BBOOK bbname=&quot;507&quot; bbdesc=&quot;2013 Annual Accounts/EC Annual Accounts/DC - Reserves (xlsx)&quot; dsname=&quot;SAP Disclosure Management - Production&quot;&gt;&lt;VARIABLES /&gt;&lt;/BBOOK&gt;&lt;BBOOK bbname=&quot;508&quot; bbdesc=&quot;2013 Annual Accounts/EC Annual Accounts/DC - Amounts to be called from member states (xlsx)&quot; dsname=&quot;SAP Disclosure Management - Production&quot;&gt;&lt;VARIABLES /&gt;&lt;/BBOOK&gt;&lt;BBOOK bbname=&quot;326&quot; bbdesc=&quot;2013 Annual Accounts/EC Annual Accounts/Notes to financial performance (xlsx)&quot; dsname=&quot;SAP Disclosure Management - Production&quot;&gt;&lt;VARIABLES /&gt;&lt;/BBOOK&gt;&lt;BBOOK bbname=&quot;424&quot; bbdesc=&quot;2013 Annual Accounts/EC Annual Accounts/DC - Financial revenue (xlsx)&quot; dsname=&quot;SAP Disclosure Management - Production&quot;&gt;&lt;VARIABLES /&gt;&lt;/BBOOK&gt;&lt;BBOOK bbname=&quot;445&quot; bbdesc=&quot;2013 Annual Accounts/EC Annual Accounts/DC - Financial revenue (xls)&quot; dsname=&quot;SAP Disclosure Management - Production&quot;&gt;&lt;VARIABLES /&gt;&lt;/BBOOK&gt;&lt;BBOOK bbname=&quot;524&quot; bbdesc=&quot;2013 Annual Accounts/EC Annual Accounts/DC - Financial revenue (xlsx)&quot; dsname=&quot;SAP Disclosure Management - Production&quot;&gt;&lt;VARIABLES /&gt;&lt;/BBOOK&gt;&lt;BBOOK bbname=&quot;419&quot; bbdesc=&quot;2013 Annual Accounts/EC Annual Accounts/DC - Own resource and contributions revenue (xlsx)&quot; dsname=&quot;SAP Disclosure Management - Production&quot;&gt;&lt;VARIABLES /&gt;&lt;/BBOOK&gt;&lt;BBOOK bbname=&quot;436&quot; bbdesc=&quot;2013 Annual Accounts/EC Annual Accounts/DC - Own resource and contributions revenue (xls)&quot; dsname=&quot;SAP Disclosure Management - Production&quot;&gt;&lt;VARIABLES /&gt;&lt;/BBOOK&gt;&lt;BBOOK bbname=&quot;520&quot; bbdesc=&quot;2013 Annual Accounts/EC Annual Accounts/DC - Own resource and contributions revenue (xlsx)&quot; dsname=&quot;SAP Disclosure Management - Production&quot;&gt;&lt;VARIABLES /&gt;&lt;/BBOOK&gt;&lt;BBOOK bbname=&quot;415&quot; bbdesc=&quot;2013 Annual Accounts/EC Annual Accounts/DC - Other operating revenue (xlsx)&quot; dsname=&quot;SAP Disclosure Management - Production&quot;&gt;&lt;VARIABLES /&gt;&lt;/BBOOK&gt;&lt;BBOOK bbname=&quot;439&quot; bbdesc=&quot;2013 Annual Accounts/EC Annual Accounts/DC - Other operating revenue (xls)&quot; dsname=&quot;SAP Disclosure Management - Production&quot;&gt;&lt;VARIABLES /&gt;&lt;/BBOOK&gt;&lt;BBOOK bbname=&quot;521&quot; bbdesc=&quot;2013 Annual Accounts/EC Annual Accounts/DC - Other operating revenue (xlsx)&quot; dsname=&quot;SAP Disclosure Management - Production&quot;&gt;&lt;VARIABLES /&gt;&lt;/BBOOK&gt;&lt;BBOOK bbname=&quot;420&quot; bbdesc=&quot;2013 Annual Accounts/EC Annual Accounts/DC - Administrative expenses (xlsx)&quot; dsname=&quot;SAP Disclosure Management - Production&quot;&gt;&lt;VARIABLES /&gt;&lt;/BBOOK&gt;&lt;BBOOK bbname=&quot;442&quot; bbdesc=&quot;2013 Annual Accounts/EC Annual Accounts/DC - Administrative expenses (xls)&quot; dsname=&quot;SAP Disclosure Management - Production&quot;&gt;&lt;VARIABLES /&gt;&lt;/BBOOK&gt;&lt;BBOOK bbname=&quot;522&quot; bbdesc=&quot;2013 Annual Accounts/EC Annual Accounts/DC - Administrative expenses (xlsx)&quot; dsname=&quot;SAP Disclosure Management - Production&quot;&gt;&lt;VARIABLES /&gt;&lt;/BBOOK&gt;&lt;BBOOK bbname=&quot;423&quot; bbdesc=&quot;2013 Annual Accounts/EC Annual Accounts/DC - Operating expenses (xlsx)&quot; dsname=&quot;SAP Disclosure Management - Production&quot;&gt;&lt;VARIABLES /&gt;&lt;/BBOOK&gt;&lt;BBOOK bbname=&quot;443&quot; bbdesc=&quot;2013 Annual Accounts/EC Annual Accounts/DC - Operating expenses (xls)&quot; dsname=&quot;SAP Disclosure Management - Production&quot;&gt;&lt;VARIABLES /&gt;&lt;/BBOOK&gt;&lt;BBOOK bbname=&quot;523&quot; bbdesc=&quot;2013 Annual Accounts/EC Annual Accounts/DC - Operating expenses (xlsx)&quot; dsname=&quot;SAP Disclosure Management - Production&quot;&gt;&lt;VARIABLES /&gt;&lt;/BBOOK&gt;&lt;BBOOK bbname=&quot;425&quot; bbdesc=&quot;2013 Annual Accounts/EC Annual Accounts/DC - Financial expenses (xlsx)&quot; dsname=&quot;SAP Disclosure Management - Production&quot;&gt;&lt;VARIABLES /&gt;&lt;/BBOOK&gt;&lt;BBOOK bbname=&quot;447&quot; bbdesc=&quot;2013 Annual Accounts/EC Annual Accounts/DC - Financial expenses (xls)&quot; dsname=&quot;SAP Disclosure Management - Production&quot;&gt;&lt;VARIABLES /&gt;&lt;/BBOOK&gt;&lt;BBOOK bbname=&quot;525&quot; bbdesc=&quot;2013 Annual Accounts/EC Annual Accounts/DC - Financial expenses (xlsx)&quot; dsname=&quot;SAP Disclosure Management - Production&quot;&gt;&lt;VARIABLES /&gt;&lt;/BBOOK&gt;&lt;BBOOK bbname=&quot;366&quot; bbdesc=&quot;2013 Annual Accounts/EU Annual Accounts/Segment reporting calculation (xlsx)&quot; dsname=&quot;SAP Disclosure Management - Production&quot;&gt;&lt;VARIABLES /&gt;&lt;/BBOOK&gt;&lt;BBOOK bbname=&quot;594&quot; bbdesc=&quot;2013 Annual Accounts/EC Annual Accounts/DC - Segment reporting (xlsx)&quot; dsname=&quot;SAP Disclosure Management - Production&quot;&gt;&lt;VARIABLES /&gt;&lt;/BBOOK&gt;&lt;BBOOK bbname=&quot;245&quot; bbdesc=&quot;2013 Annual Accounts/EU Annual Accounts/CONTINGENT ASSETS AND LIABILITIES AND OTHER SIGN DISCL (xlsx)&quot; dsname=&quot;SAP Disclosure Management - Production&quot;&gt;&lt;VARIABLES /&gt;&lt;/BBOOK&gt;&lt;BBOOK bbname=&quot;514&quot; bbdesc=&quot;2013 Annual Accounts/EC Annual Accounts/DC - Contingent assets (xlsx)&quot; dsname=&quot;SAP Disclosure Management - Production&quot;&gt;&lt;VARIABLES /&gt;&lt;/BBOOK&gt;&lt;BBOOK bbname=&quot;515&quot; bbdesc=&quot;2013 Annual Accounts/EC Annual Accounts/DC - Contingent liabilities (xlsx)&quot; dsname=&quot;SAP Disclosure Management - Production&quot;&gt;&lt;VARIABLES /&gt;&lt;/BBOOK&gt;&lt;BBOOK bbname=&quot;516&quot; bbdesc=&quot;2013 Annual Accounts/EC Annual Accounts/DC - Guarantees given (xlsx)&quot; dsname=&quot;SAP Disclosure Management - Production&quot;&gt;&lt;VARIABLES /&gt;&lt;/BBOOK&gt;&lt;BBOOK bbname=&quot;517&quot; bbdesc=&quot;2013 Annual Accounts/EC Annual Accounts/DC - Other significant disclosures (xlsx)&quot; dsname=&quot;SAP Disclosure Management - Production&quot;&gt;&lt;VARIABLES /&gt;&lt;/BBOOK&gt;&lt;BBOOK bbname=&quot;518&quot; bbdesc=&quot;2013 Annual Accounts/EC Annual Accounts/DC - Significant legal commitments (xlsx)&quot; dsname=&quot;SAP Disclosure Management - Production&quot;&gt;&lt;VARIABLES /&gt;&lt;/BBOOK&gt;&lt;BBOOK bbname=&quot;657&quot; bbdesc=&quot;2013 Annual Accounts/EU Annual Accounts/DC - Result of implementation of the EU budget (xlsx)&quot; dsname=&quot;SAP Disclosure Management - Production&quot;&gt;&lt;VARIABLES /&gt;&lt;/BBOOK&gt;&lt;BBOOK bbname=&quot;207&quot; bbdesc=&quot;2013 Annual Accounts/EU Annual Accounts/SCOPE OF CONSO_NOTE 11 (xlsx)&quot; dsname=&quot;SAP Disclosure Management - Production&quot;&gt;&lt;VARIABLES /&gt;&lt;/BBOOK&gt;&lt;BBOOK bbname=&quot;664&quot; bbdesc=&quot;2013 Annual Accounts/EU Annual Accounts/DC - Implementation of EU budget revenue (xlsx)&quot; dsname=&quot;SAP Disclosure Management - Production&quot;&gt;&lt;VARIABLES /&gt;&lt;/BBOOK&gt;&lt;BBOOK bbname=&quot;862&quot; bbdesc=&quot;2013 Annual Accounts/EC Annual Accounts/DC - Result of implentation of the EU budget (xlsx)&quot; dsname=&quot;SAP Disclosure Management - Production&quot;&gt;&lt;VARIABLES /&gt;&lt;/BBOOK&gt;&lt;BBOOK bbname=&quot;869&quot; bbdesc=&quot;2013 Annual Accounts/EC Annual Accounts/DC - Implementation of EU budget revenue (xlsx)&quot; dsname=&quot;SAP Disclosure Management - Production&quot;&gt;&lt;VARIABLES /&gt;&lt;/BBOOK&gt;&lt;BBOOK bbname=&quot;871&quot; bbdesc=&quot;2013 Annual Accounts/EC Annual Accounts/DC - Implementation of EU budget expenditure (xlsx)&quot; dsname=&quot;SAP Disclosure Management - Production&quot;&gt;&lt;VARIABLES /&gt;&lt;/BBOOK&gt;&lt;BBOOK bbname=&quot;666&quot; bbdesc=&quot;2013 Annual Accounts/EU Annual Accounts/DC - Implementation of EU budget expenditure (xlsx)&quot; dsname=&quot;SAP Disclosure Management - Production&quot;&gt;&lt;VARIABLES /&gt;&lt;/BBOOK&gt;&lt;BBOOK bbname=&quot;534&quot; bbdesc=&quot;2013 Annual Accounts/EC Annual Accounts/DC - Finance Lease PPE (xlsx)&quot; dsname=&quot;SAP Disclosure Management - Production&quot;&gt;&lt;VARIABLES /&gt;&lt;/BBOOK&gt;&lt;BBOOK bbname=&quot;910&quot; bbdesc=&quot;2013 Annual Accounts/EC Annual Accounts/DC - Operating lease (xlsx)&quot; dsname=&quot;SAP Disclosure Management - Production&quot;&gt;&lt;VARIABLES /&gt;&lt;/BBOOK&gt;&lt;BBOOK bbname=&quot;1218&quot; bbdesc=&quot;2013 Annual Accounts/EU Annual Accounts/DC - Non current financial liabilities (xlsx)&quot; dsname=&quot;SAP Disclosure Management - Production&quot;&gt;&lt;VARIABLES /&gt;&lt;/BBOOK&gt;&lt;BBOOK bbname=&quot;1041&quot; bbdesc=&quot;2013 Annual Accounts/EEAS Annual Accounts/DC - Balance Sheet (xlsx)&quot; dsname=&quot;SAP Disclosure Management - Production&quot;&gt;&lt;VARIABLES /&gt;&lt;/BBOOK&gt;&lt;BBOOK bbname=&quot;5999&quot; bbdesc=&quot;2015 Annual Accounts/2015 BBI JU Annual accounts/DC - Balance Sheet (xlsx)&quot; dsname=&quot;SAP Disclosure Management - Production&quot;&gt;&lt;VARIABLES /&gt;&lt;/BBOOK&gt;&lt;BBOOK bbname=&quot;1042&quot; bbdesc=&quot;2013 Annual Accounts/EEAS Annual Accounts/DC - Statement of Financial Performance (xlsx)&quot; dsname=&quot;SAP Disclosure Management - Production&quot;&gt;&lt;VARIABLES /&gt;&lt;/BBOOK&gt;&lt;BBOOK bbname=&quot;2827&quot; bbdesc=&quot;2014 Annual Accounts/EDPS Annual accounts 2014/DC - Statement of Financial Performance del (xlsx)&quot; dsname=&quot;SAP Disclosure Management - Production&quot;&gt;&lt;VARIABLES /&gt;&lt;/BBOOK&gt;&lt;BBOOK bbname=&quot;6014&quot; bbdesc=&quot;2015 Annual Accounts/2015 BBI JU Annual accounts/DC - Statement of Financial Performance (xlsx)&quot; dsname=&quot;SAP Disclosure Management - Production&quot;&gt;&lt;VARIABLES /&gt;&lt;/BBOOK&gt;&lt;BBOOK bbname=&quot;1089&quot; bbdesc=&quot;2013 Annual Accounts/EEAS Annual Accounts/DC - Cashflow statement automated (xlsx)&quot; dsname=&quot;SAP Disclosure Management - Production&quot;&gt;&lt;VARIABLES /&gt;&lt;/BBOOK&gt;&lt;BBOOK bbname=&quot;6001&quot; bbdesc=&quot;2015 Annual Accounts/2015 BBI JU Annual accounts/DC - Cashflow statement (xlsx)&quot; dsname=&quot;SAP Disclosure Management - Production&quot;&gt;&lt;VARIABLES /&gt;&lt;/BBOOK&gt;&lt;BBOOK bbname=&quot;6000&quot; bbdesc=&quot;2015 Annual Accounts/2015 BBI JU Annual accounts/DC - Statement of changes in net assets (xlsx)&quot; dsname=&quot;SAP Disclosure Management - Production&quot;&gt;&lt;VARIABLES /&gt;&lt;/BBOOK&gt;&lt;BBOOK bbname=&quot;6041&quot; bbdesc=&quot;2015 Annual Accounts/2015 BBI JU Annual accounts/DC - Accrued charges and Deferred income (xlsx)&quot; dsname=&quot;SAP Disclosure Management - Production&quot;&gt;&lt;VARIABLES /&gt;&lt;/BBOOK&gt;&lt;BBOOK bbname=&quot;5383&quot; bbdesc=&quot;2015 Annual Accounts/EEAS Annual accounts/DC - DeprecRates (xlsx)&quot; dsname=&quot;SAP Disclosure Management - Production&quot;&gt;&lt;VARIABLES /&gt;&lt;/BBOOK&gt;&lt;BBOOK bbname=&quot;2532&quot; bbdesc=&quot;2014 Annual Accounts/EC Annual Accounts/DC - Intangible assets (xlsx)&quot; dsname=&quot;SAP Disclosure Management - Production&quot;&gt;&lt;VARIABLES /&gt;&lt;/BBOOK&gt;&lt;BBOOK bbname=&quot;3083&quot; bbdesc=&quot;2014 Annual Accounts/EEAS Annual Accounts 2014/DC - Intangible fixed assets and PPE CY (xlsx)&quot; dsname=&quot;SAP Disclosure Management - Production&quot;&gt;&lt;VARIABLES /&gt;&lt;/BBOOK&gt;&lt;BBOOK bbname=&quot;2533&quot; bbdesc=&quot;2014 Annual Accounts/EC Annual Accounts/DC - Property plant and equipment (xlsx)&quot; dsname=&quot;SAP Disclosure Management - Production&quot;&gt;&lt;VARIABLES /&gt;&lt;/BBOOK&gt;&lt;BBOOK bbname=&quot;6030&quot; bbdesc=&quot;2015 Annual Accounts/2015 BBI JU Annual accounts/DC - PPE CY (xlsx)&quot; dsname=&quot;SAP Disclosure Management - Production&quot;&gt;&lt;VARIABLES /&gt;&lt;/BBOOK&gt;&lt;BBOOK bbname=&quot;2536&quot; bbdesc=&quot;2014 Annual Accounts/EC Annual Accounts/DC - Pre-financing (xlsx)&quot; dsname=&quot;SAP Disclosure Management - Production&quot;&gt;&lt;VARIABLES /&gt;&lt;/BBOOK&gt;&lt;BBOOK bbname=&quot;2438&quot; bbdesc=&quot;2014 Annual Accounts/EC Annual Accounts/DC - Pre-financing detailed (xlsx)&quot; dsname=&quot;SAP Disclosure Management - Production&quot;&gt;&lt;VARIABLES /&gt;&lt;/BBOOK&gt;&lt;BBOOK bbname=&quot;3090&quot; bbdesc=&quot;2014 Annual Accounts/EEAS Annual Accounts 2014/DC - Pre-financing (xlsx)&quot; dsname=&quot;SAP Disclosure Management - Production&quot;&gt;&lt;VARIABLES /&gt;&lt;/BBOOK&gt;&lt;BBOOK bbname=&quot;3091&quot; bbdesc=&quot;2014 Annual Accounts/EEAS Annual Accounts 2014/DC - Pre-financing detailed (xlsx)&quot; dsname=&quot;SAP Disclosure Management - Production&quot;&gt;&lt;VARIABLES /&gt;&lt;/BBOOK&gt;&lt;BBOOK bbname=&quot;6036&quot; bbdesc=&quot;2015 Annual Accounts/2015 BBI JU Annual accounts/DC - Pre-financing (xlsx)&quot; dsname=&quot;SAP Disclosure Management - Production&quot;&gt;&lt;VARIABLES /&gt;&lt;/BBOOK&gt;&lt;BBOOK bbname=&quot;2440&quot; bbdesc=&quot;2014 Annual Accounts/EC Annual Accounts/DC - Exchange receivables and Non-exchange recoverables (xlsx)&quot; dsname=&quot;SAP Disclosure Management - Production&quot;&gt;&lt;VARIABLES /&gt;&lt;/BBOOK&gt;&lt;BBOOK bbname=&quot;2442&quot; bbdesc=&quot;2014 Annual Accounts/EC Annual Accounts/DC - Recoverables from Member States (xlsx)&quot; dsname=&quot;SAP Disclosure Management - Production&quot;&gt;&lt;VARIABLES /&gt;&lt;/BBOOK&gt;&lt;BBOOK bbname=&quot;2483&quot; bbdesc=&quot;2014 Annual Accounts/EC Annual Accounts/DC - Fines (xlsx)&quot; dsname=&quot;SAP Disclosure Management - Production&quot;&gt;&lt;VARIABLES /&gt;&lt;/BBOOK&gt;&lt;BBOOK bbname=&quot;2444&quot; bbdesc=&quot;2014 Annual Accounts/EC Annual Accounts/DC - Accrued income and Deferred charges (xlsx)&quot; dsname=&quot;SAP Disclosure Management - Production&quot;&gt;&lt;VARIABLES /&gt;&lt;/BBOOK&gt;&lt;BBOOK bbname=&quot;2545&quot; bbdesc=&quot;2014 Annual Accounts/EC Annual Accounts/DC - Accrued charges and Deferred income (xlsx)&quot; dsname=&quot;SAP Disclosure Management - Production&quot;&gt;&lt;VARIABLES /&gt;&lt;/BBOOK&gt;&lt;BBOOK bbname=&quot;3085&quot; bbdesc=&quot;2014 Annual Accounts/EEAS Annual Accounts 2014/DC - Exchange receivables and Non-exchange recoverables (xlsx)&quot; dsname=&quot;SAP Disclosure Management - Production&quot;&gt;&lt;VARIABLES /&gt;&lt;/BBOOK&gt;&lt;BBOOK bbname=&quot;3086&quot; bbdesc=&quot;2014 Annual Accounts/EEAS Annual Accounts 2014/DC - Recoverables from Member States (xlsx)&quot; dsname=&quot;SAP Disclosure Management - Production&quot;&gt;&lt;VARIABLES /&gt;&lt;/BBOOK&gt;&lt;BBOOK bbname=&quot;3087&quot; bbdesc=&quot;2014 Annual Accounts/EEAS Annual Accounts 2014/DC - Accrued income and Deferred charges (xlsx)&quot; dsname=&quot;SAP Disclosure Management - Production&quot;&gt;&lt;VARIABLES /&gt;&lt;/BBOOK&gt;&lt;BBOOK bbname=&quot;6032&quot; bbdesc=&quot;2015 Annual Accounts/2015 BBI JU Annual accounts/DC - Exchange receivables and Non-exchange recoverables (xlsx)&quot; dsname=&quot;SAP Disclosure Management - Production&quot;&gt;&lt;VARIABLES /&gt;&lt;/BBOOK&gt;&lt;BBOOK bbname=&quot;3201&quot; bbdesc=&quot;2014 Annual Accounts/FCH JU Annual accounts 2014/DC - Accrued income and Deferred charges (xlsx)&quot; dsname=&quot;SAP Disclosure Management - Production&quot;&gt;&lt;VARIABLES /&gt;&lt;/BBOOK&gt;&lt;BBOOK bbname=&quot;2540&quot; bbdesc=&quot;2014 Annual Accounts/EC Annual Accounts/DC - Provisions (xlsx)&quot; dsname=&quot;SAP Disclosure Management - Production&quot;&gt;&lt;VARIABLES /&gt;&lt;/BBOOK&gt;&lt;BBOOK bbname=&quot;3097&quot; bbdesc=&quot;2014 Annual Accounts/EEAS Annual Accounts 2014/DC - Provisions (xlsx)&quot; dsname=&quot;SAP Disclosure Management - Production&quot;&gt;&lt;VARIABLES /&gt;&lt;/BBOOK&gt;&lt;BBOOK bbname=&quot;3203&quot; bbdesc=&quot;2014 Annual Accounts/FCH JU Annual accounts 2014/DC - Provisions (xlsx)&quot; dsname=&quot;SAP Disclosure Management - Production&quot;&gt;&lt;VARIABLES /&gt;&lt;/BBOOK&gt;&lt;BBOOK bbname=&quot;2903&quot; bbdesc=&quot;2014 Annual Accounts/EEAS Annual Accounts 2014/DC - Payables (xlsx)&quot; dsname=&quot;SAP Disclosure Management - Production&quot;&gt;&lt;VARIABLES /&gt;&lt;/BBOOK&gt;&lt;BBOOK bbname=&quot;3283&quot; bbdesc=&quot;2014 Annual Accounts/CEPOL Annual accounts 2014/DC - Payables (xlsx)&quot; dsname=&quot;SAP Disclosure Management - Production&quot;&gt;&lt;VARIABLES /&gt;&lt;/BBOOK&gt;&lt;BBOOK bbname=&quot;6043&quot; bbdesc=&quot;2015 Annual Accounts/2015 BBI JU Annual accounts/DC - Payables (xlsx)&quot; dsname=&quot;SAP Disclosure Management - Production&quot;&gt;&lt;VARIABLES /&gt;&lt;/BBOOK&gt;&lt;BBOOK bbname=&quot;3112&quot; bbdesc=&quot;2014 Annual Accounts/EEAS Annual Accounts 2014/DC - Accrued charges and Deferred income (xlsx)&quot; dsname=&quot;SAP Disclosure Management - Production&quot;&gt;&lt;VARIABLES /&gt;&lt;/BBOOK&gt;&lt;BBOOK bbname=&quot;5303&quot; bbdesc=&quot;2015 Annual Accounts/2015 FCH JU Annual accounts/DC - Accrued charges and Deferred income (xlsx)&quot; dsname=&quot;SAP Disclosure Management - Production&quot;&gt;&lt;VARIABLES /&gt;&lt;/BBOOK&gt;&lt;BBOOK bbname=&quot;2546&quot; bbdesc=&quot;2014 Annual Accounts/EC Annual Accounts/DC - Reserves (xlsx)&quot; dsname=&quot;SAP Disclosure Management - Production&quot;&gt;&lt;VARIABLES /&gt;&lt;/BBOOK&gt;&lt;BBOOK bbname=&quot;2547&quot; bbdesc=&quot;2014 Annual Accounts/EC Annual Accounts/DC - Amounts to be called from member states (xlsx)&quot; dsname=&quot;SAP Disclosure Management - Production&quot;&gt;&lt;VARIABLES /&gt;&lt;/BBOOK&gt;&lt;BBOOK bbname=&quot;2561&quot; bbdesc=&quot;2014 Annual Accounts/EC Annual Accounts/DC - Fair value movements of available for sale financial assets (xlsx)&quot; dsname=&quot;SAP Disclosure Management - Production&quot;&gt;&lt;VARIABLES /&gt;&lt;/BBOOK&gt;&lt;BBOOK bbname=&quot;3207&quot; bbdesc=&quot;2014 Annual Accounts/FCH JU Annual accounts 2014/DC - Accrued charges and Deferred income (xlsx)&quot; dsname=&quot;SAP Disclosure Management - Production&quot;&gt;&lt;VARIABLES /&gt;&lt;/BBOOK&gt;&lt;BBOOK bbname=&quot;6017&quot; bbdesc=&quot;2015 Annual Accounts/2015 FCH JU Annual accounts/DC - FP7 Contributions (xlsx)&quot; dsname=&quot;SAP Disclosure Management - Production&quot;&gt;&lt;VARIABLES /&gt;&lt;/BBOOK&gt;&lt;BBOOK bbname=&quot;6050&quot; bbdesc=&quot;2015 Annual Accounts/2015 BBI JU Annual accounts/DC - H2020 Contributions (xlsx)&quot; dsname=&quot;SAP Disclosure Management - Production&quot;&gt;&lt;VARIABLES /&gt;&lt;/BBOOK&gt;&lt;BBOOK bbname=&quot;6073&quot; bbdesc=&quot;2015 Annual Accounts/2015 BBI JU Annual accounts/Upload Contributions H2020_voting rights (xlsx)&quot; dsname=&quot;SAP Disclosure Management - Production&quot;&gt;&lt;VARIABLES /&gt;&lt;/BBOOK&gt;&lt;BBOOK bbname=&quot;6072&quot; bbdesc=&quot;2015 Annual Accounts/2015 BBI JU Annual accounts/DC - H2020 Contributions (xlsx)&quot; dsname=&quot;SAP Disclosure Management - Production&quot;&gt;&lt;VARIABLES /&gt;&lt;/BBOOK&gt;&lt;BBOOK bbname=&quot;2549&quot; bbdesc=&quot;2014 Annual Accounts/EC Annual Accounts/DC - Recovery of expenses (xlsx)&quot; dsname=&quot;SAP Disclosure Management - Production&quot;&gt;&lt;VARIABLES /&gt;&lt;/BBOOK&gt;&lt;BBOOK bbname=&quot;3041&quot; bbdesc=&quot;2014 Annual Accounts/EEAS Annual Accounts 2014/DC - Recovery of expenses (xlsx)&quot; dsname=&quot;SAP Disclosure Management - Production&quot;&gt;&lt;VARIABLES /&gt;&lt;/BBOOK&gt;&lt;BBOOK bbname=&quot;3209&quot; bbdesc=&quot;2014 Annual Accounts/FCH JU Annual accounts 2014/DC - Recovery of expenses (xlsx)&quot; dsname=&quot;SAP Disclosure Management - Production&quot;&gt;&lt;VARIABLES /&gt;&lt;/BBOOK&gt;&lt;BBOOK bbname=&quot;2485&quot; bbdesc=&quot;2014 Annual Accounts/EC Annual Accounts/DC - Other non-exchange revenue (xlsx)&quot; dsname=&quot;SAP Disclosure Management - Production&quot;&gt;&lt;VARIABLES /&gt;&lt;/BBOOK&gt;&lt;BBOOK bbname=&quot;3043&quot; bbdesc=&quot;2014 Annual Accounts/EEAS Annual Accounts 2014/DC - Other non-exchange revenue (xlsx)&quot; dsname=&quot;SAP Disclosure Management - Production&quot;&gt;&lt;VARIABLES /&gt;&lt;/BBOOK&gt;&lt;BBOOK bbname=&quot;6024&quot; bbdesc=&quot;2015 Annual Accounts/2015 BBI JU Annual accounts/DC - Other non-exchange revenue (xlsx)&quot; dsname=&quot;SAP Disclosure Management - Production&quot;&gt;&lt;VARIABLES /&gt;&lt;/BBOOK&gt;&lt;BBOOK bbname=&quot;2550&quot; bbdesc=&quot;2014 Annual Accounts/EC Annual Accounts/DC - Other exchange revenue (xlsx)&quot; dsname=&quot;SAP Disclosure Management - Production&quot;&gt;&lt;VARIABLES /&gt;&lt;/BBOOK&gt;&lt;BBOOK bbname=&quot;3047&quot; bbdesc=&quot;2014 Annual Accounts/EEAS Annual Accounts 2014/DC - Other exchange revenue (xlsx)&quot; dsname=&quot;SAP Disclosure Management - Production&quot;&gt;&lt;VARIABLES /&gt;&lt;/BBOOK&gt;&lt;BBOOK bbname=&quot;3993&quot; bbdesc=&quot;2015 Annual Accounts/2015 CEPOL Annual accounts/DC - Other exchange revenue (xlsx)&quot; dsname=&quot;SAP Disclosure Management - Production&quot;&gt;&lt;VARIABLES /&gt;&lt;/BBOOK&gt;&lt;BBOOK bbname=&quot;6086&quot; bbdesc=&quot;2015 Annual Accounts/2015 BBI JU Annual accounts/DC - Other exchange revenue (xlsx)&quot; dsname=&quot;SAP Disclosure Management - Production&quot;&gt;&lt;VARIABLES /&gt;&lt;/BBOOK&gt;&lt;BBOOK bbname=&quot;5288&quot; bbdesc=&quot;2015 Annual Accounts/2015 FCH JU Annual accounts/DC - Other expenses (xlsx)&quot; dsname=&quot;SAP Disclosure Management - Production&quot;&gt;&lt;VARIABLES /&gt;&lt;/BBOOK&gt;&lt;BBOOK bbname=&quot;5289&quot; bbdesc=&quot;2015 Annual Accounts/2015 FCH JU Annual accounts/DC - Property plant and equipment related expenses (xlsx)&quot; dsname=&quot;SAP Disclosure Management - Production&quot;&gt;&lt;VARIABLES /&gt;&lt;/BBOOK&gt;&lt;BBOOK bbname=&quot;5287&quot; bbdesc=&quot;2015 Annual Accounts/2015 FCH JU Annual accounts/DC - Operating costs (xlsx)&quot; dsname=&quot;SAP Disclosure Management - Production&quot;&gt;&lt;VARIABLES /&gt;&lt;/BBOOK&gt;&lt;BBOOK bbname=&quot;6025&quot; bbdesc=&quot;2015 Annual Accounts/2015 BBI JU Annual accounts/DC - Operating costs (xlsx)&quot; dsname=&quot;SAP Disclosure Management - Production&quot;&gt;&lt;VARIABLES /&gt;&lt;/BBOOK&gt;&lt;BBOOK bbname=&quot;3213&quot; bbdesc=&quot;2014 Annual Accounts/FCH JU Annual accounts 2014/DC - Other expenses (xlsx)&quot; dsname=&quot;SAP Disclosure Management - Production&quot;&gt;&lt;VARIABLES /&gt;&lt;/BBOOK&gt;&lt;BBOOK bbname=&quot;3494&quot; bbdesc=&quot;2014 Annual Accounts/FCH JU Annual accounts 2014/DC - Property plant and equipment related expenses (xlsx)&quot; dsname=&quot;SAP Disclosure Management - Production&quot;&gt;&lt;VARIABLES /&gt;&lt;/BBOOK&gt;&lt;BBOOK bbname=&quot;6026&quot; bbdesc=&quot;2015 Annual Accounts/2015 BBI JU Annual accounts/DC - Other expenses (xlsx)&quot; dsname=&quot;SAP Disclosure Management - Production&quot;&gt;&lt;VARIABLES /&gt;&lt;/BBOOK&gt;&lt;BBOOK bbname=&quot;6027&quot; bbdesc=&quot;2015 Annual Accounts/2015 BBI JU Annual accounts/DC - Property plant and equipment related expenses (xlsx)&quot; dsname=&quot;SAP Disclosure Management - Production&quot;&gt;&lt;VARIABLES /&gt;&lt;/BBOOK&gt;&lt;BBOOK bbname=&quot;2530&quot; bbdesc=&quot;2014 Annual Accounts/EC Annual Accounts/DC - Outstanding commitments not yet expensed (xlsx)&quot; dsname=&quot;SAP Disclosure Management - Production&quot;&gt;&lt;VARIABLES /&gt;&lt;/BBOOK&gt;&lt;BBOOK bbname=&quot;2531&quot; bbdesc=&quot;2014 Annual Accounts/EC Annual Accounts/DC - Significant legal commitments (xlsx)&quot; dsname=&quot;SAP Disclosure Management - Production&quot;&gt;&lt;VARIABLES /&gt;&lt;/BBOOK&gt;&lt;BBOOK bbname=&quot;3314&quot; bbdesc=&quot;2014 Annual Accounts/FCH JU Annual accounts 2014/DC - Outstanding commitments not yet expensed (xlsx)&quot; dsname=&quot;SAP Disclosure Management - Production&quot;&gt;&lt;VARIABLES /&gt;&lt;/BBOOK&gt;&lt;BBOOK bbname=&quot;2765&quot; bbdesc=&quot;2014 Annual Accounts/EU Annual Accounts/DC - Exposure of the EC to currency risk at year end (xlsx)&quot; dsname=&quot;SAP Disclosure Management - Production&quot;&gt;&lt;VARIABLES /&gt;&lt;/BBOOK&gt;&lt;BBOOK bbname=&quot;2505&quot; bbdesc=&quot;2014 Annual Accounts/EC Annual Accounts/DC - Exposure of the EC to currency risk at year end (xlsx)&quot; dsname=&quot;SAP Disclosure Management - Production&quot;&gt;&lt;VARIABLES /&gt;&lt;/BBOOK&gt;&lt;BBOOK bbname=&quot;3319&quot; bbdesc=&quot;2014 Annual Accounts/FCH JU Annual accounts 2014/DC - Exposure of the EC to currency risk at year end (xlsx)&quot; dsname=&quot;SAP Disclosure Management - Production&quot;&gt;&lt;VARIABLES /&gt;&lt;/BBOOK&gt;&lt;BBOOK bbname=&quot;2512&quot; bbdesc=&quot;2014 Annual Accounts/EC Annual Accounts/DC - Credit risk (xlsx)&quot; dsname=&quot;SAP Disclosure Management - Production&quot;&gt;&lt;VARIABLES /&gt;&lt;/BBOOK&gt;&lt;BBOOK bbname=&quot;3323&quot; bbdesc=&quot;2014 Annual Accounts/FCH JU Annual accounts 2014/DC - Credit risk (xlsx)&quot; dsname=&quot;SAP Disclosure Management - Production&quot;&gt;&lt;VARIABLES /&gt;&lt;/BBOOK&gt;&lt;BBOOK bbname=&quot;2514&quot; bbdesc=&quot;2014 Annual Accounts/EC Annual Accounts/DC - Maturity analysis of financial liabilities (xlsx)&quot; dsname=&quot;SAP Disclosure Management - Production&quot;&gt;&lt;VARIABLES /&gt;&lt;/BBOOK&gt;&lt;BBOOK bbname=&quot;3327&quot; bbdesc=&quot;2014 Annual Accounts/FCH JU Annual accounts 2014/DC - Maturity analysis of financial liabilities (xlsx)&quot; dsname=&quot;SAP Disclosure Management - Production&quot;&gt;&lt;VARIABLES /&gt;&lt;/BBOOK&gt;&lt;BBOOK bbname=&quot;3308&quot; bbdesc=&quot;2014 Annual Accounts/CEPOL Annual accounts 2014/DC - Reconciliation of economic result with budget result (xlsx)&quot; dsname=&quot;SAP Disclosure Management - Production&quot;&gt;&lt;VARIABLES /&gt;&lt;/BBOOK&gt;&lt;BBOOK bbname=&quot;3971&quot; bbdesc=&quot;2014 Annual Accounts/CEPOL Annual accounts 2014/DC - Reports on the implementation of the budget (xlsx)&quot; dsname=&quot;SAP Disclosure Management - Production&quot;&gt;&lt;VARIABLES /&gt;&lt;/BBOOK&gt;&lt;BBOOK bbname=&quot;5993&quot; bbdesc=&quot;2015 Annual Accounts/2015 BBI JU Annual accounts/DC - Reports on the implementation of the budget (xlsx)&quot; dsname=&quot;SAP Disclosure Management - Production&quot;&gt;&lt;VARIABLES /&gt;&lt;/BBOOK&gt;&lt;BBOOK bbname=&quot;5255&quot; bbdesc=&quot;2015 Annual Accounts/2015 FCH JU Annual accounts/DC - Reports on the implementation of the budget (xlsx)&quot; dsname=&quot;SAP Disclosure Management - Production&quot;&gt;&lt;VARIABLES /&gt;&lt;/BBOOK&gt;&lt;BBOOK bbname=&quot;9076&quot; bbdesc=&quot;2016 Annual Accounts/EU Annual Accounts/DC - Accrued charges and Deferred income (xlsx)&quot; dsname=&quot;SAP Disclosure Management - Production&quot;&gt;&lt;VARIABLES /&gt;&lt;/BBOOK&gt;&lt;BBOOK bbname=&quot;8904&quot; bbdesc=&quot;2016 Annual Accounts/EU Annual Accounts/DC - Currency table (xlsx)&quot; dsname=&quot;SAP Disclosure Management - Production&quot;&gt;&lt;VARIABLES /&gt;&lt;/BBOOK&gt;&lt;BBOOK bbname=&quot;9322&quot; bbdesc=&quot;2016 Annual Accounts/EEAS Annual accounts/DC - Accrued charges and Deferred income (xlsx)&quot; dsname=&quot;SAP Disclosure Management - Production&quot;&gt;&lt;VARIABLES /&gt;&lt;/BBOOK&gt;&lt;BBOOK bbname=&quot;9242&quot; bbdesc=&quot;2016 Annual Accounts/EEAS Annual accounts/DC - DeprecRates (xlsx)&quot; dsname=&quot;SAP Disclosure Management - Production&quot;&gt;&lt;VARIABLES /&gt;&lt;/BBOOK&gt;&lt;BBOOK bbname=&quot;9486&quot; bbdesc=&quot;2016 Annual Accounts/EDF Annual Accounts/DC - Non current Pre financing (xlsx)&quot; dsname=&quot;Disclosure Management - Production&quot;&gt;&lt;VARIABLES /&gt;&lt;/BBOOK&gt;&lt;BBOOK bbname=&quot;5631&quot; bbdesc=&quot;2015 Annual Accounts/EDF Annual Accounts/DC - Outstanding commitments not yet expensed (xlsx)&quot; dsname=&quot;SAP Disclosure Management - Production&quot;&gt;&lt;VARIABLES /&gt;&lt;/BBOOK&gt;&lt;BBOOK bbname=&quot;10444&quot; bbdesc=&quot;2016 Annual Accounts/EDF Annual Accounts/DC-Conso BS (xlsx)&quot; dsname=&quot;Disclosure Management - Production&quot;&gt;&lt;VARIABLES /&gt;&lt;/BBOOK&gt;&lt;BBOOK bbname=&quot;10675&quot; bbdesc=&quot;2016 Annual Accounts/EDF Annual Accounts/DC - Pre financing (xlsx)&quot; dsname=&quot;Disclosure Management - Production&quot;&gt;&lt;VARIABLES /&gt;&lt;/BBOOK&gt;&lt;BBOOK bbname=&quot;9561&quot; bbdesc=&quot;2016 Annual Accounts/EDF Annual Accounts/DC - Current Pre financing (xlsx)&quot; dsname=&quot;SAP Disclosure Management - Production&quot;&gt;&lt;VARIABLES /&gt;&lt;/BBOOK&gt;&lt;BBOOK bbname=&quot;10749&quot; bbdesc=&quot;2016 Annual Accounts/EDF Annual Accounts/DC - Trust fund contributions (xlsx)&quot; dsname=&quot;Disclosure Management - Production&quot;&gt;&lt;VARIABLES /&gt;&lt;/BBOOK&gt;&lt;BBOOK bbname=&quot;9551&quot; bbdesc=&quot;2016 Annual Accounts/EDF Annual Accounts/DC - Accrued charges (xlsx)&quot; dsname=&quot;SAP Disclosure Management - Production&quot;&gt;&lt;VARIABLES /&gt;&lt;/BBOOK&gt;&lt;BBOOK bbname=&quot;9569&quot; bbdesc=&quot;2016 Annual Accounts/EDF Annual Accounts/DC - Exchange receivables and Non-exchange recoverables (xlsx)&quot; dsname=&quot;SAP Disclosure Management - Production&quot;&gt;&lt;VARIABLES /&gt;&lt;/BBOOK&gt;&lt;BBOOK bbname=&quot;9474&quot; bbdesc=&quot;2016 Annual Accounts/EDF Annual Accounts/DC - Non-exchange receivables-detail (xlsx)&quot; dsname=&quot;SAP Disclosure Management - Production&quot;&gt;&lt;VARIABLES /&gt;&lt;/BBOOK&gt;&lt;BBOOK bbname=&quot;9477&quot; bbdesc=&quot;2016 Annual Accounts/EDF Annual Accounts/DC - Receivable from Member States (xls)&quot; dsname=&quot;SAP Disclosure Management - Production&quot;&gt;&lt;VARIABLES /&gt;&lt;/BBOOK&gt;&lt;BBOOK bbname=&quot;10435&quot; bbdesc=&quot;2016 Annual Accounts/EDF Annual Accounts/DC - Exchange receivables-detail (xlsx)&quot; dsname=&quot;SAP Disclosure Management - Production&quot;&gt;&lt;VARIABLES /&gt;&lt;/BBOOK&gt;&lt;BBOOK bbname=&quot;9510&quot; bbdesc=&quot;2016 Annual Accounts/EDF Annual Accounts/DC - Cash and cash equivalents current assets (xlsx)&quot; dsname=&quot;SAP Disclosure Management - Production&quot;&gt;&lt;VARIABLES /&gt;&lt;/BBOOK&gt;&lt;BBOOK bbname=&quot;9575&quot; bbdesc=&quot;2016 Annual Accounts/EDF Annual Accounts/DC Non current provisions (xlsx)&quot; dsname=&quot;SAP Disclosure Management - Production&quot;&gt;&lt;VARIABLES /&gt;&lt;/BBOOK&gt;&lt;BBOOK bbname=&quot;2237&quot; bbdesc=&quot;2014 Annual Accounts/EDF Annual Accounts/DC - Payables (xlsx)&quot; dsname=&quot;SAP Disclosure Management - Production&quot;&gt;&lt;VARIABLES /&gt;&lt;/BBOOK&gt;&lt;BBOOK bbname=&quot;9436&quot; bbdesc=&quot;2016 Annual Accounts/EDF Annual Accounts/DC - NC Financial liabilities (xlsx)&quot; dsname=&quot;SAP Disclosure Management - Production&quot;&gt;&lt;VARIABLES /&gt;&lt;/BBOOK&gt;&lt;BBOOK bbname=&quot;9542&quot; bbdesc=&quot;2016 Annual Accounts/EDF Annual Accounts/DC - Payables (xlsx)&quot; dsname=&quot;SAP Disclosure Management - Production&quot;&gt;&lt;VARIABLES /&gt;&lt;/BBOOK&gt;&lt;BBOOK bbname=&quot;9509&quot; bbdesc=&quot;2016 Annual Accounts/EDF Annual Accounts/DC - Current payables (xlsx)&quot; dsname=&quot;SAP Disclosure Management - Production&quot;&gt;&lt;VARIABLES /&gt;&lt;/BBOOK&gt;&lt;BBOOK bbname=&quot;10438&quot; bbdesc=&quot;2016 Annual Accounts/EDF Annual Accounts/DC - Sundry payables (xlsx)&quot; dsname=&quot;SAP Disclosure Management - Production&quot;&gt;&lt;VARIABLES /&gt;&lt;/BBOOK&gt;&lt;BBOOK bbname=&quot;9546&quot; bbdesc=&quot;2016 Annual Accounts/EDF Annual Accounts/DC - Deferred capital contribution detail (xlsx)&quot; dsname=&quot;SAP Disclosure Management - Production&quot;&gt;&lt;VARIABLES /&gt;&lt;/BBOOK&gt;&lt;BBOOK bbname=&quot;10639&quot; bbdesc=&quot;2016 Annual Accounts/EDF Annual Accounts/DC - Cofinancing payables (xlsx)&quot; dsname=&quot;Disclosure Management - Production&quot;&gt;&lt;VARIABLES /&gt;&lt;/BBOOK&gt;&lt;BBOOK bbname=&quot;9461&quot; bbdesc=&quot;2016 Annual Accounts/EDF Annual Accounts/DC - Called fund capital (xlsx)&quot; dsname=&quot;SAP Disclosure Management - Production&quot;&gt;&lt;VARIABLES /&gt;&lt;/BBOOK&gt;&lt;BBOOK bbname=&quot;5609&quot; bbdesc=&quot;2015 Annual Accounts/EDF Annual Accounts 2015/DC - Accrued charges (xlsx)&quot; dsname=&quot;SAP Disclosure Management - Production&quot;&gt;&lt;VARIABLES /&gt;&lt;/BBOOK&gt;&lt;BBOOK bbname=&quot;5630&quot; bbdesc=&quot;2015 Annual Accounts/EDF Annual Accounts 2015/DC - Other reserves (xlsx)&quot; dsname=&quot;SAP Disclosure Management - Production&quot;&gt;&lt;VARIABLES /&gt;&lt;/BBOOK&gt;&lt;BBOOK bbname=&quot;9576&quot; bbdesc=&quot;2016 Annual Accounts/EDF Annual Accounts/DC - Transfers between Active EDFs (xlsx)&quot; dsname=&quot;SAP Disclosure Management - Production&quot;&gt;&lt;VARIABLES /&gt;&lt;/BBOOK&gt;&lt;BBOOK bbname=&quot;9555&quot; bbdesc=&quot;2016 Annual Accounts/EDF Annual Accounts/DC - Called fund capital from closed EDFs carried forward (xlsx)&quot; dsname=&quot;Disclosure Management - Production&quot;&gt;&lt;VARIABLES /&gt;&lt;/BBOOK&gt;&lt;BBOOK bbname=&quot;9468&quot; bbdesc=&quot;2016 Annual Accounts/EDF Annual Accounts/DC - Revenue non-ex transactions (xlsx)&quot; dsname=&quot;SAP Disclosure Management - Production&quot;&gt;&lt;VARIABLES /&gt;&lt;/BBOOK&gt;&lt;BBOOK bbname=&quot;9490&quot; bbdesc=&quot;2016 Annual Accounts/EDF Annual Accounts/DC - Exchange and non-exchange revenue (xlsx)&quot; dsname=&quot;SAP Disclosure Management - Production&quot;&gt;&lt;VARIABLES /&gt;&lt;/BBOOK&gt;&lt;BBOOK bbname=&quot;3412&quot; bbdesc=&quot;2014 Annual Accounts/EDF Annual Accounts/DC - Exchange receivables and Non-exchange recoverables (xlsx)&quot; dsname=&quot;SAP Disclosure Management - Production&quot;&gt;&lt;VARIABLES /&gt;&lt;/BBOOK&gt;&lt;BBOOK bbname=&quot;10440&quot; bbdesc=&quot;2016 Annual Accounts/EDF Annual Accounts/DC - Exchange revenue (xlsx)&quot; dsname=&quot;SAP Disclosure Management - Production&quot;&gt;&lt;VARIABLES /&gt;&lt;/BBOOK&gt;&lt;BBOOK bbname=&quot;9524&quot; bbdesc=&quot;2016 Annual Accounts/EDF Annual Accounts/DC - Aid_cofinancing by mng type (xlsx)&quot; dsname=&quot;SAP Disclosure Management - Production&quot;&gt;&lt;VARIABLES /&gt;&lt;/BBOOK&gt;&lt;BBOOK bbname=&quot;9454&quot; bbdesc=&quot;2016 Annual Accounts/EDF Annual Accounts/DC - Aid instruments (xlsx)&quot; dsname=&quot;SAP Disclosure Management - Production&quot;&gt;&lt;VARIABLES /&gt;&lt;/BBOOK&gt;&lt;BBOOK bbname=&quot;10441&quot; bbdesc=&quot;2016 Annual Accounts/EDF Annual Accounts/DC - Finance costs (xlsx)&quot; dsname=&quot;SAP Disclosure Management - Production&quot;&gt;&lt;VARIABLES /&gt;&lt;/BBOOK&gt;&lt;BBOOK bbname=&quot;10442&quot; bbdesc=&quot;2016 Annual Accounts/EDF Annual Accounts/DC - Other Expenses (xlsx)&quot; dsname=&quot;SAP Disclosure Management - Production&quot;&gt;&lt;VARIABLES /&gt;&lt;/BBOOK&gt;&lt;BBOOK bbname=&quot;10443&quot; bbdesc=&quot;2016 Annual Accounts/EDF Annual Accounts/DC - Co-financing (xlsx)&quot; dsname=&quot;SAP Disclosure Management - Production&quot;&gt;&lt;VARIABLES /&gt;&lt;/BBOOK&gt;&lt;BBOOK bbname=&quot;9511&quot; bbdesc=&quot;2016 Annual Accounts/EDF Annual Accounts/DC - Contingent assets (xlsx)&quot; dsname=&quot;SAP Disclosure Management - Production&quot;&gt;&lt;VARIABLES /&gt;&lt;/BBOOK&gt;&lt;BBOOK bbname=&quot;9439&quot; bbdesc=&quot;2016 Annual Accounts/EDF Annual Accounts/DC - Outstanding commitments not yet expensed (xlsx)&quot; dsname=&quot;SAP Disclosure Management - Production&quot;&gt;&lt;VARIABLES /&gt;&lt;/BBOOK&gt;&lt;BBOOK bbname=&quot;9570&quot; bbdesc=&quot;2016 Annual Accounts/EDF Annual Accounts/DC - Exposure of the EDF to currency risk at year end (xlsx)&quot; dsname=&quot;SAP Disclosure Management - Production&quot;&gt;&lt;VARIABLES /&gt;&lt;/BBOOK&gt;&lt;BBOOK bbname=&quot;2510&quot; bbdesc=&quot;2014 Annual Accounts/EC Annual Accounts/DC - Interest rate risk (xlsx)&quot; dsname=&quot;SAP Disclosure Management - Production&quot;&gt;&lt;VARIABLES /&gt;&lt;/BBOOK&gt;&lt;BBOOK bbname=&quot;9571&quot; bbdesc=&quot;2016 Annual Accounts/EDF Annual Accounts/DC - Credit risk (xlsx)&quot; dsname=&quot;SAP Disclosure Management - Production&quot;&gt;&lt;VARIABLES /&gt;&lt;/BBOOK&gt;&lt;BBOOK bbname=&quot;9572&quot; bbdesc=&quot;2016 Annual Accounts/EDF Annual Accounts/DC - Maturity analysis of financial liabilities (xlsx)&quot; dsname=&quot;SAP Disclosure Management - Production&quot;&gt;&lt;VARIABLES /&gt;&lt;/BBOOK&gt;&lt;BBOOK bbname=&quot;9442&quot; bbdesc=&quot;2016 Annual Accounts/EDF Annual Accounts/DC - Economic result and Budget result (xlsx)&quot; dsname=&quot;SAP Disclosure Management - Production&quot;&gt;&lt;VARIABLES /&gt;&lt;/BBOOK&gt;&lt;BBOOK bbname=&quot;2517&quot; bbdesc=&quot;2014 Annual Accounts/EC Annual Accounts/DC - Balance Sheet (xlsx)&quot; dsname=&quot;SAP Disclosure Management - Production&quot;&gt;&lt;VARIABLES /&gt;&lt;/BBOOK&gt;&lt;BBOOK bbname=&quot;2875&quot; bbdesc=&quot;2014 Annual Accounts/EEAS Annual Accounts 2014/DC - Balance Sheet (xlsx)&quot; dsname=&quot;SAP Disclosure Management - Production&quot;&gt;&lt;VARIABLES /&gt;&lt;/BBOOK&gt;&lt;BBOOK bbname=&quot;3074&quot; bbdesc=&quot;2014 Annual Accounts/EEAS Annual Accounts 2014/DC - Balance Sheet (xlsx)&quot; dsname=&quot;SAP Disclosure Management - Production&quot;&gt;&lt;VARIABLES /&gt;&lt;/BBOOK&gt;&lt;BBOOK bbname=&quot;8796&quot; bbdesc=&quot;2016 Annual Accounts/BEKOU Annual accounts/DC - Balance Sheet (xlsx)&quot; dsname=&quot;SAP Disclosure Management - Production&quot;&gt;&lt;VARIABLES /&gt;&lt;/BBOOK&gt;&lt;BBOOK bbname=&quot;2339&quot; bbdesc=&quot;2014 Annual Accounts/EDF Annual Accounts/DC - Cash flow statement of the Bêkou trust fund (xlsx)&quot; dsname=&quot;SAP Disclosure Management - Production&quot;&gt;&lt;VARIABLES /&gt;&lt;/BBOOK&gt;&lt;BBOOK bbname=&quot;4954&quot; bbdesc=&quot;2015 Annual Accounts/2015 BEKOU Annual accounts/DC - Cash flow statement of the Bêkou trust fund (xlsx)&quot; dsname=&quot;SAP Disclosure Management - Production&quot;&gt;&lt;VARIABLES /&gt;&lt;/BBOOK&gt;&lt;BBOOK bbname=&quot;8798&quot; bbdesc=&quot;2016 Annual Accounts/BEKOU Annual accounts/DC - Statement of Financial Performance (xlsx)&quot; dsname=&quot;SAP Disclosure Management - Production&quot;&gt;&lt;VARIABLES /&gt;&lt;/BBOOK&gt;&lt;BBOOK bbname=&quot;8791&quot; bbdesc=&quot;2016 Annual Accounts/BEKOU Annual accounts/DC - Cash flow statement of the Bêkou trust fund (xlsx)&quot; dsname=&quot;SAP Disclosure Management - Production&quot;&gt;&lt;VARIABLES /&gt;&lt;/BBOOK&gt;&lt;BBOOK bbname=&quot;8776&quot; bbdesc=&quot;2016 Annual Accounts/BEKOU Annual accounts/Manage periods (xlsx)&quot; dsname=&quot;SAP Disclosure Management - Production&quot;&gt;&lt;VARIABLES /&gt;&lt;/BBOOK&gt;&lt;BBOOK bbname=&quot;10546&quot; bbdesc=&quot;2016 Annual Accounts/BEKOU Annual accounts/DC Cashflow statement Bekou (xlsx)&quot; dsname=&quot;SAP Disclosure Management - Production&quot;&gt;&lt;VARIABLES /&gt;&lt;/BBOOK&gt;&lt;BBOOK bbname=&quot;1043&quot; bbdesc=&quot;2013 Annual Accounts/EEAS Annual Accounts/DC - Statement of changes in net assets (xlsx)&quot; dsname=&quot;SAP Disclosure Management - Production&quot;&gt;&lt;VARIABLES /&gt;&lt;/BBOOK&gt;&lt;BBOOK bbname=&quot;3169&quot; bbdesc=&quot;2014 Annual Accounts/FCH JU Annual accounts 2014/DC - Statement of changes in net assets (xlsx)&quot; dsname=&quot;SAP Disclosure Management - Production&quot;&gt;&lt;VARIABLES /&gt;&lt;/BBOOK&gt;&lt;BBOOK bbname=&quot;3493&quot; bbdesc=&quot;2014 Annual Accounts/BÊKOU Annual accounts 2014/DC - Statement of changes in net assets of the Bêkou trust fund (xlsx)&quot; dsname=&quot;SAP Disclosure Management - Production&quot;&gt;&lt;VARIABLES /&gt;&lt;/BBOOK&gt;&lt;BBOOK bbname=&quot;8800&quot; bbdesc=&quot;2016 Annual Accounts/BEKOU Annual accounts/DC - Statement of changes in net assets (xlsx)&quot; dsname=&quot;SAP Disclosure Management - Production&quot;&gt;&lt;VARIABLES /&gt;&lt;/BBOOK&gt;&lt;BBOOK bbname=&quot;10410&quot; bbdesc=&quot;2016 Annual Accounts/AFRICA EU Annual Accounts/DC - Balance Sheet (xlsx)&quot; dsname=&quot;SAP Disclosure Management - Production&quot;&gt;&lt;VARIABLES /&gt;&lt;/BBOOK&gt;&lt;BBOOK bbname=&quot;10412&quot; bbdesc=&quot;2016 Annual Accounts/AFRICA EU Annual Accounts/DC - Statement of Financial Performance (xlsx)&quot; dsname=&quot;SAP Disclosure Management - Production&quot;&gt;&lt;VARIABLES /&gt;&lt;/BBOOK&gt;&lt;BBOOK bbname=&quot;10405&quot; bbdesc=&quot;2016 Annual Accounts/BEKOU Annual accounts/DC - Cash flow statement of the Bêkou trust fund (xlsx)&quot; dsname=&quot;SAP Disclosure Management - Production&quot;&gt;&lt;VARIABLES /&gt;&lt;/BBOOK&gt;&lt;BBOOK bbname=&quot;10548&quot; bbdesc=&quot;2016 Annual Accounts/AFRICA EU Annual Accounts/DC Cashflow statement Africa (xlsx)&quot; dsname=&quot;SAP Disclosure Management - Production&quot;&gt;&lt;VARIABLES /&gt;&lt;/BBOOK&gt;&lt;BBOOK bbname=&quot;10414&quot; bbdesc=&quot;2016 Annual Accounts/BEKOU Annual accounts/DC - Statement of changes in net assets (xlsx)&quot; dsname=&quot;SAP Disclosure Management - Production&quot;&gt;&lt;VARIABLES /&gt;&lt;/BBOOK&gt;&lt;BBOOK bbname=&quot;9484&quot; bbdesc=&quot;2015 Annual Accounts/EDF Annual Accounts 2015/DC - Consolidated Balance sheet EDF-Bêkou (xlsx)&quot; dsname=&quot;SAP Disclosure Management - Production&quot;&gt;&lt;VARIABLES /&gt;&lt;/BBOOK&gt;&lt;BBOOK bbname=&quot;9462&quot; bbdesc=&quot;2015 Annual Accounts/EDF Annual Accounts 2015/DC - Consolidated Statement of financial performance EDF-Bêkou (xlsx)&quot; dsname=&quot;SAP Disclosure Management - Production&quot;&gt;&lt;VARIABLES /&gt;&lt;/BBOOK&gt;&lt;BBOOK bbname=&quot;10447&quot; bbdesc=&quot;2016 Annual Accounts/EDF Annual Accounts/DC-Conso PL (xlsx)&quot; dsname=&quot;SAP Disclosure Management - Production&quot;&gt;&lt;VARIABLES /&gt;&lt;/BBOOK&gt;&lt;BBOOK bbname=&quot;9495&quot; bbdesc=&quot;2015 Annual Accounts/EDF Annual Accounts 2015/DC - Consolidated Cash flow statement EDF-Bêkou (xlsx)&quot; dsname=&quot;SAP Disclosure Management - Production&quot;&gt;&lt;VARIABLES /&gt;&lt;/BBOOK&gt;&lt;BBOOK bbname=&quot;10637&quot; bbdesc=&quot;2016 Annual Accounts/EDF Annual Accounts/DC - consolidated CF EDF-TFs (xlsx)&quot; dsname=&quot;Disclosure Management - Production&quot;&gt;&lt;VARIABLES /&gt;&lt;/BBOOK&gt;&lt;BBOOK bbname=&quot;9483&quot; bbdesc=&quot;2015 Annual Accounts/EDF Annual Accounts 2015/DC - Consolidated Statement of changes in net assets EDF-Bêkou (xlsx)&quot; dsname=&quot;SAP Disclosure Management - Production&quot;&gt;&lt;VARIABLES /&gt;&lt;/BBOOK&gt;&lt;BBOOK bbname=&quot;10638&quot; bbdesc=&quot;2016 Annual Accounts/EDF Annual Accounts/DC - Conso statement net assets EDF-TFs (xlsx)&quot; dsname=&quot;Disclosure Management - Production&quot;&gt;&lt;VARIABLES /&gt;&lt;/BBOOK&gt;&lt;/BBOOKS&gt;"/>
    <w:docVar w:name="COVERPAGE_EXISTS" w:val="True"/>
    <w:docVar w:name="DM_WB_C10448_METADATA" w:val="&lt;ChapterMetadata&gt;&lt;ChapterId&gt;10448&lt;/ChapterId&gt;&lt;ChapterName&gt;Background information TF Bekou&lt;/ChapterName&gt;&lt;ChapterNoOfPages&gt;-1&lt;/ChapterNoOfPages&gt;&lt;ChapterVersion&gt;7&lt;/ChapterVersion&gt;&lt;/ChapterMetadata&gt;"/>
    <w:docVar w:name="DM_WB_C10449_METADATA" w:val="&lt;ChapterMetadata&gt;&lt;ChapterId&gt;10449&lt;/ChapterId&gt;&lt;ChapterName&gt;Balance sheet TF Bekou&lt;/ChapterName&gt;&lt;ChapterNoOfPages&gt;-1&lt;/ChapterNoOfPages&gt;&lt;ChapterVersion&gt;12&lt;/ChapterVersion&gt;&lt;/ChapterMetadata&gt;"/>
    <w:docVar w:name="DM_WB_C10450_METADATA" w:val="&lt;ChapterMetadata&gt;&lt;ChapterId&gt;10450&lt;/ChapterId&gt;&lt;ChapterName&gt;Statement of financial performance TF Bekou&lt;/ChapterName&gt;&lt;ChapterNoOfPages&gt;-1&lt;/ChapterNoOfPages&gt;&lt;ChapterVersion&gt;13&lt;/ChapterVersion&gt;&lt;/ChapterMetadata&gt;"/>
    <w:docVar w:name="DM_WB_C10451_METADATA" w:val="&lt;ChapterMetadata&gt;&lt;ChapterId&gt;10451&lt;/ChapterId&gt;&lt;ChapterName&gt;Cashflow statement TF Bekou&lt;/ChapterName&gt;&lt;ChapterNoOfPages&gt;-1&lt;/ChapterNoOfPages&gt;&lt;ChapterVersion&gt;11&lt;/ChapterVersion&gt;&lt;/ChapterMetadata&gt;"/>
    <w:docVar w:name="DM_WB_C10452_METADATA" w:val="&lt;ChapterMetadata&gt;&lt;ChapterId&gt;10452&lt;/ChapterId&gt;&lt;ChapterName&gt;Statemement of changes in net assets TF Bekou&lt;/ChapterName&gt;&lt;ChapterNoOfPages&gt;-1&lt;/ChapterNoOfPages&gt;&lt;ChapterVersion&gt;13&lt;/ChapterVersion&gt;&lt;/ChapterMetadata&gt;"/>
    <w:docVar w:name="DM_WB_C10453_METADATA" w:val="&lt;ChapterMetadata&gt;&lt;ChapterId&gt;10453&lt;/ChapterId&gt;&lt;ChapterName&gt;Final annual accounts of the EUTF for Africa&lt;/ChapterName&gt;&lt;ChapterNoOfPages&gt;-1&lt;/ChapterNoOfPages&gt;&lt;ChapterVersion&gt;4&lt;/ChapterVersion&gt;&lt;/ChapterMetadata&gt;"/>
    <w:docVar w:name="DM_WB_C10454_METADATA" w:val="&lt;ChapterMetadata&gt;&lt;ChapterId&gt;10454&lt;/ChapterId&gt;&lt;ChapterName&gt;Background information TF Africa&lt;/ChapterName&gt;&lt;ChapterNoOfPages&gt;-1&lt;/ChapterNoOfPages&gt;&lt;ChapterVersion&gt;5&lt;/ChapterVersion&gt;&lt;/ChapterMetadata&gt;"/>
    <w:docVar w:name="DM_WB_C10455_METADATA" w:val="&lt;ChapterMetadata&gt;&lt;ChapterId&gt;10455&lt;/ChapterId&gt;&lt;ChapterName&gt;Statement of financial performance TF Africa&lt;/ChapterName&gt;&lt;ChapterNoOfPages&gt;-1&lt;/ChapterNoOfPages&gt;&lt;ChapterVersion&gt;13&lt;/ChapterVersion&gt;&lt;/ChapterMetadata&gt;"/>
    <w:docVar w:name="DM_WB_C10456_METADATA" w:val="&lt;ChapterMetadata&gt;&lt;ChapterId&gt;10456&lt;/ChapterId&gt;&lt;ChapterName&gt;Balance sheet TF Africa&lt;/ChapterName&gt;&lt;ChapterNoOfPages&gt;-1&lt;/ChapterNoOfPages&gt;&lt;ChapterVersion&gt;13&lt;/ChapterVersion&gt;&lt;/ChapterMetadata&gt;"/>
    <w:docVar w:name="DM_WB_C10457_METADATA" w:val="&lt;ChapterMetadata&gt;&lt;ChapterId&gt;10457&lt;/ChapterId&gt;&lt;ChapterName&gt;CF statement TF Africa&lt;/ChapterName&gt;&lt;ChapterNoOfPages&gt;-1&lt;/ChapterNoOfPages&gt;&lt;ChapterVersion&gt;11&lt;/ChapterVersion&gt;&lt;/ChapterMetadata&gt;"/>
    <w:docVar w:name="DM_WB_C10458_METADATA" w:val="&lt;ChapterMetadata&gt;&lt;ChapterId&gt;10458&lt;/ChapterId&gt;&lt;ChapterName&gt;Statement of changes in net asets TF Africa&lt;/ChapterName&gt;&lt;ChapterNoOfPages&gt;-1&lt;/ChapterNoOfPages&gt;&lt;ChapterVersion&gt;13&lt;/ChapterVersion&gt;&lt;/ChapterMetadata&gt;"/>
    <w:docVar w:name="DM_WB_C10640_METADATA" w:val="&lt;ChapterMetadata&gt;&lt;ChapterId&gt;10640&lt;/ChapterId&gt;&lt;ChapterName&gt;Financial statements - EDF TFs&lt;/ChapterName&gt;&lt;ChapterNoOfPages&gt;-1&lt;/ChapterNoOfPages&gt;&lt;ChapterVersion&gt;4&lt;/ChapterVersion&gt;&lt;/ChapterMetadata&gt;"/>
    <w:docVar w:name="DM_WB_C10673_METADATA" w:val="&lt;ChapterMetadata&gt;&lt;ChapterId&gt;10673&lt;/ChapterId&gt;&lt;ChapterName&gt;Trust fund contributions&lt;/ChapterName&gt;&lt;ChapterNoOfPages&gt;-1&lt;/ChapterNoOfPages&gt;&lt;ChapterVersion&gt;8&lt;/ChapterVersion&gt;&lt;/ChapterMetadata&gt;"/>
    <w:docVar w:name="DM_WB_C10674_METADATA" w:val="&lt;ChapterMetadata&gt;&lt;ChapterId&gt;10674&lt;/ChapterId&gt;&lt;ChapterName&gt;Pre Financing&lt;/ChapterName&gt;&lt;ChapterNoOfPages&gt;-1&lt;/ChapterNoOfPages&gt;&lt;ChapterVersion&gt;9&lt;/ChapterVersion&gt;&lt;/ChapterMetadata&gt;"/>
    <w:docVar w:name="DM_WB_C9430_METADATA" w:val="&lt;ChapterMetadata&gt;&lt;ChapterId&gt;9430&lt;/ChapterId&gt;&lt;ChapterName&gt;Non current Pre financing&lt;/ChapterName&gt;&lt;ChapterNoOfPages&gt;-1&lt;/ChapterNoOfPages&gt;&lt;ChapterVersion&gt;23&lt;/ChapterVersion&gt;&lt;/ChapterMetadata&gt;"/>
    <w:docVar w:name="DM_WB_C9435_METADATA" w:val="&lt;ChapterMetadata&gt;&lt;ChapterId&gt;9435&lt;/ChapterId&gt;&lt;ChapterName&gt;Report on financial implementation (DEVCO Part)&lt;/ChapterName&gt;&lt;ChapterNoOfPages&gt;-1&lt;/ChapterNoOfPages&gt;&lt;ChapterVersion&gt;1&lt;/ChapterVersion&gt;&lt;/ChapterMetadata&gt;"/>
    <w:docVar w:name="DM_WB_C9441_METADATA" w:val="&lt;ChapterMetadata&gt;&lt;ChapterId&gt;9441&lt;/ChapterId&gt;&lt;ChapterName&gt;Called fund capital from closed EDFs carried forward&lt;/ChapterName&gt;&lt;ChapterNoOfPages&gt;-1&lt;/ChapterNoOfPages&gt;&lt;ChapterVersion&gt;16&lt;/ChapterVersion&gt;&lt;/ChapterMetadata&gt;"/>
    <w:docVar w:name="DM_WB_C9444_METADATA" w:val="&lt;ChapterMetadata&gt;&lt;ChapterId&gt;9444&lt;/ChapterId&gt;&lt;ChapterName&gt;Current liabilities&lt;/ChapterName&gt;&lt;ChapterNoOfPages&gt;-1&lt;/ChapterNoOfPages&gt;&lt;ChapterVersion&gt;3&lt;/ChapterVersion&gt;&lt;/ChapterMetadata&gt;"/>
    <w:docVar w:name="DM_WB_C9446_METADATA" w:val="&lt;ChapterMetadata&gt;&lt;ChapterId&gt;9446&lt;/ChapterId&gt;&lt;ChapterName&gt;Financial statements of the EDF&lt;/ChapterName&gt;&lt;ChapterNoOfPages&gt;-1&lt;/ChapterNoOfPages&gt;&lt;ChapterVersion&gt;2&lt;/ChapterVersion&gt;&lt;/ChapterMetadata&gt;"/>
    <w:docVar w:name="DM_WB_C9447_METADATA" w:val="&lt;ChapterMetadata&gt;&lt;ChapterId&gt;9447&lt;/ChapterId&gt;&lt;ChapterName&gt;Table of contents 1&lt;/ChapterName&gt;&lt;ChapterNoOfPages&gt;-1&lt;/ChapterNoOfPages&gt;&lt;ChapterVersion&gt;1&lt;/ChapterVersion&gt;&lt;/ChapterMetadata&gt;"/>
    <w:docVar w:name="DM_WB_C9448_METADATA" w:val="&lt;ChapterMetadata&gt;&lt;ChapterId&gt;9448&lt;/ChapterId&gt;&lt;ChapterName&gt;Assets&lt;/ChapterName&gt;&lt;ChapterNoOfPages&gt;-1&lt;/ChapterNoOfPages&gt;&lt;ChapterVersion&gt;2&lt;/ChapterVersion&gt;&lt;/ChapterMetadata&gt;"/>
    <w:docVar w:name="DM_WB_C9450_METADATA" w:val="&lt;ChapterMetadata&gt;&lt;ChapterId&gt;9450&lt;/ChapterId&gt;&lt;ChapterName&gt;EDF Statement of changes in net assets&lt;/ChapterName&gt;&lt;ChapterNoOfPages&gt;-1&lt;/ChapterNoOfPages&gt;&lt;ChapterVersion&gt;14&lt;/ChapterVersion&gt;&lt;/ChapterMetadata&gt;"/>
    <w:docVar w:name="DM_WB_C9455_METADATA" w:val="&lt;ChapterMetadata&gt;&lt;ChapterId&gt;9455&lt;/ChapterId&gt;&lt;ChapterName&gt;Contingent assets and liabilities and other significant disclosures&lt;/ChapterName&gt;&lt;ChapterNoOfPages&gt;-1&lt;/ChapterNoOfPages&gt;&lt;ChapterVersion&gt;1&lt;/ChapterVersion&gt;&lt;/ChapterMetadata&gt;"/>
    <w:docVar w:name="DM_WB_C9456_METADATA" w:val="&lt;ChapterMetadata&gt;&lt;ChapterId&gt;9456&lt;/ChapterId&gt;&lt;ChapterName&gt;Financial statements and explanatory notes - Funds managed by the European Investment Bank&lt;/ChapterName&gt;&lt;ChapterNoOfPages&gt;-1&lt;/ChapterNoOfPages&gt;&lt;ChapterVersion&gt;2&lt;/ChapterVersion&gt;&lt;/ChapterMetadata&gt;"/>
    <w:docVar w:name="DM_WB_C9458_METADATA" w:val="&lt;ChapterMetadata&gt;&lt;ChapterId&gt;9458&lt;/ChapterId&gt;&lt;ChapterName&gt;Non-exchange recoverables and exchange receivables&lt;/ChapterName&gt;&lt;ChapterNoOfPages&gt;-1&lt;/ChapterNoOfPages&gt;&lt;ChapterVersion&gt;23&lt;/ChapterVersion&gt;&lt;/ChapterMetadata&gt;"/>
    <w:docVar w:name="DM_WB_C9460_METADATA" w:val="&lt;ChapterMetadata&gt;&lt;ChapterId&gt;9460&lt;/ChapterId&gt;&lt;ChapterName&gt;Consolidated Statement of financial performance EDF-TFs&lt;/ChapterName&gt;&lt;ChapterNoOfPages&gt;-1&lt;/ChapterNoOfPages&gt;&lt;ChapterVersion&gt;11&lt;/ChapterVersion&gt;&lt;/ChapterMetadata&gt;"/>
    <w:docVar w:name="DM_WB_C9463_METADATA" w:val="&lt;ChapterMetadata&gt;&lt;ChapterId&gt;9463&lt;/ChapterId&gt;&lt;ChapterName&gt;EDF Statement of financial performance&lt;/ChapterName&gt;&lt;ChapterNoOfPages&gt;-1&lt;/ChapterNoOfPages&gt;&lt;ChapterVersion&gt;25&lt;/ChapterVersion&gt;&lt;/ChapterMetadata&gt;"/>
    <w:docVar w:name="DM_WB_C9464_METADATA" w:val="&lt;ChapterMetadata&gt;&lt;ChapterId&gt;9464&lt;/ChapterId&gt;&lt;ChapterName&gt;Non current liabilities&lt;/ChapterName&gt;&lt;ChapterNoOfPages&gt;-1&lt;/ChapterNoOfPages&gt;&lt;ChapterVersion&gt;2&lt;/ChapterVersion&gt;&lt;/ChapterMetadata&gt;"/>
    <w:docVar w:name="DM_WB_C9467_METADATA" w:val="&lt;ChapterMetadata&gt;&lt;ChapterId&gt;9467&lt;/ChapterId&gt;&lt;ChapterName&gt;Expenses&lt;/ChapterName&gt;&lt;ChapterNoOfPages&gt;-1&lt;/ChapterNoOfPages&gt;&lt;ChapterVersion&gt;19&lt;/ChapterVersion&gt;&lt;/ChapterMetadata&gt;"/>
    <w:docVar w:name="DM_WB_C9470_METADATA" w:val="&lt;ChapterMetadata&gt;&lt;ChapterId&gt;9470&lt;/ChapterId&gt;&lt;ChapterName&gt;Statement of financial performance by EDF&lt;/ChapterName&gt;&lt;ChapterNoOfPages&gt;-1&lt;/ChapterNoOfPages&gt;&lt;ChapterVersion&gt;20&lt;/ChapterVersion&gt;&lt;/ChapterMetadata&gt;"/>
    <w:docVar w:name="DM_WB_C9471_METADATA" w:val="&lt;ChapterMetadata&gt;&lt;ChapterId&gt;9471&lt;/ChapterId&gt;&lt;ChapterName&gt;Cover and first page&lt;/ChapterName&gt;&lt;ChapterNoOfPages&gt;-1&lt;/ChapterNoOfPages&gt;&lt;ChapterVersion&gt;4&lt;/ChapterVersion&gt;&lt;/ChapterMetadata&gt;"/>
    <w:docVar w:name="DM_WB_C9472_METADATA" w:val="&lt;ChapterMetadata&gt;&lt;ChapterId&gt;9472&lt;/ChapterId&gt;&lt;ChapterName&gt;Report on financial implementation Devco file - 3&lt;/ChapterName&gt;&lt;ChapterNoOfPages&gt;-1&lt;/ChapterNoOfPages&gt;&lt;ChapterVersion&gt;1&lt;/ChapterVersion&gt;&lt;/ChapterMetadata&gt;"/>
    <w:docVar w:name="DM_WB_C9475_METADATA" w:val="&lt;ChapterMetadata&gt;&lt;ChapterId&gt;9475&lt;/ChapterId&gt;&lt;ChapterName&gt;Consolidated Cash flow statement EDF-TFs&lt;/ChapterName&gt;&lt;ChapterNoOfPages&gt;-1&lt;/ChapterNoOfPages&gt;&lt;ChapterVersion&gt;8&lt;/ChapterVersion&gt;&lt;/ChapterMetadata&gt;"/>
    <w:docVar w:name="DM_WB_C9479_METADATA" w:val="&lt;ChapterMetadata&gt;&lt;ChapterId&gt;9479&lt;/ChapterId&gt;&lt;ChapterName&gt;EDF Balance sheet&lt;/ChapterName&gt;&lt;ChapterNoOfPages&gt;-1&lt;/ChapterNoOfPages&gt;&lt;ChapterVersion&gt;19&lt;/ChapterVersion&gt;&lt;/ChapterMetadata&gt;"/>
    <w:docVar w:name="DM_WB_C9481_METADATA" w:val="&lt;ChapterMetadata&gt;&lt;ChapterId&gt;9481&lt;/ChapterId&gt;&lt;ChapterName&gt;FS and explanatory notes&lt;/ChapterName&gt;&lt;ChapterNoOfPages&gt;-1&lt;/ChapterNoOfPages&gt;&lt;ChapterVersion&gt;2&lt;/ChapterVersion&gt;&lt;/ChapterMetadata&gt;"/>
    <w:docVar w:name="DM_WB_C9482_METADATA" w:val="&lt;ChapterMetadata&gt;&lt;ChapterId&gt;9482&lt;/ChapterId&gt;&lt;ChapterName&gt;Consolidated Statement of changes in net assets EDF-TFs&lt;/ChapterName&gt;&lt;ChapterNoOfPages&gt;-1&lt;/ChapterNoOfPages&gt;&lt;ChapterVersion&gt;7&lt;/ChapterVersion&gt;&lt;/ChapterMetadata&gt;"/>
    <w:docVar w:name="DM_WB_C9487_METADATA" w:val="&lt;ChapterMetadata&gt;&lt;ChapterId&gt;9487&lt;/ChapterId&gt;&lt;ChapterName&gt;Contingent liabilities and Other significant disclosures&lt;/ChapterName&gt;&lt;ChapterNoOfPages&gt;-1&lt;/ChapterNoOfPages&gt;&lt;ChapterVersion&gt;20&lt;/ChapterVersion&gt;&lt;/ChapterMetadata&gt;"/>
    <w:docVar w:name="DM_WB_C9488_METADATA" w:val="&lt;ChapterMetadata&gt;&lt;ChapterId&gt;9488&lt;/ChapterId&gt;&lt;ChapterName&gt;Financial risk management&lt;/ChapterName&gt;&lt;ChapterNoOfPages&gt;-1&lt;/ChapterNoOfPages&gt;&lt;ChapterVersion&gt;2&lt;/ChapterVersion&gt;&lt;/ChapterMetadata&gt;"/>
    <w:docVar w:name="DM_WB_C9493_METADATA" w:val="&lt;ChapterMetadata&gt;&lt;ChapterId&gt;9493&lt;/ChapterId&gt;&lt;ChapterName&gt;Implementing and accounting for the EDF resources&lt;/ChapterName&gt;&lt;ChapterNoOfPages&gt;-1&lt;/ChapterNoOfPages&gt;&lt;ChapterVersion&gt;10&lt;/ChapterVersion&gt;&lt;/ChapterMetadata&gt;"/>
    <w:docVar w:name="DM_WB_C9494_METADATA" w:val="&lt;ChapterMetadata&gt;&lt;ChapterId&gt;9494&lt;/ChapterId&gt;&lt;ChapterName&gt;Table of contents 2&lt;/ChapterName&gt;&lt;ChapterNoOfPages&gt;-1&lt;/ChapterNoOfPages&gt;&lt;ChapterVersion&gt;1&lt;/ChapterVersion&gt;&lt;/ChapterMetadata&gt;"/>
    <w:docVar w:name="DM_WB_C9497_METADATA" w:val="&lt;ChapterMetadata&gt;&lt;ChapterId&gt;9497&lt;/ChapterId&gt;&lt;ChapterName&gt;Consolidated financial statements - EDF and Trust Funds&lt;/ChapterName&gt;&lt;ChapterNoOfPages&gt;-1&lt;/ChapterNoOfPages&gt;&lt;ChapterVersion&gt;2&lt;/ChapterVersion&gt;&lt;/ChapterMetadata&gt;"/>
    <w:docVar w:name="DM_WB_C9499_METADATA" w:val="&lt;ChapterMetadata&gt;&lt;ChapterId&gt;9499&lt;/ChapterId&gt;&lt;ChapterName&gt;Non current provisions&lt;/ChapterName&gt;&lt;ChapterNoOfPages&gt;-1&lt;/ChapterNoOfPages&gt;&lt;ChapterVersion&gt;17&lt;/ChapterVersion&gt;&lt;/ChapterMetadata&gt;"/>
    <w:docVar w:name="DM_WB_C9500_METADATA" w:val="&lt;ChapterMetadata&gt;&lt;ChapterId&gt;9500&lt;/ChapterId&gt;&lt;ChapterName&gt;EDF Cashflow statement&lt;/ChapterName&gt;&lt;ChapterNoOfPages&gt;-1&lt;/ChapterNoOfPages&gt;&lt;ChapterVersion&gt;14&lt;/ChapterVersion&gt;&lt;/ChapterMetadata&gt;"/>
    <w:docVar w:name="DM_WB_C9501_METADATA" w:val="&lt;ChapterMetadata&gt;&lt;ChapterId&gt;9501&lt;/ChapterId&gt;&lt;ChapterName&gt;Called fund capital&lt;/ChapterName&gt;&lt;ChapterNoOfPages&gt;-1&lt;/ChapterNoOfPages&gt;&lt;ChapterVersion&gt;20&lt;/ChapterVersion&gt;&lt;/ChapterMetadata&gt;"/>
    <w:docVar w:name="DM_WB_C9505_METADATA" w:val="&lt;ChapterMetadata&gt;&lt;ChapterId&gt;9505&lt;/ChapterId&gt;&lt;ChapterName&gt;Financial statements by EDF&lt;/ChapterName&gt;&lt;ChapterNoOfPages&gt;-1&lt;/ChapterNoOfPages&gt;&lt;ChapterVersion&gt;1&lt;/ChapterVersion&gt;&lt;/ChapterMetadata&gt;"/>
    <w:docVar w:name="DM_WB_C9506_METADATA" w:val="&lt;ChapterMetadata&gt;&lt;ChapterId&gt;9506&lt;/ChapterId&gt;&lt;ChapterName&gt;Contingent  assets&lt;/ChapterName&gt;&lt;ChapterNoOfPages&gt;-1&lt;/ChapterNoOfPages&gt;&lt;ChapterVersion&gt;19&lt;/ChapterVersion&gt;&lt;/ChapterMetadata&gt;"/>
    <w:docVar w:name="DM_WB_C9507_METADATA" w:val="&lt;ChapterMetadata&gt;&lt;ChapterId&gt;9507&lt;/ChapterId&gt;&lt;ChapterName&gt;Statement of changes in net assets by EDF&lt;/ChapterName&gt;&lt;ChapterNoOfPages&gt;-1&lt;/ChapterNoOfPages&gt;&lt;ChapterVersion&gt;19&lt;/ChapterVersion&gt;&lt;/ChapterMetadata&gt;"/>
    <w:docVar w:name="DM_WB_C9512_METADATA" w:val="&lt;ChapterMetadata&gt;&lt;ChapterId&gt;9512&lt;/ChapterId&gt;&lt;ChapterName&gt;Report on financial implementation Devco file - 1&lt;/ChapterName&gt;&lt;ChapterNoOfPages&gt;-1&lt;/ChapterNoOfPages&gt;&lt;ChapterVersion&gt;3&lt;/ChapterVersion&gt;&lt;/ChapterMetadata&gt;"/>
    <w:docVar w:name="DM_WB_C9514_METADATA" w:val="&lt;ChapterMetadata&gt;&lt;ChapterId&gt;9514&lt;/ChapterId&gt;&lt;ChapterName&gt;Notes to the balance sheet&lt;/ChapterName&gt;&lt;ChapterNoOfPages&gt;-1&lt;/ChapterNoOfPages&gt;&lt;ChapterVersion&gt;1&lt;/ChapterVersion&gt;&lt;/ChapterMetadata&gt;"/>
    <w:docVar w:name="DM_WB_C9515_METADATA" w:val="&lt;ChapterMetadata&gt;&lt;ChapterId&gt;9515&lt;/ChapterId&gt;&lt;ChapterName&gt;Certification of the accounts&lt;/ChapterName&gt;&lt;ChapterNoOfPages&gt;-1&lt;/ChapterNoOfPages&gt;&lt;ChapterVersion&gt;2&lt;/ChapterVersion&gt;&lt;/ChapterMetadata&gt;"/>
    <w:docVar w:name="DM_WB_C9521_METADATA" w:val="&lt;ChapterMetadata&gt;&lt;ChapterId&gt;9521&lt;/ChapterId&gt;&lt;ChapterName&gt;Report on financial implementation Devco file - 2&lt;/ChapterName&gt;&lt;ChapterNoOfPages&gt;-1&lt;/ChapterNoOfPages&gt;&lt;ChapterVersion&gt;1&lt;/ChapterVersion&gt;&lt;/ChapterMetadata&gt;"/>
    <w:docVar w:name="DM_WB_C9522_METADATA" w:val="&lt;ChapterMetadata&gt;&lt;ChapterId&gt;9522&lt;/ChapterId&gt;&lt;ChapterName&gt;Consolidated Balance sheet EDF-TFs&lt;/ChapterName&gt;&lt;ChapterNoOfPages&gt;-1&lt;/ChapterNoOfPages&gt;&lt;ChapterVersion&gt;12&lt;/ChapterVersion&gt;&lt;/ChapterMetadata&gt;"/>
    <w:docVar w:name="DM_WB_C9523_METADATA" w:val="&lt;ChapterMetadata&gt;&lt;ChapterId&gt;9523&lt;/ChapterId&gt;&lt;ChapterName&gt;Net assets&lt;/ChapterName&gt;&lt;ChapterNoOfPages&gt;-1&lt;/ChapterNoOfPages&gt;&lt;ChapterVersion&gt;1&lt;/ChapterVersion&gt;&lt;/ChapterMetadata&gt;"/>
    <w:docVar w:name="DM_WB_C9525_METADATA" w:val="&lt;ChapterMetadata&gt;&lt;ChapterId&gt;9525&lt;/ChapterId&gt;&lt;ChapterName&gt;Balance sheet by EDF&lt;/ChapterName&gt;&lt;ChapterNoOfPages&gt;-1&lt;/ChapterNoOfPages&gt;&lt;ChapterVersion&gt;17&lt;/ChapterVersion&gt;&lt;/ChapterMetadata&gt;"/>
    <w:docVar w:name="DM_WB_C9526_METADATA" w:val="&lt;ChapterMetadata&gt;&lt;ChapterId&gt;9526&lt;/ChapterId&gt;&lt;ChapterName&gt;Notes to the cashflow statement&lt;/ChapterName&gt;&lt;ChapterNoOfPages&gt;-1&lt;/ChapterNoOfPages&gt;&lt;ChapterVersion&gt;1&lt;/ChapterVersion&gt;&lt;/ChapterMetadata&gt;"/>
    <w:docVar w:name="DM_WB_C9531_METADATA" w:val="&lt;ChapterMetadata&gt;&lt;ChapterId&gt;9531&lt;/ChapterId&gt;&lt;ChapterName&gt;Financial statements and explanatory notes - Funds managed by the European Commission&lt;/ChapterName&gt;&lt;ChapterNoOfPages&gt;-1&lt;/ChapterNoOfPages&gt;&lt;ChapterVersion&gt;3&lt;/ChapterVersion&gt;&lt;/ChapterMetadata&gt;"/>
    <w:docVar w:name="DM_WB_C9533_METADATA" w:val="&lt;ChapterMetadata&gt;&lt;ChapterId&gt;9533&lt;/ChapterId&gt;&lt;ChapterName&gt;Current Pre financing&lt;/ChapterName&gt;&lt;ChapterNoOfPages&gt;-1&lt;/ChapterNoOfPages&gt;&lt;ChapterVersion&gt;19&lt;/ChapterVersion&gt;&lt;/ChapterMetadata&gt;"/>
    <w:docVar w:name="DM_WB_C9534_METADATA" w:val="&lt;ChapterMetadata&gt;&lt;ChapterId&gt;9534&lt;/ChapterId&gt;&lt;ChapterName&gt;Guarantees received in respect of pre financing&lt;/ChapterName&gt;&lt;ChapterNoOfPages&gt;-1&lt;/ChapterNoOfPages&gt;&lt;ChapterVersion&gt;6&lt;/ChapterVersion&gt;&lt;/ChapterMetadata&gt;"/>
    <w:docVar w:name="DM_WB_C9536_METADATA" w:val="&lt;ChapterMetadata&gt;&lt;ChapterId&gt;9536&lt;/ChapterId&gt;&lt;ChapterName&gt;Events after the balance sheet date&lt;/ChapterName&gt;&lt;ChapterNoOfPages&gt;-1&lt;/ChapterNoOfPages&gt;&lt;ChapterVersion&gt;3&lt;/ChapterVersion&gt;&lt;/ChapterMetadata&gt;"/>
    <w:docVar w:name="DM_WB_C9537_METADATA" w:val="&lt;ChapterMetadata&gt;&lt;ChapterId&gt;9537&lt;/ChapterId&gt;&lt;ChapterName&gt;Cash and cash equivalents current assets&lt;/ChapterName&gt;&lt;ChapterNoOfPages&gt;-1&lt;/ChapterNoOfPages&gt;&lt;ChapterVersion&gt;16&lt;/ChapterVersion&gt;&lt;/ChapterMetadata&gt;"/>
    <w:docVar w:name="DM_WB_C9538_METADATA" w:val="&lt;ChapterMetadata&gt;&lt;ChapterId&gt;9538&lt;/ChapterId&gt;&lt;ChapterName&gt;NC Financial liabilities&lt;/ChapterName&gt;&lt;ChapterNoOfPages&gt;-1&lt;/ChapterNoOfPages&gt;&lt;ChapterVersion&gt;17&lt;/ChapterVersion&gt;&lt;/ChapterMetadata&gt;"/>
    <w:docVar w:name="DM_WB_C9539_METADATA" w:val="&lt;ChapterMetadata&gt;&lt;ChapterId&gt;9539&lt;/ChapterId&gt;&lt;ChapterName&gt;Related party disclosures&lt;/ChapterName&gt;&lt;ChapterNoOfPages&gt;-1&lt;/ChapterNoOfPages&gt;&lt;ChapterVersion&gt;5&lt;/ChapterVersion&gt;&lt;/ChapterMetadata&gt;"/>
    <w:docVar w:name="DM_WB_C9543_METADATA" w:val="&lt;ChapterMetadata&gt;&lt;ChapterId&gt;9543&lt;/ChapterId&gt;&lt;ChapterName&gt;Revenue&lt;/ChapterName&gt;&lt;ChapterNoOfPages&gt;-1&lt;/ChapterNoOfPages&gt;&lt;ChapterVersion&gt;32&lt;/ChapterVersion&gt;&lt;/ChapterMetadata&gt;"/>
    <w:docVar w:name="DM_WB_C9545_METADATA" w:val="&lt;ChapterMetadata&gt;&lt;ChapterId&gt;9545&lt;/ChapterId&gt;&lt;ChapterName&gt;Report on financial implementation Devco file - 4&lt;/ChapterName&gt;&lt;ChapterNoOfPages&gt;-1&lt;/ChapterNoOfPages&gt;&lt;ChapterVersion&gt;1&lt;/ChapterVersion&gt;&lt;/ChapterMetadata&gt;"/>
    <w:docVar w:name="DM_WB_C9549_METADATA" w:val="&lt;ChapterMetadata&gt;&lt;ChapterId&gt;9549&lt;/ChapterId&gt;&lt;ChapterName&gt;Notes to the financial statements of the EDF&lt;/ChapterName&gt;&lt;ChapterNoOfPages&gt;-1&lt;/ChapterNoOfPages&gt;&lt;ChapterVersion&gt;2&lt;/ChapterVersion&gt;&lt;/ChapterMetadata&gt;"/>
    <w:docVar w:name="DM_WB_C9550_METADATA" w:val="&lt;ChapterMetadata&gt;&lt;ChapterId&gt;9550&lt;/ChapterId&gt;&lt;ChapterName&gt;Payables&lt;/ChapterName&gt;&lt;ChapterNoOfPages&gt;-1&lt;/ChapterNoOfPages&gt;&lt;ChapterVersion&gt;26&lt;/ChapterVersion&gt;&lt;/ChapterMetadata&gt;"/>
    <w:docVar w:name="DM_WB_C9553_METADATA" w:val="&lt;ChapterMetadata&gt;&lt;ChapterId&gt;9553&lt;/ChapterId&gt;&lt;ChapterName&gt;Notes to the Statement of financial performance&lt;/ChapterName&gt;&lt;ChapterNoOfPages&gt;-1&lt;/ChapterNoOfPages&gt;&lt;ChapterVersion&gt;2&lt;/ChapterVersion&gt;&lt;/ChapterMetadata&gt;"/>
    <w:docVar w:name="DM_WB_C9554_METADATA" w:val="&lt;ChapterMetadata&gt;&lt;ChapterId&gt;9554&lt;/ChapterId&gt;&lt;ChapterName&gt;Reconciliation economic result Budget result&lt;/ChapterName&gt;&lt;ChapterNoOfPages&gt;-1&lt;/ChapterNoOfPages&gt;&lt;ChapterVersion&gt;9&lt;/ChapterVersion&gt;&lt;/ChapterMetadata&gt;"/>
    <w:docVar w:name="DM_WB_C9562_METADATA" w:val="&lt;ChapterMetadata&gt;&lt;ChapterId&gt;9562&lt;/ChapterId&gt;&lt;ChapterName&gt;Final annual accounts of the Bêkou EU trust fund&lt;/ChapterName&gt;&lt;ChapterNoOfPages&gt;-1&lt;/ChapterNoOfPages&gt;&lt;ChapterVersion&gt;4&lt;/ChapterVersion&gt;&lt;/ChapterMetadata&gt;"/>
    <w:docVar w:name="DM_WB_C9564_METADATA" w:val="&lt;ChapterMetadata&gt;&lt;ChapterId&gt;9564&lt;/ChapterId&gt;&lt;ChapterName&gt;Accrued charges_deferred income&lt;/ChapterName&gt;&lt;ChapterNoOfPages&gt;-1&lt;/ChapterNoOfPages&gt;&lt;ChapterVersion&gt;16&lt;/ChapterVersion&gt;&lt;/ChapterMetadata&gt;"/>
    <w:docVar w:name="DM_WB_C9565_METADATA" w:val="&lt;ChapterMetadata&gt;&lt;ChapterId&gt;9565&lt;/ChapterId&gt;&lt;ChapterName&gt;Market risk - Currency risks&lt;/ChapterName&gt;&lt;ChapterNoOfPages&gt;-1&lt;/ChapterNoOfPages&gt;&lt;ChapterVersion&gt;14&lt;/ChapterVersion&gt;&lt;/ChapterMetadata&gt;"/>
    <w:docVar w:name="DM_WB_C9566_METADATA" w:val="&lt;ChapterMetadata&gt;&lt;ChapterId&gt;9566&lt;/ChapterId&gt;&lt;ChapterName&gt;Interest rate risk&lt;/ChapterName&gt;&lt;ChapterNoOfPages&gt;-1&lt;/ChapterNoOfPages&gt;&lt;ChapterVersion&gt;3&lt;/ChapterVersion&gt;&lt;/ChapterMetadata&gt;"/>
    <w:docVar w:name="DM_WB_C9567_METADATA" w:val="&lt;ChapterMetadata&gt;&lt;ChapterId&gt;9567&lt;/ChapterId&gt;&lt;ChapterName&gt;Credit risk&lt;/ChapterName&gt;&lt;ChapterNoOfPages&gt;-1&lt;/ChapterNoOfPages&gt;&lt;ChapterVersion&gt;10&lt;/ChapterVersion&gt;&lt;/ChapterMetadata&gt;"/>
    <w:docVar w:name="DM_WB_C9568_METADATA" w:val="&lt;ChapterMetadata&gt;&lt;ChapterId&gt;9568&lt;/ChapterId&gt;&lt;ChapterName&gt;Liquidity risk&lt;/ChapterName&gt;&lt;ChapterNoOfPages&gt;-1&lt;/ChapterNoOfPages&gt;&lt;ChapterVersion&gt;10&lt;/ChapterVersion&gt;&lt;/ChapterMetadata&gt;"/>
    <w:docVar w:name="DM_WB_C9577_METADATA" w:val="&lt;ChapterMetadata&gt;&lt;ChapterId&gt;9577&lt;/ChapterId&gt;&lt;ChapterName&gt;Called fund capital transfers between active EDFs&lt;/ChapterName&gt;&lt;ChapterNoOfPages&gt;-1&lt;/ChapterNoOfPages&gt;&lt;ChapterVersion&gt;11&lt;/ChapterVersion&gt;&lt;/ChapterMetadata&gt;"/>
    <w:docVar w:name="DM_WB_C9578_METADATA" w:val="&lt;ChapterMetadata&gt;&lt;ChapterId&gt;9578&lt;/ChapterId&gt;&lt;ChapterName&gt;Significant accounting policies (master ext. entities)&lt;/ChapterName&gt;&lt;ChapterNoOfPages&gt;-1&lt;/ChapterNoOfPages&gt;&lt;ChapterVersion&gt;7&lt;/ChapterVersion&gt;&lt;/ChapterMetadata&gt;"/>
    <w:docVar w:name="DM_WB_C9579_METADATA" w:val="&lt;ChapterMetadata&gt;&lt;ChapterId&gt;9579&lt;/ChapterId&gt;&lt;ChapterName&gt;Significant accounting policies (PART II)&lt;/ChapterName&gt;&lt;ChapterNoOfPages&gt;-1&lt;/ChapterNoOfPages&gt;&lt;ChapterVersion&gt;1&lt;/ChapterVersion&gt;&lt;/ChapterMetadata&gt;"/>
    <w:docVar w:name="DOC_TBL00001_1_1" w:val="|@|1|2057"/>
    <w:docVar w:name="DOC_TBL00001_1_2" w:val="|@|1|2057"/>
    <w:docVar w:name="DOC_TBL00001_1_3" w:val="|@|1|2057"/>
    <w:docVar w:name="DOC_TBL00001_1_4" w:val=" EUR millions|@|1|2057"/>
    <w:docVar w:name="DOC_TBL00001_10_1" w:val="Cash and cash equivalents |@|1|2057"/>
    <w:docVar w:name="DOC_TBL00001_10_2" w:val="2.4|@|1|2057"/>
    <w:docVar w:name="DOC_TBL00001_10_3" w:val="680.35649723|#\ ##0;\ \(#\ ##0\);\-|1|2057"/>
    <w:docVar w:name="DOC_TBL00001_10_4" w:val="503.78859781|#\ ##0;\ \(#\ ##0\);\-|1|2057"/>
    <w:docVar w:name="DOC_TBL00001_11_1" w:val="|@|1|2057"/>
    <w:docVar w:name="DOC_TBL00001_11_2" w:val="|@|1|2057"/>
    <w:docVar w:name="DOC_TBL00001_11_3" w:val="2184.25156371|#\ ##0;\ \(#\ ##0\);\-|1|2057"/>
    <w:docVar w:name="DOC_TBL00001_11_4" w:val="1819.52242685|#\ ##0;\ \(#\ ##0\);\-|1|2057"/>
    <w:docVar w:name="DOC_TBL00001_12_1" w:val="TOTAL ASSETS|@|1|2057"/>
    <w:docVar w:name="DOC_TBL00001_12_2" w:val="|@|1|2057"/>
    <w:docVar w:name="DOC_TBL00001_12_3" w:val="2690.91224868|#\ ##0;\ \(#\ ##0\);\-|1|2057"/>
    <w:docVar w:name="DOC_TBL00001_12_4" w:val="2369.73087648|#\ ##0;\ \(#\ ##0\);\-|1|2057"/>
    <w:docVar w:name="DOC_TBL00001_13_1" w:val="|@|1|2057"/>
    <w:docVar w:name="DOC_TBL00001_13_2" w:val="|@|1|2057"/>
    <w:docVar w:name="DOC_TBL00001_13_3" w:val="|#\ ##0;\ \(#\ ##0\);\-|1|2057"/>
    <w:docVar w:name="DOC_TBL00001_13_4" w:val="|#\ ##0;\ \(#\ ##0\);\-|1|2057"/>
    <w:docVar w:name="DOC_TBL00001_14_1" w:val="NON-CURRENT LIABILITIES|@|1|2057"/>
    <w:docVar w:name="DOC_TBL00001_14_2" w:val="|@|1|2057"/>
    <w:docVar w:name="DOC_TBL00001_14_3" w:val="|#\ ##0;\ \(#\ ##0\);\-|1|2057"/>
    <w:docVar w:name="DOC_TBL00001_14_4" w:val="|#\ ##0;\ \(#\ ##0\);\-|1|2057"/>
    <w:docVar w:name="DOC_TBL00001_15_1" w:val="Provisions|@|1|2057"/>
    <w:docVar w:name="DOC_TBL00001_15_2" w:val="2.5|@|1|2057"/>
    <w:docVar w:name="DOC_TBL00001_15_3" w:val="-3.88945|#\ ##0;\ \(#\ ##0\);\-|1|2057"/>
    <w:docVar w:name="DOC_TBL00001_15_4" w:val="-3.88945|#\ ##0;\ \(#\ ##0\);\-|1|2057"/>
    <w:docVar w:name="DOC_TBL00001_16_1" w:val="Financial liabilities|@|1|2057"/>
    <w:docVar w:name="DOC_TBL00001_16_2" w:val="2.6|@|1|2057"/>
    <w:docVar w:name="DOC_TBL00001_16_3" w:val="-5.91767917|#\ ##0;\ \(#\ ##0\);\-|1|2057"/>
    <w:docVar w:name="DOC_TBL00001_16_4" w:val="-10.32606165|#\ ##0;\ \(#\ ##0\);\-|1|2057"/>
    <w:docVar w:name="DOC_TBL00001_17_1" w:val="|@|1|2057"/>
    <w:docVar w:name="DOC_TBL00001_17_2" w:val="|@|1|2057"/>
    <w:docVar w:name="DOC_TBL00001_17_3" w:val="-9.80712917|#\ ##0;\ \(#\ ##0\);\-|1|2057"/>
    <w:docVar w:name="DOC_TBL00001_17_4" w:val="-14.21551165|#\ ##0;\ \(#\ ##0\);\-|1|2057"/>
    <w:docVar w:name="DOC_TBL00001_18_1" w:val="CURRENT LIABILITIES|@|1|2057"/>
    <w:docVar w:name="DOC_TBL00001_18_2" w:val="|@|1|2057"/>
    <w:docVar w:name="DOC_TBL00001_18_3" w:val="|#\ ##0;\ \(#\ ##0\);\-|1|2057"/>
    <w:docVar w:name="DOC_TBL00001_18_4" w:val="|#\ ##0;\ \(#\ ##0\);\-|1|2057"/>
    <w:docVar w:name="DOC_TBL00001_19_1" w:val="Payables|@|1|2057"/>
    <w:docVar w:name="DOC_TBL00001_19_2" w:val="2.7|@|1|2057"/>
    <w:docVar w:name="DOC_TBL00001_19_3" w:val="-548.70253132|#\ ##0;\ \(#\ ##0\);\-|1|2057"/>
    <w:docVar w:name="DOC_TBL00001_19_4" w:val="-520.22340666|#\ ##0;\ \(#\ ##0\);\-|1|2057"/>
    <w:docVar w:name="DOC_TBL00001_2_1" w:val="|@|1|2057"/>
    <w:docVar w:name="DOC_TBL00001_2_2" w:val="Note|@|1|2057"/>
    <w:docVar w:name="DOC_TBL00001_2_3" w:val="31.12.2016|@|1|2057"/>
    <w:docVar w:name="DOC_TBL00001_2_4" w:val="31.12.2015|@|1|2057"/>
    <w:docVar w:name="DOC_TBL00001_20_1" w:val="Accrued charges and deferred income|@|1|2057"/>
    <w:docVar w:name="DOC_TBL00001_20_2" w:val="2.8|@|1|2057"/>
    <w:docVar w:name="DOC_TBL00001_20_3" w:val="-775.65920623|#\ ##0;\ \(#\ ##0\);\-|1|2057"/>
    <w:docVar w:name="DOC_TBL00001_20_4" w:val="-855.29299879|#\ ##0;\ \(#\ ##0\);\-|1|2057"/>
    <w:docVar w:name="DOC_TBL00001_21_1" w:val="|@|1|2057"/>
    <w:docVar w:name="DOC_TBL00001_21_2" w:val="|@|1|2057"/>
    <w:docVar w:name="DOC_TBL00001_21_3" w:val="-1324.36173755|#\ ##0;\ \(#\ ##0\);\-|1|2057"/>
    <w:docVar w:name="DOC_TBL00001_21_4" w:val="-1375.51640545|#\ ##0;\ \(#\ ##0\);\-|1|2057"/>
    <w:docVar w:name="DOC_TBL00001_22_1" w:val="TOTAL LIABILITIES|@|1|2057"/>
    <w:docVar w:name="DOC_TBL00001_22_2" w:val="|@|1|2057"/>
    <w:docVar w:name="DOC_TBL00001_22_3" w:val="-1334.16886672|#\ ##0;\ \(#\ ##0\);\-|1|2057"/>
    <w:docVar w:name="DOC_TBL00001_22_4" w:val="-1389.2319171|#\ ##0;\ \(#\ ##0\);\-|1|2057"/>
    <w:docVar w:name="DOC_TBL00001_23_1" w:val="|@|1|2057"/>
    <w:docVar w:name="DOC_TBL00001_23_2" w:val="|@|1|2057"/>
    <w:docVar w:name="DOC_TBL00001_23_3" w:val="|#\ ##0;\ \(#\ ##0\);\-|1|2057"/>
    <w:docVar w:name="DOC_TBL00001_23_4" w:val="|#\ ##0;\ \(#\ ##0\);\-|1|2057"/>
    <w:docVar w:name="DOC_TBL00001_24_1" w:val="NET ASSETS|@|1|2057"/>
    <w:docVar w:name="DOC_TBL00001_24_2" w:val="|@|1|2057"/>
    <w:docVar w:name="DOC_TBL00001_24_3" w:val="1356.74338196|#\ ##0;\ \(#\ ##0\);\-|1|2057"/>
    <w:docVar w:name="DOC_TBL00001_24_4" w:val="980.49895938|#\ ##0;\ \(#\ ##0\);\-|1|2057"/>
    <w:docVar w:name="DOC_TBL00001_25_1" w:val="|@|1|2057"/>
    <w:docVar w:name="DOC_TBL00001_25_2" w:val="|@|1|2057"/>
    <w:docVar w:name="DOC_TBL00001_25_3" w:val="|#\ ##0;\ \(#\ ##0\);\-|1|2057"/>
    <w:docVar w:name="DOC_TBL00001_25_4" w:val="|#\ ##0;\ \(#\ ##0\);\-|1|2057"/>
    <w:docVar w:name="DOC_TBL00001_26_1" w:val="FUNDS &amp; RESERVES|@|1|2057"/>
    <w:docVar w:name="DOC_TBL00001_26_2" w:val="|@|1|2057"/>
    <w:docVar w:name="DOC_TBL00001_26_3" w:val="|#\ ##0;\ \(#\ ##0\);\-|1|2057"/>
    <w:docVar w:name="DOC_TBL00001_26_4" w:val="|#\ ##0;\ \(#\ ##0\);\-|1|2057"/>
    <w:docVar w:name="DOC_TBL00001_27_1" w:val="Called fund capital - active EDFs|@|1|2057"/>
    <w:docVar w:name="DOC_TBL00001_27_2" w:val="2.9|@|1|2057"/>
    <w:docVar w:name="DOC_TBL00001_27_3" w:val="42323.47421151|#\ ##0;\ \(#\ ##0\);\-|1|2057"/>
    <w:docVar w:name="DOC_TBL00001_27_4" w:val="38873.4742115|#\ ##0;\ \(#\ ##0\);\-|1|2057"/>
    <w:docVar w:name="DOC_TBL00001_28_1" w:val="Called fund capital from closed EDFs carried forward|@|1|2057"/>
    <w:docVar w:name="DOC_TBL00001_28_2" w:val="2.9|@|1|2057"/>
    <w:docVar w:name="DOC_TBL00001_28_3" w:val="2252.24974965|#\ ##0;\ \(#\ ##0\);\-|1|2057"/>
    <w:docVar w:name="DOC_TBL00001_28_4" w:val="2252.24974965|#\ ##0;\ \(#\ ##0\);\-|1|2057"/>
    <w:docVar w:name="DOC_TBL00001_29_1" w:val="Called fund capital transfers between active EDFs|@|1|2057"/>
    <w:docVar w:name="DOC_TBL00001_29_2" w:val="2.9|@|1|2057"/>
    <w:docVar w:name="DOC_TBL00001_29_3" w:val="0|#\ ##0;\ \(#\ ##0\);\-|1|2057"/>
    <w:docVar w:name="DOC_TBL00001_29_4" w:val="0|#\ ##0;\ \(#\ ##0\);\-|1|2057"/>
    <w:docVar w:name="DOC_TBL00001_3_1" w:val="NON-CURRENT ASSETS|@|1|2057"/>
    <w:docVar w:name="DOC_TBL00001_3_2" w:val="|@|1|2057"/>
    <w:docVar w:name="DOC_TBL00001_3_3" w:val="|@|1|2057"/>
    <w:docVar w:name="DOC_TBL00001_3_4" w:val="|@|1|2057"/>
    <w:docVar w:name="DOC_TBL00001_30_1" w:val="Economic result carried forward from previous years|@|1|2057"/>
    <w:docVar w:name="DOC_TBL00001_30_2" w:val="|@|1|2057"/>
    <w:docVar w:name="DOC_TBL00001_30_3" w:val="-40145.98219905|#\ ##0;\ \(#\ ##0\);\-|1|2057"/>
    <w:docVar w:name="DOC_TBL00001_30_4" w:val="-36994.19748085|#\ ##0;\ \(#\ ##0\);\-|1|2057"/>
    <w:docVar w:name="DOC_TBL00001_31_1" w:val="Economic result of the year|@|1|2057"/>
    <w:docVar w:name="DOC_TBL00001_31_2" w:val="|@|1|2057"/>
    <w:docVar w:name="DOC_TBL00001_31_3" w:val="-3072.99838015|#\ ##0;\ \(#\ ##0\);\-|1|2057"/>
    <w:docVar w:name="DOC_TBL00001_31_4" w:val="-3151.52752092|#\ ##0;\ \(#\ ##0\);\-|1|2057"/>
    <w:docVar w:name="DOC_TBL00001_32_1" w:val="NET ASSETS|@|1|2057"/>
    <w:docVar w:name="DOC_TBL00001_32_2" w:val="|@|1|2057"/>
    <w:docVar w:name="DOC_TBL00001_32_3" w:val="1356.74338196|#\ ##0;\ \(#\ ##0\);\-|1|2057"/>
    <w:docVar w:name="DOC_TBL00001_32_4" w:val="979.998959379996|#\ ##0;\ \(#\ ##0\);\-|1|2057"/>
    <w:docVar w:name="DOC_TBL00001_4_1" w:val="Pre-financing|@|1|2057"/>
    <w:docVar w:name="DOC_TBL00001_4_2" w:val="2.1|@|1|2057"/>
    <w:docVar w:name="DOC_TBL00001_4_3" w:val="408.80740749|#\ ##0;\ \(#\ ##0\);\-|1|2057"/>
    <w:docVar w:name="DOC_TBL00001_4_4" w:val="516.24189509|#\ ##0;\ \(#\ ##0\);\-|1|2057"/>
    <w:docVar w:name="DOC_TBL00001_5_1" w:val="Trust Fund contributions|@|1|2057"/>
    <w:docVar w:name="DOC_TBL00001_5_2" w:val="2.2|@|1|2057"/>
    <w:docVar w:name="DOC_TBL00001_5_3" w:val="97.85327748|#\ ##0;\ \(#\ ##0\);\-|1|2057"/>
    <w:docVar w:name="DOC_TBL00001_5_4" w:val="33.96655454|#\ ##0;\ \(#\ ##0\);\-|1|2057"/>
    <w:docVar w:name="DOC_TBL00001_6_1" w:val="|@|1|2057"/>
    <w:docVar w:name="DOC_TBL00001_6_2" w:val="|@|1|2057"/>
    <w:docVar w:name="DOC_TBL00001_6_3" w:val="506.66068497|#\ ##0;\ \(#\ ##0\);\-|1|2057"/>
    <w:docVar w:name="DOC_TBL00001_6_4" w:val="550.20844963|#\ ##0;\ \(#\ ##0\);\-|1|2057"/>
    <w:docVar w:name="DOC_TBL00001_7_1" w:val="CURRENT ASSETS|@|1|2057"/>
    <w:docVar w:name="DOC_TBL00001_7_2" w:val="|@|1|2057"/>
    <w:docVar w:name="DOC_TBL00001_7_3" w:val="|#\ ##0;\ \(#\ ##0\);\-|1|2057"/>
    <w:docVar w:name="DOC_TBL00001_7_4" w:val="|#\ ##0;\ \(#\ ##0\);\-|1|2057"/>
    <w:docVar w:name="DOC_TBL00001_8_1" w:val="Pre-financing|@|1|2057"/>
    <w:docVar w:name="DOC_TBL00001_8_2" w:val="2.1|@|1|2057"/>
    <w:docVar w:name="DOC_TBL00001_8_3" w:val="1371.73238715|#\ ##0;\ \(#\ ##0\);\-|1|2057"/>
    <w:docVar w:name="DOC_TBL00001_8_4" w:val="1144.74213936|#\ ##0;\ \(#\ ##0\);\-|1|2057"/>
    <w:docVar w:name="DOC_TBL00001_9_1" w:val="Exchange receivables and non-exchange recoverables|@|1|2057"/>
    <w:docVar w:name="DOC_TBL00001_9_2" w:val="2.3|@|1|2057"/>
    <w:docVar w:name="DOC_TBL00001_9_3" w:val="132.16267933|#\ ##0;\ \(#\ ##0\);\-|1|2057"/>
    <w:docVar w:name="DOC_TBL00001_9_4" w:val="170.99168968|#\ ##0;\ \(#\ ##0\);\-|1|2057"/>
    <w:docVar w:name="doc_tbl00003_1_1" w:val="|@|1|2057"/>
    <w:docVar w:name="doc_tbl00011_1_1" w:val="Currency|@|1|2057"/>
    <w:docVar w:name="doc_tbl00011_1_2" w:val="31.12.2016|@|1|2057"/>
    <w:docVar w:name="doc_tbl00011_1_3" w:val="31.12.2015|@|1|2057"/>
    <w:docVar w:name="doc_tbl00011_1_4" w:val="Currency|@|1|2057"/>
    <w:docVar w:name="doc_tbl00011_1_5" w:val="31.12.2016|@|1|2057"/>
    <w:docVar w:name="doc_tbl00011_1_6" w:val="31.12.2015|@|1|2057"/>
    <w:docVar w:name="doc_tbl00011_2_1" w:val="BGN|@|1|2057"/>
    <w:docVar w:name="doc_tbl00011_2_2" w:val="1.9558|@|1|2057"/>
    <w:docVar w:name="doc_tbl00011_2_3" w:val="1.9558|0.0000|1|2057"/>
    <w:docVar w:name="doc_tbl00011_2_4" w:val="PLN|@|1|2057"/>
    <w:docVar w:name="doc_tbl00011_2_5" w:val="4.4103|@|1|2057"/>
    <w:docVar w:name="doc_tbl00011_2_6" w:val="4.2639|0.0000|1|2057"/>
    <w:docVar w:name="doc_tbl00011_3_1" w:val="CZK|@|1|2057"/>
    <w:docVar w:name="doc_tbl00011_3_2" w:val="27.0210|@|1|2057"/>
    <w:docVar w:name="doc_tbl00011_3_3" w:val="27.023|0.0000|1|2057"/>
    <w:docVar w:name="doc_tbl00011_3_4" w:val="RON|@|1|2057"/>
    <w:docVar w:name="doc_tbl00011_3_5" w:val="4.5390|@|1|2057"/>
    <w:docVar w:name="doc_tbl00011_3_6" w:val="4.524|0.0000|1|2057"/>
    <w:docVar w:name="doc_tbl00011_4_1" w:val="DKK|@|1|2057"/>
    <w:docVar w:name="doc_tbl00011_4_2" w:val="7.4344|@|1|2057"/>
    <w:docVar w:name="doc_tbl00011_4_3" w:val="7.4626|0.0000|1|2057"/>
    <w:docVar w:name="doc_tbl00011_4_4" w:val="SEK|@|1|2057"/>
    <w:docVar w:name="doc_tbl00011_4_5" w:val="9.5525|@|1|2057"/>
    <w:docVar w:name="doc_tbl00011_4_6" w:val="9.1895|0.0000|1|2057"/>
    <w:docVar w:name="doc_tbl00011_5_1" w:val="GBP|@|1|2057"/>
    <w:docVar w:name="doc_tbl00011_5_2" w:val="0.8562|@|1|2057"/>
    <w:docVar w:name="doc_tbl00011_5_3" w:val="0.73395|0.0000|1|2057"/>
    <w:docVar w:name="doc_tbl00011_5_4" w:val="CHF|@|1|2057"/>
    <w:docVar w:name="doc_tbl00011_5_5" w:val="1.0739|@|1|2057"/>
    <w:docVar w:name="doc_tbl00011_5_6" w:val="1.0835|0.0000|1|2057"/>
    <w:docVar w:name="doc_tbl00011_6_1" w:val="HRK|@|1|2057"/>
    <w:docVar w:name="doc_tbl00011_6_2" w:val="7.5597|@|1|2057"/>
    <w:docVar w:name="doc_tbl00011_6_3" w:val="7.638|0.0000|1|2057"/>
    <w:docVar w:name="doc_tbl00011_6_4" w:val="JPY|@|1|2057"/>
    <w:docVar w:name="doc_tbl00011_6_5" w:val="123.4000|@|1|2057"/>
    <w:docVar w:name="doc_tbl00011_6_6" w:val="131.07|0.0000|1|2057"/>
    <w:docVar w:name="doc_tbl00011_7_1" w:val="HUF|@|1|2057"/>
    <w:docVar w:name="doc_tbl00011_7_2" w:val="309.8300|@|1|2057"/>
    <w:docVar w:name="doc_tbl00011_7_3" w:val="315.98|0.0000|1|2057"/>
    <w:docVar w:name="doc_tbl00011_7_4" w:val="USD|@|1|2057"/>
    <w:docVar w:name="doc_tbl00011_7_5" w:val="1.0541|@|1|2057"/>
    <w:docVar w:name="doc_tbl00011_7_6" w:val="1.0887|0.0000|1|2057"/>
    <w:docVar w:name="doc_tbl00022_1_1" w:val="|@|1|2057"/>
    <w:docVar w:name="doc_tbl00026_1_1" w:val="|@|1|2057"/>
    <w:docVar w:name="doc_tbl00028_1_1" w:val="|@|1|2057"/>
    <w:docVar w:name="doc_tbl00031_1_1" w:val="|@|1|2057"/>
    <w:docVar w:name="doc_tbl00039_1_1" w:val="|@|1|2057"/>
    <w:docVar w:name="doc_tbl00046_1_1" w:val="|@|1|2057"/>
    <w:docVar w:name="doc_tbl00047_1_1" w:val="|@|1|2057"/>
    <w:docVar w:name="doc_tbl00051_1_1" w:val="|@|1|2057"/>
    <w:docVar w:name="doc_tbl00052_1_1" w:val="|@|1|2057"/>
    <w:docVar w:name="doc_tbl00053_1_1" w:val="|@|1|2057"/>
    <w:docVar w:name="doc_tbl00054_1_1" w:val="|@|1|2057"/>
    <w:docVar w:name="doc_tbl00055_1_1" w:val="|@|1|2057"/>
    <w:docVar w:name="doc_tbl00056_1_1" w:val="|@|1|2057"/>
    <w:docVar w:name="doc_tbl00057_1_1" w:val="|@|1|2057"/>
    <w:docVar w:name="doc_tbl00058_1_1" w:val="|@|1|2057"/>
    <w:docVar w:name="DocStatus" w:val="Green"/>
    <w:docVar w:name="LW_CONFIDENCE" w:val=" "/>
    <w:docVar w:name="LW_CONST_RESTREINT_UE" w:val="RESTREINT UE"/>
    <w:docVar w:name="LW_CORRIGENDUM" w:val="&lt;UNUSED&gt;"/>
    <w:docVar w:name="LW_COVERPAGE_GUID" w:val="1023774B521647A99AB443BF97CCE14C"/>
    <w:docVar w:name="LW_CROSSREFERENCE" w:val="&lt;UNUSED&gt;"/>
    <w:docVar w:name="LW_DocType" w:val="TEMPLATE_EDF_2014_VERTICAL"/>
    <w:docVar w:name="LW_EMISSION" w:val="26.6.2017"/>
    <w:docVar w:name="LW_EMISSION_ISODATE" w:val="2017-06-26"/>
    <w:docVar w:name="LW_EMISSION_LOCATION" w:val="BRX"/>
    <w:docVar w:name="LW_EMISSION_PREFIX" w:val="Brussels, "/>
    <w:docVar w:name="LW_EMISSION_SUFFIX" w:val=" "/>
    <w:docVar w:name="LW_ID_DOCTYPE_NONLW" w:val="CP-009"/>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364"/>
    <w:docVar w:name="LW_REF.INTERNE" w:val="&lt;UNUSED&gt;"/>
    <w:docVar w:name="LW_SOUS.TITRE.OBJ.CP" w:val="&lt;UNUSED&gt;"/>
    <w:docVar w:name="LW_SUPERTITRE" w:val="&lt;UNUSED&gt;"/>
    <w:docVar w:name="LW_TITRE.OBJ.CP" w:val="ANNUAL ACCOUNTS OF THE EUROPEAN DEVELOPMENT FUND 2016"/>
    <w:docVar w:name="LW_TYPE.DOC.CP" w:val="COMMUNICATION FROM THE COMMISSION"/>
    <w:docVar w:name="LW_TYPE.DOC.CP.USERTEXT" w:val="TO THE EUROPEAN PARLIAMENT, THE COUNCIL AND THE COURT OF AUDITORS_x000b_"/>
  </w:docVars>
  <w:rsids>
    <w:rsidRoot w:val="005D6812"/>
    <w:rsid w:val="005D6812"/>
    <w:rsid w:val="00AB2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qFormat/>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Page"/>
    <w:basedOn w:val="Normal"/>
    <w:link w:val="CoverPageChar"/>
    <w:qFormat/>
    <w:pPr>
      <w:spacing w:before="240" w:after="720" w:line="360" w:lineRule="auto"/>
      <w:ind w:left="2268"/>
    </w:pPr>
    <w:rPr>
      <w:rFonts w:ascii="Verdana" w:hAnsi="Verdana"/>
      <w:color w:val="016794"/>
      <w:sz w:val="52"/>
      <w:szCs w:val="52"/>
    </w:rPr>
  </w:style>
  <w:style w:type="paragraph" w:customStyle="1" w:styleId="FIRSTCHAPTERPAGE">
    <w:name w:val="FIRST_CHAPTER_PAGE"/>
    <w:basedOn w:val="Normal"/>
    <w:qFormat/>
    <w:pPr>
      <w:spacing w:before="240" w:after="720"/>
    </w:pPr>
    <w:rPr>
      <w:rFonts w:ascii="Verdana" w:hAnsi="Verdana"/>
      <w:b/>
      <w:color w:val="016794"/>
      <w:sz w:val="40"/>
      <w:szCs w:val="4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en-GB"/>
    </w:rPr>
  </w:style>
  <w:style w:type="paragraph" w:customStyle="1" w:styleId="FinancialYear">
    <w:name w:val="Financial_Year"/>
    <w:basedOn w:val="Normal"/>
    <w:qFormat/>
    <w:pPr>
      <w:jc w:val="right"/>
    </w:pPr>
    <w:rPr>
      <w:rFonts w:ascii="Verdana" w:hAnsi="Verdana"/>
      <w:color w:val="016794"/>
      <w:sz w:val="22"/>
      <w:szCs w:val="22"/>
    </w:rPr>
  </w:style>
  <w:style w:type="paragraph" w:customStyle="1" w:styleId="TOPHEADERNOTE">
    <w:name w:val="TOPHEADER_NOTE"/>
    <w:basedOn w:val="Normal"/>
    <w:qFormat/>
    <w:rPr>
      <w:rFonts w:ascii="Verdana" w:hAnsi="Verdana"/>
      <w:i/>
      <w:color w:val="016794"/>
      <w:sz w:val="18"/>
    </w:rPr>
  </w:style>
  <w:style w:type="paragraph" w:customStyle="1" w:styleId="HEADERTABLE">
    <w:name w:val="HEADER_TABLE"/>
    <w:basedOn w:val="Normal"/>
    <w:qFormat/>
    <w:pPr>
      <w:spacing w:after="240"/>
    </w:pPr>
    <w:rPr>
      <w:rFonts w:ascii="Verdana" w:hAnsi="Verdana"/>
      <w:b/>
      <w:color w:val="016794"/>
      <w:sz w:val="28"/>
      <w:szCs w:val="28"/>
    </w:rPr>
  </w:style>
  <w:style w:type="paragraph" w:customStyle="1" w:styleId="Textstand-alonenumberingLetters">
    <w:name w:val="Text_stand-alone_(numbering Letters)"/>
    <w:basedOn w:val="Normal"/>
    <w:qFormat/>
    <w:pPr>
      <w:numPr>
        <w:numId w:val="2"/>
      </w:numPr>
      <w:spacing w:after="240"/>
      <w:ind w:hanging="720"/>
    </w:pPr>
    <w:rPr>
      <w:rFonts w:ascii="Verdana" w:hAnsi="Verdana"/>
      <w:sz w:val="18"/>
      <w:szCs w:val="18"/>
    </w:rPr>
  </w:style>
  <w:style w:type="paragraph" w:customStyle="1" w:styleId="SignatureRightItalic">
    <w:name w:val="Signature_Right + Italic"/>
    <w:basedOn w:val="Normal"/>
    <w:qFormat/>
    <w:pPr>
      <w:spacing w:before="240"/>
      <w:ind w:left="4394" w:right="1128"/>
      <w:jc w:val="center"/>
    </w:pPr>
    <w:rPr>
      <w:rFonts w:ascii="Verdana" w:hAnsi="Verdana"/>
      <w:i/>
      <w:sz w:val="18"/>
      <w:szCs w:val="18"/>
    </w:rPr>
  </w:style>
  <w:style w:type="paragraph" w:customStyle="1" w:styleId="HEADER3Part1">
    <w:name w:val="HEADER 3_Part 1"/>
    <w:basedOn w:val="Normal"/>
    <w:qFormat/>
    <w:pPr>
      <w:numPr>
        <w:ilvl w:val="2"/>
        <w:numId w:val="4"/>
      </w:numPr>
      <w:tabs>
        <w:tab w:val="left" w:pos="907"/>
      </w:tabs>
      <w:spacing w:before="360" w:after="360"/>
    </w:pPr>
    <w:rPr>
      <w:rFonts w:ascii="Verdana" w:hAnsi="Verdana"/>
      <w:color w:val="016794"/>
      <w:sz w:val="20"/>
      <w:szCs w:val="20"/>
    </w:rPr>
  </w:style>
  <w:style w:type="paragraph" w:customStyle="1" w:styleId="HEADER4Part1">
    <w:name w:val="HEADER 4_Part 1"/>
    <w:basedOn w:val="HEADER3Part1"/>
    <w:qFormat/>
    <w:pPr>
      <w:numPr>
        <w:ilvl w:val="3"/>
      </w:numPr>
    </w:pPr>
    <w:rPr>
      <w:sz w:val="18"/>
      <w:szCs w:val="18"/>
    </w:rPr>
  </w:style>
  <w:style w:type="paragraph" w:customStyle="1" w:styleId="HEADER2Part1">
    <w:name w:val="HEADER 2 _Part 1"/>
    <w:basedOn w:val="Normal"/>
    <w:qFormat/>
    <w:pPr>
      <w:numPr>
        <w:ilvl w:val="1"/>
        <w:numId w:val="4"/>
      </w:numPr>
      <w:tabs>
        <w:tab w:val="left" w:pos="907"/>
      </w:tabs>
      <w:spacing w:before="360" w:after="360"/>
    </w:pPr>
    <w:rPr>
      <w:rFonts w:ascii="Verdana" w:hAnsi="Verdana"/>
      <w:b/>
      <w:color w:val="016794"/>
      <w:sz w:val="28"/>
    </w:rPr>
  </w:style>
  <w:style w:type="paragraph" w:customStyle="1" w:styleId="Textstand-alonenumberingRCIndentJustified">
    <w:name w:val="Text_stand-alone_numbering RC Indent + Justified"/>
    <w:basedOn w:val="Normal"/>
    <w:qFormat/>
    <w:pPr>
      <w:numPr>
        <w:numId w:val="11"/>
      </w:numPr>
      <w:ind w:left="992" w:hanging="635"/>
    </w:pPr>
    <w:rPr>
      <w:rFonts w:ascii="Verdana" w:hAnsi="Verdana"/>
      <w:sz w:val="18"/>
      <w:szCs w:val="18"/>
    </w:rPr>
  </w:style>
  <w:style w:type="paragraph" w:customStyle="1" w:styleId="HEADER1Part2">
    <w:name w:val="HEADER 1_Part 2"/>
    <w:basedOn w:val="Normal"/>
    <w:qFormat/>
    <w:pPr>
      <w:numPr>
        <w:numId w:val="10"/>
      </w:numPr>
      <w:tabs>
        <w:tab w:val="left" w:pos="907"/>
      </w:tabs>
      <w:spacing w:after="240"/>
      <w:jc w:val="both"/>
    </w:pPr>
    <w:rPr>
      <w:rFonts w:ascii="Verdana" w:hAnsi="Verdana"/>
      <w:b/>
      <w:color w:val="016794"/>
      <w:sz w:val="32"/>
      <w:szCs w:val="32"/>
    </w:rPr>
  </w:style>
  <w:style w:type="paragraph" w:customStyle="1" w:styleId="HEADER2Part2">
    <w:name w:val="HEADER 2_Part 2"/>
    <w:basedOn w:val="Normal"/>
    <w:qFormat/>
    <w:pPr>
      <w:numPr>
        <w:ilvl w:val="1"/>
        <w:numId w:val="10"/>
      </w:numPr>
      <w:tabs>
        <w:tab w:val="left" w:pos="907"/>
      </w:tabs>
      <w:spacing w:before="360" w:after="360"/>
    </w:pPr>
    <w:rPr>
      <w:rFonts w:ascii="Verdana" w:hAnsi="Verdana"/>
      <w:b/>
      <w:color w:val="016794"/>
      <w:sz w:val="28"/>
      <w:szCs w:val="28"/>
    </w:rPr>
  </w:style>
  <w:style w:type="paragraph" w:customStyle="1" w:styleId="HEADER3Part2">
    <w:name w:val="HEADER 3_Part 2"/>
    <w:basedOn w:val="HEADER3Part1"/>
    <w:qFormat/>
    <w:pPr>
      <w:numPr>
        <w:numId w:val="10"/>
      </w:numPr>
    </w:pPr>
  </w:style>
  <w:style w:type="paragraph" w:customStyle="1" w:styleId="HEADER4Part2">
    <w:name w:val="HEADER 4_Part 2"/>
    <w:basedOn w:val="HEADER4Part1"/>
    <w:qFormat/>
    <w:pPr>
      <w:numPr>
        <w:numId w:val="10"/>
      </w:numPr>
    </w:pPr>
  </w:style>
  <w:style w:type="paragraph" w:customStyle="1" w:styleId="HEADER5">
    <w:name w:val="HEADER 5"/>
    <w:basedOn w:val="Normal"/>
    <w:qFormat/>
    <w:rPr>
      <w:rFonts w:ascii="Verdana" w:hAnsi="Verdana"/>
      <w:b/>
      <w:color w:val="016794"/>
      <w:sz w:val="18"/>
      <w:szCs w:val="18"/>
    </w:rPr>
  </w:style>
  <w:style w:type="paragraph" w:customStyle="1" w:styleId="TOCTitle">
    <w:name w:val="TOC_Title"/>
    <w:basedOn w:val="Normal"/>
    <w:qFormat/>
    <w:pPr>
      <w:spacing w:before="360" w:after="120"/>
    </w:pPr>
    <w:rPr>
      <w:rFonts w:ascii="Verdana" w:hAnsi="Verdana"/>
      <w:b/>
      <w:color w:val="016794"/>
      <w:sz w:val="40"/>
      <w:szCs w:val="40"/>
    </w:rPr>
  </w:style>
  <w:style w:type="paragraph" w:customStyle="1" w:styleId="HEADER1Part3">
    <w:name w:val="HEADER 1_Part 3"/>
    <w:basedOn w:val="Normal"/>
    <w:qFormat/>
    <w:pPr>
      <w:numPr>
        <w:numId w:val="5"/>
      </w:numPr>
      <w:tabs>
        <w:tab w:val="left" w:pos="907"/>
      </w:tabs>
      <w:spacing w:after="240"/>
    </w:pPr>
    <w:rPr>
      <w:rFonts w:ascii="Verdana" w:hAnsi="Verdana"/>
      <w:b/>
      <w:color w:val="016794"/>
      <w:sz w:val="32"/>
      <w:szCs w:val="32"/>
    </w:rPr>
  </w:style>
  <w:style w:type="paragraph" w:customStyle="1" w:styleId="HEADER2Part3">
    <w:name w:val="HEADER 2_Part 3"/>
    <w:basedOn w:val="Normal"/>
    <w:qFormat/>
    <w:pPr>
      <w:numPr>
        <w:ilvl w:val="1"/>
        <w:numId w:val="5"/>
      </w:numPr>
      <w:tabs>
        <w:tab w:val="left" w:pos="907"/>
      </w:tabs>
      <w:spacing w:before="360" w:after="360"/>
    </w:pPr>
    <w:rPr>
      <w:rFonts w:ascii="Verdana" w:hAnsi="Verdana"/>
      <w:b/>
      <w:noProof/>
      <w:color w:val="016794"/>
      <w:sz w:val="28"/>
      <w:szCs w:val="30"/>
      <w:lang w:eastAsia="en-US"/>
    </w:rPr>
  </w:style>
  <w:style w:type="paragraph" w:customStyle="1" w:styleId="HEADER3Part3">
    <w:name w:val="HEADER 3_Part 3"/>
    <w:basedOn w:val="HEADER3Part1"/>
    <w:qFormat/>
    <w:pPr>
      <w:numPr>
        <w:numId w:val="5"/>
      </w:numPr>
    </w:pPr>
  </w:style>
  <w:style w:type="paragraph" w:customStyle="1" w:styleId="HEADER4Part3">
    <w:name w:val="HEADER 4_Part 3"/>
    <w:basedOn w:val="HEADER4Part1"/>
    <w:qFormat/>
    <w:pPr>
      <w:numPr>
        <w:ilvl w:val="0"/>
        <w:numId w:val="13"/>
      </w:numPr>
      <w:spacing w:before="0" w:after="0"/>
      <w:ind w:left="907" w:hanging="907"/>
    </w:pPr>
  </w:style>
  <w:style w:type="paragraph" w:customStyle="1" w:styleId="SignatureRight">
    <w:name w:val="Signature_Right"/>
    <w:basedOn w:val="SignatureRightItalic"/>
    <w:qFormat/>
    <w:rPr>
      <w:i w:val="0"/>
    </w:rPr>
  </w:style>
  <w:style w:type="paragraph" w:customStyle="1" w:styleId="SignatureRightBold">
    <w:name w:val="Signature_Right Bold"/>
    <w:basedOn w:val="SignatureRight"/>
    <w:qFormat/>
    <w:pPr>
      <w:spacing w:before="120" w:after="120"/>
    </w:pPr>
    <w:rPr>
      <w:b/>
    </w:rPr>
  </w:style>
  <w:style w:type="paragraph" w:customStyle="1" w:styleId="Textstand-alone">
    <w:name w:val="Text_stand-alone"/>
    <w:basedOn w:val="Normal"/>
    <w:qFormat/>
    <w:pPr>
      <w:spacing w:before="240" w:after="240"/>
      <w:jc w:val="both"/>
    </w:pPr>
    <w:rPr>
      <w:rFonts w:ascii="Verdana" w:hAnsi="Verdana"/>
      <w:noProof/>
      <w:sz w:val="18"/>
      <w:szCs w:val="18"/>
      <w:lang w:eastAsia="en-US"/>
    </w:rPr>
  </w:style>
  <w:style w:type="paragraph" w:customStyle="1" w:styleId="SignatureRightItalic0">
    <w:name w:val="Signature_Right Italic"/>
    <w:basedOn w:val="SignatureRightBold"/>
    <w:qFormat/>
    <w:rPr>
      <w:b w:val="0"/>
      <w:i/>
    </w:rPr>
  </w:style>
  <w:style w:type="paragraph" w:customStyle="1" w:styleId="SubTextIndentJustified">
    <w:name w:val="SubText_Indent_Justified"/>
    <w:basedOn w:val="Normal"/>
    <w:qFormat/>
    <w:pPr>
      <w:spacing w:after="240"/>
      <w:ind w:left="720"/>
    </w:pPr>
    <w:rPr>
      <w:rFonts w:ascii="Verdana" w:hAnsi="Verdana"/>
      <w:sz w:val="18"/>
      <w:szCs w:val="18"/>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link w:val="Footer"/>
    <w:uiPriority w:val="99"/>
    <w:rPr>
      <w:rFonts w:ascii="Times New Roman" w:eastAsia="Times New Roman" w:hAnsi="Times New Roman" w:cs="Times New Roman"/>
      <w:sz w:val="24"/>
      <w:szCs w:val="24"/>
      <w:lang w:eastAsia="en-GB"/>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rFonts w:ascii="Times New Roman" w:eastAsia="Times New Roman" w:hAnsi="Times New Roman" w:cs="Times New Roman"/>
      <w:sz w:val="24"/>
      <w:szCs w:val="24"/>
      <w:lang w:eastAsia="en-GB"/>
    </w:rPr>
  </w:style>
  <w:style w:type="character" w:customStyle="1" w:styleId="Heading1Char">
    <w:name w:val="Heading 1 Char"/>
    <w:link w:val="Heading1"/>
    <w:rPr>
      <w:rFonts w:ascii="Cambria" w:eastAsia="Times New Roman" w:hAnsi="Cambria" w:cs="Times New Roman"/>
      <w:b/>
      <w:bCs/>
      <w:color w:val="365F91"/>
      <w:sz w:val="28"/>
      <w:szCs w:val="28"/>
      <w:lang w:eastAsia="en-G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HEADER1Part1">
    <w:name w:val="HEADER 1_Part 1"/>
    <w:basedOn w:val="HEADER1Part3"/>
    <w:qFormat/>
    <w:pPr>
      <w:numPr>
        <w:numId w:val="4"/>
      </w:numPr>
      <w:jc w:val="both"/>
    </w:pPr>
  </w:style>
  <w:style w:type="paragraph" w:customStyle="1" w:styleId="Textstand-alonebulletpointJustified">
    <w:name w:val="Text_stand-alone_bullet point + Justified"/>
    <w:basedOn w:val="Normal"/>
    <w:qFormat/>
    <w:pPr>
      <w:numPr>
        <w:numId w:val="7"/>
      </w:numPr>
      <w:spacing w:after="240"/>
      <w:contextualSpacing/>
      <w:jc w:val="both"/>
    </w:pPr>
    <w:rPr>
      <w:rFonts w:ascii="Verdana" w:hAnsi="Verdana"/>
      <w:sz w:val="18"/>
    </w:rPr>
  </w:style>
  <w:style w:type="paragraph" w:customStyle="1" w:styleId="TextSubtitlenumberingRCItalic">
    <w:name w:val="Text_Subtitle_(numbering RC Italic)"/>
    <w:basedOn w:val="Normal"/>
    <w:qFormat/>
    <w:pPr>
      <w:numPr>
        <w:numId w:val="1"/>
      </w:numPr>
    </w:pPr>
    <w:rPr>
      <w:rFonts w:ascii="Verdana" w:hAnsi="Verdana"/>
      <w:i/>
      <w:sz w:val="18"/>
      <w:szCs w:val="18"/>
    </w:rPr>
  </w:style>
  <w:style w:type="paragraph" w:customStyle="1" w:styleId="TextstandalonenumberingRCJustified">
    <w:name w:val="Text_stand alone_(numbering RC + Justified)"/>
    <w:qFormat/>
    <w:pPr>
      <w:numPr>
        <w:numId w:val="8"/>
      </w:numPr>
      <w:pBdr>
        <w:top w:val="nil"/>
        <w:left w:val="nil"/>
        <w:bottom w:val="nil"/>
        <w:right w:val="nil"/>
        <w:between w:val="nil"/>
        <w:bar w:val="nil"/>
      </w:pBdr>
      <w:spacing w:before="240"/>
      <w:ind w:left="567" w:hanging="567"/>
      <w:jc w:val="both"/>
    </w:pPr>
    <w:rPr>
      <w:rFonts w:ascii="Verdana" w:eastAsia="Calibri" w:hAnsi="Verdana"/>
      <w:noProof/>
      <w:sz w:val="18"/>
      <w:szCs w:val="18"/>
      <w:bdr w:val="nil"/>
      <w:lang w:eastAsia="en-US"/>
    </w:rPr>
  </w:style>
  <w:style w:type="paragraph" w:customStyle="1" w:styleId="Textstand-alonenumberingJustified">
    <w:name w:val="Text_stand-alone_(numbering) + Justified"/>
    <w:basedOn w:val="Normal"/>
    <w:qFormat/>
    <w:pPr>
      <w:numPr>
        <w:numId w:val="6"/>
      </w:numPr>
      <w:spacing w:after="240"/>
      <w:ind w:hanging="720"/>
      <w:jc w:val="both"/>
    </w:pPr>
    <w:rPr>
      <w:rFonts w:ascii="Verdana" w:hAnsi="Verdana"/>
      <w:sz w:val="18"/>
      <w:szCs w:val="18"/>
    </w:rPr>
  </w:style>
  <w:style w:type="paragraph" w:customStyle="1" w:styleId="Textstand-aloneBulletpoint">
    <w:name w:val="Text_stand-alone Bullet point"/>
    <w:basedOn w:val="Normal"/>
    <w:qFormat/>
    <w:pPr>
      <w:numPr>
        <w:numId w:val="9"/>
      </w:numPr>
      <w:spacing w:after="240"/>
      <w:ind w:left="357" w:hanging="357"/>
      <w:contextualSpacing/>
    </w:pPr>
    <w:rPr>
      <w:rFonts w:ascii="Verdana" w:hAnsi="Verdana"/>
      <w:sz w:val="18"/>
      <w:szCs w:val="18"/>
    </w:rPr>
  </w:style>
  <w:style w:type="paragraph" w:customStyle="1" w:styleId="TextSubtitleItalicnumberinglettera">
    <w:name w:val="Text_Subtitle Italic numbering letter (a)"/>
    <w:basedOn w:val="Normal"/>
    <w:qFormat/>
    <w:pPr>
      <w:numPr>
        <w:numId w:val="3"/>
      </w:numPr>
      <w:ind w:left="357" w:hanging="357"/>
    </w:pPr>
    <w:rPr>
      <w:rFonts w:ascii="Verdana" w:hAnsi="Verdana"/>
      <w:i/>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paragraph" w:customStyle="1" w:styleId="DGTextstand-alonenumbering">
    <w:name w:val="DG_Text_stand-alone_(numbering)"/>
    <w:qFormat/>
    <w:pPr>
      <w:numPr>
        <w:numId w:val="12"/>
      </w:numPr>
      <w:spacing w:after="240"/>
      <w:ind w:hanging="720"/>
    </w:pPr>
    <w:rPr>
      <w:rFonts w:ascii="Verdana" w:hAnsi="Verdana"/>
      <w:noProof/>
      <w:sz w:val="18"/>
      <w:szCs w:val="18"/>
      <w:lang w:eastAsia="en-US"/>
    </w:rPr>
  </w:style>
  <w:style w:type="paragraph" w:customStyle="1" w:styleId="HEADERTITLE">
    <w:name w:val="HEADER_TITLE"/>
    <w:basedOn w:val="Textstand-alone"/>
    <w:qFormat/>
    <w:pPr>
      <w:tabs>
        <w:tab w:val="left" w:pos="907"/>
      </w:tabs>
      <w:spacing w:before="0"/>
      <w:jc w:val="left"/>
    </w:pPr>
    <w:rPr>
      <w:b/>
      <w:color w:val="016794"/>
      <w:sz w:val="28"/>
    </w:rPr>
  </w:style>
  <w:style w:type="paragraph" w:customStyle="1" w:styleId="FIRSTCHAPTERPAGE1">
    <w:name w:val="FIRST CHAPTER_PAGE_1"/>
    <w:basedOn w:val="Textstand-alone"/>
    <w:qFormat/>
    <w:pPr>
      <w:tabs>
        <w:tab w:val="left" w:pos="907"/>
      </w:tabs>
      <w:spacing w:after="720"/>
      <w:jc w:val="left"/>
    </w:pPr>
    <w:rPr>
      <w:b/>
      <w:color w:val="016794"/>
      <w:sz w:val="40"/>
    </w:rPr>
  </w:style>
  <w:style w:type="paragraph" w:customStyle="1" w:styleId="FIRSTCHAPTERPAGE2">
    <w:name w:val="FIRST CHAPTER_PAGE_2"/>
    <w:basedOn w:val="Textstand-alone"/>
    <w:qFormat/>
    <w:pPr>
      <w:tabs>
        <w:tab w:val="left" w:pos="907"/>
      </w:tabs>
      <w:spacing w:after="720"/>
    </w:pPr>
    <w:rPr>
      <w:b/>
      <w:color w:val="016794"/>
      <w:sz w:val="40"/>
    </w:rPr>
  </w:style>
  <w:style w:type="paragraph" w:customStyle="1" w:styleId="HEADERTITLE1">
    <w:name w:val="HEADER_TITLE_1"/>
    <w:basedOn w:val="Textstand-alone"/>
    <w:qFormat/>
    <w:pPr>
      <w:tabs>
        <w:tab w:val="left" w:pos="907"/>
      </w:tabs>
      <w:spacing w:before="0"/>
      <w:jc w:val="left"/>
    </w:pPr>
    <w:rPr>
      <w:b/>
      <w:color w:val="016794"/>
      <w:sz w:val="28"/>
    </w:rPr>
  </w:style>
  <w:style w:type="paragraph" w:styleId="TOC1">
    <w:name w:val="toc 1"/>
    <w:basedOn w:val="Normal"/>
    <w:next w:val="Normal"/>
    <w:autoRedefine/>
    <w:uiPriority w:val="39"/>
    <w:unhideWhenUsed/>
    <w:pPr>
      <w:tabs>
        <w:tab w:val="right" w:leader="dot" w:pos="9628"/>
      </w:tabs>
      <w:spacing w:after="100"/>
    </w:pPr>
    <w:rPr>
      <w:rFonts w:ascii="Verdana" w:hAnsi="Verdana"/>
      <w:noProof/>
      <w:color w:val="016794"/>
      <w:sz w:val="22"/>
      <w:szCs w:val="22"/>
    </w:rPr>
  </w:style>
  <w:style w:type="paragraph" w:styleId="TOC2">
    <w:name w:val="toc 2"/>
    <w:basedOn w:val="Normal"/>
    <w:next w:val="Normal"/>
    <w:autoRedefine/>
    <w:uiPriority w:val="39"/>
    <w:unhideWhenUsed/>
    <w:pPr>
      <w:tabs>
        <w:tab w:val="right" w:leader="dot" w:pos="9628"/>
      </w:tabs>
      <w:spacing w:after="100"/>
      <w:ind w:left="240"/>
    </w:pPr>
    <w:rPr>
      <w:rFonts w:ascii="Verdana" w:hAnsi="Verdana"/>
      <w:noProof/>
      <w:color w:val="808080"/>
      <w:sz w:val="22"/>
      <w:szCs w:val="22"/>
    </w:rPr>
  </w:style>
  <w:style w:type="paragraph" w:customStyle="1" w:styleId="HEADERTITLE0">
    <w:name w:val="HEADER_TITLE_0"/>
    <w:basedOn w:val="HEADERTITLE"/>
    <w:qFormat/>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FootnoteText">
    <w:name w:val="footnote text"/>
    <w:basedOn w:val="Normal"/>
    <w:link w:val="FootnoteTextChar"/>
    <w:semiHidden/>
    <w:pPr>
      <w:ind w:left="720" w:hanging="720"/>
      <w:jc w:val="both"/>
    </w:pPr>
    <w:rPr>
      <w:sz w:val="20"/>
      <w:szCs w:val="20"/>
    </w:rPr>
  </w:style>
  <w:style w:type="character" w:customStyle="1" w:styleId="FootnoteTextChar">
    <w:name w:val="Footnote Text Char"/>
    <w:link w:val="FootnoteText"/>
    <w:semiHidden/>
    <w:rPr>
      <w:rFonts w:ascii="Times New Roman" w:hAnsi="Times New Roman"/>
    </w:rPr>
  </w:style>
  <w:style w:type="paragraph" w:styleId="TOC3">
    <w:name w:val="toc 3"/>
    <w:basedOn w:val="Normal"/>
    <w:next w:val="Normal"/>
    <w:autoRedefine/>
    <w:uiPriority w:val="39"/>
    <w:unhideWhenUsed/>
    <w:pPr>
      <w:spacing w:after="100"/>
      <w:ind w:left="480"/>
    </w:pPr>
  </w:style>
  <w:style w:type="paragraph" w:customStyle="1" w:styleId="Text8pItalicLeft">
    <w:name w:val="Text_8p_Italic_Left"/>
    <w:qFormat/>
    <w:rPr>
      <w:rFonts w:ascii="Verdana" w:eastAsia="Calibri" w:hAnsi="Verdana"/>
      <w:bCs/>
      <w:i/>
      <w:noProof/>
      <w:sz w:val="16"/>
      <w:lang w:eastAsia="en-US"/>
    </w:rPr>
  </w:style>
  <w:style w:type="paragraph" w:customStyle="1" w:styleId="Text8pItalicRight025EUR">
    <w:name w:val="Text_8p_Italic_Right_0.25_EUR"/>
    <w:qFormat/>
    <w:pPr>
      <w:ind w:right="142"/>
      <w:jc w:val="right"/>
    </w:pPr>
    <w:rPr>
      <w:rFonts w:ascii="Verdana" w:eastAsia="Calibri" w:hAnsi="Verdana"/>
      <w:i/>
      <w:noProof/>
      <w:sz w:val="16"/>
      <w:szCs w:val="18"/>
      <w:lang w:eastAsia="en-US"/>
    </w:rPr>
  </w:style>
  <w:style w:type="paragraph" w:customStyle="1" w:styleId="Heading10pNormalLeft">
    <w:name w:val="Heading_10p_Normal_Left"/>
    <w:qFormat/>
    <w:rPr>
      <w:rFonts w:ascii="Verdana" w:eastAsia="Calibri" w:hAnsi="Verdana"/>
      <w:noProof/>
      <w:color w:val="FFFFFF"/>
      <w:szCs w:val="30"/>
      <w:lang w:eastAsia="en-US"/>
    </w:rPr>
  </w:style>
  <w:style w:type="paragraph" w:customStyle="1" w:styleId="Heading10pNormalRight025">
    <w:name w:val="Heading_10p_Normal_Right_0.25"/>
    <w:qFormat/>
    <w:pPr>
      <w:ind w:right="142"/>
      <w:jc w:val="right"/>
    </w:pPr>
    <w:rPr>
      <w:rFonts w:ascii="Verdana" w:eastAsia="Calibri" w:hAnsi="Verdana"/>
      <w:noProof/>
      <w:color w:val="FFFFFF"/>
      <w:szCs w:val="30"/>
      <w:lang w:eastAsia="en-US"/>
    </w:rPr>
  </w:style>
  <w:style w:type="paragraph" w:customStyle="1" w:styleId="Text9pBoldLeft">
    <w:name w:val="Text_9p_Bold_Left"/>
    <w:qFormat/>
    <w:rPr>
      <w:rFonts w:ascii="Verdana" w:eastAsia="Calibri" w:hAnsi="Verdana"/>
      <w:b/>
      <w:noProof/>
      <w:sz w:val="18"/>
      <w:szCs w:val="18"/>
      <w:lang w:eastAsia="en-US"/>
    </w:rPr>
  </w:style>
  <w:style w:type="paragraph" w:customStyle="1" w:styleId="Text9pItalicCentered">
    <w:name w:val="Text_9p_Italic_Centered"/>
    <w:qFormat/>
    <w:pPr>
      <w:jc w:val="center"/>
    </w:pPr>
    <w:rPr>
      <w:rFonts w:ascii="Verdana" w:eastAsia="Calibri" w:hAnsi="Verdana"/>
      <w:i/>
      <w:noProof/>
      <w:sz w:val="18"/>
      <w:szCs w:val="18"/>
      <w:lang w:eastAsia="en-US"/>
    </w:rPr>
  </w:style>
  <w:style w:type="paragraph" w:customStyle="1" w:styleId="Figures9pBoldRight025">
    <w:name w:val="Figures_9p_Bold_Right_0.25"/>
    <w:qFormat/>
    <w:pPr>
      <w:ind w:right="142"/>
      <w:jc w:val="right"/>
    </w:pPr>
    <w:rPr>
      <w:rFonts w:ascii="Verdana" w:eastAsia="Calibri" w:hAnsi="Verdana"/>
      <w:b/>
      <w:noProof/>
      <w:sz w:val="18"/>
      <w:szCs w:val="18"/>
      <w:lang w:eastAsia="en-US"/>
    </w:rPr>
  </w:style>
  <w:style w:type="paragraph" w:customStyle="1" w:styleId="Text9pItalicLeft">
    <w:name w:val="Text_9p_Italic_Left"/>
    <w:qFormat/>
    <w:rPr>
      <w:rFonts w:ascii="Verdana" w:eastAsia="Calibri" w:hAnsi="Verdana"/>
      <w:i/>
      <w:noProof/>
      <w:sz w:val="18"/>
      <w:szCs w:val="18"/>
      <w:lang w:eastAsia="en-US"/>
    </w:rPr>
  </w:style>
  <w:style w:type="paragraph" w:customStyle="1" w:styleId="Figures9pItalicRight025">
    <w:name w:val="Figures_9p_Italic_Right_0.25"/>
    <w:qFormat/>
    <w:pPr>
      <w:ind w:right="142"/>
      <w:jc w:val="right"/>
    </w:pPr>
    <w:rPr>
      <w:rFonts w:ascii="Verdana" w:eastAsia="Calibri" w:hAnsi="Verdana"/>
      <w:i/>
      <w:noProof/>
      <w:sz w:val="18"/>
      <w:szCs w:val="18"/>
      <w:lang w:eastAsia="en-US"/>
    </w:rPr>
  </w:style>
  <w:style w:type="paragraph" w:customStyle="1" w:styleId="Text9pItalicBoldLeft">
    <w:name w:val="Text_9p_ItalicBold_Left"/>
    <w:qFormat/>
    <w:rPr>
      <w:rFonts w:ascii="Verdana" w:eastAsia="Calibri" w:hAnsi="Verdana"/>
      <w:b/>
      <w:i/>
      <w:noProof/>
      <w:sz w:val="18"/>
      <w:szCs w:val="18"/>
      <w:lang w:eastAsia="en-US"/>
    </w:rPr>
  </w:style>
  <w:style w:type="paragraph" w:customStyle="1" w:styleId="Heading7pNormalCentered">
    <w:name w:val="Heading_7p_Normal_Centered"/>
    <w:basedOn w:val="Heading8pNormalCentered"/>
    <w:qFormat/>
    <w:rPr>
      <w:sz w:val="14"/>
    </w:rPr>
  </w:style>
  <w:style w:type="paragraph" w:customStyle="1" w:styleId="Heading8pNormalCentered">
    <w:name w:val="Heading_8p_Normal_Centered"/>
    <w:qFormat/>
    <w:pPr>
      <w:jc w:val="center"/>
    </w:pPr>
    <w:rPr>
      <w:rFonts w:ascii="Verdana" w:eastAsia="Calibri" w:hAnsi="Verdana"/>
      <w:noProof/>
      <w:color w:val="FFFFFF"/>
      <w:sz w:val="16"/>
      <w:szCs w:val="30"/>
      <w:lang w:eastAsia="en-US"/>
    </w:rPr>
  </w:style>
  <w:style w:type="paragraph" w:customStyle="1" w:styleId="Heading7pNormalRight01">
    <w:name w:val="Heading_7p_Normal_Right_0.1"/>
    <w:qFormat/>
    <w:pPr>
      <w:ind w:right="57"/>
      <w:jc w:val="right"/>
    </w:pPr>
    <w:rPr>
      <w:rFonts w:ascii="Verdana" w:hAnsi="Verdana" w:cs="Calibri"/>
      <w:bCs/>
      <w:color w:val="FFFFFF"/>
      <w:sz w:val="14"/>
      <w:szCs w:val="22"/>
    </w:rPr>
  </w:style>
  <w:style w:type="paragraph" w:customStyle="1" w:styleId="Text7pBoldLeft">
    <w:name w:val="Text_7p_Bold_Left"/>
    <w:qFormat/>
    <w:rPr>
      <w:rFonts w:ascii="Verdana" w:eastAsia="Calibri" w:hAnsi="Verdana"/>
      <w:b/>
      <w:noProof/>
      <w:sz w:val="14"/>
      <w:szCs w:val="18"/>
      <w:lang w:eastAsia="en-US"/>
    </w:rPr>
  </w:style>
  <w:style w:type="paragraph" w:customStyle="1" w:styleId="Figures7pBoldRight025">
    <w:name w:val="Figures_7p_Bold_Right_0.25"/>
    <w:qFormat/>
    <w:pPr>
      <w:ind w:right="142"/>
      <w:jc w:val="right"/>
    </w:pPr>
    <w:rPr>
      <w:rFonts w:ascii="Verdana" w:eastAsia="Calibri" w:hAnsi="Verdana"/>
      <w:b/>
      <w:noProof/>
      <w:sz w:val="14"/>
      <w:szCs w:val="18"/>
      <w:lang w:eastAsia="en-US"/>
    </w:rPr>
  </w:style>
  <w:style w:type="paragraph" w:customStyle="1" w:styleId="Text7pItalicLeft">
    <w:name w:val="Text_7p_Italic_Left"/>
    <w:qFormat/>
    <w:rPr>
      <w:rFonts w:ascii="Verdana" w:eastAsia="Calibri" w:hAnsi="Verdana"/>
      <w:bCs/>
      <w:i/>
      <w:noProof/>
      <w:sz w:val="14"/>
      <w:lang w:eastAsia="en-US"/>
    </w:rPr>
  </w:style>
  <w:style w:type="paragraph" w:customStyle="1" w:styleId="Figures7pItalicRight025">
    <w:name w:val="Figures_7p_Italic_Right_0.25"/>
    <w:basedOn w:val="Figures8pItalicRight025"/>
    <w:qFormat/>
    <w:rPr>
      <w:sz w:val="14"/>
    </w:rPr>
  </w:style>
  <w:style w:type="paragraph" w:customStyle="1" w:styleId="Figures8pItalicRight025">
    <w:name w:val="Figures_8p_Italic_Right_0.25"/>
    <w:qFormat/>
    <w:pPr>
      <w:ind w:right="142"/>
      <w:jc w:val="right"/>
    </w:pPr>
    <w:rPr>
      <w:rFonts w:ascii="Verdana" w:eastAsia="Calibri" w:hAnsi="Verdana"/>
      <w:i/>
      <w:noProof/>
      <w:sz w:val="16"/>
      <w:szCs w:val="18"/>
      <w:lang w:eastAsia="en-US"/>
    </w:rPr>
  </w:style>
  <w:style w:type="paragraph" w:customStyle="1" w:styleId="Text9pItalicLeft025">
    <w:name w:val="Text_9p_Italic_Left_0.25"/>
    <w:basedOn w:val="Text9pItalicLeft"/>
    <w:qFormat/>
    <w:pPr>
      <w:ind w:left="142"/>
    </w:pPr>
  </w:style>
  <w:style w:type="paragraph" w:customStyle="1" w:styleId="Heading9pNormalCentered">
    <w:name w:val="Heading_9p_Normal_Centered"/>
    <w:qFormat/>
    <w:pPr>
      <w:jc w:val="center"/>
    </w:pPr>
    <w:rPr>
      <w:rFonts w:ascii="Verdana" w:hAnsi="Verdana" w:cs="Calibri"/>
      <w:bCs/>
      <w:color w:val="FFFFFF"/>
      <w:sz w:val="18"/>
      <w:szCs w:val="22"/>
    </w:rPr>
  </w:style>
  <w:style w:type="paragraph" w:customStyle="1" w:styleId="Heading10pNormalCentered">
    <w:name w:val="Heading_10p_Normal_Centered"/>
    <w:qFormat/>
    <w:pPr>
      <w:jc w:val="center"/>
    </w:pPr>
    <w:rPr>
      <w:rFonts w:ascii="Verdana" w:eastAsia="Calibri" w:hAnsi="Verdana"/>
      <w:noProof/>
      <w:color w:val="FFFFFF"/>
      <w:szCs w:val="30"/>
      <w:lang w:eastAsia="en-US"/>
    </w:rPr>
  </w:style>
  <w:style w:type="paragraph" w:customStyle="1" w:styleId="Figures9pItalicBoldRight025">
    <w:name w:val="Figures_9p_ItalicBold_Right_0.25"/>
    <w:qFormat/>
    <w:pPr>
      <w:ind w:right="142"/>
      <w:jc w:val="right"/>
    </w:pPr>
    <w:rPr>
      <w:rFonts w:ascii="Verdana" w:eastAsia="Calibri" w:hAnsi="Verdana"/>
      <w:b/>
      <w:i/>
      <w:noProof/>
      <w:sz w:val="18"/>
      <w:szCs w:val="18"/>
      <w:lang w:eastAsia="en-US"/>
    </w:rPr>
  </w:style>
  <w:style w:type="paragraph" w:customStyle="1" w:styleId="Text8pBoldLeft">
    <w:name w:val="Text_8p_Bold_Left"/>
    <w:qFormat/>
    <w:rPr>
      <w:rFonts w:ascii="Verdana" w:eastAsia="Calibri" w:hAnsi="Verdana"/>
      <w:b/>
      <w:bCs/>
      <w:noProof/>
      <w:sz w:val="16"/>
      <w:lang w:eastAsia="en-US"/>
    </w:rPr>
  </w:style>
  <w:style w:type="paragraph" w:customStyle="1" w:styleId="Figures8pBoldRight025">
    <w:name w:val="Figures_8p_Bold_Right_0.25"/>
    <w:qFormat/>
    <w:pPr>
      <w:ind w:right="142"/>
      <w:jc w:val="right"/>
    </w:pPr>
    <w:rPr>
      <w:rFonts w:ascii="Verdana" w:eastAsia="Calibri" w:hAnsi="Verdana"/>
      <w:b/>
      <w:bCs/>
      <w:noProof/>
      <w:sz w:val="16"/>
      <w:lang w:eastAsia="en-US"/>
    </w:rPr>
  </w:style>
  <w:style w:type="paragraph" w:customStyle="1" w:styleId="Text9pBoldLeft025">
    <w:name w:val="Text_9p_Bold_Left_0.25"/>
    <w:qFormat/>
    <w:pPr>
      <w:ind w:left="142"/>
    </w:pPr>
    <w:rPr>
      <w:rFonts w:ascii="Verdana" w:eastAsia="Calibri" w:hAnsi="Verdana"/>
      <w:b/>
      <w:noProof/>
      <w:sz w:val="18"/>
      <w:szCs w:val="18"/>
      <w:lang w:eastAsia="en-US"/>
    </w:rPr>
  </w:style>
  <w:style w:type="paragraph" w:customStyle="1" w:styleId="Figures9pItalicCentered">
    <w:name w:val="Figures_9p_Italic_Centered"/>
    <w:qFormat/>
    <w:pPr>
      <w:jc w:val="center"/>
    </w:pPr>
    <w:rPr>
      <w:rFonts w:ascii="Verdana" w:eastAsia="Calibri" w:hAnsi="Verdana"/>
      <w:i/>
      <w:noProof/>
      <w:sz w:val="18"/>
      <w:szCs w:val="18"/>
      <w:lang w:eastAsia="en-US"/>
    </w:rPr>
  </w:style>
  <w:style w:type="paragraph" w:customStyle="1" w:styleId="DGTextstand-alone">
    <w:name w:val="DG_Text_stand-alone"/>
    <w:link w:val="DGTextstand-aloneChar"/>
    <w:pPr>
      <w:spacing w:before="240" w:after="240"/>
      <w:jc w:val="both"/>
    </w:pPr>
    <w:rPr>
      <w:rFonts w:ascii="Verdana" w:eastAsia="Calibri" w:hAnsi="Verdana"/>
      <w:noProof/>
      <w:sz w:val="18"/>
      <w:szCs w:val="18"/>
      <w:lang w:eastAsia="en-US"/>
    </w:rPr>
  </w:style>
  <w:style w:type="character" w:customStyle="1" w:styleId="DGTextstand-aloneChar">
    <w:name w:val="DG_Text_stand-alone Char"/>
    <w:link w:val="DGTextstand-alone"/>
    <w:locked/>
    <w:rPr>
      <w:rFonts w:ascii="Verdana" w:eastAsia="Calibri" w:hAnsi="Verdana"/>
      <w:noProof/>
      <w:sz w:val="18"/>
      <w:szCs w:val="18"/>
      <w:lang w:eastAsia="en-US"/>
    </w:rPr>
  </w:style>
  <w:style w:type="paragraph" w:customStyle="1" w:styleId="Heading9pNormalLeft">
    <w:name w:val="Heading_9p_Normal_Left"/>
    <w:basedOn w:val="Heading9pNormalCentered"/>
    <w:qFormat/>
    <w:pPr>
      <w:jc w:val="left"/>
    </w:pPr>
  </w:style>
  <w:style w:type="paragraph" w:customStyle="1" w:styleId="Text9pItalicLeftIndented">
    <w:name w:val="Text_9p_Italic_LeftIndented"/>
    <w:qFormat/>
    <w:pPr>
      <w:ind w:left="720"/>
    </w:pPr>
    <w:rPr>
      <w:rFonts w:ascii="Verdana" w:eastAsia="Calibri" w:hAnsi="Verdana"/>
      <w:i/>
      <w:noProof/>
      <w:sz w:val="18"/>
      <w:szCs w:val="18"/>
      <w:lang w:eastAsia="en-US"/>
    </w:rPr>
  </w:style>
  <w:style w:type="paragraph" w:customStyle="1" w:styleId="Text7pItalicRight025">
    <w:name w:val="Text_7p_Italic_Right_0.25"/>
    <w:basedOn w:val="Text8pItalicRight025EUR"/>
    <w:qFormat/>
    <w:rPr>
      <w:sz w:val="14"/>
    </w:rPr>
  </w:style>
  <w:style w:type="paragraph" w:customStyle="1" w:styleId="Heading-9pNormalCentered">
    <w:name w:val="Heading-9p_Normal_Centered"/>
    <w:basedOn w:val="Heading10pNormalCentered"/>
    <w:qFormat/>
    <w:rPr>
      <w:sz w:val="18"/>
    </w:rPr>
  </w:style>
  <w:style w:type="paragraph" w:customStyle="1" w:styleId="Text9pNormalLeft">
    <w:name w:val="Text_9p_Normal_Left"/>
    <w:basedOn w:val="Text9pItalicLeft"/>
    <w:qFormat/>
    <w:rPr>
      <w:i w:val="0"/>
    </w:rPr>
  </w:style>
  <w:style w:type="paragraph" w:customStyle="1" w:styleId="Figures9pNormalRight025">
    <w:name w:val="Figures_9p_Normal_Right_0.25"/>
    <w:basedOn w:val="Figures9pItalicRight025"/>
    <w:qFormat/>
    <w:rPr>
      <w:i w:val="0"/>
    </w:rPr>
  </w:style>
  <w:style w:type="paragraph" w:customStyle="1" w:styleId="Heading9pNormalRight01">
    <w:name w:val="Heading_9p_Normal_Right_0.1"/>
    <w:basedOn w:val="Heading9pNormalRight025"/>
    <w:qFormat/>
    <w:pPr>
      <w:ind w:right="57"/>
    </w:pPr>
  </w:style>
  <w:style w:type="paragraph" w:customStyle="1" w:styleId="Heading9pNormalRight025">
    <w:name w:val="Heading_9p_Normal_Right_0.25"/>
    <w:basedOn w:val="Heading9pNormalCentered"/>
    <w:qFormat/>
    <w:pPr>
      <w:ind w:right="142"/>
      <w:jc w:val="right"/>
    </w:pPr>
  </w:style>
  <w:style w:type="paragraph" w:customStyle="1" w:styleId="Heading9pBoldRight01">
    <w:name w:val="Heading_9p_Bold_Right_0.1"/>
    <w:basedOn w:val="Heading9pBoldLeft"/>
    <w:qFormat/>
    <w:pPr>
      <w:ind w:right="57"/>
      <w:jc w:val="right"/>
    </w:pPr>
  </w:style>
  <w:style w:type="paragraph" w:customStyle="1" w:styleId="Heading9pBoldLeft">
    <w:name w:val="Heading_9p_Bold_Left"/>
    <w:basedOn w:val="Heading9pBoldCentered"/>
    <w:qFormat/>
    <w:pPr>
      <w:jc w:val="left"/>
    </w:pPr>
    <w:rPr>
      <w:color w:val="FFFFFF"/>
    </w:rPr>
  </w:style>
  <w:style w:type="paragraph" w:customStyle="1" w:styleId="Heading9pBoldCentered">
    <w:name w:val="Heading_9p_Bold_Centered"/>
    <w:qFormat/>
    <w:pPr>
      <w:jc w:val="center"/>
    </w:pPr>
    <w:rPr>
      <w:rFonts w:ascii="Verdana" w:eastAsia="Calibri" w:hAnsi="Verdana"/>
      <w:b/>
      <w:noProof/>
      <w:sz w:val="18"/>
      <w:szCs w:val="18"/>
      <w:lang w:eastAsia="en-US"/>
    </w:rPr>
  </w:style>
  <w:style w:type="paragraph" w:customStyle="1" w:styleId="Text8pNormalLeft">
    <w:name w:val="Text_8p_Normal_Left"/>
    <w:qFormat/>
    <w:pPr>
      <w:ind w:left="34"/>
    </w:pPr>
    <w:rPr>
      <w:rFonts w:ascii="Verdana" w:eastAsia="Calibri" w:hAnsi="Verdana"/>
      <w:bCs/>
      <w:sz w:val="16"/>
      <w:lang w:eastAsia="en-US"/>
    </w:rPr>
  </w:style>
  <w:style w:type="paragraph" w:customStyle="1" w:styleId="Text5pItalicRight025">
    <w:name w:val="Text_5p_Italic_Right_0.25"/>
    <w:basedOn w:val="Text6pItalicRight025"/>
    <w:qFormat/>
    <w:rPr>
      <w:sz w:val="10"/>
    </w:rPr>
  </w:style>
  <w:style w:type="paragraph" w:customStyle="1" w:styleId="Text6pItalicRight025">
    <w:name w:val="Text_6p_Italic_Right_0.25"/>
    <w:basedOn w:val="Text7pItalicRight025"/>
    <w:qFormat/>
    <w:rPr>
      <w:sz w:val="12"/>
    </w:rPr>
  </w:style>
  <w:style w:type="paragraph" w:customStyle="1" w:styleId="Figures55pBoldRight01">
    <w:name w:val="Figures_5.5p_Bold_Right_0.1"/>
    <w:basedOn w:val="Figures6pBoldRight01"/>
    <w:qFormat/>
    <w:rPr>
      <w:sz w:val="11"/>
      <w:szCs w:val="11"/>
    </w:rPr>
  </w:style>
  <w:style w:type="paragraph" w:customStyle="1" w:styleId="Figures6pBoldRight01">
    <w:name w:val="Figures_6p_Bold_Right_0.1"/>
    <w:basedOn w:val="Figures7pBoldRight025"/>
    <w:qFormat/>
    <w:pPr>
      <w:ind w:right="57"/>
    </w:pPr>
    <w:rPr>
      <w:sz w:val="12"/>
      <w:szCs w:val="12"/>
    </w:rPr>
  </w:style>
  <w:style w:type="paragraph" w:customStyle="1" w:styleId="Figures55pItalicRight01">
    <w:name w:val="Figures_5.5p_Italic_Right_0.1"/>
    <w:basedOn w:val="Figures6pItalicRight01"/>
    <w:qFormat/>
    <w:rPr>
      <w:sz w:val="11"/>
    </w:rPr>
  </w:style>
  <w:style w:type="paragraph" w:customStyle="1" w:styleId="Figures6pItalicRight01">
    <w:name w:val="Figures_6p_Italic_Right_0.1"/>
    <w:basedOn w:val="Figures7pItalicRight025"/>
    <w:qFormat/>
    <w:pPr>
      <w:ind w:right="57"/>
    </w:pPr>
    <w:rPr>
      <w:sz w:val="12"/>
      <w:szCs w:val="12"/>
    </w:rPr>
  </w:style>
  <w:style w:type="paragraph" w:customStyle="1" w:styleId="Heading8pNormalRight01">
    <w:name w:val="Heading_8p_Normal_Right_0.1"/>
    <w:qFormat/>
    <w:pPr>
      <w:ind w:right="57"/>
      <w:jc w:val="right"/>
    </w:pPr>
    <w:rPr>
      <w:rFonts w:ascii="Verdana" w:hAnsi="Verdana" w:cs="Calibri"/>
      <w:bCs/>
      <w:color w:val="FFFFFF"/>
      <w:sz w:val="16"/>
      <w:szCs w:val="22"/>
    </w:rPr>
  </w:style>
  <w:style w:type="paragraph" w:customStyle="1" w:styleId="Text8pItalicBoldLeft">
    <w:name w:val="Text_8p_ItalicBold_Left"/>
    <w:basedOn w:val="Text9pItalicLeft"/>
    <w:qFormat/>
    <w:rPr>
      <w:b/>
      <w:sz w:val="16"/>
    </w:rPr>
  </w:style>
  <w:style w:type="paragraph" w:customStyle="1" w:styleId="Figures8pItalicBoldRight025">
    <w:name w:val="Figures_8p_ItalicBold_Right_0.25"/>
    <w:basedOn w:val="Figures8pBoldRight025"/>
    <w:qFormat/>
    <w:rPr>
      <w:i/>
    </w:rPr>
  </w:style>
  <w:style w:type="paragraph" w:customStyle="1" w:styleId="Heading7pBoldLeft">
    <w:name w:val="Heading_7p_Bold_Left"/>
    <w:qFormat/>
    <w:rPr>
      <w:rFonts w:ascii="Verdana" w:eastAsia="Calibri" w:hAnsi="Verdana"/>
      <w:b/>
      <w:noProof/>
      <w:sz w:val="14"/>
      <w:szCs w:val="18"/>
      <w:lang w:eastAsia="en-US"/>
    </w:rPr>
  </w:style>
  <w:style w:type="paragraph" w:customStyle="1" w:styleId="ListBullet1">
    <w:name w:val="List Bullet 1"/>
    <w:basedOn w:val="Normal"/>
    <w:pPr>
      <w:numPr>
        <w:numId w:val="21"/>
      </w:numPr>
      <w:spacing w:before="120" w:after="120"/>
      <w:jc w:val="both"/>
    </w:pPr>
    <w:rPr>
      <w:lang w:eastAsia="de-DE"/>
    </w:rPr>
  </w:style>
  <w:style w:type="paragraph" w:customStyle="1" w:styleId="Text1">
    <w:name w:val="Text 1"/>
    <w:basedOn w:val="Normal"/>
    <w:pPr>
      <w:spacing w:before="120" w:after="120"/>
      <w:jc w:val="both"/>
    </w:pPr>
  </w:style>
  <w:style w:type="paragraph" w:customStyle="1" w:styleId="Header0">
    <w:name w:val="Header_0"/>
    <w:basedOn w:val="Normal0"/>
    <w:link w:val="HeaderChar0"/>
    <w:pPr>
      <w:tabs>
        <w:tab w:val="center" w:pos="4153"/>
        <w:tab w:val="right" w:pos="8306"/>
      </w:tabs>
    </w:pPr>
  </w:style>
  <w:style w:type="paragraph" w:customStyle="1" w:styleId="Normal0">
    <w:name w:val="Normal_0"/>
    <w:qFormat/>
    <w:pPr>
      <w:suppressAutoHyphens/>
    </w:pPr>
    <w:rPr>
      <w:sz w:val="24"/>
      <w:szCs w:val="24"/>
      <w:lang w:eastAsia="ar-SA"/>
    </w:rPr>
  </w:style>
  <w:style w:type="character" w:customStyle="1" w:styleId="HeaderChar0">
    <w:name w:val="Header Char_0"/>
    <w:link w:val="Header0"/>
    <w:rPr>
      <w:sz w:val="24"/>
      <w:szCs w:val="24"/>
      <w:lang w:val="en-GB" w:eastAsia="ar-SA" w:bidi="ar-SA"/>
    </w:rPr>
  </w:style>
  <w:style w:type="paragraph" w:customStyle="1" w:styleId="Notes0">
    <w:name w:val="Notes_0"/>
    <w:basedOn w:val="Header0"/>
    <w:link w:val="NotesChar0"/>
    <w:pPr>
      <w:numPr>
        <w:numId w:val="23"/>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0">
    <w:name w:val="Title 1.1_0"/>
    <w:basedOn w:val="Notes0"/>
    <w:pPr>
      <w:numPr>
        <w:ilvl w:val="1"/>
      </w:numPr>
      <w:tabs>
        <w:tab w:val="clear" w:pos="4320"/>
        <w:tab w:val="clear" w:pos="8640"/>
        <w:tab w:val="right" w:pos="-2700"/>
        <w:tab w:val="right" w:pos="720"/>
      </w:tabs>
      <w:spacing w:before="0" w:after="0"/>
    </w:pPr>
    <w:rPr>
      <w:b w:val="0"/>
      <w:szCs w:val="20"/>
      <w:lang w:val="en-GB"/>
    </w:rPr>
  </w:style>
  <w:style w:type="character" w:customStyle="1" w:styleId="NotesChar0">
    <w:name w:val="Notes Char_0"/>
    <w:link w:val="Notes0"/>
    <w:rPr>
      <w:rFonts w:ascii="Arial" w:hAnsi="Arial"/>
      <w:b/>
      <w:szCs w:val="24"/>
      <w:lang w:val="en-US" w:eastAsia="ar-SA"/>
    </w:rPr>
  </w:style>
  <w:style w:type="paragraph" w:customStyle="1" w:styleId="Title10">
    <w:name w:val="Title 1_0"/>
    <w:basedOn w:val="Notes0"/>
    <w:pPr>
      <w:spacing w:before="0" w:after="0"/>
    </w:pPr>
  </w:style>
  <w:style w:type="paragraph" w:customStyle="1" w:styleId="Notes1">
    <w:name w:val="Notes_1"/>
    <w:basedOn w:val="Header1"/>
    <w:link w:val="NotesChar1"/>
    <w:pPr>
      <w:numPr>
        <w:numId w:val="26"/>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1">
    <w:name w:val="Title 1.1_1"/>
    <w:basedOn w:val="Notes1"/>
    <w:pPr>
      <w:numPr>
        <w:ilvl w:val="1"/>
      </w:numPr>
      <w:tabs>
        <w:tab w:val="clear" w:pos="4320"/>
        <w:tab w:val="clear" w:pos="8640"/>
        <w:tab w:val="right" w:pos="-2700"/>
        <w:tab w:val="right" w:pos="720"/>
      </w:tabs>
      <w:spacing w:before="0" w:after="0"/>
    </w:pPr>
    <w:rPr>
      <w:b w:val="0"/>
      <w:szCs w:val="20"/>
      <w:lang w:val="en-GB"/>
    </w:rPr>
  </w:style>
  <w:style w:type="paragraph" w:customStyle="1" w:styleId="Header1">
    <w:name w:val="Header_1"/>
    <w:basedOn w:val="Normal2"/>
    <w:link w:val="HeaderChar1"/>
    <w:pPr>
      <w:tabs>
        <w:tab w:val="center" w:pos="4153"/>
        <w:tab w:val="right" w:pos="8306"/>
      </w:tabs>
    </w:pPr>
  </w:style>
  <w:style w:type="paragraph" w:customStyle="1" w:styleId="Normal2">
    <w:name w:val="Normal_2"/>
    <w:qFormat/>
    <w:pPr>
      <w:suppressAutoHyphens/>
    </w:pPr>
    <w:rPr>
      <w:sz w:val="24"/>
      <w:szCs w:val="24"/>
      <w:lang w:eastAsia="ar-SA"/>
    </w:rPr>
  </w:style>
  <w:style w:type="character" w:customStyle="1" w:styleId="HeaderChar1">
    <w:name w:val="Header Char_1"/>
    <w:link w:val="Header1"/>
    <w:rPr>
      <w:sz w:val="24"/>
      <w:szCs w:val="24"/>
      <w:lang w:val="en-GB" w:eastAsia="ar-SA" w:bidi="ar-SA"/>
    </w:rPr>
  </w:style>
  <w:style w:type="character" w:customStyle="1" w:styleId="NotesChar1">
    <w:name w:val="Notes Char_1"/>
    <w:link w:val="Notes1"/>
    <w:rPr>
      <w:rFonts w:ascii="Arial" w:hAnsi="Arial"/>
      <w:b/>
      <w:szCs w:val="24"/>
      <w:lang w:val="en-US" w:eastAsia="ar-SA"/>
    </w:rPr>
  </w:style>
  <w:style w:type="paragraph" w:customStyle="1" w:styleId="Title11a">
    <w:name w:val="Title 1_1"/>
    <w:basedOn w:val="Notes1"/>
    <w:pPr>
      <w:spacing w:before="0" w:after="0"/>
    </w:pPr>
  </w:style>
  <w:style w:type="paragraph" w:customStyle="1" w:styleId="NotesText0">
    <w:name w:val="Notes Text_0"/>
    <w:basedOn w:val="Normal2"/>
    <w:pPr>
      <w:spacing w:after="60" w:line="180" w:lineRule="atLeast"/>
      <w:jc w:val="both"/>
    </w:pPr>
    <w:rPr>
      <w:rFonts w:ascii="Arial" w:hAnsi="Arial" w:cs="Arial"/>
      <w:sz w:val="15"/>
      <w:szCs w:val="15"/>
    </w:rPr>
  </w:style>
  <w:style w:type="paragraph" w:customStyle="1" w:styleId="ListParagraph0">
    <w:name w:val="List Paragraph_0"/>
    <w:basedOn w:val="Normal2"/>
    <w:uiPriority w:val="34"/>
    <w:qFormat/>
    <w:pPr>
      <w:ind w:left="720"/>
      <w:contextualSpacing/>
    </w:pPr>
  </w:style>
  <w:style w:type="paragraph" w:customStyle="1" w:styleId="Title1110">
    <w:name w:val="Title 1.1.1_0"/>
    <w:basedOn w:val="Notes1"/>
    <w:link w:val="Title111Char0"/>
    <w:pPr>
      <w:numPr>
        <w:ilvl w:val="2"/>
        <w:numId w:val="32"/>
      </w:numPr>
      <w:tabs>
        <w:tab w:val="clear" w:pos="4320"/>
        <w:tab w:val="clear" w:pos="8640"/>
        <w:tab w:val="right" w:pos="-2700"/>
      </w:tabs>
      <w:spacing w:before="0" w:after="0"/>
    </w:pPr>
    <w:rPr>
      <w:b w:val="0"/>
      <w:szCs w:val="20"/>
      <w:lang w:val="en-GB"/>
    </w:rPr>
  </w:style>
  <w:style w:type="character" w:customStyle="1" w:styleId="Title111Char0">
    <w:name w:val="Title 1.1.1 Char_0"/>
    <w:link w:val="Title1110"/>
    <w:rPr>
      <w:rFonts w:ascii="Arial" w:hAnsi="Arial"/>
      <w:lang w:eastAsia="ar-SA"/>
    </w:rPr>
  </w:style>
  <w:style w:type="paragraph" w:customStyle="1" w:styleId="xx0">
    <w:name w:val="xx_0"/>
    <w:basedOn w:val="Normal2"/>
    <w:pPr>
      <w:jc w:val="both"/>
    </w:pPr>
    <w:rPr>
      <w:rFonts w:ascii="Univers (WN)" w:hAnsi="Univers (WN)"/>
      <w:sz w:val="20"/>
      <w:szCs w:val="20"/>
    </w:rPr>
  </w:style>
  <w:style w:type="paragraph" w:customStyle="1" w:styleId="Notes2">
    <w:name w:val="Notes_2"/>
    <w:basedOn w:val="Header2"/>
    <w:link w:val="NotesChar2"/>
    <w:pPr>
      <w:numPr>
        <w:numId w:val="39"/>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2">
    <w:name w:val="Title 1.1_2"/>
    <w:basedOn w:val="Notes2"/>
    <w:pPr>
      <w:numPr>
        <w:ilvl w:val="1"/>
      </w:numPr>
      <w:tabs>
        <w:tab w:val="clear" w:pos="4320"/>
        <w:tab w:val="clear" w:pos="8640"/>
        <w:tab w:val="right" w:pos="-2700"/>
        <w:tab w:val="right" w:pos="720"/>
      </w:tabs>
      <w:spacing w:before="0" w:after="0"/>
    </w:pPr>
    <w:rPr>
      <w:b w:val="0"/>
      <w:szCs w:val="20"/>
      <w:lang w:val="en-GB"/>
    </w:rPr>
  </w:style>
  <w:style w:type="paragraph" w:customStyle="1" w:styleId="Header2">
    <w:name w:val="Header_2"/>
    <w:basedOn w:val="Normal3"/>
    <w:link w:val="HeaderChar2"/>
    <w:pPr>
      <w:tabs>
        <w:tab w:val="center" w:pos="4153"/>
        <w:tab w:val="right" w:pos="8306"/>
      </w:tabs>
    </w:pPr>
  </w:style>
  <w:style w:type="paragraph" w:customStyle="1" w:styleId="Normal3">
    <w:name w:val="Normal_3"/>
    <w:qFormat/>
    <w:pPr>
      <w:suppressAutoHyphens/>
    </w:pPr>
    <w:rPr>
      <w:sz w:val="24"/>
      <w:szCs w:val="24"/>
      <w:lang w:eastAsia="ar-SA"/>
    </w:rPr>
  </w:style>
  <w:style w:type="character" w:customStyle="1" w:styleId="HeaderChar2">
    <w:name w:val="Header Char_2"/>
    <w:link w:val="Header2"/>
    <w:rPr>
      <w:sz w:val="24"/>
      <w:szCs w:val="24"/>
      <w:lang w:val="en-GB" w:eastAsia="ar-SA" w:bidi="ar-SA"/>
    </w:rPr>
  </w:style>
  <w:style w:type="character" w:customStyle="1" w:styleId="NotesChar2">
    <w:name w:val="Notes Char_2"/>
    <w:link w:val="Notes2"/>
    <w:rPr>
      <w:rFonts w:ascii="Arial" w:hAnsi="Arial"/>
      <w:b/>
      <w:szCs w:val="24"/>
      <w:lang w:val="en-US" w:eastAsia="ar-SA"/>
    </w:rPr>
  </w:style>
  <w:style w:type="paragraph" w:customStyle="1" w:styleId="Title12">
    <w:name w:val="Title 1_2"/>
    <w:basedOn w:val="Notes2"/>
    <w:pPr>
      <w:spacing w:before="0" w:after="0"/>
    </w:pPr>
  </w:style>
  <w:style w:type="paragraph" w:customStyle="1" w:styleId="Title113">
    <w:name w:val="Title 1.1_3"/>
    <w:basedOn w:val="Notes3"/>
    <w:pPr>
      <w:numPr>
        <w:ilvl w:val="1"/>
      </w:numPr>
      <w:tabs>
        <w:tab w:val="clear" w:pos="4320"/>
        <w:tab w:val="clear" w:pos="8640"/>
        <w:tab w:val="right" w:pos="-2700"/>
        <w:tab w:val="right" w:pos="720"/>
      </w:tabs>
      <w:spacing w:before="0" w:after="0"/>
    </w:pPr>
    <w:rPr>
      <w:b w:val="0"/>
      <w:szCs w:val="20"/>
      <w:lang w:val="en-GB"/>
    </w:rPr>
  </w:style>
  <w:style w:type="paragraph" w:customStyle="1" w:styleId="Notes3">
    <w:name w:val="Notes_3"/>
    <w:basedOn w:val="Header3"/>
    <w:link w:val="NotesChar3"/>
    <w:pPr>
      <w:numPr>
        <w:numId w:val="41"/>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Header3">
    <w:name w:val="Header_3"/>
    <w:basedOn w:val="Normal4"/>
    <w:link w:val="HeaderChar3"/>
    <w:pPr>
      <w:tabs>
        <w:tab w:val="center" w:pos="4153"/>
        <w:tab w:val="right" w:pos="8306"/>
      </w:tabs>
    </w:pPr>
  </w:style>
  <w:style w:type="paragraph" w:customStyle="1" w:styleId="Normal4">
    <w:name w:val="Normal_4"/>
    <w:qFormat/>
    <w:pPr>
      <w:suppressAutoHyphens/>
    </w:pPr>
    <w:rPr>
      <w:sz w:val="24"/>
      <w:szCs w:val="24"/>
      <w:lang w:eastAsia="ar-SA"/>
    </w:rPr>
  </w:style>
  <w:style w:type="character" w:customStyle="1" w:styleId="HeaderChar3">
    <w:name w:val="Header Char_3"/>
    <w:link w:val="Header3"/>
    <w:rPr>
      <w:sz w:val="24"/>
      <w:szCs w:val="24"/>
      <w:lang w:val="en-GB" w:eastAsia="ar-SA" w:bidi="ar-SA"/>
    </w:rPr>
  </w:style>
  <w:style w:type="character" w:customStyle="1" w:styleId="NotesChar3">
    <w:name w:val="Notes Char_3"/>
    <w:link w:val="Notes3"/>
    <w:rPr>
      <w:rFonts w:ascii="Arial" w:hAnsi="Arial"/>
      <w:b/>
      <w:szCs w:val="24"/>
      <w:lang w:val="en-US" w:eastAsia="ar-SA"/>
    </w:rPr>
  </w:style>
  <w:style w:type="character" w:customStyle="1" w:styleId="Title111Char1">
    <w:name w:val="Title 1.1.1 Char_1"/>
    <w:link w:val="Title1111"/>
    <w:rPr>
      <w:rFonts w:ascii="Arial" w:hAnsi="Arial"/>
      <w:lang w:eastAsia="ar-SA"/>
    </w:rPr>
  </w:style>
  <w:style w:type="paragraph" w:customStyle="1" w:styleId="Title1111">
    <w:name w:val="Title 1.1.1_1"/>
    <w:basedOn w:val="Notes3"/>
    <w:link w:val="Title111Char1"/>
    <w:pPr>
      <w:numPr>
        <w:ilvl w:val="2"/>
        <w:numId w:val="42"/>
      </w:numPr>
      <w:tabs>
        <w:tab w:val="clear" w:pos="4320"/>
        <w:tab w:val="clear" w:pos="8640"/>
        <w:tab w:val="right" w:pos="-2700"/>
      </w:tabs>
      <w:spacing w:before="0" w:after="0"/>
    </w:pPr>
    <w:rPr>
      <w:b w:val="0"/>
      <w:szCs w:val="20"/>
      <w:lang w:val="en-GB"/>
    </w:rPr>
  </w:style>
  <w:style w:type="paragraph" w:customStyle="1" w:styleId="Title3210">
    <w:name w:val="Title 3.2.1._0"/>
    <w:basedOn w:val="Notes4"/>
    <w:pPr>
      <w:numPr>
        <w:ilvl w:val="2"/>
        <w:numId w:val="44"/>
      </w:numPr>
      <w:tabs>
        <w:tab w:val="clear" w:pos="4320"/>
        <w:tab w:val="clear" w:pos="8640"/>
        <w:tab w:val="right" w:pos="-2700"/>
      </w:tabs>
      <w:spacing w:before="240"/>
    </w:pPr>
    <w:rPr>
      <w:szCs w:val="20"/>
      <w:lang w:val="en-GB"/>
    </w:rPr>
  </w:style>
  <w:style w:type="paragraph" w:customStyle="1" w:styleId="Notes4">
    <w:name w:val="Notes_4"/>
    <w:basedOn w:val="Header4"/>
    <w:link w:val="NotesChar4"/>
    <w:pPr>
      <w:numPr>
        <w:numId w:val="45"/>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4">
    <w:name w:val="Title 1.1_4"/>
    <w:basedOn w:val="Notes4"/>
    <w:pPr>
      <w:numPr>
        <w:ilvl w:val="1"/>
      </w:numPr>
      <w:tabs>
        <w:tab w:val="clear" w:pos="4320"/>
        <w:tab w:val="clear" w:pos="8640"/>
        <w:tab w:val="right" w:pos="-2700"/>
        <w:tab w:val="right" w:pos="720"/>
      </w:tabs>
      <w:spacing w:before="0" w:after="0"/>
    </w:pPr>
    <w:rPr>
      <w:b w:val="0"/>
      <w:szCs w:val="20"/>
      <w:lang w:val="en-GB"/>
    </w:rPr>
  </w:style>
  <w:style w:type="paragraph" w:customStyle="1" w:styleId="Header4">
    <w:name w:val="Header_4"/>
    <w:basedOn w:val="Normal5"/>
    <w:link w:val="HeaderChar4"/>
    <w:pPr>
      <w:tabs>
        <w:tab w:val="center" w:pos="4153"/>
        <w:tab w:val="right" w:pos="8306"/>
      </w:tabs>
    </w:pPr>
  </w:style>
  <w:style w:type="paragraph" w:customStyle="1" w:styleId="Normal5">
    <w:name w:val="Normal_5"/>
    <w:qFormat/>
    <w:pPr>
      <w:suppressAutoHyphens/>
    </w:pPr>
    <w:rPr>
      <w:sz w:val="24"/>
      <w:szCs w:val="24"/>
      <w:lang w:eastAsia="ar-SA"/>
    </w:rPr>
  </w:style>
  <w:style w:type="character" w:customStyle="1" w:styleId="HeaderChar4">
    <w:name w:val="Header Char_4"/>
    <w:link w:val="Header4"/>
    <w:rPr>
      <w:sz w:val="24"/>
      <w:szCs w:val="24"/>
      <w:lang w:val="en-GB" w:eastAsia="ar-SA" w:bidi="ar-SA"/>
    </w:rPr>
  </w:style>
  <w:style w:type="character" w:customStyle="1" w:styleId="NotesChar4">
    <w:name w:val="Notes Char_4"/>
    <w:link w:val="Notes4"/>
    <w:rPr>
      <w:rFonts w:ascii="Arial" w:hAnsi="Arial"/>
      <w:b/>
      <w:szCs w:val="24"/>
      <w:lang w:val="en-US" w:eastAsia="ar-SA"/>
    </w:rPr>
  </w:style>
  <w:style w:type="paragraph" w:customStyle="1" w:styleId="Normal6">
    <w:name w:val="Normal_6"/>
    <w:qFormat/>
    <w:pPr>
      <w:suppressAutoHyphens/>
    </w:pPr>
    <w:rPr>
      <w:sz w:val="24"/>
      <w:szCs w:val="24"/>
      <w:lang w:eastAsia="ar-SA"/>
    </w:rPr>
  </w:style>
  <w:style w:type="paragraph" w:customStyle="1" w:styleId="Title3211">
    <w:name w:val="Title 3.2.1._1"/>
    <w:basedOn w:val="Notes5"/>
    <w:pPr>
      <w:numPr>
        <w:ilvl w:val="2"/>
        <w:numId w:val="46"/>
      </w:numPr>
      <w:tabs>
        <w:tab w:val="clear" w:pos="4320"/>
        <w:tab w:val="clear" w:pos="8640"/>
        <w:tab w:val="right" w:pos="-2700"/>
      </w:tabs>
      <w:spacing w:before="240"/>
    </w:pPr>
    <w:rPr>
      <w:szCs w:val="20"/>
      <w:lang w:val="en-GB"/>
    </w:rPr>
  </w:style>
  <w:style w:type="paragraph" w:customStyle="1" w:styleId="Notes5">
    <w:name w:val="Notes_5"/>
    <w:basedOn w:val="Header50"/>
    <w:link w:val="NotesChar5"/>
    <w:pPr>
      <w:numPr>
        <w:numId w:val="47"/>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5">
    <w:name w:val="Title 1.1_5"/>
    <w:basedOn w:val="Notes5"/>
    <w:pPr>
      <w:numPr>
        <w:ilvl w:val="1"/>
      </w:numPr>
      <w:tabs>
        <w:tab w:val="clear" w:pos="4320"/>
        <w:tab w:val="clear" w:pos="8640"/>
        <w:tab w:val="right" w:pos="-2700"/>
        <w:tab w:val="right" w:pos="720"/>
      </w:tabs>
      <w:spacing w:before="0" w:after="0"/>
    </w:pPr>
    <w:rPr>
      <w:b w:val="0"/>
      <w:szCs w:val="20"/>
      <w:lang w:val="en-GB"/>
    </w:rPr>
  </w:style>
  <w:style w:type="paragraph" w:customStyle="1" w:styleId="Header50">
    <w:name w:val="Header_5"/>
    <w:basedOn w:val="Normal6"/>
    <w:link w:val="HeaderChar5"/>
    <w:pPr>
      <w:tabs>
        <w:tab w:val="center" w:pos="4153"/>
        <w:tab w:val="right" w:pos="8306"/>
      </w:tabs>
    </w:pPr>
  </w:style>
  <w:style w:type="character" w:customStyle="1" w:styleId="HeaderChar5">
    <w:name w:val="Header Char_5"/>
    <w:link w:val="Header50"/>
    <w:rPr>
      <w:sz w:val="24"/>
      <w:szCs w:val="24"/>
      <w:lang w:val="en-GB" w:eastAsia="ar-SA" w:bidi="ar-SA"/>
    </w:rPr>
  </w:style>
  <w:style w:type="character" w:customStyle="1" w:styleId="NotesChar5">
    <w:name w:val="Notes Char_5"/>
    <w:link w:val="Notes5"/>
    <w:rPr>
      <w:rFonts w:ascii="Arial" w:hAnsi="Arial"/>
      <w:b/>
      <w:szCs w:val="24"/>
      <w:lang w:val="en-US" w:eastAsia="ar-SA"/>
    </w:rPr>
  </w:style>
  <w:style w:type="paragraph" w:customStyle="1" w:styleId="Listi0">
    <w:name w:val="List i)_0"/>
    <w:basedOn w:val="Normal6"/>
    <w:next w:val="Normal6"/>
    <w:pPr>
      <w:keepNext/>
      <w:numPr>
        <w:numId w:val="50"/>
      </w:numPr>
      <w:tabs>
        <w:tab w:val="clear" w:pos="1080"/>
        <w:tab w:val="num" w:pos="180"/>
      </w:tabs>
      <w:suppressAutoHyphens w:val="0"/>
      <w:autoSpaceDE w:val="0"/>
      <w:autoSpaceDN w:val="0"/>
      <w:adjustRightInd w:val="0"/>
      <w:spacing w:after="80" w:line="190" w:lineRule="atLeast"/>
      <w:ind w:left="180" w:hanging="180"/>
      <w:jc w:val="both"/>
    </w:pPr>
    <w:rPr>
      <w:rFonts w:ascii="Arial" w:hAnsi="Arial"/>
      <w:noProof/>
      <w:sz w:val="15"/>
      <w:szCs w:val="20"/>
      <w:lang w:eastAsia="en-GB"/>
    </w:rPr>
  </w:style>
  <w:style w:type="paragraph" w:customStyle="1" w:styleId="Notes6">
    <w:name w:val="Notes_6"/>
    <w:basedOn w:val="Header6"/>
    <w:link w:val="NotesChar6"/>
    <w:pPr>
      <w:numPr>
        <w:numId w:val="51"/>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6">
    <w:name w:val="Title 1.1_6"/>
    <w:basedOn w:val="Notes6"/>
    <w:pPr>
      <w:numPr>
        <w:ilvl w:val="1"/>
      </w:numPr>
      <w:tabs>
        <w:tab w:val="clear" w:pos="4320"/>
        <w:tab w:val="clear" w:pos="8640"/>
        <w:tab w:val="right" w:pos="-2700"/>
        <w:tab w:val="right" w:pos="720"/>
      </w:tabs>
      <w:spacing w:before="0" w:after="0"/>
    </w:pPr>
    <w:rPr>
      <w:b w:val="0"/>
      <w:szCs w:val="20"/>
      <w:lang w:val="en-GB"/>
    </w:rPr>
  </w:style>
  <w:style w:type="paragraph" w:customStyle="1" w:styleId="Header6">
    <w:name w:val="Header_6"/>
    <w:basedOn w:val="Normal7"/>
    <w:link w:val="HeaderChar6"/>
    <w:pPr>
      <w:tabs>
        <w:tab w:val="center" w:pos="4153"/>
        <w:tab w:val="right" w:pos="8306"/>
      </w:tabs>
    </w:pPr>
  </w:style>
  <w:style w:type="paragraph" w:customStyle="1" w:styleId="Normal7">
    <w:name w:val="Normal_7"/>
    <w:qFormat/>
    <w:pPr>
      <w:suppressAutoHyphens/>
    </w:pPr>
    <w:rPr>
      <w:sz w:val="24"/>
      <w:szCs w:val="24"/>
      <w:lang w:eastAsia="ar-SA"/>
    </w:rPr>
  </w:style>
  <w:style w:type="character" w:customStyle="1" w:styleId="HeaderChar6">
    <w:name w:val="Header Char_6"/>
    <w:link w:val="Header6"/>
    <w:rPr>
      <w:sz w:val="24"/>
      <w:szCs w:val="24"/>
      <w:lang w:val="en-GB" w:eastAsia="ar-SA" w:bidi="ar-SA"/>
    </w:rPr>
  </w:style>
  <w:style w:type="character" w:customStyle="1" w:styleId="NotesChar6">
    <w:name w:val="Notes Char_6"/>
    <w:link w:val="Notes6"/>
    <w:rPr>
      <w:rFonts w:ascii="Arial" w:hAnsi="Arial"/>
      <w:b/>
      <w:szCs w:val="24"/>
      <w:lang w:val="en-US" w:eastAsia="ar-SA"/>
    </w:rPr>
  </w:style>
  <w:style w:type="paragraph" w:customStyle="1" w:styleId="Notes7">
    <w:name w:val="Notes_7"/>
    <w:basedOn w:val="Header7"/>
    <w:link w:val="NotesChar7"/>
    <w:pPr>
      <w:numPr>
        <w:numId w:val="53"/>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7">
    <w:name w:val="Title 1.1_7"/>
    <w:basedOn w:val="Notes7"/>
    <w:pPr>
      <w:numPr>
        <w:ilvl w:val="1"/>
      </w:numPr>
      <w:tabs>
        <w:tab w:val="clear" w:pos="4320"/>
        <w:tab w:val="clear" w:pos="8640"/>
        <w:tab w:val="right" w:pos="-2700"/>
        <w:tab w:val="right" w:pos="720"/>
      </w:tabs>
      <w:spacing w:before="0" w:after="0"/>
    </w:pPr>
    <w:rPr>
      <w:b w:val="0"/>
      <w:szCs w:val="20"/>
      <w:lang w:val="en-GB"/>
    </w:rPr>
  </w:style>
  <w:style w:type="paragraph" w:customStyle="1" w:styleId="Header7">
    <w:name w:val="Header_7"/>
    <w:basedOn w:val="Normal9"/>
    <w:link w:val="HeaderChar7"/>
    <w:pPr>
      <w:tabs>
        <w:tab w:val="center" w:pos="4153"/>
        <w:tab w:val="right" w:pos="8306"/>
      </w:tabs>
    </w:pPr>
  </w:style>
  <w:style w:type="paragraph" w:customStyle="1" w:styleId="Normal9">
    <w:name w:val="Normal_9"/>
    <w:qFormat/>
    <w:pPr>
      <w:suppressAutoHyphens/>
    </w:pPr>
    <w:rPr>
      <w:sz w:val="24"/>
      <w:szCs w:val="24"/>
      <w:lang w:eastAsia="ar-SA"/>
    </w:rPr>
  </w:style>
  <w:style w:type="character" w:customStyle="1" w:styleId="HeaderChar7">
    <w:name w:val="Header Char_7"/>
    <w:link w:val="Header7"/>
    <w:rPr>
      <w:sz w:val="24"/>
      <w:szCs w:val="24"/>
      <w:lang w:val="en-GB" w:eastAsia="ar-SA" w:bidi="ar-SA"/>
    </w:rPr>
  </w:style>
  <w:style w:type="character" w:customStyle="1" w:styleId="NotesChar7">
    <w:name w:val="Notes Char_7"/>
    <w:link w:val="Notes7"/>
    <w:rPr>
      <w:rFonts w:ascii="Arial" w:hAnsi="Arial"/>
      <w:b/>
      <w:szCs w:val="24"/>
      <w:lang w:val="en-US" w:eastAsia="ar-SA"/>
    </w:rPr>
  </w:style>
  <w:style w:type="paragraph" w:customStyle="1" w:styleId="Notes8">
    <w:name w:val="Notes_8"/>
    <w:basedOn w:val="Header8"/>
    <w:link w:val="NotesChar8"/>
    <w:pPr>
      <w:numPr>
        <w:numId w:val="55"/>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8">
    <w:name w:val="Title 1.1_8"/>
    <w:basedOn w:val="Notes8"/>
    <w:pPr>
      <w:numPr>
        <w:ilvl w:val="1"/>
      </w:numPr>
      <w:tabs>
        <w:tab w:val="clear" w:pos="4320"/>
        <w:tab w:val="clear" w:pos="8640"/>
        <w:tab w:val="right" w:pos="-2700"/>
        <w:tab w:val="right" w:pos="720"/>
      </w:tabs>
      <w:spacing w:before="0" w:after="0"/>
    </w:pPr>
    <w:rPr>
      <w:b w:val="0"/>
      <w:szCs w:val="20"/>
      <w:lang w:val="en-GB"/>
    </w:rPr>
  </w:style>
  <w:style w:type="paragraph" w:customStyle="1" w:styleId="Header8">
    <w:name w:val="Header_8"/>
    <w:basedOn w:val="Normal10"/>
    <w:link w:val="HeaderChar8"/>
    <w:pPr>
      <w:tabs>
        <w:tab w:val="center" w:pos="4153"/>
        <w:tab w:val="right" w:pos="8306"/>
      </w:tabs>
    </w:pPr>
  </w:style>
  <w:style w:type="paragraph" w:customStyle="1" w:styleId="Normal10">
    <w:name w:val="Normal_10"/>
    <w:qFormat/>
    <w:pPr>
      <w:suppressAutoHyphens/>
    </w:pPr>
    <w:rPr>
      <w:sz w:val="24"/>
      <w:szCs w:val="24"/>
      <w:lang w:eastAsia="ar-SA"/>
    </w:rPr>
  </w:style>
  <w:style w:type="character" w:customStyle="1" w:styleId="HeaderChar8">
    <w:name w:val="Header Char_8"/>
    <w:link w:val="Header8"/>
    <w:rPr>
      <w:sz w:val="24"/>
      <w:szCs w:val="24"/>
      <w:lang w:val="en-GB" w:eastAsia="ar-SA" w:bidi="ar-SA"/>
    </w:rPr>
  </w:style>
  <w:style w:type="character" w:customStyle="1" w:styleId="NotesChar8">
    <w:name w:val="Notes Char_8"/>
    <w:link w:val="Notes8"/>
    <w:rPr>
      <w:rFonts w:ascii="Arial" w:hAnsi="Arial"/>
      <w:b/>
      <w:szCs w:val="24"/>
      <w:lang w:val="en-US" w:eastAsia="ar-SA"/>
    </w:rPr>
  </w:style>
  <w:style w:type="paragraph" w:customStyle="1" w:styleId="Notes9">
    <w:name w:val="Notes_9"/>
    <w:basedOn w:val="Header9"/>
    <w:link w:val="NotesChar9"/>
    <w:pPr>
      <w:numPr>
        <w:numId w:val="57"/>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9">
    <w:name w:val="Title 1.1_9"/>
    <w:basedOn w:val="Notes9"/>
    <w:pPr>
      <w:numPr>
        <w:ilvl w:val="1"/>
      </w:numPr>
      <w:tabs>
        <w:tab w:val="clear" w:pos="4320"/>
        <w:tab w:val="clear" w:pos="8640"/>
        <w:tab w:val="right" w:pos="-2700"/>
        <w:tab w:val="right" w:pos="720"/>
      </w:tabs>
      <w:spacing w:before="0" w:after="0"/>
    </w:pPr>
    <w:rPr>
      <w:b w:val="0"/>
      <w:szCs w:val="20"/>
      <w:lang w:val="en-GB"/>
    </w:rPr>
  </w:style>
  <w:style w:type="paragraph" w:customStyle="1" w:styleId="Header9">
    <w:name w:val="Header_9"/>
    <w:basedOn w:val="Normal11"/>
    <w:link w:val="HeaderChar9"/>
    <w:pPr>
      <w:tabs>
        <w:tab w:val="center" w:pos="4153"/>
        <w:tab w:val="right" w:pos="8306"/>
      </w:tabs>
    </w:pPr>
  </w:style>
  <w:style w:type="paragraph" w:customStyle="1" w:styleId="Normal11">
    <w:name w:val="Normal_11"/>
    <w:qFormat/>
    <w:pPr>
      <w:suppressAutoHyphens/>
    </w:pPr>
    <w:rPr>
      <w:sz w:val="24"/>
      <w:szCs w:val="24"/>
      <w:lang w:eastAsia="ar-SA"/>
    </w:rPr>
  </w:style>
  <w:style w:type="character" w:customStyle="1" w:styleId="HeaderChar9">
    <w:name w:val="Header Char_9"/>
    <w:link w:val="Header9"/>
    <w:rPr>
      <w:sz w:val="24"/>
      <w:szCs w:val="24"/>
      <w:lang w:val="en-GB" w:eastAsia="ar-SA" w:bidi="ar-SA"/>
    </w:rPr>
  </w:style>
  <w:style w:type="character" w:customStyle="1" w:styleId="NotesChar9">
    <w:name w:val="Notes Char_9"/>
    <w:link w:val="Notes9"/>
    <w:rPr>
      <w:rFonts w:ascii="Arial" w:hAnsi="Arial"/>
      <w:b/>
      <w:szCs w:val="24"/>
      <w:lang w:val="en-US" w:eastAsia="ar-SA"/>
    </w:rPr>
  </w:style>
  <w:style w:type="paragraph" w:customStyle="1" w:styleId="Notes10">
    <w:name w:val="Notes_10"/>
    <w:basedOn w:val="Header10"/>
    <w:link w:val="NotesChar10"/>
    <w:pPr>
      <w:numPr>
        <w:numId w:val="59"/>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100">
    <w:name w:val="Title 1.1_10"/>
    <w:basedOn w:val="Notes10"/>
    <w:pPr>
      <w:numPr>
        <w:ilvl w:val="1"/>
      </w:numPr>
      <w:tabs>
        <w:tab w:val="clear" w:pos="4320"/>
        <w:tab w:val="clear" w:pos="8640"/>
        <w:tab w:val="right" w:pos="-2700"/>
        <w:tab w:val="right" w:pos="720"/>
      </w:tabs>
      <w:spacing w:before="0" w:after="0"/>
    </w:pPr>
    <w:rPr>
      <w:b w:val="0"/>
      <w:szCs w:val="20"/>
      <w:lang w:val="en-GB"/>
    </w:rPr>
  </w:style>
  <w:style w:type="paragraph" w:customStyle="1" w:styleId="Header10">
    <w:name w:val="Header_10"/>
    <w:basedOn w:val="Normal12"/>
    <w:link w:val="HeaderChar10"/>
    <w:pPr>
      <w:tabs>
        <w:tab w:val="center" w:pos="4153"/>
        <w:tab w:val="right" w:pos="8306"/>
      </w:tabs>
    </w:pPr>
  </w:style>
  <w:style w:type="paragraph" w:customStyle="1" w:styleId="Normal12">
    <w:name w:val="Normal_12"/>
    <w:qFormat/>
    <w:pPr>
      <w:suppressAutoHyphens/>
    </w:pPr>
    <w:rPr>
      <w:sz w:val="24"/>
      <w:szCs w:val="24"/>
      <w:lang w:eastAsia="ar-SA"/>
    </w:rPr>
  </w:style>
  <w:style w:type="character" w:customStyle="1" w:styleId="HeaderChar10">
    <w:name w:val="Header Char_10"/>
    <w:link w:val="Header10"/>
    <w:rPr>
      <w:sz w:val="24"/>
      <w:szCs w:val="24"/>
      <w:lang w:val="en-GB" w:eastAsia="ar-SA" w:bidi="ar-SA"/>
    </w:rPr>
  </w:style>
  <w:style w:type="character" w:customStyle="1" w:styleId="NotesChar10">
    <w:name w:val="Notes Char_10"/>
    <w:link w:val="Notes10"/>
    <w:rPr>
      <w:rFonts w:ascii="Arial" w:hAnsi="Arial"/>
      <w:b/>
      <w:szCs w:val="24"/>
      <w:lang w:val="en-US" w:eastAsia="ar-SA"/>
    </w:rPr>
  </w:style>
  <w:style w:type="paragraph" w:customStyle="1" w:styleId="Notes11">
    <w:name w:val="Notes_11"/>
    <w:basedOn w:val="Header11"/>
    <w:link w:val="NotesChar11"/>
    <w:pPr>
      <w:numPr>
        <w:numId w:val="61"/>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110">
    <w:name w:val="Title 1.1_11"/>
    <w:basedOn w:val="Notes11"/>
    <w:pPr>
      <w:numPr>
        <w:ilvl w:val="1"/>
      </w:numPr>
      <w:tabs>
        <w:tab w:val="clear" w:pos="4320"/>
        <w:tab w:val="clear" w:pos="8640"/>
        <w:tab w:val="right" w:pos="-2700"/>
        <w:tab w:val="right" w:pos="720"/>
      </w:tabs>
      <w:spacing w:before="0" w:after="0"/>
    </w:pPr>
    <w:rPr>
      <w:b w:val="0"/>
      <w:szCs w:val="20"/>
      <w:lang w:val="en-GB"/>
    </w:rPr>
  </w:style>
  <w:style w:type="paragraph" w:customStyle="1" w:styleId="Header11">
    <w:name w:val="Header_11"/>
    <w:basedOn w:val="Normal13"/>
    <w:link w:val="HeaderChar11"/>
    <w:pPr>
      <w:tabs>
        <w:tab w:val="center" w:pos="4153"/>
        <w:tab w:val="right" w:pos="8306"/>
      </w:tabs>
    </w:pPr>
  </w:style>
  <w:style w:type="paragraph" w:customStyle="1" w:styleId="Normal13">
    <w:name w:val="Normal_13"/>
    <w:qFormat/>
    <w:pPr>
      <w:suppressAutoHyphens/>
    </w:pPr>
    <w:rPr>
      <w:sz w:val="24"/>
      <w:szCs w:val="24"/>
      <w:lang w:eastAsia="ar-SA"/>
    </w:rPr>
  </w:style>
  <w:style w:type="character" w:customStyle="1" w:styleId="HeaderChar11">
    <w:name w:val="Header Char_11"/>
    <w:link w:val="Header11"/>
    <w:rPr>
      <w:sz w:val="24"/>
      <w:szCs w:val="24"/>
      <w:lang w:val="en-GB" w:eastAsia="ar-SA" w:bidi="ar-SA"/>
    </w:rPr>
  </w:style>
  <w:style w:type="character" w:customStyle="1" w:styleId="NotesChar11">
    <w:name w:val="Notes Char_11"/>
    <w:link w:val="Notes11"/>
    <w:rPr>
      <w:rFonts w:ascii="Arial" w:hAnsi="Arial"/>
      <w:b/>
      <w:szCs w:val="24"/>
      <w:lang w:val="en-US" w:eastAsia="ar-SA"/>
    </w:rPr>
  </w:style>
  <w:style w:type="paragraph" w:customStyle="1" w:styleId="Title3212">
    <w:name w:val="Title 3.2.1._2"/>
    <w:basedOn w:val="Notes12"/>
    <w:pPr>
      <w:numPr>
        <w:ilvl w:val="2"/>
        <w:numId w:val="63"/>
      </w:numPr>
      <w:tabs>
        <w:tab w:val="clear" w:pos="4320"/>
        <w:tab w:val="clear" w:pos="8640"/>
        <w:tab w:val="right" w:pos="-2700"/>
      </w:tabs>
      <w:spacing w:before="240"/>
    </w:pPr>
    <w:rPr>
      <w:szCs w:val="20"/>
      <w:lang w:val="en-GB"/>
    </w:rPr>
  </w:style>
  <w:style w:type="paragraph" w:customStyle="1" w:styleId="Notes12">
    <w:name w:val="Notes_12"/>
    <w:basedOn w:val="Header12"/>
    <w:link w:val="NotesChar12"/>
    <w:pPr>
      <w:numPr>
        <w:numId w:val="64"/>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12">
    <w:name w:val="Title 1.1_12"/>
    <w:basedOn w:val="Notes12"/>
    <w:pPr>
      <w:numPr>
        <w:ilvl w:val="1"/>
      </w:numPr>
      <w:tabs>
        <w:tab w:val="clear" w:pos="4320"/>
        <w:tab w:val="clear" w:pos="8640"/>
        <w:tab w:val="right" w:pos="-2700"/>
        <w:tab w:val="right" w:pos="720"/>
      </w:tabs>
      <w:spacing w:before="0" w:after="0"/>
    </w:pPr>
    <w:rPr>
      <w:b w:val="0"/>
      <w:szCs w:val="20"/>
      <w:lang w:val="en-GB"/>
    </w:rPr>
  </w:style>
  <w:style w:type="paragraph" w:customStyle="1" w:styleId="Header12">
    <w:name w:val="Header_12"/>
    <w:basedOn w:val="Normal14"/>
    <w:link w:val="HeaderChar12"/>
    <w:pPr>
      <w:tabs>
        <w:tab w:val="center" w:pos="4153"/>
        <w:tab w:val="right" w:pos="8306"/>
      </w:tabs>
    </w:pPr>
  </w:style>
  <w:style w:type="paragraph" w:customStyle="1" w:styleId="Normal14">
    <w:name w:val="Normal_14"/>
    <w:qFormat/>
    <w:pPr>
      <w:suppressAutoHyphens/>
    </w:pPr>
    <w:rPr>
      <w:sz w:val="24"/>
      <w:szCs w:val="24"/>
      <w:lang w:eastAsia="ar-SA"/>
    </w:rPr>
  </w:style>
  <w:style w:type="character" w:customStyle="1" w:styleId="HeaderChar12">
    <w:name w:val="Header Char_12"/>
    <w:link w:val="Header12"/>
    <w:rPr>
      <w:sz w:val="24"/>
      <w:szCs w:val="24"/>
      <w:lang w:val="en-GB" w:eastAsia="ar-SA" w:bidi="ar-SA"/>
    </w:rPr>
  </w:style>
  <w:style w:type="character" w:customStyle="1" w:styleId="NotesChar12">
    <w:name w:val="Notes Char_12"/>
    <w:link w:val="Notes12"/>
    <w:rPr>
      <w:rFonts w:ascii="Arial" w:hAnsi="Arial"/>
      <w:b/>
      <w:szCs w:val="24"/>
      <w:lang w:val="en-US" w:eastAsia="ar-SA"/>
    </w:rPr>
  </w:style>
  <w:style w:type="paragraph" w:customStyle="1" w:styleId="Normal15">
    <w:name w:val="Normal_15"/>
    <w:qFormat/>
    <w:pPr>
      <w:suppressAutoHyphens/>
    </w:pPr>
    <w:rPr>
      <w:sz w:val="24"/>
      <w:szCs w:val="24"/>
      <w:lang w:eastAsia="ar-SA"/>
    </w:rPr>
  </w:style>
  <w:style w:type="paragraph" w:customStyle="1" w:styleId="Notes13">
    <w:name w:val="Notes_13"/>
    <w:basedOn w:val="Header13"/>
    <w:link w:val="NotesChar13"/>
    <w:pPr>
      <w:numPr>
        <w:numId w:val="65"/>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13">
    <w:name w:val="Title 1.1_13"/>
    <w:basedOn w:val="Notes13"/>
    <w:pPr>
      <w:numPr>
        <w:ilvl w:val="1"/>
      </w:numPr>
      <w:tabs>
        <w:tab w:val="clear" w:pos="4320"/>
        <w:tab w:val="clear" w:pos="8640"/>
        <w:tab w:val="right" w:pos="-2700"/>
        <w:tab w:val="right" w:pos="720"/>
      </w:tabs>
      <w:spacing w:before="0" w:after="0"/>
    </w:pPr>
    <w:rPr>
      <w:b w:val="0"/>
      <w:szCs w:val="20"/>
      <w:lang w:val="en-GB"/>
    </w:rPr>
  </w:style>
  <w:style w:type="paragraph" w:customStyle="1" w:styleId="Header13">
    <w:name w:val="Header_13"/>
    <w:basedOn w:val="Normal15"/>
    <w:link w:val="HeaderChar13"/>
    <w:pPr>
      <w:tabs>
        <w:tab w:val="center" w:pos="4153"/>
        <w:tab w:val="right" w:pos="8306"/>
      </w:tabs>
    </w:pPr>
  </w:style>
  <w:style w:type="character" w:customStyle="1" w:styleId="HeaderChar13">
    <w:name w:val="Header Char_13"/>
    <w:link w:val="Header13"/>
    <w:rPr>
      <w:sz w:val="24"/>
      <w:szCs w:val="24"/>
      <w:lang w:val="en-GB" w:eastAsia="ar-SA" w:bidi="ar-SA"/>
    </w:rPr>
  </w:style>
  <w:style w:type="character" w:customStyle="1" w:styleId="NotesChar13">
    <w:name w:val="Notes Char_13"/>
    <w:link w:val="Notes13"/>
    <w:rPr>
      <w:rFonts w:ascii="Arial" w:hAnsi="Arial"/>
      <w:b/>
      <w:szCs w:val="24"/>
      <w:lang w:val="en-US" w:eastAsia="ar-SA"/>
    </w:rPr>
  </w:style>
  <w:style w:type="paragraph" w:customStyle="1" w:styleId="Notes14">
    <w:name w:val="Notes_14"/>
    <w:basedOn w:val="Header14"/>
    <w:link w:val="NotesChar14"/>
    <w:pPr>
      <w:numPr>
        <w:numId w:val="67"/>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14">
    <w:name w:val="Title 1.1_14"/>
    <w:basedOn w:val="Notes14"/>
    <w:pPr>
      <w:numPr>
        <w:ilvl w:val="1"/>
      </w:numPr>
      <w:tabs>
        <w:tab w:val="clear" w:pos="4320"/>
        <w:tab w:val="clear" w:pos="8640"/>
        <w:tab w:val="right" w:pos="-2700"/>
        <w:tab w:val="right" w:pos="720"/>
      </w:tabs>
      <w:spacing w:before="0" w:after="0"/>
    </w:pPr>
    <w:rPr>
      <w:b w:val="0"/>
      <w:szCs w:val="20"/>
      <w:lang w:val="en-GB"/>
    </w:rPr>
  </w:style>
  <w:style w:type="paragraph" w:customStyle="1" w:styleId="Header14">
    <w:name w:val="Header_14"/>
    <w:basedOn w:val="Normal16"/>
    <w:link w:val="HeaderChar14"/>
    <w:pPr>
      <w:tabs>
        <w:tab w:val="center" w:pos="4153"/>
        <w:tab w:val="right" w:pos="8306"/>
      </w:tabs>
    </w:pPr>
  </w:style>
  <w:style w:type="paragraph" w:customStyle="1" w:styleId="Normal16">
    <w:name w:val="Normal_16"/>
    <w:qFormat/>
    <w:pPr>
      <w:suppressAutoHyphens/>
    </w:pPr>
    <w:rPr>
      <w:sz w:val="24"/>
      <w:szCs w:val="24"/>
      <w:lang w:eastAsia="ar-SA"/>
    </w:rPr>
  </w:style>
  <w:style w:type="character" w:customStyle="1" w:styleId="HeaderChar14">
    <w:name w:val="Header Char_14"/>
    <w:link w:val="Header14"/>
    <w:rPr>
      <w:sz w:val="24"/>
      <w:szCs w:val="24"/>
      <w:lang w:val="en-GB" w:eastAsia="ar-SA" w:bidi="ar-SA"/>
    </w:rPr>
  </w:style>
  <w:style w:type="character" w:customStyle="1" w:styleId="NotesChar14">
    <w:name w:val="Notes Char_14"/>
    <w:link w:val="Notes14"/>
    <w:rPr>
      <w:rFonts w:ascii="Arial" w:hAnsi="Arial"/>
      <w:b/>
      <w:szCs w:val="24"/>
      <w:lang w:val="en-US" w:eastAsia="ar-SA"/>
    </w:rPr>
  </w:style>
  <w:style w:type="paragraph" w:customStyle="1" w:styleId="Normal17">
    <w:name w:val="Normal_17"/>
    <w:qFormat/>
    <w:pPr>
      <w:suppressAutoHyphens/>
    </w:pPr>
    <w:rPr>
      <w:sz w:val="24"/>
      <w:szCs w:val="24"/>
      <w:lang w:eastAsia="ar-SA"/>
    </w:rPr>
  </w:style>
  <w:style w:type="paragraph" w:customStyle="1" w:styleId="Notes15">
    <w:name w:val="Notes_15"/>
    <w:basedOn w:val="Header15"/>
    <w:link w:val="NotesChar15"/>
    <w:pPr>
      <w:numPr>
        <w:numId w:val="69"/>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15">
    <w:name w:val="Title 1.1_15"/>
    <w:basedOn w:val="Notes15"/>
    <w:pPr>
      <w:numPr>
        <w:ilvl w:val="1"/>
      </w:numPr>
      <w:tabs>
        <w:tab w:val="clear" w:pos="4320"/>
        <w:tab w:val="clear" w:pos="8640"/>
        <w:tab w:val="right" w:pos="-2700"/>
        <w:tab w:val="right" w:pos="720"/>
      </w:tabs>
      <w:spacing w:before="0" w:after="0"/>
    </w:pPr>
    <w:rPr>
      <w:b w:val="0"/>
      <w:szCs w:val="20"/>
      <w:lang w:val="en-GB"/>
    </w:rPr>
  </w:style>
  <w:style w:type="paragraph" w:customStyle="1" w:styleId="Header15">
    <w:name w:val="Header_15"/>
    <w:basedOn w:val="Normal17"/>
    <w:link w:val="HeaderChar15"/>
    <w:pPr>
      <w:tabs>
        <w:tab w:val="center" w:pos="4153"/>
        <w:tab w:val="right" w:pos="8306"/>
      </w:tabs>
    </w:pPr>
  </w:style>
  <w:style w:type="character" w:customStyle="1" w:styleId="HeaderChar15">
    <w:name w:val="Header Char_15"/>
    <w:link w:val="Header15"/>
    <w:rPr>
      <w:sz w:val="24"/>
      <w:szCs w:val="24"/>
      <w:lang w:val="en-GB" w:eastAsia="ar-SA" w:bidi="ar-SA"/>
    </w:rPr>
  </w:style>
  <w:style w:type="character" w:customStyle="1" w:styleId="NotesChar15">
    <w:name w:val="Notes Char_15"/>
    <w:link w:val="Notes15"/>
    <w:rPr>
      <w:rFonts w:ascii="Arial" w:hAnsi="Arial"/>
      <w:b/>
      <w:szCs w:val="24"/>
      <w:lang w:val="en-US" w:eastAsia="ar-SA"/>
    </w:rPr>
  </w:style>
  <w:style w:type="paragraph" w:customStyle="1" w:styleId="Title3213">
    <w:name w:val="Title 3.2.1._3"/>
    <w:basedOn w:val="Notes16"/>
    <w:pPr>
      <w:numPr>
        <w:ilvl w:val="2"/>
        <w:numId w:val="71"/>
      </w:numPr>
      <w:tabs>
        <w:tab w:val="clear" w:pos="4320"/>
        <w:tab w:val="clear" w:pos="8640"/>
        <w:tab w:val="right" w:pos="-2700"/>
      </w:tabs>
      <w:spacing w:before="240"/>
    </w:pPr>
    <w:rPr>
      <w:szCs w:val="20"/>
      <w:lang w:val="en-GB"/>
    </w:rPr>
  </w:style>
  <w:style w:type="paragraph" w:customStyle="1" w:styleId="Notes16">
    <w:name w:val="Notes_16"/>
    <w:basedOn w:val="Header16"/>
    <w:link w:val="NotesChar16"/>
    <w:pPr>
      <w:numPr>
        <w:numId w:val="72"/>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16">
    <w:name w:val="Title 1.1_16"/>
    <w:basedOn w:val="Notes16"/>
    <w:pPr>
      <w:numPr>
        <w:ilvl w:val="1"/>
      </w:numPr>
      <w:tabs>
        <w:tab w:val="clear" w:pos="4320"/>
        <w:tab w:val="clear" w:pos="8640"/>
        <w:tab w:val="right" w:pos="-2700"/>
        <w:tab w:val="right" w:pos="720"/>
      </w:tabs>
      <w:spacing w:before="0" w:after="0"/>
    </w:pPr>
    <w:rPr>
      <w:b w:val="0"/>
      <w:szCs w:val="20"/>
      <w:lang w:val="en-GB"/>
    </w:rPr>
  </w:style>
  <w:style w:type="paragraph" w:customStyle="1" w:styleId="Header16">
    <w:name w:val="Header_16"/>
    <w:basedOn w:val="Normal18"/>
    <w:link w:val="HeaderChar16"/>
    <w:pPr>
      <w:tabs>
        <w:tab w:val="center" w:pos="4153"/>
        <w:tab w:val="right" w:pos="8306"/>
      </w:tabs>
    </w:pPr>
  </w:style>
  <w:style w:type="paragraph" w:customStyle="1" w:styleId="Normal18">
    <w:name w:val="Normal_18"/>
    <w:qFormat/>
    <w:pPr>
      <w:suppressAutoHyphens/>
    </w:pPr>
    <w:rPr>
      <w:sz w:val="24"/>
      <w:szCs w:val="24"/>
      <w:lang w:eastAsia="ar-SA"/>
    </w:rPr>
  </w:style>
  <w:style w:type="character" w:customStyle="1" w:styleId="HeaderChar16">
    <w:name w:val="Header Char_16"/>
    <w:link w:val="Header16"/>
    <w:rPr>
      <w:sz w:val="24"/>
      <w:szCs w:val="24"/>
      <w:lang w:val="en-GB" w:eastAsia="ar-SA" w:bidi="ar-SA"/>
    </w:rPr>
  </w:style>
  <w:style w:type="character" w:customStyle="1" w:styleId="NotesChar16">
    <w:name w:val="Notes Char_16"/>
    <w:link w:val="Notes16"/>
    <w:rPr>
      <w:rFonts w:ascii="Arial" w:hAnsi="Arial"/>
      <w:b/>
      <w:szCs w:val="24"/>
      <w:lang w:val="en-US" w:eastAsia="ar-SA"/>
    </w:rPr>
  </w:style>
  <w:style w:type="paragraph" w:customStyle="1" w:styleId="Normal19">
    <w:name w:val="Normal_19"/>
    <w:qFormat/>
    <w:pPr>
      <w:suppressAutoHyphens/>
    </w:pPr>
    <w:rPr>
      <w:sz w:val="24"/>
      <w:szCs w:val="24"/>
      <w:lang w:eastAsia="ar-SA"/>
    </w:rPr>
  </w:style>
  <w:style w:type="paragraph" w:customStyle="1" w:styleId="ListParagraph1">
    <w:name w:val="List Paragraph_1"/>
    <w:basedOn w:val="Normal19"/>
    <w:uiPriority w:val="34"/>
    <w:qFormat/>
    <w:pPr>
      <w:ind w:left="720"/>
      <w:contextualSpacing/>
    </w:pPr>
  </w:style>
  <w:style w:type="paragraph" w:customStyle="1" w:styleId="Notes17">
    <w:name w:val="Notes_17"/>
    <w:basedOn w:val="Header17"/>
    <w:link w:val="NotesChar17"/>
    <w:pPr>
      <w:numPr>
        <w:numId w:val="73"/>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Header17">
    <w:name w:val="Header_17"/>
    <w:basedOn w:val="Normal19"/>
    <w:link w:val="HeaderChar17"/>
    <w:pPr>
      <w:tabs>
        <w:tab w:val="center" w:pos="4153"/>
        <w:tab w:val="right" w:pos="8306"/>
      </w:tabs>
    </w:pPr>
  </w:style>
  <w:style w:type="character" w:customStyle="1" w:styleId="HeaderChar17">
    <w:name w:val="Header Char_17"/>
    <w:link w:val="Header17"/>
    <w:rPr>
      <w:sz w:val="24"/>
      <w:szCs w:val="24"/>
      <w:lang w:val="en-GB" w:eastAsia="ar-SA" w:bidi="ar-SA"/>
    </w:rPr>
  </w:style>
  <w:style w:type="character" w:customStyle="1" w:styleId="NotesChar17">
    <w:name w:val="Notes Char_17"/>
    <w:link w:val="Notes17"/>
    <w:rPr>
      <w:rFonts w:ascii="Arial" w:hAnsi="Arial"/>
      <w:b/>
      <w:szCs w:val="24"/>
      <w:lang w:val="en-US" w:eastAsia="ar-SA"/>
    </w:rPr>
  </w:style>
  <w:style w:type="paragraph" w:customStyle="1" w:styleId="Title1117">
    <w:name w:val="Title 1.1_17"/>
    <w:basedOn w:val="Notes17"/>
    <w:pPr>
      <w:numPr>
        <w:ilvl w:val="1"/>
      </w:numPr>
      <w:tabs>
        <w:tab w:val="clear" w:pos="4320"/>
        <w:tab w:val="clear" w:pos="8640"/>
        <w:tab w:val="right" w:pos="-2700"/>
        <w:tab w:val="right" w:pos="720"/>
      </w:tabs>
      <w:spacing w:before="0" w:after="0"/>
    </w:pPr>
    <w:rPr>
      <w:b w:val="0"/>
      <w:szCs w:val="20"/>
      <w:lang w:val="en-GB"/>
    </w:rPr>
  </w:style>
  <w:style w:type="paragraph" w:customStyle="1" w:styleId="Normal20">
    <w:name w:val="Normal_20"/>
    <w:qFormat/>
    <w:pPr>
      <w:suppressAutoHyphens/>
    </w:pPr>
    <w:rPr>
      <w:sz w:val="24"/>
      <w:szCs w:val="24"/>
      <w:lang w:eastAsia="ar-SA"/>
    </w:rPr>
  </w:style>
  <w:style w:type="paragraph" w:customStyle="1" w:styleId="ListParagraph2">
    <w:name w:val="List Paragraph_2"/>
    <w:basedOn w:val="Normal20"/>
    <w:uiPriority w:val="34"/>
    <w:qFormat/>
    <w:pPr>
      <w:ind w:left="720"/>
      <w:contextualSpacing/>
    </w:pPr>
  </w:style>
  <w:style w:type="paragraph" w:customStyle="1" w:styleId="Notes18">
    <w:name w:val="Notes_18"/>
    <w:basedOn w:val="Header18"/>
    <w:link w:val="NotesChar18"/>
    <w:pPr>
      <w:numPr>
        <w:numId w:val="74"/>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Header18">
    <w:name w:val="Header_18"/>
    <w:basedOn w:val="Normal20"/>
    <w:link w:val="HeaderChar18"/>
    <w:pPr>
      <w:tabs>
        <w:tab w:val="center" w:pos="4153"/>
        <w:tab w:val="right" w:pos="8306"/>
      </w:tabs>
    </w:pPr>
  </w:style>
  <w:style w:type="character" w:customStyle="1" w:styleId="HeaderChar18">
    <w:name w:val="Header Char_18"/>
    <w:link w:val="Header18"/>
    <w:rPr>
      <w:sz w:val="24"/>
      <w:szCs w:val="24"/>
      <w:lang w:val="en-GB" w:eastAsia="ar-SA" w:bidi="ar-SA"/>
    </w:rPr>
  </w:style>
  <w:style w:type="character" w:customStyle="1" w:styleId="NotesChar18">
    <w:name w:val="Notes Char_18"/>
    <w:link w:val="Notes18"/>
    <w:rPr>
      <w:rFonts w:ascii="Arial" w:hAnsi="Arial"/>
      <w:b/>
      <w:szCs w:val="24"/>
      <w:lang w:val="en-US" w:eastAsia="ar-SA"/>
    </w:rPr>
  </w:style>
  <w:style w:type="paragraph" w:customStyle="1" w:styleId="Title1118">
    <w:name w:val="Title 1.1_18"/>
    <w:basedOn w:val="Notes18"/>
    <w:pPr>
      <w:numPr>
        <w:ilvl w:val="1"/>
      </w:numPr>
      <w:tabs>
        <w:tab w:val="clear" w:pos="4320"/>
        <w:tab w:val="clear" w:pos="8640"/>
        <w:tab w:val="right" w:pos="-2700"/>
        <w:tab w:val="right" w:pos="720"/>
      </w:tabs>
      <w:spacing w:before="0" w:after="0"/>
    </w:pPr>
    <w:rPr>
      <w:b w:val="0"/>
      <w:szCs w:val="20"/>
      <w:lang w:val="en-GB"/>
    </w:rPr>
  </w:style>
  <w:style w:type="paragraph" w:customStyle="1" w:styleId="Normal21">
    <w:name w:val="Normal_21"/>
    <w:qFormat/>
    <w:pPr>
      <w:suppressAutoHyphens/>
    </w:pPr>
    <w:rPr>
      <w:sz w:val="24"/>
      <w:szCs w:val="24"/>
      <w:lang w:eastAsia="ar-SA"/>
    </w:rPr>
  </w:style>
  <w:style w:type="paragraph" w:customStyle="1" w:styleId="ListParagraph3">
    <w:name w:val="List Paragraph_3"/>
    <w:basedOn w:val="Normal21"/>
    <w:uiPriority w:val="34"/>
    <w:qFormat/>
    <w:pPr>
      <w:ind w:left="720"/>
      <w:contextualSpacing/>
    </w:pPr>
  </w:style>
  <w:style w:type="paragraph" w:customStyle="1" w:styleId="Notes19">
    <w:name w:val="Notes_19"/>
    <w:basedOn w:val="Header19"/>
    <w:link w:val="NotesChar19"/>
    <w:pPr>
      <w:numPr>
        <w:numId w:val="75"/>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Header19">
    <w:name w:val="Header_19"/>
    <w:basedOn w:val="Normal21"/>
    <w:link w:val="HeaderChar19"/>
    <w:pPr>
      <w:tabs>
        <w:tab w:val="center" w:pos="4153"/>
        <w:tab w:val="right" w:pos="8306"/>
      </w:tabs>
    </w:pPr>
  </w:style>
  <w:style w:type="character" w:customStyle="1" w:styleId="HeaderChar19">
    <w:name w:val="Header Char_19"/>
    <w:link w:val="Header19"/>
    <w:rPr>
      <w:sz w:val="24"/>
      <w:szCs w:val="24"/>
      <w:lang w:val="en-GB" w:eastAsia="ar-SA" w:bidi="ar-SA"/>
    </w:rPr>
  </w:style>
  <w:style w:type="character" w:customStyle="1" w:styleId="NotesChar19">
    <w:name w:val="Notes Char_19"/>
    <w:link w:val="Notes19"/>
    <w:rPr>
      <w:rFonts w:ascii="Arial" w:hAnsi="Arial"/>
      <w:b/>
      <w:szCs w:val="24"/>
      <w:lang w:val="en-US" w:eastAsia="ar-SA"/>
    </w:rPr>
  </w:style>
  <w:style w:type="paragraph" w:customStyle="1" w:styleId="Title1119">
    <w:name w:val="Title 1.1_19"/>
    <w:basedOn w:val="Notes19"/>
    <w:pPr>
      <w:numPr>
        <w:ilvl w:val="1"/>
      </w:numPr>
      <w:tabs>
        <w:tab w:val="clear" w:pos="4320"/>
        <w:tab w:val="clear" w:pos="8640"/>
        <w:tab w:val="right" w:pos="-2700"/>
        <w:tab w:val="right" w:pos="720"/>
      </w:tabs>
      <w:spacing w:before="0" w:after="0"/>
    </w:pPr>
    <w:rPr>
      <w:b w:val="0"/>
      <w:szCs w:val="20"/>
      <w:lang w:val="en-GB"/>
    </w:rPr>
  </w:style>
  <w:style w:type="paragraph" w:customStyle="1" w:styleId="Normal170">
    <w:name w:val="Normal_17_0"/>
    <w:qFormat/>
    <w:pPr>
      <w:suppressAutoHyphens/>
    </w:pPr>
    <w:rPr>
      <w:sz w:val="24"/>
      <w:szCs w:val="24"/>
      <w:lang w:eastAsia="ar-SA"/>
    </w:rPr>
  </w:style>
  <w:style w:type="paragraph" w:customStyle="1" w:styleId="Normal22">
    <w:name w:val="Normal_22"/>
    <w:qFormat/>
    <w:pPr>
      <w:suppressAutoHyphens/>
    </w:pPr>
    <w:rPr>
      <w:sz w:val="24"/>
      <w:szCs w:val="24"/>
      <w:lang w:eastAsia="ar-SA"/>
    </w:rPr>
  </w:style>
  <w:style w:type="paragraph" w:customStyle="1" w:styleId="Notes20">
    <w:name w:val="Notes_20"/>
    <w:basedOn w:val="Header20"/>
    <w:link w:val="NotesChar20"/>
    <w:pPr>
      <w:numPr>
        <w:numId w:val="77"/>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20">
    <w:name w:val="Title 1.1_20"/>
    <w:basedOn w:val="Notes20"/>
    <w:pPr>
      <w:numPr>
        <w:ilvl w:val="1"/>
      </w:numPr>
      <w:tabs>
        <w:tab w:val="clear" w:pos="4320"/>
        <w:tab w:val="clear" w:pos="8640"/>
        <w:tab w:val="right" w:pos="-2700"/>
        <w:tab w:val="right" w:pos="720"/>
      </w:tabs>
      <w:spacing w:before="0" w:after="0"/>
    </w:pPr>
    <w:rPr>
      <w:b w:val="0"/>
      <w:szCs w:val="20"/>
      <w:lang w:val="en-GB"/>
    </w:rPr>
  </w:style>
  <w:style w:type="paragraph" w:customStyle="1" w:styleId="Header20">
    <w:name w:val="Header_20"/>
    <w:basedOn w:val="Normal22"/>
    <w:link w:val="HeaderChar20"/>
    <w:pPr>
      <w:tabs>
        <w:tab w:val="center" w:pos="4153"/>
        <w:tab w:val="right" w:pos="8306"/>
      </w:tabs>
    </w:pPr>
  </w:style>
  <w:style w:type="character" w:customStyle="1" w:styleId="HeaderChar20">
    <w:name w:val="Header Char_20"/>
    <w:link w:val="Header20"/>
    <w:rPr>
      <w:sz w:val="24"/>
      <w:szCs w:val="24"/>
      <w:lang w:val="en-GB" w:eastAsia="ar-SA" w:bidi="ar-SA"/>
    </w:rPr>
  </w:style>
  <w:style w:type="character" w:customStyle="1" w:styleId="NotesChar20">
    <w:name w:val="Notes Char_20"/>
    <w:link w:val="Notes20"/>
    <w:rPr>
      <w:rFonts w:ascii="Arial" w:hAnsi="Arial"/>
      <w:b/>
      <w:szCs w:val="24"/>
      <w:lang w:val="en-US" w:eastAsia="ar-SA"/>
    </w:rPr>
  </w:style>
  <w:style w:type="paragraph" w:customStyle="1" w:styleId="Normal180">
    <w:name w:val="Normal_18_0"/>
    <w:qFormat/>
    <w:pPr>
      <w:suppressAutoHyphens/>
    </w:pPr>
    <w:rPr>
      <w:sz w:val="24"/>
      <w:szCs w:val="24"/>
      <w:lang w:eastAsia="ar-SA"/>
    </w:rPr>
  </w:style>
  <w:style w:type="paragraph" w:customStyle="1" w:styleId="Normal1800">
    <w:name w:val="Normal_18_0_0"/>
    <w:qFormat/>
    <w:pPr>
      <w:suppressAutoHyphens/>
    </w:pPr>
    <w:rPr>
      <w:sz w:val="24"/>
      <w:szCs w:val="24"/>
      <w:lang w:eastAsia="ar-SA"/>
    </w:rPr>
  </w:style>
  <w:style w:type="paragraph" w:customStyle="1" w:styleId="Normal23">
    <w:name w:val="Normal_23"/>
    <w:qFormat/>
    <w:pPr>
      <w:suppressAutoHyphens/>
    </w:pPr>
    <w:rPr>
      <w:sz w:val="24"/>
      <w:szCs w:val="24"/>
      <w:lang w:eastAsia="ar-SA"/>
    </w:rPr>
  </w:style>
  <w:style w:type="paragraph" w:customStyle="1" w:styleId="Notes21">
    <w:name w:val="Notes_21"/>
    <w:basedOn w:val="Header21"/>
    <w:link w:val="NotesChar21"/>
    <w:pPr>
      <w:numPr>
        <w:numId w:val="81"/>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21">
    <w:name w:val="Title 1.1_21"/>
    <w:basedOn w:val="Notes21"/>
    <w:pPr>
      <w:numPr>
        <w:ilvl w:val="1"/>
      </w:numPr>
      <w:tabs>
        <w:tab w:val="clear" w:pos="4320"/>
        <w:tab w:val="clear" w:pos="8640"/>
        <w:tab w:val="right" w:pos="-2700"/>
        <w:tab w:val="right" w:pos="720"/>
      </w:tabs>
      <w:spacing w:before="0" w:after="0"/>
    </w:pPr>
    <w:rPr>
      <w:b w:val="0"/>
      <w:szCs w:val="20"/>
      <w:lang w:val="en-GB"/>
    </w:rPr>
  </w:style>
  <w:style w:type="paragraph" w:customStyle="1" w:styleId="Header21">
    <w:name w:val="Header_21"/>
    <w:basedOn w:val="Normal23"/>
    <w:link w:val="HeaderChar21"/>
    <w:pPr>
      <w:tabs>
        <w:tab w:val="center" w:pos="4153"/>
        <w:tab w:val="right" w:pos="8306"/>
      </w:tabs>
    </w:pPr>
  </w:style>
  <w:style w:type="character" w:customStyle="1" w:styleId="HeaderChar21">
    <w:name w:val="Header Char_21"/>
    <w:link w:val="Header21"/>
    <w:rPr>
      <w:sz w:val="24"/>
      <w:szCs w:val="24"/>
      <w:lang w:val="en-GB" w:eastAsia="ar-SA" w:bidi="ar-SA"/>
    </w:rPr>
  </w:style>
  <w:style w:type="character" w:customStyle="1" w:styleId="NotesChar21">
    <w:name w:val="Notes Char_21"/>
    <w:link w:val="Notes21"/>
    <w:rPr>
      <w:rFonts w:ascii="Arial" w:hAnsi="Arial"/>
      <w:b/>
      <w:szCs w:val="24"/>
      <w:lang w:val="en-US" w:eastAsia="ar-SA"/>
    </w:rPr>
  </w:style>
  <w:style w:type="paragraph" w:customStyle="1" w:styleId="Normal181">
    <w:name w:val="Normal_18_1"/>
    <w:qFormat/>
    <w:pPr>
      <w:suppressAutoHyphens/>
    </w:pPr>
    <w:rPr>
      <w:sz w:val="24"/>
      <w:szCs w:val="24"/>
      <w:lang w:eastAsia="ar-SA"/>
    </w:rPr>
  </w:style>
  <w:style w:type="paragraph" w:customStyle="1" w:styleId="Normal24">
    <w:name w:val="Normal_24"/>
    <w:qFormat/>
    <w:pPr>
      <w:suppressAutoHyphens/>
    </w:pPr>
    <w:rPr>
      <w:sz w:val="24"/>
      <w:szCs w:val="24"/>
      <w:lang w:eastAsia="ar-SA"/>
    </w:rPr>
  </w:style>
  <w:style w:type="paragraph" w:customStyle="1" w:styleId="ListParagraph4">
    <w:name w:val="List Paragraph_4"/>
    <w:basedOn w:val="Normal24"/>
    <w:uiPriority w:val="34"/>
    <w:qFormat/>
    <w:pPr>
      <w:ind w:left="720"/>
      <w:contextualSpacing/>
    </w:pPr>
  </w:style>
  <w:style w:type="paragraph" w:customStyle="1" w:styleId="ListParagraph5">
    <w:name w:val="List Paragraph_5"/>
    <w:basedOn w:val="Normal25"/>
    <w:uiPriority w:val="34"/>
    <w:qFormat/>
    <w:pPr>
      <w:ind w:left="720"/>
      <w:contextualSpacing/>
    </w:pPr>
  </w:style>
  <w:style w:type="paragraph" w:customStyle="1" w:styleId="Normal25">
    <w:name w:val="Normal_25"/>
    <w:qFormat/>
    <w:pPr>
      <w:suppressAutoHyphens/>
    </w:pPr>
    <w:rPr>
      <w:sz w:val="24"/>
      <w:szCs w:val="24"/>
      <w:lang w:eastAsia="ar-SA"/>
    </w:rPr>
  </w:style>
  <w:style w:type="paragraph" w:customStyle="1" w:styleId="Notes22">
    <w:name w:val="Notes_22"/>
    <w:basedOn w:val="Header24"/>
    <w:link w:val="NotesChar22"/>
    <w:pPr>
      <w:numPr>
        <w:numId w:val="85"/>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22">
    <w:name w:val="Title 1.1_22"/>
    <w:basedOn w:val="Notes22"/>
    <w:pPr>
      <w:numPr>
        <w:ilvl w:val="1"/>
      </w:numPr>
      <w:tabs>
        <w:tab w:val="clear" w:pos="4320"/>
        <w:tab w:val="clear" w:pos="8640"/>
        <w:tab w:val="right" w:pos="-2700"/>
        <w:tab w:val="right" w:pos="720"/>
      </w:tabs>
      <w:spacing w:before="0" w:after="0"/>
    </w:pPr>
    <w:rPr>
      <w:b w:val="0"/>
      <w:szCs w:val="20"/>
      <w:lang w:val="en-GB"/>
    </w:rPr>
  </w:style>
  <w:style w:type="paragraph" w:customStyle="1" w:styleId="Header24">
    <w:name w:val="Header_24"/>
    <w:basedOn w:val="Normal26"/>
    <w:link w:val="HeaderChar24"/>
    <w:pPr>
      <w:tabs>
        <w:tab w:val="center" w:pos="4153"/>
        <w:tab w:val="right" w:pos="8306"/>
      </w:tabs>
    </w:pPr>
  </w:style>
  <w:style w:type="paragraph" w:customStyle="1" w:styleId="Normal26">
    <w:name w:val="Normal_26"/>
    <w:qFormat/>
    <w:pPr>
      <w:suppressAutoHyphens/>
    </w:pPr>
    <w:rPr>
      <w:sz w:val="24"/>
      <w:szCs w:val="24"/>
      <w:lang w:eastAsia="ar-SA"/>
    </w:rPr>
  </w:style>
  <w:style w:type="character" w:customStyle="1" w:styleId="HeaderChar24">
    <w:name w:val="Header Char_24"/>
    <w:link w:val="Header24"/>
    <w:rPr>
      <w:sz w:val="24"/>
      <w:szCs w:val="24"/>
      <w:lang w:val="en-GB" w:eastAsia="ar-SA" w:bidi="ar-SA"/>
    </w:rPr>
  </w:style>
  <w:style w:type="character" w:customStyle="1" w:styleId="NotesChar22">
    <w:name w:val="Notes Char_22"/>
    <w:link w:val="Notes22"/>
    <w:rPr>
      <w:rFonts w:ascii="Arial" w:hAnsi="Arial"/>
      <w:b/>
      <w:szCs w:val="24"/>
      <w:lang w:val="en-US" w:eastAsia="ar-SA"/>
    </w:rPr>
  </w:style>
  <w:style w:type="paragraph" w:customStyle="1" w:styleId="Header25">
    <w:name w:val="Header_25"/>
    <w:basedOn w:val="Normal27"/>
    <w:link w:val="HeaderChar25"/>
    <w:pPr>
      <w:tabs>
        <w:tab w:val="center" w:pos="4153"/>
        <w:tab w:val="right" w:pos="8306"/>
      </w:tabs>
    </w:pPr>
  </w:style>
  <w:style w:type="paragraph" w:customStyle="1" w:styleId="Normal27">
    <w:name w:val="Normal_27"/>
    <w:qFormat/>
    <w:pPr>
      <w:suppressAutoHyphens/>
    </w:pPr>
    <w:rPr>
      <w:sz w:val="24"/>
      <w:szCs w:val="24"/>
      <w:lang w:eastAsia="ar-SA"/>
    </w:rPr>
  </w:style>
  <w:style w:type="character" w:customStyle="1" w:styleId="HeaderChar25">
    <w:name w:val="Header Char_25"/>
    <w:link w:val="Header25"/>
    <w:rPr>
      <w:sz w:val="24"/>
      <w:szCs w:val="24"/>
      <w:lang w:val="en-GB" w:eastAsia="ar-SA" w:bidi="ar-SA"/>
    </w:rPr>
  </w:style>
  <w:style w:type="paragraph" w:customStyle="1" w:styleId="Notes23">
    <w:name w:val="Notes_23"/>
    <w:basedOn w:val="Header25"/>
    <w:link w:val="NotesChar23"/>
    <w:pPr>
      <w:numPr>
        <w:numId w:val="87"/>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23">
    <w:name w:val="Title 1.1_23"/>
    <w:basedOn w:val="Notes23"/>
    <w:pPr>
      <w:numPr>
        <w:ilvl w:val="1"/>
      </w:numPr>
      <w:tabs>
        <w:tab w:val="clear" w:pos="4320"/>
        <w:tab w:val="clear" w:pos="8640"/>
        <w:tab w:val="right" w:pos="-2700"/>
        <w:tab w:val="right" w:pos="720"/>
      </w:tabs>
      <w:spacing w:before="0" w:after="0"/>
    </w:pPr>
    <w:rPr>
      <w:b w:val="0"/>
      <w:szCs w:val="20"/>
      <w:lang w:val="en-GB"/>
    </w:rPr>
  </w:style>
  <w:style w:type="character" w:customStyle="1" w:styleId="NotesChar23">
    <w:name w:val="Notes Char_23"/>
    <w:link w:val="Notes23"/>
    <w:rPr>
      <w:rFonts w:ascii="Arial" w:hAnsi="Arial"/>
      <w:b/>
      <w:szCs w:val="24"/>
      <w:lang w:val="en-US" w:eastAsia="ar-SA"/>
    </w:rPr>
  </w:style>
  <w:style w:type="paragraph" w:customStyle="1" w:styleId="Notes24">
    <w:name w:val="Notes_24"/>
    <w:basedOn w:val="Header26"/>
    <w:link w:val="NotesChar24"/>
    <w:pPr>
      <w:numPr>
        <w:numId w:val="88"/>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24">
    <w:name w:val="Title 1.1_24"/>
    <w:basedOn w:val="Notes24"/>
    <w:pPr>
      <w:numPr>
        <w:ilvl w:val="1"/>
      </w:numPr>
      <w:tabs>
        <w:tab w:val="clear" w:pos="4320"/>
        <w:tab w:val="clear" w:pos="8640"/>
        <w:tab w:val="right" w:pos="-2700"/>
        <w:tab w:val="right" w:pos="720"/>
      </w:tabs>
      <w:spacing w:before="0" w:after="0"/>
    </w:pPr>
    <w:rPr>
      <w:b w:val="0"/>
      <w:szCs w:val="20"/>
      <w:lang w:val="en-GB"/>
    </w:rPr>
  </w:style>
  <w:style w:type="paragraph" w:customStyle="1" w:styleId="Header26">
    <w:name w:val="Header_26"/>
    <w:basedOn w:val="Normal28"/>
    <w:link w:val="HeaderChar26"/>
    <w:pPr>
      <w:tabs>
        <w:tab w:val="center" w:pos="4153"/>
        <w:tab w:val="right" w:pos="8306"/>
      </w:tabs>
    </w:pPr>
  </w:style>
  <w:style w:type="paragraph" w:customStyle="1" w:styleId="Normal28">
    <w:name w:val="Normal_28"/>
    <w:qFormat/>
    <w:pPr>
      <w:suppressAutoHyphens/>
    </w:pPr>
    <w:rPr>
      <w:sz w:val="24"/>
      <w:szCs w:val="24"/>
      <w:lang w:eastAsia="ar-SA"/>
    </w:rPr>
  </w:style>
  <w:style w:type="character" w:customStyle="1" w:styleId="HeaderChar26">
    <w:name w:val="Header Char_26"/>
    <w:link w:val="Header26"/>
    <w:rPr>
      <w:sz w:val="24"/>
      <w:szCs w:val="24"/>
      <w:lang w:val="en-GB" w:eastAsia="ar-SA" w:bidi="ar-SA"/>
    </w:rPr>
  </w:style>
  <w:style w:type="character" w:customStyle="1" w:styleId="NotesChar24">
    <w:name w:val="Notes Char_24"/>
    <w:link w:val="Notes24"/>
    <w:rPr>
      <w:rFonts w:ascii="Arial" w:hAnsi="Arial"/>
      <w:b/>
      <w:szCs w:val="24"/>
      <w:lang w:val="en-US" w:eastAsia="ar-SA"/>
    </w:rPr>
  </w:style>
  <w:style w:type="paragraph" w:customStyle="1" w:styleId="Header27">
    <w:name w:val="Header_27"/>
    <w:basedOn w:val="Normal29"/>
    <w:link w:val="HeaderChar27"/>
    <w:pPr>
      <w:tabs>
        <w:tab w:val="center" w:pos="4153"/>
        <w:tab w:val="right" w:pos="8306"/>
      </w:tabs>
    </w:pPr>
  </w:style>
  <w:style w:type="paragraph" w:customStyle="1" w:styleId="Normal29">
    <w:name w:val="Normal_29"/>
    <w:qFormat/>
    <w:pPr>
      <w:suppressAutoHyphens/>
    </w:pPr>
    <w:rPr>
      <w:sz w:val="24"/>
      <w:szCs w:val="24"/>
      <w:lang w:eastAsia="ar-SA"/>
    </w:rPr>
  </w:style>
  <w:style w:type="character" w:customStyle="1" w:styleId="HeaderChar27">
    <w:name w:val="Header Char_27"/>
    <w:link w:val="Header27"/>
    <w:rPr>
      <w:sz w:val="24"/>
      <w:szCs w:val="24"/>
      <w:lang w:val="en-GB" w:eastAsia="ar-SA" w:bidi="ar-SA"/>
    </w:rPr>
  </w:style>
  <w:style w:type="paragraph" w:customStyle="1" w:styleId="Title1125">
    <w:name w:val="Title 1.1_25"/>
    <w:basedOn w:val="Notes25"/>
    <w:pPr>
      <w:numPr>
        <w:ilvl w:val="1"/>
      </w:numPr>
      <w:tabs>
        <w:tab w:val="clear" w:pos="4320"/>
        <w:tab w:val="clear" w:pos="8640"/>
        <w:tab w:val="right" w:pos="-2700"/>
        <w:tab w:val="right" w:pos="720"/>
      </w:tabs>
      <w:spacing w:before="0" w:after="0"/>
    </w:pPr>
    <w:rPr>
      <w:b w:val="0"/>
      <w:szCs w:val="20"/>
      <w:lang w:val="en-GB"/>
    </w:rPr>
  </w:style>
  <w:style w:type="paragraph" w:customStyle="1" w:styleId="Notes25">
    <w:name w:val="Notes_25"/>
    <w:basedOn w:val="Header27"/>
    <w:link w:val="NotesChar25"/>
    <w:pPr>
      <w:numPr>
        <w:numId w:val="89"/>
      </w:numPr>
      <w:tabs>
        <w:tab w:val="clear" w:pos="4153"/>
        <w:tab w:val="clear" w:pos="8306"/>
        <w:tab w:val="center" w:pos="4320"/>
        <w:tab w:val="right" w:pos="8640"/>
      </w:tabs>
      <w:spacing w:before="120" w:after="120"/>
      <w:jc w:val="both"/>
    </w:pPr>
    <w:rPr>
      <w:rFonts w:ascii="Arial" w:hAnsi="Arial"/>
      <w:b/>
      <w:sz w:val="20"/>
      <w:lang w:val="en-US"/>
    </w:rPr>
  </w:style>
  <w:style w:type="character" w:customStyle="1" w:styleId="NotesChar25">
    <w:name w:val="Notes Char_25"/>
    <w:link w:val="Notes25"/>
    <w:rPr>
      <w:rFonts w:ascii="Arial" w:hAnsi="Arial"/>
      <w:b/>
      <w:szCs w:val="24"/>
      <w:lang w:val="en-US" w:eastAsia="ar-SA"/>
    </w:rPr>
  </w:style>
  <w:style w:type="paragraph" w:customStyle="1" w:styleId="ListParagraph6">
    <w:name w:val="List Paragraph_6"/>
    <w:basedOn w:val="Normal29"/>
    <w:uiPriority w:val="34"/>
    <w:qFormat/>
    <w:pPr>
      <w:ind w:left="720"/>
      <w:contextualSpacing/>
    </w:pPr>
  </w:style>
  <w:style w:type="paragraph" w:customStyle="1" w:styleId="Title1126">
    <w:name w:val="Title 1.1_26"/>
    <w:basedOn w:val="Notes26"/>
    <w:pPr>
      <w:numPr>
        <w:ilvl w:val="1"/>
      </w:numPr>
      <w:tabs>
        <w:tab w:val="clear" w:pos="4320"/>
        <w:tab w:val="clear" w:pos="8640"/>
        <w:tab w:val="right" w:pos="-2700"/>
        <w:tab w:val="right" w:pos="720"/>
      </w:tabs>
      <w:spacing w:before="0" w:after="0"/>
    </w:pPr>
    <w:rPr>
      <w:b w:val="0"/>
      <w:szCs w:val="20"/>
      <w:lang w:val="en-GB"/>
    </w:rPr>
  </w:style>
  <w:style w:type="paragraph" w:customStyle="1" w:styleId="Notes26">
    <w:name w:val="Notes_26"/>
    <w:basedOn w:val="Header28"/>
    <w:link w:val="NotesChar26"/>
    <w:pPr>
      <w:numPr>
        <w:numId w:val="91"/>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Header28">
    <w:name w:val="Header_28"/>
    <w:basedOn w:val="Normal30"/>
    <w:link w:val="HeaderChar28"/>
    <w:pPr>
      <w:tabs>
        <w:tab w:val="center" w:pos="4153"/>
        <w:tab w:val="right" w:pos="8306"/>
      </w:tabs>
    </w:pPr>
  </w:style>
  <w:style w:type="paragraph" w:customStyle="1" w:styleId="Normal30">
    <w:name w:val="Normal_30"/>
    <w:qFormat/>
    <w:pPr>
      <w:suppressAutoHyphens/>
    </w:pPr>
    <w:rPr>
      <w:sz w:val="24"/>
      <w:szCs w:val="24"/>
      <w:lang w:eastAsia="ar-SA"/>
    </w:rPr>
  </w:style>
  <w:style w:type="character" w:customStyle="1" w:styleId="HeaderChar28">
    <w:name w:val="Header Char_28"/>
    <w:link w:val="Header28"/>
    <w:rPr>
      <w:sz w:val="24"/>
      <w:szCs w:val="24"/>
      <w:lang w:val="en-GB" w:eastAsia="ar-SA" w:bidi="ar-SA"/>
    </w:rPr>
  </w:style>
  <w:style w:type="character" w:customStyle="1" w:styleId="NotesChar26">
    <w:name w:val="Notes Char_26"/>
    <w:link w:val="Notes26"/>
    <w:rPr>
      <w:rFonts w:ascii="Arial" w:hAnsi="Arial"/>
      <w:b/>
      <w:szCs w:val="24"/>
      <w:lang w:val="en-US" w:eastAsia="ar-SA"/>
    </w:rPr>
  </w:style>
  <w:style w:type="paragraph" w:customStyle="1" w:styleId="Notes">
    <w:name w:val="Notes"/>
    <w:basedOn w:val="Header"/>
    <w:link w:val="NotesChar"/>
    <w:pPr>
      <w:numPr>
        <w:numId w:val="92"/>
      </w:numPr>
      <w:tabs>
        <w:tab w:val="center" w:pos="4320"/>
        <w:tab w:val="right" w:pos="8640"/>
      </w:tabs>
      <w:spacing w:before="120" w:after="120"/>
      <w:jc w:val="both"/>
    </w:pPr>
    <w:rPr>
      <w:rFonts w:ascii="Arial" w:hAnsi="Arial"/>
      <w:b/>
      <w:sz w:val="20"/>
      <w:lang w:val="en-US"/>
    </w:rPr>
  </w:style>
  <w:style w:type="paragraph" w:customStyle="1" w:styleId="Title11">
    <w:name w:val="Title 1.1"/>
    <w:basedOn w:val="Notes"/>
    <w:pPr>
      <w:numPr>
        <w:ilvl w:val="1"/>
      </w:numPr>
      <w:tabs>
        <w:tab w:val="clear" w:pos="4320"/>
        <w:tab w:val="clear" w:pos="8640"/>
        <w:tab w:val="right" w:pos="-2700"/>
        <w:tab w:val="right" w:pos="720"/>
      </w:tabs>
      <w:spacing w:before="0" w:after="0"/>
    </w:pPr>
    <w:rPr>
      <w:b w:val="0"/>
      <w:szCs w:val="20"/>
      <w:lang w:val="en-GB"/>
    </w:rPr>
  </w:style>
  <w:style w:type="character" w:customStyle="1" w:styleId="NotesChar">
    <w:name w:val="Notes Char"/>
    <w:link w:val="Notes"/>
    <w:rPr>
      <w:rFonts w:ascii="Arial" w:hAnsi="Arial"/>
      <w:b/>
      <w:szCs w:val="24"/>
      <w:lang w:val="en-US"/>
    </w:rPr>
  </w:style>
  <w:style w:type="paragraph" w:customStyle="1" w:styleId="Title1">
    <w:name w:val="Title 1"/>
    <w:basedOn w:val="Notes"/>
    <w:pPr>
      <w:spacing w:before="0" w:after="0"/>
    </w:pPr>
  </w:style>
  <w:style w:type="paragraph" w:customStyle="1" w:styleId="Notes27">
    <w:name w:val="Notes_27"/>
    <w:basedOn w:val="Header29"/>
    <w:link w:val="NotesChar27"/>
    <w:pPr>
      <w:numPr>
        <w:numId w:val="93"/>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27">
    <w:name w:val="Title 1.1_27"/>
    <w:basedOn w:val="Notes27"/>
    <w:pPr>
      <w:numPr>
        <w:ilvl w:val="1"/>
      </w:numPr>
      <w:tabs>
        <w:tab w:val="clear" w:pos="4320"/>
        <w:tab w:val="clear" w:pos="8640"/>
        <w:tab w:val="right" w:pos="-2700"/>
        <w:tab w:val="right" w:pos="720"/>
      </w:tabs>
      <w:spacing w:before="0" w:after="0"/>
    </w:pPr>
    <w:rPr>
      <w:b w:val="0"/>
      <w:szCs w:val="20"/>
      <w:lang w:val="en-GB"/>
    </w:rPr>
  </w:style>
  <w:style w:type="paragraph" w:customStyle="1" w:styleId="Header29">
    <w:name w:val="Header_29"/>
    <w:basedOn w:val="Normal31"/>
    <w:link w:val="HeaderChar29"/>
    <w:pPr>
      <w:tabs>
        <w:tab w:val="center" w:pos="4153"/>
        <w:tab w:val="right" w:pos="8306"/>
      </w:tabs>
    </w:pPr>
  </w:style>
  <w:style w:type="paragraph" w:customStyle="1" w:styleId="Normal31">
    <w:name w:val="Normal_31"/>
    <w:qFormat/>
    <w:pPr>
      <w:suppressAutoHyphens/>
    </w:pPr>
    <w:rPr>
      <w:sz w:val="24"/>
      <w:szCs w:val="24"/>
      <w:lang w:eastAsia="ar-SA"/>
    </w:rPr>
  </w:style>
  <w:style w:type="character" w:customStyle="1" w:styleId="HeaderChar29">
    <w:name w:val="Header Char_29"/>
    <w:link w:val="Header29"/>
    <w:rPr>
      <w:sz w:val="24"/>
      <w:szCs w:val="24"/>
      <w:lang w:val="en-GB" w:eastAsia="ar-SA" w:bidi="ar-SA"/>
    </w:rPr>
  </w:style>
  <w:style w:type="character" w:customStyle="1" w:styleId="NotesChar27">
    <w:name w:val="Notes Char_27"/>
    <w:link w:val="Notes27"/>
    <w:rPr>
      <w:rFonts w:ascii="Arial" w:hAnsi="Arial"/>
      <w:b/>
      <w:szCs w:val="24"/>
      <w:lang w:val="en-US" w:eastAsia="ar-SA"/>
    </w:rPr>
  </w:style>
  <w:style w:type="paragraph" w:customStyle="1" w:styleId="ListParagraph7">
    <w:name w:val="List Paragraph_7"/>
    <w:basedOn w:val="Normal31"/>
    <w:uiPriority w:val="34"/>
    <w:qFormat/>
    <w:pPr>
      <w:ind w:left="720"/>
      <w:contextualSpacing/>
    </w:pPr>
  </w:style>
  <w:style w:type="paragraph" w:customStyle="1" w:styleId="Notes28">
    <w:name w:val="Notes_28"/>
    <w:basedOn w:val="Header30"/>
    <w:link w:val="NotesChar28"/>
    <w:pPr>
      <w:numPr>
        <w:numId w:val="95"/>
      </w:numPr>
      <w:tabs>
        <w:tab w:val="clear" w:pos="4680"/>
        <w:tab w:val="clear" w:pos="9360"/>
        <w:tab w:val="center" w:pos="4320"/>
        <w:tab w:val="right" w:pos="8640"/>
      </w:tabs>
      <w:suppressAutoHyphens/>
      <w:spacing w:before="120" w:after="120"/>
      <w:jc w:val="both"/>
    </w:pPr>
    <w:rPr>
      <w:rFonts w:ascii="Arial" w:hAnsi="Arial"/>
      <w:b/>
      <w:szCs w:val="24"/>
      <w:lang w:eastAsia="ar-SA"/>
    </w:rPr>
  </w:style>
  <w:style w:type="paragraph" w:customStyle="1" w:styleId="Title1128">
    <w:name w:val="Title 1.1_28"/>
    <w:basedOn w:val="Notes28"/>
    <w:pPr>
      <w:numPr>
        <w:ilvl w:val="1"/>
      </w:numPr>
      <w:tabs>
        <w:tab w:val="clear" w:pos="431"/>
        <w:tab w:val="clear" w:pos="4320"/>
        <w:tab w:val="clear" w:pos="8640"/>
        <w:tab w:val="right" w:pos="-2700"/>
        <w:tab w:val="num" w:pos="360"/>
        <w:tab w:val="right" w:pos="720"/>
      </w:tabs>
      <w:spacing w:before="0" w:after="0"/>
    </w:pPr>
    <w:rPr>
      <w:b w:val="0"/>
      <w:szCs w:val="20"/>
      <w:lang w:val="en-GB"/>
    </w:rPr>
  </w:style>
  <w:style w:type="paragraph" w:customStyle="1" w:styleId="Header30">
    <w:name w:val="Header_30"/>
    <w:basedOn w:val="Normal32"/>
    <w:link w:val="HeaderChar30"/>
    <w:uiPriority w:val="99"/>
    <w:semiHidden/>
    <w:unhideWhenUsed/>
    <w:pPr>
      <w:tabs>
        <w:tab w:val="center" w:pos="4680"/>
        <w:tab w:val="right" w:pos="9360"/>
      </w:tabs>
    </w:pPr>
  </w:style>
  <w:style w:type="paragraph" w:customStyle="1" w:styleId="Normal32">
    <w:name w:val="Normal_32"/>
    <w:qFormat/>
    <w:rPr>
      <w:rFonts w:eastAsia="Calibri" w:cs="Arial"/>
      <w:lang w:val="en-US" w:eastAsia="en-US"/>
    </w:rPr>
  </w:style>
  <w:style w:type="character" w:customStyle="1" w:styleId="HeaderChar30">
    <w:name w:val="Header Char_30"/>
    <w:basedOn w:val="DefaultParagraphFont"/>
    <w:link w:val="Header30"/>
    <w:uiPriority w:val="99"/>
    <w:semiHidden/>
  </w:style>
  <w:style w:type="character" w:customStyle="1" w:styleId="NotesChar28">
    <w:name w:val="Notes Char_28"/>
    <w:link w:val="Notes28"/>
    <w:locked/>
    <w:rPr>
      <w:rFonts w:ascii="Arial" w:eastAsia="Calibri" w:hAnsi="Arial" w:cs="Arial"/>
      <w:b/>
      <w:szCs w:val="24"/>
      <w:lang w:val="en-US" w:eastAsia="ar-SA"/>
    </w:rPr>
  </w:style>
  <w:style w:type="table" w:styleId="TableGrid">
    <w:name w:val="Table Grid"/>
    <w:basedOn w:val="TableNormal"/>
    <w:uiPriority w:val="59"/>
    <w:rPr>
      <w:rFonts w:eastAsia="Calibri"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color w:val="016794"/>
    </w:rPr>
  </w:style>
  <w:style w:type="character" w:customStyle="1" w:styleId="CoverPageChar">
    <w:name w:val="CoverPage Char"/>
    <w:basedOn w:val="DefaultParagraphFont"/>
    <w:link w:val="CoverPage"/>
    <w:rPr>
      <w:rFonts w:ascii="Verdana" w:hAnsi="Verdana"/>
      <w:color w:val="016794"/>
      <w:sz w:val="52"/>
      <w:szCs w:val="52"/>
    </w:rPr>
  </w:style>
  <w:style w:type="character" w:customStyle="1" w:styleId="FooterCoverPageChar">
    <w:name w:val="Footer Cover Page Char"/>
    <w:basedOn w:val="CoverPageChar"/>
    <w:link w:val="FooterCoverPage"/>
    <w:rPr>
      <w:rFonts w:ascii="Times New Roman" w:hAnsi="Times New Roman"/>
      <w:color w:val="016794"/>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color w:val="016794"/>
    </w:rPr>
  </w:style>
  <w:style w:type="character" w:customStyle="1" w:styleId="HeaderCoverPageChar">
    <w:name w:val="Header Cover Page Char"/>
    <w:basedOn w:val="CoverPageChar"/>
    <w:link w:val="HeaderCoverPage"/>
    <w:rPr>
      <w:rFonts w:ascii="Times New Roman" w:hAnsi="Times New Roman"/>
      <w:color w:val="01679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qFormat/>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Page"/>
    <w:basedOn w:val="Normal"/>
    <w:link w:val="CoverPageChar"/>
    <w:qFormat/>
    <w:pPr>
      <w:spacing w:before="240" w:after="720" w:line="360" w:lineRule="auto"/>
      <w:ind w:left="2268"/>
    </w:pPr>
    <w:rPr>
      <w:rFonts w:ascii="Verdana" w:hAnsi="Verdana"/>
      <w:color w:val="016794"/>
      <w:sz w:val="52"/>
      <w:szCs w:val="52"/>
    </w:rPr>
  </w:style>
  <w:style w:type="paragraph" w:customStyle="1" w:styleId="FIRSTCHAPTERPAGE">
    <w:name w:val="FIRST_CHAPTER_PAGE"/>
    <w:basedOn w:val="Normal"/>
    <w:qFormat/>
    <w:pPr>
      <w:spacing w:before="240" w:after="720"/>
    </w:pPr>
    <w:rPr>
      <w:rFonts w:ascii="Verdana" w:hAnsi="Verdana"/>
      <w:b/>
      <w:color w:val="016794"/>
      <w:sz w:val="40"/>
      <w:szCs w:val="4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en-GB"/>
    </w:rPr>
  </w:style>
  <w:style w:type="paragraph" w:customStyle="1" w:styleId="FinancialYear">
    <w:name w:val="Financial_Year"/>
    <w:basedOn w:val="Normal"/>
    <w:qFormat/>
    <w:pPr>
      <w:jc w:val="right"/>
    </w:pPr>
    <w:rPr>
      <w:rFonts w:ascii="Verdana" w:hAnsi="Verdana"/>
      <w:color w:val="016794"/>
      <w:sz w:val="22"/>
      <w:szCs w:val="22"/>
    </w:rPr>
  </w:style>
  <w:style w:type="paragraph" w:customStyle="1" w:styleId="TOPHEADERNOTE">
    <w:name w:val="TOPHEADER_NOTE"/>
    <w:basedOn w:val="Normal"/>
    <w:qFormat/>
    <w:rPr>
      <w:rFonts w:ascii="Verdana" w:hAnsi="Verdana"/>
      <w:i/>
      <w:color w:val="016794"/>
      <w:sz w:val="18"/>
    </w:rPr>
  </w:style>
  <w:style w:type="paragraph" w:customStyle="1" w:styleId="HEADERTABLE">
    <w:name w:val="HEADER_TABLE"/>
    <w:basedOn w:val="Normal"/>
    <w:qFormat/>
    <w:pPr>
      <w:spacing w:after="240"/>
    </w:pPr>
    <w:rPr>
      <w:rFonts w:ascii="Verdana" w:hAnsi="Verdana"/>
      <w:b/>
      <w:color w:val="016794"/>
      <w:sz w:val="28"/>
      <w:szCs w:val="28"/>
    </w:rPr>
  </w:style>
  <w:style w:type="paragraph" w:customStyle="1" w:styleId="Textstand-alonenumberingLetters">
    <w:name w:val="Text_stand-alone_(numbering Letters)"/>
    <w:basedOn w:val="Normal"/>
    <w:qFormat/>
    <w:pPr>
      <w:numPr>
        <w:numId w:val="2"/>
      </w:numPr>
      <w:spacing w:after="240"/>
      <w:ind w:hanging="720"/>
    </w:pPr>
    <w:rPr>
      <w:rFonts w:ascii="Verdana" w:hAnsi="Verdana"/>
      <w:sz w:val="18"/>
      <w:szCs w:val="18"/>
    </w:rPr>
  </w:style>
  <w:style w:type="paragraph" w:customStyle="1" w:styleId="SignatureRightItalic">
    <w:name w:val="Signature_Right + Italic"/>
    <w:basedOn w:val="Normal"/>
    <w:qFormat/>
    <w:pPr>
      <w:spacing w:before="240"/>
      <w:ind w:left="4394" w:right="1128"/>
      <w:jc w:val="center"/>
    </w:pPr>
    <w:rPr>
      <w:rFonts w:ascii="Verdana" w:hAnsi="Verdana"/>
      <w:i/>
      <w:sz w:val="18"/>
      <w:szCs w:val="18"/>
    </w:rPr>
  </w:style>
  <w:style w:type="paragraph" w:customStyle="1" w:styleId="HEADER3Part1">
    <w:name w:val="HEADER 3_Part 1"/>
    <w:basedOn w:val="Normal"/>
    <w:qFormat/>
    <w:pPr>
      <w:numPr>
        <w:ilvl w:val="2"/>
        <w:numId w:val="4"/>
      </w:numPr>
      <w:tabs>
        <w:tab w:val="left" w:pos="907"/>
      </w:tabs>
      <w:spacing w:before="360" w:after="360"/>
    </w:pPr>
    <w:rPr>
      <w:rFonts w:ascii="Verdana" w:hAnsi="Verdana"/>
      <w:color w:val="016794"/>
      <w:sz w:val="20"/>
      <w:szCs w:val="20"/>
    </w:rPr>
  </w:style>
  <w:style w:type="paragraph" w:customStyle="1" w:styleId="HEADER4Part1">
    <w:name w:val="HEADER 4_Part 1"/>
    <w:basedOn w:val="HEADER3Part1"/>
    <w:qFormat/>
    <w:pPr>
      <w:numPr>
        <w:ilvl w:val="3"/>
      </w:numPr>
    </w:pPr>
    <w:rPr>
      <w:sz w:val="18"/>
      <w:szCs w:val="18"/>
    </w:rPr>
  </w:style>
  <w:style w:type="paragraph" w:customStyle="1" w:styleId="HEADER2Part1">
    <w:name w:val="HEADER 2 _Part 1"/>
    <w:basedOn w:val="Normal"/>
    <w:qFormat/>
    <w:pPr>
      <w:numPr>
        <w:ilvl w:val="1"/>
        <w:numId w:val="4"/>
      </w:numPr>
      <w:tabs>
        <w:tab w:val="left" w:pos="907"/>
      </w:tabs>
      <w:spacing w:before="360" w:after="360"/>
    </w:pPr>
    <w:rPr>
      <w:rFonts w:ascii="Verdana" w:hAnsi="Verdana"/>
      <w:b/>
      <w:color w:val="016794"/>
      <w:sz w:val="28"/>
    </w:rPr>
  </w:style>
  <w:style w:type="paragraph" w:customStyle="1" w:styleId="Textstand-alonenumberingRCIndentJustified">
    <w:name w:val="Text_stand-alone_numbering RC Indent + Justified"/>
    <w:basedOn w:val="Normal"/>
    <w:qFormat/>
    <w:pPr>
      <w:numPr>
        <w:numId w:val="11"/>
      </w:numPr>
      <w:ind w:left="992" w:hanging="635"/>
    </w:pPr>
    <w:rPr>
      <w:rFonts w:ascii="Verdana" w:hAnsi="Verdana"/>
      <w:sz w:val="18"/>
      <w:szCs w:val="18"/>
    </w:rPr>
  </w:style>
  <w:style w:type="paragraph" w:customStyle="1" w:styleId="HEADER1Part2">
    <w:name w:val="HEADER 1_Part 2"/>
    <w:basedOn w:val="Normal"/>
    <w:qFormat/>
    <w:pPr>
      <w:numPr>
        <w:numId w:val="10"/>
      </w:numPr>
      <w:tabs>
        <w:tab w:val="left" w:pos="907"/>
      </w:tabs>
      <w:spacing w:after="240"/>
      <w:jc w:val="both"/>
    </w:pPr>
    <w:rPr>
      <w:rFonts w:ascii="Verdana" w:hAnsi="Verdana"/>
      <w:b/>
      <w:color w:val="016794"/>
      <w:sz w:val="32"/>
      <w:szCs w:val="32"/>
    </w:rPr>
  </w:style>
  <w:style w:type="paragraph" w:customStyle="1" w:styleId="HEADER2Part2">
    <w:name w:val="HEADER 2_Part 2"/>
    <w:basedOn w:val="Normal"/>
    <w:qFormat/>
    <w:pPr>
      <w:numPr>
        <w:ilvl w:val="1"/>
        <w:numId w:val="10"/>
      </w:numPr>
      <w:tabs>
        <w:tab w:val="left" w:pos="907"/>
      </w:tabs>
      <w:spacing w:before="360" w:after="360"/>
    </w:pPr>
    <w:rPr>
      <w:rFonts w:ascii="Verdana" w:hAnsi="Verdana"/>
      <w:b/>
      <w:color w:val="016794"/>
      <w:sz w:val="28"/>
      <w:szCs w:val="28"/>
    </w:rPr>
  </w:style>
  <w:style w:type="paragraph" w:customStyle="1" w:styleId="HEADER3Part2">
    <w:name w:val="HEADER 3_Part 2"/>
    <w:basedOn w:val="HEADER3Part1"/>
    <w:qFormat/>
    <w:pPr>
      <w:numPr>
        <w:numId w:val="10"/>
      </w:numPr>
    </w:pPr>
  </w:style>
  <w:style w:type="paragraph" w:customStyle="1" w:styleId="HEADER4Part2">
    <w:name w:val="HEADER 4_Part 2"/>
    <w:basedOn w:val="HEADER4Part1"/>
    <w:qFormat/>
    <w:pPr>
      <w:numPr>
        <w:numId w:val="10"/>
      </w:numPr>
    </w:pPr>
  </w:style>
  <w:style w:type="paragraph" w:customStyle="1" w:styleId="HEADER5">
    <w:name w:val="HEADER 5"/>
    <w:basedOn w:val="Normal"/>
    <w:qFormat/>
    <w:rPr>
      <w:rFonts w:ascii="Verdana" w:hAnsi="Verdana"/>
      <w:b/>
      <w:color w:val="016794"/>
      <w:sz w:val="18"/>
      <w:szCs w:val="18"/>
    </w:rPr>
  </w:style>
  <w:style w:type="paragraph" w:customStyle="1" w:styleId="TOCTitle">
    <w:name w:val="TOC_Title"/>
    <w:basedOn w:val="Normal"/>
    <w:qFormat/>
    <w:pPr>
      <w:spacing w:before="360" w:after="120"/>
    </w:pPr>
    <w:rPr>
      <w:rFonts w:ascii="Verdana" w:hAnsi="Verdana"/>
      <w:b/>
      <w:color w:val="016794"/>
      <w:sz w:val="40"/>
      <w:szCs w:val="40"/>
    </w:rPr>
  </w:style>
  <w:style w:type="paragraph" w:customStyle="1" w:styleId="HEADER1Part3">
    <w:name w:val="HEADER 1_Part 3"/>
    <w:basedOn w:val="Normal"/>
    <w:qFormat/>
    <w:pPr>
      <w:numPr>
        <w:numId w:val="5"/>
      </w:numPr>
      <w:tabs>
        <w:tab w:val="left" w:pos="907"/>
      </w:tabs>
      <w:spacing w:after="240"/>
    </w:pPr>
    <w:rPr>
      <w:rFonts w:ascii="Verdana" w:hAnsi="Verdana"/>
      <w:b/>
      <w:color w:val="016794"/>
      <w:sz w:val="32"/>
      <w:szCs w:val="32"/>
    </w:rPr>
  </w:style>
  <w:style w:type="paragraph" w:customStyle="1" w:styleId="HEADER2Part3">
    <w:name w:val="HEADER 2_Part 3"/>
    <w:basedOn w:val="Normal"/>
    <w:qFormat/>
    <w:pPr>
      <w:numPr>
        <w:ilvl w:val="1"/>
        <w:numId w:val="5"/>
      </w:numPr>
      <w:tabs>
        <w:tab w:val="left" w:pos="907"/>
      </w:tabs>
      <w:spacing w:before="360" w:after="360"/>
    </w:pPr>
    <w:rPr>
      <w:rFonts w:ascii="Verdana" w:hAnsi="Verdana"/>
      <w:b/>
      <w:noProof/>
      <w:color w:val="016794"/>
      <w:sz w:val="28"/>
      <w:szCs w:val="30"/>
      <w:lang w:eastAsia="en-US"/>
    </w:rPr>
  </w:style>
  <w:style w:type="paragraph" w:customStyle="1" w:styleId="HEADER3Part3">
    <w:name w:val="HEADER 3_Part 3"/>
    <w:basedOn w:val="HEADER3Part1"/>
    <w:qFormat/>
    <w:pPr>
      <w:numPr>
        <w:numId w:val="5"/>
      </w:numPr>
    </w:pPr>
  </w:style>
  <w:style w:type="paragraph" w:customStyle="1" w:styleId="HEADER4Part3">
    <w:name w:val="HEADER 4_Part 3"/>
    <w:basedOn w:val="HEADER4Part1"/>
    <w:qFormat/>
    <w:pPr>
      <w:numPr>
        <w:ilvl w:val="0"/>
        <w:numId w:val="13"/>
      </w:numPr>
      <w:spacing w:before="0" w:after="0"/>
      <w:ind w:left="907" w:hanging="907"/>
    </w:pPr>
  </w:style>
  <w:style w:type="paragraph" w:customStyle="1" w:styleId="SignatureRight">
    <w:name w:val="Signature_Right"/>
    <w:basedOn w:val="SignatureRightItalic"/>
    <w:qFormat/>
    <w:rPr>
      <w:i w:val="0"/>
    </w:rPr>
  </w:style>
  <w:style w:type="paragraph" w:customStyle="1" w:styleId="SignatureRightBold">
    <w:name w:val="Signature_Right Bold"/>
    <w:basedOn w:val="SignatureRight"/>
    <w:qFormat/>
    <w:pPr>
      <w:spacing w:before="120" w:after="120"/>
    </w:pPr>
    <w:rPr>
      <w:b/>
    </w:rPr>
  </w:style>
  <w:style w:type="paragraph" w:customStyle="1" w:styleId="Textstand-alone">
    <w:name w:val="Text_stand-alone"/>
    <w:basedOn w:val="Normal"/>
    <w:qFormat/>
    <w:pPr>
      <w:spacing w:before="240" w:after="240"/>
      <w:jc w:val="both"/>
    </w:pPr>
    <w:rPr>
      <w:rFonts w:ascii="Verdana" w:hAnsi="Verdana"/>
      <w:noProof/>
      <w:sz w:val="18"/>
      <w:szCs w:val="18"/>
      <w:lang w:eastAsia="en-US"/>
    </w:rPr>
  </w:style>
  <w:style w:type="paragraph" w:customStyle="1" w:styleId="SignatureRightItalic0">
    <w:name w:val="Signature_Right Italic"/>
    <w:basedOn w:val="SignatureRightBold"/>
    <w:qFormat/>
    <w:rPr>
      <w:b w:val="0"/>
      <w:i/>
    </w:rPr>
  </w:style>
  <w:style w:type="paragraph" w:customStyle="1" w:styleId="SubTextIndentJustified">
    <w:name w:val="SubText_Indent_Justified"/>
    <w:basedOn w:val="Normal"/>
    <w:qFormat/>
    <w:pPr>
      <w:spacing w:after="240"/>
      <w:ind w:left="720"/>
    </w:pPr>
    <w:rPr>
      <w:rFonts w:ascii="Verdana" w:hAnsi="Verdana"/>
      <w:sz w:val="18"/>
      <w:szCs w:val="18"/>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link w:val="Footer"/>
    <w:uiPriority w:val="99"/>
    <w:rPr>
      <w:rFonts w:ascii="Times New Roman" w:eastAsia="Times New Roman" w:hAnsi="Times New Roman" w:cs="Times New Roman"/>
      <w:sz w:val="24"/>
      <w:szCs w:val="24"/>
      <w:lang w:eastAsia="en-GB"/>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rFonts w:ascii="Times New Roman" w:eastAsia="Times New Roman" w:hAnsi="Times New Roman" w:cs="Times New Roman"/>
      <w:sz w:val="24"/>
      <w:szCs w:val="24"/>
      <w:lang w:eastAsia="en-GB"/>
    </w:rPr>
  </w:style>
  <w:style w:type="character" w:customStyle="1" w:styleId="Heading1Char">
    <w:name w:val="Heading 1 Char"/>
    <w:link w:val="Heading1"/>
    <w:rPr>
      <w:rFonts w:ascii="Cambria" w:eastAsia="Times New Roman" w:hAnsi="Cambria" w:cs="Times New Roman"/>
      <w:b/>
      <w:bCs/>
      <w:color w:val="365F91"/>
      <w:sz w:val="28"/>
      <w:szCs w:val="28"/>
      <w:lang w:eastAsia="en-G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HEADER1Part1">
    <w:name w:val="HEADER 1_Part 1"/>
    <w:basedOn w:val="HEADER1Part3"/>
    <w:qFormat/>
    <w:pPr>
      <w:numPr>
        <w:numId w:val="4"/>
      </w:numPr>
      <w:jc w:val="both"/>
    </w:pPr>
  </w:style>
  <w:style w:type="paragraph" w:customStyle="1" w:styleId="Textstand-alonebulletpointJustified">
    <w:name w:val="Text_stand-alone_bullet point + Justified"/>
    <w:basedOn w:val="Normal"/>
    <w:qFormat/>
    <w:pPr>
      <w:numPr>
        <w:numId w:val="7"/>
      </w:numPr>
      <w:spacing w:after="240"/>
      <w:contextualSpacing/>
      <w:jc w:val="both"/>
    </w:pPr>
    <w:rPr>
      <w:rFonts w:ascii="Verdana" w:hAnsi="Verdana"/>
      <w:sz w:val="18"/>
    </w:rPr>
  </w:style>
  <w:style w:type="paragraph" w:customStyle="1" w:styleId="TextSubtitlenumberingRCItalic">
    <w:name w:val="Text_Subtitle_(numbering RC Italic)"/>
    <w:basedOn w:val="Normal"/>
    <w:qFormat/>
    <w:pPr>
      <w:numPr>
        <w:numId w:val="1"/>
      </w:numPr>
    </w:pPr>
    <w:rPr>
      <w:rFonts w:ascii="Verdana" w:hAnsi="Verdana"/>
      <w:i/>
      <w:sz w:val="18"/>
      <w:szCs w:val="18"/>
    </w:rPr>
  </w:style>
  <w:style w:type="paragraph" w:customStyle="1" w:styleId="TextstandalonenumberingRCJustified">
    <w:name w:val="Text_stand alone_(numbering RC + Justified)"/>
    <w:qFormat/>
    <w:pPr>
      <w:numPr>
        <w:numId w:val="8"/>
      </w:numPr>
      <w:pBdr>
        <w:top w:val="nil"/>
        <w:left w:val="nil"/>
        <w:bottom w:val="nil"/>
        <w:right w:val="nil"/>
        <w:between w:val="nil"/>
        <w:bar w:val="nil"/>
      </w:pBdr>
      <w:spacing w:before="240"/>
      <w:ind w:left="567" w:hanging="567"/>
      <w:jc w:val="both"/>
    </w:pPr>
    <w:rPr>
      <w:rFonts w:ascii="Verdana" w:eastAsia="Calibri" w:hAnsi="Verdana"/>
      <w:noProof/>
      <w:sz w:val="18"/>
      <w:szCs w:val="18"/>
      <w:bdr w:val="nil"/>
      <w:lang w:eastAsia="en-US"/>
    </w:rPr>
  </w:style>
  <w:style w:type="paragraph" w:customStyle="1" w:styleId="Textstand-alonenumberingJustified">
    <w:name w:val="Text_stand-alone_(numbering) + Justified"/>
    <w:basedOn w:val="Normal"/>
    <w:qFormat/>
    <w:pPr>
      <w:numPr>
        <w:numId w:val="6"/>
      </w:numPr>
      <w:spacing w:after="240"/>
      <w:ind w:hanging="720"/>
      <w:jc w:val="both"/>
    </w:pPr>
    <w:rPr>
      <w:rFonts w:ascii="Verdana" w:hAnsi="Verdana"/>
      <w:sz w:val="18"/>
      <w:szCs w:val="18"/>
    </w:rPr>
  </w:style>
  <w:style w:type="paragraph" w:customStyle="1" w:styleId="Textstand-aloneBulletpoint">
    <w:name w:val="Text_stand-alone Bullet point"/>
    <w:basedOn w:val="Normal"/>
    <w:qFormat/>
    <w:pPr>
      <w:numPr>
        <w:numId w:val="9"/>
      </w:numPr>
      <w:spacing w:after="240"/>
      <w:ind w:left="357" w:hanging="357"/>
      <w:contextualSpacing/>
    </w:pPr>
    <w:rPr>
      <w:rFonts w:ascii="Verdana" w:hAnsi="Verdana"/>
      <w:sz w:val="18"/>
      <w:szCs w:val="18"/>
    </w:rPr>
  </w:style>
  <w:style w:type="paragraph" w:customStyle="1" w:styleId="TextSubtitleItalicnumberinglettera">
    <w:name w:val="Text_Subtitle Italic numbering letter (a)"/>
    <w:basedOn w:val="Normal"/>
    <w:qFormat/>
    <w:pPr>
      <w:numPr>
        <w:numId w:val="3"/>
      </w:numPr>
      <w:ind w:left="357" w:hanging="357"/>
    </w:pPr>
    <w:rPr>
      <w:rFonts w:ascii="Verdana" w:hAnsi="Verdana"/>
      <w:i/>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paragraph" w:customStyle="1" w:styleId="DGTextstand-alonenumbering">
    <w:name w:val="DG_Text_stand-alone_(numbering)"/>
    <w:qFormat/>
    <w:pPr>
      <w:numPr>
        <w:numId w:val="12"/>
      </w:numPr>
      <w:spacing w:after="240"/>
      <w:ind w:hanging="720"/>
    </w:pPr>
    <w:rPr>
      <w:rFonts w:ascii="Verdana" w:hAnsi="Verdana"/>
      <w:noProof/>
      <w:sz w:val="18"/>
      <w:szCs w:val="18"/>
      <w:lang w:eastAsia="en-US"/>
    </w:rPr>
  </w:style>
  <w:style w:type="paragraph" w:customStyle="1" w:styleId="HEADERTITLE">
    <w:name w:val="HEADER_TITLE"/>
    <w:basedOn w:val="Textstand-alone"/>
    <w:qFormat/>
    <w:pPr>
      <w:tabs>
        <w:tab w:val="left" w:pos="907"/>
      </w:tabs>
      <w:spacing w:before="0"/>
      <w:jc w:val="left"/>
    </w:pPr>
    <w:rPr>
      <w:b/>
      <w:color w:val="016794"/>
      <w:sz w:val="28"/>
    </w:rPr>
  </w:style>
  <w:style w:type="paragraph" w:customStyle="1" w:styleId="FIRSTCHAPTERPAGE1">
    <w:name w:val="FIRST CHAPTER_PAGE_1"/>
    <w:basedOn w:val="Textstand-alone"/>
    <w:qFormat/>
    <w:pPr>
      <w:tabs>
        <w:tab w:val="left" w:pos="907"/>
      </w:tabs>
      <w:spacing w:after="720"/>
      <w:jc w:val="left"/>
    </w:pPr>
    <w:rPr>
      <w:b/>
      <w:color w:val="016794"/>
      <w:sz w:val="40"/>
    </w:rPr>
  </w:style>
  <w:style w:type="paragraph" w:customStyle="1" w:styleId="FIRSTCHAPTERPAGE2">
    <w:name w:val="FIRST CHAPTER_PAGE_2"/>
    <w:basedOn w:val="Textstand-alone"/>
    <w:qFormat/>
    <w:pPr>
      <w:tabs>
        <w:tab w:val="left" w:pos="907"/>
      </w:tabs>
      <w:spacing w:after="720"/>
    </w:pPr>
    <w:rPr>
      <w:b/>
      <w:color w:val="016794"/>
      <w:sz w:val="40"/>
    </w:rPr>
  </w:style>
  <w:style w:type="paragraph" w:customStyle="1" w:styleId="HEADERTITLE1">
    <w:name w:val="HEADER_TITLE_1"/>
    <w:basedOn w:val="Textstand-alone"/>
    <w:qFormat/>
    <w:pPr>
      <w:tabs>
        <w:tab w:val="left" w:pos="907"/>
      </w:tabs>
      <w:spacing w:before="0"/>
      <w:jc w:val="left"/>
    </w:pPr>
    <w:rPr>
      <w:b/>
      <w:color w:val="016794"/>
      <w:sz w:val="28"/>
    </w:rPr>
  </w:style>
  <w:style w:type="paragraph" w:styleId="TOC1">
    <w:name w:val="toc 1"/>
    <w:basedOn w:val="Normal"/>
    <w:next w:val="Normal"/>
    <w:autoRedefine/>
    <w:uiPriority w:val="39"/>
    <w:unhideWhenUsed/>
    <w:pPr>
      <w:tabs>
        <w:tab w:val="right" w:leader="dot" w:pos="9628"/>
      </w:tabs>
      <w:spacing w:after="100"/>
    </w:pPr>
    <w:rPr>
      <w:rFonts w:ascii="Verdana" w:hAnsi="Verdana"/>
      <w:noProof/>
      <w:color w:val="016794"/>
      <w:sz w:val="22"/>
      <w:szCs w:val="22"/>
    </w:rPr>
  </w:style>
  <w:style w:type="paragraph" w:styleId="TOC2">
    <w:name w:val="toc 2"/>
    <w:basedOn w:val="Normal"/>
    <w:next w:val="Normal"/>
    <w:autoRedefine/>
    <w:uiPriority w:val="39"/>
    <w:unhideWhenUsed/>
    <w:pPr>
      <w:tabs>
        <w:tab w:val="right" w:leader="dot" w:pos="9628"/>
      </w:tabs>
      <w:spacing w:after="100"/>
      <w:ind w:left="240"/>
    </w:pPr>
    <w:rPr>
      <w:rFonts w:ascii="Verdana" w:hAnsi="Verdana"/>
      <w:noProof/>
      <w:color w:val="808080"/>
      <w:sz w:val="22"/>
      <w:szCs w:val="22"/>
    </w:rPr>
  </w:style>
  <w:style w:type="paragraph" w:customStyle="1" w:styleId="HEADERTITLE0">
    <w:name w:val="HEADER_TITLE_0"/>
    <w:basedOn w:val="HEADERTITLE"/>
    <w:qFormat/>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FootnoteText">
    <w:name w:val="footnote text"/>
    <w:basedOn w:val="Normal"/>
    <w:link w:val="FootnoteTextChar"/>
    <w:semiHidden/>
    <w:pPr>
      <w:ind w:left="720" w:hanging="720"/>
      <w:jc w:val="both"/>
    </w:pPr>
    <w:rPr>
      <w:sz w:val="20"/>
      <w:szCs w:val="20"/>
    </w:rPr>
  </w:style>
  <w:style w:type="character" w:customStyle="1" w:styleId="FootnoteTextChar">
    <w:name w:val="Footnote Text Char"/>
    <w:link w:val="FootnoteText"/>
    <w:semiHidden/>
    <w:rPr>
      <w:rFonts w:ascii="Times New Roman" w:hAnsi="Times New Roman"/>
    </w:rPr>
  </w:style>
  <w:style w:type="paragraph" w:styleId="TOC3">
    <w:name w:val="toc 3"/>
    <w:basedOn w:val="Normal"/>
    <w:next w:val="Normal"/>
    <w:autoRedefine/>
    <w:uiPriority w:val="39"/>
    <w:unhideWhenUsed/>
    <w:pPr>
      <w:spacing w:after="100"/>
      <w:ind w:left="480"/>
    </w:pPr>
  </w:style>
  <w:style w:type="paragraph" w:customStyle="1" w:styleId="Text8pItalicLeft">
    <w:name w:val="Text_8p_Italic_Left"/>
    <w:qFormat/>
    <w:rPr>
      <w:rFonts w:ascii="Verdana" w:eastAsia="Calibri" w:hAnsi="Verdana"/>
      <w:bCs/>
      <w:i/>
      <w:noProof/>
      <w:sz w:val="16"/>
      <w:lang w:eastAsia="en-US"/>
    </w:rPr>
  </w:style>
  <w:style w:type="paragraph" w:customStyle="1" w:styleId="Text8pItalicRight025EUR">
    <w:name w:val="Text_8p_Italic_Right_0.25_EUR"/>
    <w:qFormat/>
    <w:pPr>
      <w:ind w:right="142"/>
      <w:jc w:val="right"/>
    </w:pPr>
    <w:rPr>
      <w:rFonts w:ascii="Verdana" w:eastAsia="Calibri" w:hAnsi="Verdana"/>
      <w:i/>
      <w:noProof/>
      <w:sz w:val="16"/>
      <w:szCs w:val="18"/>
      <w:lang w:eastAsia="en-US"/>
    </w:rPr>
  </w:style>
  <w:style w:type="paragraph" w:customStyle="1" w:styleId="Heading10pNormalLeft">
    <w:name w:val="Heading_10p_Normal_Left"/>
    <w:qFormat/>
    <w:rPr>
      <w:rFonts w:ascii="Verdana" w:eastAsia="Calibri" w:hAnsi="Verdana"/>
      <w:noProof/>
      <w:color w:val="FFFFFF"/>
      <w:szCs w:val="30"/>
      <w:lang w:eastAsia="en-US"/>
    </w:rPr>
  </w:style>
  <w:style w:type="paragraph" w:customStyle="1" w:styleId="Heading10pNormalRight025">
    <w:name w:val="Heading_10p_Normal_Right_0.25"/>
    <w:qFormat/>
    <w:pPr>
      <w:ind w:right="142"/>
      <w:jc w:val="right"/>
    </w:pPr>
    <w:rPr>
      <w:rFonts w:ascii="Verdana" w:eastAsia="Calibri" w:hAnsi="Verdana"/>
      <w:noProof/>
      <w:color w:val="FFFFFF"/>
      <w:szCs w:val="30"/>
      <w:lang w:eastAsia="en-US"/>
    </w:rPr>
  </w:style>
  <w:style w:type="paragraph" w:customStyle="1" w:styleId="Text9pBoldLeft">
    <w:name w:val="Text_9p_Bold_Left"/>
    <w:qFormat/>
    <w:rPr>
      <w:rFonts w:ascii="Verdana" w:eastAsia="Calibri" w:hAnsi="Verdana"/>
      <w:b/>
      <w:noProof/>
      <w:sz w:val="18"/>
      <w:szCs w:val="18"/>
      <w:lang w:eastAsia="en-US"/>
    </w:rPr>
  </w:style>
  <w:style w:type="paragraph" w:customStyle="1" w:styleId="Text9pItalicCentered">
    <w:name w:val="Text_9p_Italic_Centered"/>
    <w:qFormat/>
    <w:pPr>
      <w:jc w:val="center"/>
    </w:pPr>
    <w:rPr>
      <w:rFonts w:ascii="Verdana" w:eastAsia="Calibri" w:hAnsi="Verdana"/>
      <w:i/>
      <w:noProof/>
      <w:sz w:val="18"/>
      <w:szCs w:val="18"/>
      <w:lang w:eastAsia="en-US"/>
    </w:rPr>
  </w:style>
  <w:style w:type="paragraph" w:customStyle="1" w:styleId="Figures9pBoldRight025">
    <w:name w:val="Figures_9p_Bold_Right_0.25"/>
    <w:qFormat/>
    <w:pPr>
      <w:ind w:right="142"/>
      <w:jc w:val="right"/>
    </w:pPr>
    <w:rPr>
      <w:rFonts w:ascii="Verdana" w:eastAsia="Calibri" w:hAnsi="Verdana"/>
      <w:b/>
      <w:noProof/>
      <w:sz w:val="18"/>
      <w:szCs w:val="18"/>
      <w:lang w:eastAsia="en-US"/>
    </w:rPr>
  </w:style>
  <w:style w:type="paragraph" w:customStyle="1" w:styleId="Text9pItalicLeft">
    <w:name w:val="Text_9p_Italic_Left"/>
    <w:qFormat/>
    <w:rPr>
      <w:rFonts w:ascii="Verdana" w:eastAsia="Calibri" w:hAnsi="Verdana"/>
      <w:i/>
      <w:noProof/>
      <w:sz w:val="18"/>
      <w:szCs w:val="18"/>
      <w:lang w:eastAsia="en-US"/>
    </w:rPr>
  </w:style>
  <w:style w:type="paragraph" w:customStyle="1" w:styleId="Figures9pItalicRight025">
    <w:name w:val="Figures_9p_Italic_Right_0.25"/>
    <w:qFormat/>
    <w:pPr>
      <w:ind w:right="142"/>
      <w:jc w:val="right"/>
    </w:pPr>
    <w:rPr>
      <w:rFonts w:ascii="Verdana" w:eastAsia="Calibri" w:hAnsi="Verdana"/>
      <w:i/>
      <w:noProof/>
      <w:sz w:val="18"/>
      <w:szCs w:val="18"/>
      <w:lang w:eastAsia="en-US"/>
    </w:rPr>
  </w:style>
  <w:style w:type="paragraph" w:customStyle="1" w:styleId="Text9pItalicBoldLeft">
    <w:name w:val="Text_9p_ItalicBold_Left"/>
    <w:qFormat/>
    <w:rPr>
      <w:rFonts w:ascii="Verdana" w:eastAsia="Calibri" w:hAnsi="Verdana"/>
      <w:b/>
      <w:i/>
      <w:noProof/>
      <w:sz w:val="18"/>
      <w:szCs w:val="18"/>
      <w:lang w:eastAsia="en-US"/>
    </w:rPr>
  </w:style>
  <w:style w:type="paragraph" w:customStyle="1" w:styleId="Heading7pNormalCentered">
    <w:name w:val="Heading_7p_Normal_Centered"/>
    <w:basedOn w:val="Heading8pNormalCentered"/>
    <w:qFormat/>
    <w:rPr>
      <w:sz w:val="14"/>
    </w:rPr>
  </w:style>
  <w:style w:type="paragraph" w:customStyle="1" w:styleId="Heading8pNormalCentered">
    <w:name w:val="Heading_8p_Normal_Centered"/>
    <w:qFormat/>
    <w:pPr>
      <w:jc w:val="center"/>
    </w:pPr>
    <w:rPr>
      <w:rFonts w:ascii="Verdana" w:eastAsia="Calibri" w:hAnsi="Verdana"/>
      <w:noProof/>
      <w:color w:val="FFFFFF"/>
      <w:sz w:val="16"/>
      <w:szCs w:val="30"/>
      <w:lang w:eastAsia="en-US"/>
    </w:rPr>
  </w:style>
  <w:style w:type="paragraph" w:customStyle="1" w:styleId="Heading7pNormalRight01">
    <w:name w:val="Heading_7p_Normal_Right_0.1"/>
    <w:qFormat/>
    <w:pPr>
      <w:ind w:right="57"/>
      <w:jc w:val="right"/>
    </w:pPr>
    <w:rPr>
      <w:rFonts w:ascii="Verdana" w:hAnsi="Verdana" w:cs="Calibri"/>
      <w:bCs/>
      <w:color w:val="FFFFFF"/>
      <w:sz w:val="14"/>
      <w:szCs w:val="22"/>
    </w:rPr>
  </w:style>
  <w:style w:type="paragraph" w:customStyle="1" w:styleId="Text7pBoldLeft">
    <w:name w:val="Text_7p_Bold_Left"/>
    <w:qFormat/>
    <w:rPr>
      <w:rFonts w:ascii="Verdana" w:eastAsia="Calibri" w:hAnsi="Verdana"/>
      <w:b/>
      <w:noProof/>
      <w:sz w:val="14"/>
      <w:szCs w:val="18"/>
      <w:lang w:eastAsia="en-US"/>
    </w:rPr>
  </w:style>
  <w:style w:type="paragraph" w:customStyle="1" w:styleId="Figures7pBoldRight025">
    <w:name w:val="Figures_7p_Bold_Right_0.25"/>
    <w:qFormat/>
    <w:pPr>
      <w:ind w:right="142"/>
      <w:jc w:val="right"/>
    </w:pPr>
    <w:rPr>
      <w:rFonts w:ascii="Verdana" w:eastAsia="Calibri" w:hAnsi="Verdana"/>
      <w:b/>
      <w:noProof/>
      <w:sz w:val="14"/>
      <w:szCs w:val="18"/>
      <w:lang w:eastAsia="en-US"/>
    </w:rPr>
  </w:style>
  <w:style w:type="paragraph" w:customStyle="1" w:styleId="Text7pItalicLeft">
    <w:name w:val="Text_7p_Italic_Left"/>
    <w:qFormat/>
    <w:rPr>
      <w:rFonts w:ascii="Verdana" w:eastAsia="Calibri" w:hAnsi="Verdana"/>
      <w:bCs/>
      <w:i/>
      <w:noProof/>
      <w:sz w:val="14"/>
      <w:lang w:eastAsia="en-US"/>
    </w:rPr>
  </w:style>
  <w:style w:type="paragraph" w:customStyle="1" w:styleId="Figures7pItalicRight025">
    <w:name w:val="Figures_7p_Italic_Right_0.25"/>
    <w:basedOn w:val="Figures8pItalicRight025"/>
    <w:qFormat/>
    <w:rPr>
      <w:sz w:val="14"/>
    </w:rPr>
  </w:style>
  <w:style w:type="paragraph" w:customStyle="1" w:styleId="Figures8pItalicRight025">
    <w:name w:val="Figures_8p_Italic_Right_0.25"/>
    <w:qFormat/>
    <w:pPr>
      <w:ind w:right="142"/>
      <w:jc w:val="right"/>
    </w:pPr>
    <w:rPr>
      <w:rFonts w:ascii="Verdana" w:eastAsia="Calibri" w:hAnsi="Verdana"/>
      <w:i/>
      <w:noProof/>
      <w:sz w:val="16"/>
      <w:szCs w:val="18"/>
      <w:lang w:eastAsia="en-US"/>
    </w:rPr>
  </w:style>
  <w:style w:type="paragraph" w:customStyle="1" w:styleId="Text9pItalicLeft025">
    <w:name w:val="Text_9p_Italic_Left_0.25"/>
    <w:basedOn w:val="Text9pItalicLeft"/>
    <w:qFormat/>
    <w:pPr>
      <w:ind w:left="142"/>
    </w:pPr>
  </w:style>
  <w:style w:type="paragraph" w:customStyle="1" w:styleId="Heading9pNormalCentered">
    <w:name w:val="Heading_9p_Normal_Centered"/>
    <w:qFormat/>
    <w:pPr>
      <w:jc w:val="center"/>
    </w:pPr>
    <w:rPr>
      <w:rFonts w:ascii="Verdana" w:hAnsi="Verdana" w:cs="Calibri"/>
      <w:bCs/>
      <w:color w:val="FFFFFF"/>
      <w:sz w:val="18"/>
      <w:szCs w:val="22"/>
    </w:rPr>
  </w:style>
  <w:style w:type="paragraph" w:customStyle="1" w:styleId="Heading10pNormalCentered">
    <w:name w:val="Heading_10p_Normal_Centered"/>
    <w:qFormat/>
    <w:pPr>
      <w:jc w:val="center"/>
    </w:pPr>
    <w:rPr>
      <w:rFonts w:ascii="Verdana" w:eastAsia="Calibri" w:hAnsi="Verdana"/>
      <w:noProof/>
      <w:color w:val="FFFFFF"/>
      <w:szCs w:val="30"/>
      <w:lang w:eastAsia="en-US"/>
    </w:rPr>
  </w:style>
  <w:style w:type="paragraph" w:customStyle="1" w:styleId="Figures9pItalicBoldRight025">
    <w:name w:val="Figures_9p_ItalicBold_Right_0.25"/>
    <w:qFormat/>
    <w:pPr>
      <w:ind w:right="142"/>
      <w:jc w:val="right"/>
    </w:pPr>
    <w:rPr>
      <w:rFonts w:ascii="Verdana" w:eastAsia="Calibri" w:hAnsi="Verdana"/>
      <w:b/>
      <w:i/>
      <w:noProof/>
      <w:sz w:val="18"/>
      <w:szCs w:val="18"/>
      <w:lang w:eastAsia="en-US"/>
    </w:rPr>
  </w:style>
  <w:style w:type="paragraph" w:customStyle="1" w:styleId="Text8pBoldLeft">
    <w:name w:val="Text_8p_Bold_Left"/>
    <w:qFormat/>
    <w:rPr>
      <w:rFonts w:ascii="Verdana" w:eastAsia="Calibri" w:hAnsi="Verdana"/>
      <w:b/>
      <w:bCs/>
      <w:noProof/>
      <w:sz w:val="16"/>
      <w:lang w:eastAsia="en-US"/>
    </w:rPr>
  </w:style>
  <w:style w:type="paragraph" w:customStyle="1" w:styleId="Figures8pBoldRight025">
    <w:name w:val="Figures_8p_Bold_Right_0.25"/>
    <w:qFormat/>
    <w:pPr>
      <w:ind w:right="142"/>
      <w:jc w:val="right"/>
    </w:pPr>
    <w:rPr>
      <w:rFonts w:ascii="Verdana" w:eastAsia="Calibri" w:hAnsi="Verdana"/>
      <w:b/>
      <w:bCs/>
      <w:noProof/>
      <w:sz w:val="16"/>
      <w:lang w:eastAsia="en-US"/>
    </w:rPr>
  </w:style>
  <w:style w:type="paragraph" w:customStyle="1" w:styleId="Text9pBoldLeft025">
    <w:name w:val="Text_9p_Bold_Left_0.25"/>
    <w:qFormat/>
    <w:pPr>
      <w:ind w:left="142"/>
    </w:pPr>
    <w:rPr>
      <w:rFonts w:ascii="Verdana" w:eastAsia="Calibri" w:hAnsi="Verdana"/>
      <w:b/>
      <w:noProof/>
      <w:sz w:val="18"/>
      <w:szCs w:val="18"/>
      <w:lang w:eastAsia="en-US"/>
    </w:rPr>
  </w:style>
  <w:style w:type="paragraph" w:customStyle="1" w:styleId="Figures9pItalicCentered">
    <w:name w:val="Figures_9p_Italic_Centered"/>
    <w:qFormat/>
    <w:pPr>
      <w:jc w:val="center"/>
    </w:pPr>
    <w:rPr>
      <w:rFonts w:ascii="Verdana" w:eastAsia="Calibri" w:hAnsi="Verdana"/>
      <w:i/>
      <w:noProof/>
      <w:sz w:val="18"/>
      <w:szCs w:val="18"/>
      <w:lang w:eastAsia="en-US"/>
    </w:rPr>
  </w:style>
  <w:style w:type="paragraph" w:customStyle="1" w:styleId="DGTextstand-alone">
    <w:name w:val="DG_Text_stand-alone"/>
    <w:link w:val="DGTextstand-aloneChar"/>
    <w:pPr>
      <w:spacing w:before="240" w:after="240"/>
      <w:jc w:val="both"/>
    </w:pPr>
    <w:rPr>
      <w:rFonts w:ascii="Verdana" w:eastAsia="Calibri" w:hAnsi="Verdana"/>
      <w:noProof/>
      <w:sz w:val="18"/>
      <w:szCs w:val="18"/>
      <w:lang w:eastAsia="en-US"/>
    </w:rPr>
  </w:style>
  <w:style w:type="character" w:customStyle="1" w:styleId="DGTextstand-aloneChar">
    <w:name w:val="DG_Text_stand-alone Char"/>
    <w:link w:val="DGTextstand-alone"/>
    <w:locked/>
    <w:rPr>
      <w:rFonts w:ascii="Verdana" w:eastAsia="Calibri" w:hAnsi="Verdana"/>
      <w:noProof/>
      <w:sz w:val="18"/>
      <w:szCs w:val="18"/>
      <w:lang w:eastAsia="en-US"/>
    </w:rPr>
  </w:style>
  <w:style w:type="paragraph" w:customStyle="1" w:styleId="Heading9pNormalLeft">
    <w:name w:val="Heading_9p_Normal_Left"/>
    <w:basedOn w:val="Heading9pNormalCentered"/>
    <w:qFormat/>
    <w:pPr>
      <w:jc w:val="left"/>
    </w:pPr>
  </w:style>
  <w:style w:type="paragraph" w:customStyle="1" w:styleId="Text9pItalicLeftIndented">
    <w:name w:val="Text_9p_Italic_LeftIndented"/>
    <w:qFormat/>
    <w:pPr>
      <w:ind w:left="720"/>
    </w:pPr>
    <w:rPr>
      <w:rFonts w:ascii="Verdana" w:eastAsia="Calibri" w:hAnsi="Verdana"/>
      <w:i/>
      <w:noProof/>
      <w:sz w:val="18"/>
      <w:szCs w:val="18"/>
      <w:lang w:eastAsia="en-US"/>
    </w:rPr>
  </w:style>
  <w:style w:type="paragraph" w:customStyle="1" w:styleId="Text7pItalicRight025">
    <w:name w:val="Text_7p_Italic_Right_0.25"/>
    <w:basedOn w:val="Text8pItalicRight025EUR"/>
    <w:qFormat/>
    <w:rPr>
      <w:sz w:val="14"/>
    </w:rPr>
  </w:style>
  <w:style w:type="paragraph" w:customStyle="1" w:styleId="Heading-9pNormalCentered">
    <w:name w:val="Heading-9p_Normal_Centered"/>
    <w:basedOn w:val="Heading10pNormalCentered"/>
    <w:qFormat/>
    <w:rPr>
      <w:sz w:val="18"/>
    </w:rPr>
  </w:style>
  <w:style w:type="paragraph" w:customStyle="1" w:styleId="Text9pNormalLeft">
    <w:name w:val="Text_9p_Normal_Left"/>
    <w:basedOn w:val="Text9pItalicLeft"/>
    <w:qFormat/>
    <w:rPr>
      <w:i w:val="0"/>
    </w:rPr>
  </w:style>
  <w:style w:type="paragraph" w:customStyle="1" w:styleId="Figures9pNormalRight025">
    <w:name w:val="Figures_9p_Normal_Right_0.25"/>
    <w:basedOn w:val="Figures9pItalicRight025"/>
    <w:qFormat/>
    <w:rPr>
      <w:i w:val="0"/>
    </w:rPr>
  </w:style>
  <w:style w:type="paragraph" w:customStyle="1" w:styleId="Heading9pNormalRight01">
    <w:name w:val="Heading_9p_Normal_Right_0.1"/>
    <w:basedOn w:val="Heading9pNormalRight025"/>
    <w:qFormat/>
    <w:pPr>
      <w:ind w:right="57"/>
    </w:pPr>
  </w:style>
  <w:style w:type="paragraph" w:customStyle="1" w:styleId="Heading9pNormalRight025">
    <w:name w:val="Heading_9p_Normal_Right_0.25"/>
    <w:basedOn w:val="Heading9pNormalCentered"/>
    <w:qFormat/>
    <w:pPr>
      <w:ind w:right="142"/>
      <w:jc w:val="right"/>
    </w:pPr>
  </w:style>
  <w:style w:type="paragraph" w:customStyle="1" w:styleId="Heading9pBoldRight01">
    <w:name w:val="Heading_9p_Bold_Right_0.1"/>
    <w:basedOn w:val="Heading9pBoldLeft"/>
    <w:qFormat/>
    <w:pPr>
      <w:ind w:right="57"/>
      <w:jc w:val="right"/>
    </w:pPr>
  </w:style>
  <w:style w:type="paragraph" w:customStyle="1" w:styleId="Heading9pBoldLeft">
    <w:name w:val="Heading_9p_Bold_Left"/>
    <w:basedOn w:val="Heading9pBoldCentered"/>
    <w:qFormat/>
    <w:pPr>
      <w:jc w:val="left"/>
    </w:pPr>
    <w:rPr>
      <w:color w:val="FFFFFF"/>
    </w:rPr>
  </w:style>
  <w:style w:type="paragraph" w:customStyle="1" w:styleId="Heading9pBoldCentered">
    <w:name w:val="Heading_9p_Bold_Centered"/>
    <w:qFormat/>
    <w:pPr>
      <w:jc w:val="center"/>
    </w:pPr>
    <w:rPr>
      <w:rFonts w:ascii="Verdana" w:eastAsia="Calibri" w:hAnsi="Verdana"/>
      <w:b/>
      <w:noProof/>
      <w:sz w:val="18"/>
      <w:szCs w:val="18"/>
      <w:lang w:eastAsia="en-US"/>
    </w:rPr>
  </w:style>
  <w:style w:type="paragraph" w:customStyle="1" w:styleId="Text8pNormalLeft">
    <w:name w:val="Text_8p_Normal_Left"/>
    <w:qFormat/>
    <w:pPr>
      <w:ind w:left="34"/>
    </w:pPr>
    <w:rPr>
      <w:rFonts w:ascii="Verdana" w:eastAsia="Calibri" w:hAnsi="Verdana"/>
      <w:bCs/>
      <w:sz w:val="16"/>
      <w:lang w:eastAsia="en-US"/>
    </w:rPr>
  </w:style>
  <w:style w:type="paragraph" w:customStyle="1" w:styleId="Text5pItalicRight025">
    <w:name w:val="Text_5p_Italic_Right_0.25"/>
    <w:basedOn w:val="Text6pItalicRight025"/>
    <w:qFormat/>
    <w:rPr>
      <w:sz w:val="10"/>
    </w:rPr>
  </w:style>
  <w:style w:type="paragraph" w:customStyle="1" w:styleId="Text6pItalicRight025">
    <w:name w:val="Text_6p_Italic_Right_0.25"/>
    <w:basedOn w:val="Text7pItalicRight025"/>
    <w:qFormat/>
    <w:rPr>
      <w:sz w:val="12"/>
    </w:rPr>
  </w:style>
  <w:style w:type="paragraph" w:customStyle="1" w:styleId="Figures55pBoldRight01">
    <w:name w:val="Figures_5.5p_Bold_Right_0.1"/>
    <w:basedOn w:val="Figures6pBoldRight01"/>
    <w:qFormat/>
    <w:rPr>
      <w:sz w:val="11"/>
      <w:szCs w:val="11"/>
    </w:rPr>
  </w:style>
  <w:style w:type="paragraph" w:customStyle="1" w:styleId="Figures6pBoldRight01">
    <w:name w:val="Figures_6p_Bold_Right_0.1"/>
    <w:basedOn w:val="Figures7pBoldRight025"/>
    <w:qFormat/>
    <w:pPr>
      <w:ind w:right="57"/>
    </w:pPr>
    <w:rPr>
      <w:sz w:val="12"/>
      <w:szCs w:val="12"/>
    </w:rPr>
  </w:style>
  <w:style w:type="paragraph" w:customStyle="1" w:styleId="Figures55pItalicRight01">
    <w:name w:val="Figures_5.5p_Italic_Right_0.1"/>
    <w:basedOn w:val="Figures6pItalicRight01"/>
    <w:qFormat/>
    <w:rPr>
      <w:sz w:val="11"/>
    </w:rPr>
  </w:style>
  <w:style w:type="paragraph" w:customStyle="1" w:styleId="Figures6pItalicRight01">
    <w:name w:val="Figures_6p_Italic_Right_0.1"/>
    <w:basedOn w:val="Figures7pItalicRight025"/>
    <w:qFormat/>
    <w:pPr>
      <w:ind w:right="57"/>
    </w:pPr>
    <w:rPr>
      <w:sz w:val="12"/>
      <w:szCs w:val="12"/>
    </w:rPr>
  </w:style>
  <w:style w:type="paragraph" w:customStyle="1" w:styleId="Heading8pNormalRight01">
    <w:name w:val="Heading_8p_Normal_Right_0.1"/>
    <w:qFormat/>
    <w:pPr>
      <w:ind w:right="57"/>
      <w:jc w:val="right"/>
    </w:pPr>
    <w:rPr>
      <w:rFonts w:ascii="Verdana" w:hAnsi="Verdana" w:cs="Calibri"/>
      <w:bCs/>
      <w:color w:val="FFFFFF"/>
      <w:sz w:val="16"/>
      <w:szCs w:val="22"/>
    </w:rPr>
  </w:style>
  <w:style w:type="paragraph" w:customStyle="1" w:styleId="Text8pItalicBoldLeft">
    <w:name w:val="Text_8p_ItalicBold_Left"/>
    <w:basedOn w:val="Text9pItalicLeft"/>
    <w:qFormat/>
    <w:rPr>
      <w:b/>
      <w:sz w:val="16"/>
    </w:rPr>
  </w:style>
  <w:style w:type="paragraph" w:customStyle="1" w:styleId="Figures8pItalicBoldRight025">
    <w:name w:val="Figures_8p_ItalicBold_Right_0.25"/>
    <w:basedOn w:val="Figures8pBoldRight025"/>
    <w:qFormat/>
    <w:rPr>
      <w:i/>
    </w:rPr>
  </w:style>
  <w:style w:type="paragraph" w:customStyle="1" w:styleId="Heading7pBoldLeft">
    <w:name w:val="Heading_7p_Bold_Left"/>
    <w:qFormat/>
    <w:rPr>
      <w:rFonts w:ascii="Verdana" w:eastAsia="Calibri" w:hAnsi="Verdana"/>
      <w:b/>
      <w:noProof/>
      <w:sz w:val="14"/>
      <w:szCs w:val="18"/>
      <w:lang w:eastAsia="en-US"/>
    </w:rPr>
  </w:style>
  <w:style w:type="paragraph" w:customStyle="1" w:styleId="ListBullet1">
    <w:name w:val="List Bullet 1"/>
    <w:basedOn w:val="Normal"/>
    <w:pPr>
      <w:numPr>
        <w:numId w:val="21"/>
      </w:numPr>
      <w:spacing w:before="120" w:after="120"/>
      <w:jc w:val="both"/>
    </w:pPr>
    <w:rPr>
      <w:lang w:eastAsia="de-DE"/>
    </w:rPr>
  </w:style>
  <w:style w:type="paragraph" w:customStyle="1" w:styleId="Text1">
    <w:name w:val="Text 1"/>
    <w:basedOn w:val="Normal"/>
    <w:pPr>
      <w:spacing w:before="120" w:after="120"/>
      <w:jc w:val="both"/>
    </w:pPr>
  </w:style>
  <w:style w:type="paragraph" w:customStyle="1" w:styleId="Header0">
    <w:name w:val="Header_0"/>
    <w:basedOn w:val="Normal0"/>
    <w:link w:val="HeaderChar0"/>
    <w:pPr>
      <w:tabs>
        <w:tab w:val="center" w:pos="4153"/>
        <w:tab w:val="right" w:pos="8306"/>
      </w:tabs>
    </w:pPr>
  </w:style>
  <w:style w:type="paragraph" w:customStyle="1" w:styleId="Normal0">
    <w:name w:val="Normal_0"/>
    <w:qFormat/>
    <w:pPr>
      <w:suppressAutoHyphens/>
    </w:pPr>
    <w:rPr>
      <w:sz w:val="24"/>
      <w:szCs w:val="24"/>
      <w:lang w:eastAsia="ar-SA"/>
    </w:rPr>
  </w:style>
  <w:style w:type="character" w:customStyle="1" w:styleId="HeaderChar0">
    <w:name w:val="Header Char_0"/>
    <w:link w:val="Header0"/>
    <w:rPr>
      <w:sz w:val="24"/>
      <w:szCs w:val="24"/>
      <w:lang w:val="en-GB" w:eastAsia="ar-SA" w:bidi="ar-SA"/>
    </w:rPr>
  </w:style>
  <w:style w:type="paragraph" w:customStyle="1" w:styleId="Notes0">
    <w:name w:val="Notes_0"/>
    <w:basedOn w:val="Header0"/>
    <w:link w:val="NotesChar0"/>
    <w:pPr>
      <w:numPr>
        <w:numId w:val="23"/>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0">
    <w:name w:val="Title 1.1_0"/>
    <w:basedOn w:val="Notes0"/>
    <w:pPr>
      <w:numPr>
        <w:ilvl w:val="1"/>
      </w:numPr>
      <w:tabs>
        <w:tab w:val="clear" w:pos="4320"/>
        <w:tab w:val="clear" w:pos="8640"/>
        <w:tab w:val="right" w:pos="-2700"/>
        <w:tab w:val="right" w:pos="720"/>
      </w:tabs>
      <w:spacing w:before="0" w:after="0"/>
    </w:pPr>
    <w:rPr>
      <w:b w:val="0"/>
      <w:szCs w:val="20"/>
      <w:lang w:val="en-GB"/>
    </w:rPr>
  </w:style>
  <w:style w:type="character" w:customStyle="1" w:styleId="NotesChar0">
    <w:name w:val="Notes Char_0"/>
    <w:link w:val="Notes0"/>
    <w:rPr>
      <w:rFonts w:ascii="Arial" w:hAnsi="Arial"/>
      <w:b/>
      <w:szCs w:val="24"/>
      <w:lang w:val="en-US" w:eastAsia="ar-SA"/>
    </w:rPr>
  </w:style>
  <w:style w:type="paragraph" w:customStyle="1" w:styleId="Title10">
    <w:name w:val="Title 1_0"/>
    <w:basedOn w:val="Notes0"/>
    <w:pPr>
      <w:spacing w:before="0" w:after="0"/>
    </w:pPr>
  </w:style>
  <w:style w:type="paragraph" w:customStyle="1" w:styleId="Notes1">
    <w:name w:val="Notes_1"/>
    <w:basedOn w:val="Header1"/>
    <w:link w:val="NotesChar1"/>
    <w:pPr>
      <w:numPr>
        <w:numId w:val="26"/>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1">
    <w:name w:val="Title 1.1_1"/>
    <w:basedOn w:val="Notes1"/>
    <w:pPr>
      <w:numPr>
        <w:ilvl w:val="1"/>
      </w:numPr>
      <w:tabs>
        <w:tab w:val="clear" w:pos="4320"/>
        <w:tab w:val="clear" w:pos="8640"/>
        <w:tab w:val="right" w:pos="-2700"/>
        <w:tab w:val="right" w:pos="720"/>
      </w:tabs>
      <w:spacing w:before="0" w:after="0"/>
    </w:pPr>
    <w:rPr>
      <w:b w:val="0"/>
      <w:szCs w:val="20"/>
      <w:lang w:val="en-GB"/>
    </w:rPr>
  </w:style>
  <w:style w:type="paragraph" w:customStyle="1" w:styleId="Header1">
    <w:name w:val="Header_1"/>
    <w:basedOn w:val="Normal2"/>
    <w:link w:val="HeaderChar1"/>
    <w:pPr>
      <w:tabs>
        <w:tab w:val="center" w:pos="4153"/>
        <w:tab w:val="right" w:pos="8306"/>
      </w:tabs>
    </w:pPr>
  </w:style>
  <w:style w:type="paragraph" w:customStyle="1" w:styleId="Normal2">
    <w:name w:val="Normal_2"/>
    <w:qFormat/>
    <w:pPr>
      <w:suppressAutoHyphens/>
    </w:pPr>
    <w:rPr>
      <w:sz w:val="24"/>
      <w:szCs w:val="24"/>
      <w:lang w:eastAsia="ar-SA"/>
    </w:rPr>
  </w:style>
  <w:style w:type="character" w:customStyle="1" w:styleId="HeaderChar1">
    <w:name w:val="Header Char_1"/>
    <w:link w:val="Header1"/>
    <w:rPr>
      <w:sz w:val="24"/>
      <w:szCs w:val="24"/>
      <w:lang w:val="en-GB" w:eastAsia="ar-SA" w:bidi="ar-SA"/>
    </w:rPr>
  </w:style>
  <w:style w:type="character" w:customStyle="1" w:styleId="NotesChar1">
    <w:name w:val="Notes Char_1"/>
    <w:link w:val="Notes1"/>
    <w:rPr>
      <w:rFonts w:ascii="Arial" w:hAnsi="Arial"/>
      <w:b/>
      <w:szCs w:val="24"/>
      <w:lang w:val="en-US" w:eastAsia="ar-SA"/>
    </w:rPr>
  </w:style>
  <w:style w:type="paragraph" w:customStyle="1" w:styleId="Title11a">
    <w:name w:val="Title 1_1"/>
    <w:basedOn w:val="Notes1"/>
    <w:pPr>
      <w:spacing w:before="0" w:after="0"/>
    </w:pPr>
  </w:style>
  <w:style w:type="paragraph" w:customStyle="1" w:styleId="NotesText0">
    <w:name w:val="Notes Text_0"/>
    <w:basedOn w:val="Normal2"/>
    <w:pPr>
      <w:spacing w:after="60" w:line="180" w:lineRule="atLeast"/>
      <w:jc w:val="both"/>
    </w:pPr>
    <w:rPr>
      <w:rFonts w:ascii="Arial" w:hAnsi="Arial" w:cs="Arial"/>
      <w:sz w:val="15"/>
      <w:szCs w:val="15"/>
    </w:rPr>
  </w:style>
  <w:style w:type="paragraph" w:customStyle="1" w:styleId="ListParagraph0">
    <w:name w:val="List Paragraph_0"/>
    <w:basedOn w:val="Normal2"/>
    <w:uiPriority w:val="34"/>
    <w:qFormat/>
    <w:pPr>
      <w:ind w:left="720"/>
      <w:contextualSpacing/>
    </w:pPr>
  </w:style>
  <w:style w:type="paragraph" w:customStyle="1" w:styleId="Title1110">
    <w:name w:val="Title 1.1.1_0"/>
    <w:basedOn w:val="Notes1"/>
    <w:link w:val="Title111Char0"/>
    <w:pPr>
      <w:numPr>
        <w:ilvl w:val="2"/>
        <w:numId w:val="32"/>
      </w:numPr>
      <w:tabs>
        <w:tab w:val="clear" w:pos="4320"/>
        <w:tab w:val="clear" w:pos="8640"/>
        <w:tab w:val="right" w:pos="-2700"/>
      </w:tabs>
      <w:spacing w:before="0" w:after="0"/>
    </w:pPr>
    <w:rPr>
      <w:b w:val="0"/>
      <w:szCs w:val="20"/>
      <w:lang w:val="en-GB"/>
    </w:rPr>
  </w:style>
  <w:style w:type="character" w:customStyle="1" w:styleId="Title111Char0">
    <w:name w:val="Title 1.1.1 Char_0"/>
    <w:link w:val="Title1110"/>
    <w:rPr>
      <w:rFonts w:ascii="Arial" w:hAnsi="Arial"/>
      <w:lang w:eastAsia="ar-SA"/>
    </w:rPr>
  </w:style>
  <w:style w:type="paragraph" w:customStyle="1" w:styleId="xx0">
    <w:name w:val="xx_0"/>
    <w:basedOn w:val="Normal2"/>
    <w:pPr>
      <w:jc w:val="both"/>
    </w:pPr>
    <w:rPr>
      <w:rFonts w:ascii="Univers (WN)" w:hAnsi="Univers (WN)"/>
      <w:sz w:val="20"/>
      <w:szCs w:val="20"/>
    </w:rPr>
  </w:style>
  <w:style w:type="paragraph" w:customStyle="1" w:styleId="Notes2">
    <w:name w:val="Notes_2"/>
    <w:basedOn w:val="Header2"/>
    <w:link w:val="NotesChar2"/>
    <w:pPr>
      <w:numPr>
        <w:numId w:val="39"/>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2">
    <w:name w:val="Title 1.1_2"/>
    <w:basedOn w:val="Notes2"/>
    <w:pPr>
      <w:numPr>
        <w:ilvl w:val="1"/>
      </w:numPr>
      <w:tabs>
        <w:tab w:val="clear" w:pos="4320"/>
        <w:tab w:val="clear" w:pos="8640"/>
        <w:tab w:val="right" w:pos="-2700"/>
        <w:tab w:val="right" w:pos="720"/>
      </w:tabs>
      <w:spacing w:before="0" w:after="0"/>
    </w:pPr>
    <w:rPr>
      <w:b w:val="0"/>
      <w:szCs w:val="20"/>
      <w:lang w:val="en-GB"/>
    </w:rPr>
  </w:style>
  <w:style w:type="paragraph" w:customStyle="1" w:styleId="Header2">
    <w:name w:val="Header_2"/>
    <w:basedOn w:val="Normal3"/>
    <w:link w:val="HeaderChar2"/>
    <w:pPr>
      <w:tabs>
        <w:tab w:val="center" w:pos="4153"/>
        <w:tab w:val="right" w:pos="8306"/>
      </w:tabs>
    </w:pPr>
  </w:style>
  <w:style w:type="paragraph" w:customStyle="1" w:styleId="Normal3">
    <w:name w:val="Normal_3"/>
    <w:qFormat/>
    <w:pPr>
      <w:suppressAutoHyphens/>
    </w:pPr>
    <w:rPr>
      <w:sz w:val="24"/>
      <w:szCs w:val="24"/>
      <w:lang w:eastAsia="ar-SA"/>
    </w:rPr>
  </w:style>
  <w:style w:type="character" w:customStyle="1" w:styleId="HeaderChar2">
    <w:name w:val="Header Char_2"/>
    <w:link w:val="Header2"/>
    <w:rPr>
      <w:sz w:val="24"/>
      <w:szCs w:val="24"/>
      <w:lang w:val="en-GB" w:eastAsia="ar-SA" w:bidi="ar-SA"/>
    </w:rPr>
  </w:style>
  <w:style w:type="character" w:customStyle="1" w:styleId="NotesChar2">
    <w:name w:val="Notes Char_2"/>
    <w:link w:val="Notes2"/>
    <w:rPr>
      <w:rFonts w:ascii="Arial" w:hAnsi="Arial"/>
      <w:b/>
      <w:szCs w:val="24"/>
      <w:lang w:val="en-US" w:eastAsia="ar-SA"/>
    </w:rPr>
  </w:style>
  <w:style w:type="paragraph" w:customStyle="1" w:styleId="Title12">
    <w:name w:val="Title 1_2"/>
    <w:basedOn w:val="Notes2"/>
    <w:pPr>
      <w:spacing w:before="0" w:after="0"/>
    </w:pPr>
  </w:style>
  <w:style w:type="paragraph" w:customStyle="1" w:styleId="Title113">
    <w:name w:val="Title 1.1_3"/>
    <w:basedOn w:val="Notes3"/>
    <w:pPr>
      <w:numPr>
        <w:ilvl w:val="1"/>
      </w:numPr>
      <w:tabs>
        <w:tab w:val="clear" w:pos="4320"/>
        <w:tab w:val="clear" w:pos="8640"/>
        <w:tab w:val="right" w:pos="-2700"/>
        <w:tab w:val="right" w:pos="720"/>
      </w:tabs>
      <w:spacing w:before="0" w:after="0"/>
    </w:pPr>
    <w:rPr>
      <w:b w:val="0"/>
      <w:szCs w:val="20"/>
      <w:lang w:val="en-GB"/>
    </w:rPr>
  </w:style>
  <w:style w:type="paragraph" w:customStyle="1" w:styleId="Notes3">
    <w:name w:val="Notes_3"/>
    <w:basedOn w:val="Header3"/>
    <w:link w:val="NotesChar3"/>
    <w:pPr>
      <w:numPr>
        <w:numId w:val="41"/>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Header3">
    <w:name w:val="Header_3"/>
    <w:basedOn w:val="Normal4"/>
    <w:link w:val="HeaderChar3"/>
    <w:pPr>
      <w:tabs>
        <w:tab w:val="center" w:pos="4153"/>
        <w:tab w:val="right" w:pos="8306"/>
      </w:tabs>
    </w:pPr>
  </w:style>
  <w:style w:type="paragraph" w:customStyle="1" w:styleId="Normal4">
    <w:name w:val="Normal_4"/>
    <w:qFormat/>
    <w:pPr>
      <w:suppressAutoHyphens/>
    </w:pPr>
    <w:rPr>
      <w:sz w:val="24"/>
      <w:szCs w:val="24"/>
      <w:lang w:eastAsia="ar-SA"/>
    </w:rPr>
  </w:style>
  <w:style w:type="character" w:customStyle="1" w:styleId="HeaderChar3">
    <w:name w:val="Header Char_3"/>
    <w:link w:val="Header3"/>
    <w:rPr>
      <w:sz w:val="24"/>
      <w:szCs w:val="24"/>
      <w:lang w:val="en-GB" w:eastAsia="ar-SA" w:bidi="ar-SA"/>
    </w:rPr>
  </w:style>
  <w:style w:type="character" w:customStyle="1" w:styleId="NotesChar3">
    <w:name w:val="Notes Char_3"/>
    <w:link w:val="Notes3"/>
    <w:rPr>
      <w:rFonts w:ascii="Arial" w:hAnsi="Arial"/>
      <w:b/>
      <w:szCs w:val="24"/>
      <w:lang w:val="en-US" w:eastAsia="ar-SA"/>
    </w:rPr>
  </w:style>
  <w:style w:type="character" w:customStyle="1" w:styleId="Title111Char1">
    <w:name w:val="Title 1.1.1 Char_1"/>
    <w:link w:val="Title1111"/>
    <w:rPr>
      <w:rFonts w:ascii="Arial" w:hAnsi="Arial"/>
      <w:lang w:eastAsia="ar-SA"/>
    </w:rPr>
  </w:style>
  <w:style w:type="paragraph" w:customStyle="1" w:styleId="Title1111">
    <w:name w:val="Title 1.1.1_1"/>
    <w:basedOn w:val="Notes3"/>
    <w:link w:val="Title111Char1"/>
    <w:pPr>
      <w:numPr>
        <w:ilvl w:val="2"/>
        <w:numId w:val="42"/>
      </w:numPr>
      <w:tabs>
        <w:tab w:val="clear" w:pos="4320"/>
        <w:tab w:val="clear" w:pos="8640"/>
        <w:tab w:val="right" w:pos="-2700"/>
      </w:tabs>
      <w:spacing w:before="0" w:after="0"/>
    </w:pPr>
    <w:rPr>
      <w:b w:val="0"/>
      <w:szCs w:val="20"/>
      <w:lang w:val="en-GB"/>
    </w:rPr>
  </w:style>
  <w:style w:type="paragraph" w:customStyle="1" w:styleId="Title3210">
    <w:name w:val="Title 3.2.1._0"/>
    <w:basedOn w:val="Notes4"/>
    <w:pPr>
      <w:numPr>
        <w:ilvl w:val="2"/>
        <w:numId w:val="44"/>
      </w:numPr>
      <w:tabs>
        <w:tab w:val="clear" w:pos="4320"/>
        <w:tab w:val="clear" w:pos="8640"/>
        <w:tab w:val="right" w:pos="-2700"/>
      </w:tabs>
      <w:spacing w:before="240"/>
    </w:pPr>
    <w:rPr>
      <w:szCs w:val="20"/>
      <w:lang w:val="en-GB"/>
    </w:rPr>
  </w:style>
  <w:style w:type="paragraph" w:customStyle="1" w:styleId="Notes4">
    <w:name w:val="Notes_4"/>
    <w:basedOn w:val="Header4"/>
    <w:link w:val="NotesChar4"/>
    <w:pPr>
      <w:numPr>
        <w:numId w:val="45"/>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4">
    <w:name w:val="Title 1.1_4"/>
    <w:basedOn w:val="Notes4"/>
    <w:pPr>
      <w:numPr>
        <w:ilvl w:val="1"/>
      </w:numPr>
      <w:tabs>
        <w:tab w:val="clear" w:pos="4320"/>
        <w:tab w:val="clear" w:pos="8640"/>
        <w:tab w:val="right" w:pos="-2700"/>
        <w:tab w:val="right" w:pos="720"/>
      </w:tabs>
      <w:spacing w:before="0" w:after="0"/>
    </w:pPr>
    <w:rPr>
      <w:b w:val="0"/>
      <w:szCs w:val="20"/>
      <w:lang w:val="en-GB"/>
    </w:rPr>
  </w:style>
  <w:style w:type="paragraph" w:customStyle="1" w:styleId="Header4">
    <w:name w:val="Header_4"/>
    <w:basedOn w:val="Normal5"/>
    <w:link w:val="HeaderChar4"/>
    <w:pPr>
      <w:tabs>
        <w:tab w:val="center" w:pos="4153"/>
        <w:tab w:val="right" w:pos="8306"/>
      </w:tabs>
    </w:pPr>
  </w:style>
  <w:style w:type="paragraph" w:customStyle="1" w:styleId="Normal5">
    <w:name w:val="Normal_5"/>
    <w:qFormat/>
    <w:pPr>
      <w:suppressAutoHyphens/>
    </w:pPr>
    <w:rPr>
      <w:sz w:val="24"/>
      <w:szCs w:val="24"/>
      <w:lang w:eastAsia="ar-SA"/>
    </w:rPr>
  </w:style>
  <w:style w:type="character" w:customStyle="1" w:styleId="HeaderChar4">
    <w:name w:val="Header Char_4"/>
    <w:link w:val="Header4"/>
    <w:rPr>
      <w:sz w:val="24"/>
      <w:szCs w:val="24"/>
      <w:lang w:val="en-GB" w:eastAsia="ar-SA" w:bidi="ar-SA"/>
    </w:rPr>
  </w:style>
  <w:style w:type="character" w:customStyle="1" w:styleId="NotesChar4">
    <w:name w:val="Notes Char_4"/>
    <w:link w:val="Notes4"/>
    <w:rPr>
      <w:rFonts w:ascii="Arial" w:hAnsi="Arial"/>
      <w:b/>
      <w:szCs w:val="24"/>
      <w:lang w:val="en-US" w:eastAsia="ar-SA"/>
    </w:rPr>
  </w:style>
  <w:style w:type="paragraph" w:customStyle="1" w:styleId="Normal6">
    <w:name w:val="Normal_6"/>
    <w:qFormat/>
    <w:pPr>
      <w:suppressAutoHyphens/>
    </w:pPr>
    <w:rPr>
      <w:sz w:val="24"/>
      <w:szCs w:val="24"/>
      <w:lang w:eastAsia="ar-SA"/>
    </w:rPr>
  </w:style>
  <w:style w:type="paragraph" w:customStyle="1" w:styleId="Title3211">
    <w:name w:val="Title 3.2.1._1"/>
    <w:basedOn w:val="Notes5"/>
    <w:pPr>
      <w:numPr>
        <w:ilvl w:val="2"/>
        <w:numId w:val="46"/>
      </w:numPr>
      <w:tabs>
        <w:tab w:val="clear" w:pos="4320"/>
        <w:tab w:val="clear" w:pos="8640"/>
        <w:tab w:val="right" w:pos="-2700"/>
      </w:tabs>
      <w:spacing w:before="240"/>
    </w:pPr>
    <w:rPr>
      <w:szCs w:val="20"/>
      <w:lang w:val="en-GB"/>
    </w:rPr>
  </w:style>
  <w:style w:type="paragraph" w:customStyle="1" w:styleId="Notes5">
    <w:name w:val="Notes_5"/>
    <w:basedOn w:val="Header50"/>
    <w:link w:val="NotesChar5"/>
    <w:pPr>
      <w:numPr>
        <w:numId w:val="47"/>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5">
    <w:name w:val="Title 1.1_5"/>
    <w:basedOn w:val="Notes5"/>
    <w:pPr>
      <w:numPr>
        <w:ilvl w:val="1"/>
      </w:numPr>
      <w:tabs>
        <w:tab w:val="clear" w:pos="4320"/>
        <w:tab w:val="clear" w:pos="8640"/>
        <w:tab w:val="right" w:pos="-2700"/>
        <w:tab w:val="right" w:pos="720"/>
      </w:tabs>
      <w:spacing w:before="0" w:after="0"/>
    </w:pPr>
    <w:rPr>
      <w:b w:val="0"/>
      <w:szCs w:val="20"/>
      <w:lang w:val="en-GB"/>
    </w:rPr>
  </w:style>
  <w:style w:type="paragraph" w:customStyle="1" w:styleId="Header50">
    <w:name w:val="Header_5"/>
    <w:basedOn w:val="Normal6"/>
    <w:link w:val="HeaderChar5"/>
    <w:pPr>
      <w:tabs>
        <w:tab w:val="center" w:pos="4153"/>
        <w:tab w:val="right" w:pos="8306"/>
      </w:tabs>
    </w:pPr>
  </w:style>
  <w:style w:type="character" w:customStyle="1" w:styleId="HeaderChar5">
    <w:name w:val="Header Char_5"/>
    <w:link w:val="Header50"/>
    <w:rPr>
      <w:sz w:val="24"/>
      <w:szCs w:val="24"/>
      <w:lang w:val="en-GB" w:eastAsia="ar-SA" w:bidi="ar-SA"/>
    </w:rPr>
  </w:style>
  <w:style w:type="character" w:customStyle="1" w:styleId="NotesChar5">
    <w:name w:val="Notes Char_5"/>
    <w:link w:val="Notes5"/>
    <w:rPr>
      <w:rFonts w:ascii="Arial" w:hAnsi="Arial"/>
      <w:b/>
      <w:szCs w:val="24"/>
      <w:lang w:val="en-US" w:eastAsia="ar-SA"/>
    </w:rPr>
  </w:style>
  <w:style w:type="paragraph" w:customStyle="1" w:styleId="Listi0">
    <w:name w:val="List i)_0"/>
    <w:basedOn w:val="Normal6"/>
    <w:next w:val="Normal6"/>
    <w:pPr>
      <w:keepNext/>
      <w:numPr>
        <w:numId w:val="50"/>
      </w:numPr>
      <w:tabs>
        <w:tab w:val="clear" w:pos="1080"/>
        <w:tab w:val="num" w:pos="180"/>
      </w:tabs>
      <w:suppressAutoHyphens w:val="0"/>
      <w:autoSpaceDE w:val="0"/>
      <w:autoSpaceDN w:val="0"/>
      <w:adjustRightInd w:val="0"/>
      <w:spacing w:after="80" w:line="190" w:lineRule="atLeast"/>
      <w:ind w:left="180" w:hanging="180"/>
      <w:jc w:val="both"/>
    </w:pPr>
    <w:rPr>
      <w:rFonts w:ascii="Arial" w:hAnsi="Arial"/>
      <w:noProof/>
      <w:sz w:val="15"/>
      <w:szCs w:val="20"/>
      <w:lang w:eastAsia="en-GB"/>
    </w:rPr>
  </w:style>
  <w:style w:type="paragraph" w:customStyle="1" w:styleId="Notes6">
    <w:name w:val="Notes_6"/>
    <w:basedOn w:val="Header6"/>
    <w:link w:val="NotesChar6"/>
    <w:pPr>
      <w:numPr>
        <w:numId w:val="51"/>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6">
    <w:name w:val="Title 1.1_6"/>
    <w:basedOn w:val="Notes6"/>
    <w:pPr>
      <w:numPr>
        <w:ilvl w:val="1"/>
      </w:numPr>
      <w:tabs>
        <w:tab w:val="clear" w:pos="4320"/>
        <w:tab w:val="clear" w:pos="8640"/>
        <w:tab w:val="right" w:pos="-2700"/>
        <w:tab w:val="right" w:pos="720"/>
      </w:tabs>
      <w:spacing w:before="0" w:after="0"/>
    </w:pPr>
    <w:rPr>
      <w:b w:val="0"/>
      <w:szCs w:val="20"/>
      <w:lang w:val="en-GB"/>
    </w:rPr>
  </w:style>
  <w:style w:type="paragraph" w:customStyle="1" w:styleId="Header6">
    <w:name w:val="Header_6"/>
    <w:basedOn w:val="Normal7"/>
    <w:link w:val="HeaderChar6"/>
    <w:pPr>
      <w:tabs>
        <w:tab w:val="center" w:pos="4153"/>
        <w:tab w:val="right" w:pos="8306"/>
      </w:tabs>
    </w:pPr>
  </w:style>
  <w:style w:type="paragraph" w:customStyle="1" w:styleId="Normal7">
    <w:name w:val="Normal_7"/>
    <w:qFormat/>
    <w:pPr>
      <w:suppressAutoHyphens/>
    </w:pPr>
    <w:rPr>
      <w:sz w:val="24"/>
      <w:szCs w:val="24"/>
      <w:lang w:eastAsia="ar-SA"/>
    </w:rPr>
  </w:style>
  <w:style w:type="character" w:customStyle="1" w:styleId="HeaderChar6">
    <w:name w:val="Header Char_6"/>
    <w:link w:val="Header6"/>
    <w:rPr>
      <w:sz w:val="24"/>
      <w:szCs w:val="24"/>
      <w:lang w:val="en-GB" w:eastAsia="ar-SA" w:bidi="ar-SA"/>
    </w:rPr>
  </w:style>
  <w:style w:type="character" w:customStyle="1" w:styleId="NotesChar6">
    <w:name w:val="Notes Char_6"/>
    <w:link w:val="Notes6"/>
    <w:rPr>
      <w:rFonts w:ascii="Arial" w:hAnsi="Arial"/>
      <w:b/>
      <w:szCs w:val="24"/>
      <w:lang w:val="en-US" w:eastAsia="ar-SA"/>
    </w:rPr>
  </w:style>
  <w:style w:type="paragraph" w:customStyle="1" w:styleId="Notes7">
    <w:name w:val="Notes_7"/>
    <w:basedOn w:val="Header7"/>
    <w:link w:val="NotesChar7"/>
    <w:pPr>
      <w:numPr>
        <w:numId w:val="53"/>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7">
    <w:name w:val="Title 1.1_7"/>
    <w:basedOn w:val="Notes7"/>
    <w:pPr>
      <w:numPr>
        <w:ilvl w:val="1"/>
      </w:numPr>
      <w:tabs>
        <w:tab w:val="clear" w:pos="4320"/>
        <w:tab w:val="clear" w:pos="8640"/>
        <w:tab w:val="right" w:pos="-2700"/>
        <w:tab w:val="right" w:pos="720"/>
      </w:tabs>
      <w:spacing w:before="0" w:after="0"/>
    </w:pPr>
    <w:rPr>
      <w:b w:val="0"/>
      <w:szCs w:val="20"/>
      <w:lang w:val="en-GB"/>
    </w:rPr>
  </w:style>
  <w:style w:type="paragraph" w:customStyle="1" w:styleId="Header7">
    <w:name w:val="Header_7"/>
    <w:basedOn w:val="Normal9"/>
    <w:link w:val="HeaderChar7"/>
    <w:pPr>
      <w:tabs>
        <w:tab w:val="center" w:pos="4153"/>
        <w:tab w:val="right" w:pos="8306"/>
      </w:tabs>
    </w:pPr>
  </w:style>
  <w:style w:type="paragraph" w:customStyle="1" w:styleId="Normal9">
    <w:name w:val="Normal_9"/>
    <w:qFormat/>
    <w:pPr>
      <w:suppressAutoHyphens/>
    </w:pPr>
    <w:rPr>
      <w:sz w:val="24"/>
      <w:szCs w:val="24"/>
      <w:lang w:eastAsia="ar-SA"/>
    </w:rPr>
  </w:style>
  <w:style w:type="character" w:customStyle="1" w:styleId="HeaderChar7">
    <w:name w:val="Header Char_7"/>
    <w:link w:val="Header7"/>
    <w:rPr>
      <w:sz w:val="24"/>
      <w:szCs w:val="24"/>
      <w:lang w:val="en-GB" w:eastAsia="ar-SA" w:bidi="ar-SA"/>
    </w:rPr>
  </w:style>
  <w:style w:type="character" w:customStyle="1" w:styleId="NotesChar7">
    <w:name w:val="Notes Char_7"/>
    <w:link w:val="Notes7"/>
    <w:rPr>
      <w:rFonts w:ascii="Arial" w:hAnsi="Arial"/>
      <w:b/>
      <w:szCs w:val="24"/>
      <w:lang w:val="en-US" w:eastAsia="ar-SA"/>
    </w:rPr>
  </w:style>
  <w:style w:type="paragraph" w:customStyle="1" w:styleId="Notes8">
    <w:name w:val="Notes_8"/>
    <w:basedOn w:val="Header8"/>
    <w:link w:val="NotesChar8"/>
    <w:pPr>
      <w:numPr>
        <w:numId w:val="55"/>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8">
    <w:name w:val="Title 1.1_8"/>
    <w:basedOn w:val="Notes8"/>
    <w:pPr>
      <w:numPr>
        <w:ilvl w:val="1"/>
      </w:numPr>
      <w:tabs>
        <w:tab w:val="clear" w:pos="4320"/>
        <w:tab w:val="clear" w:pos="8640"/>
        <w:tab w:val="right" w:pos="-2700"/>
        <w:tab w:val="right" w:pos="720"/>
      </w:tabs>
      <w:spacing w:before="0" w:after="0"/>
    </w:pPr>
    <w:rPr>
      <w:b w:val="0"/>
      <w:szCs w:val="20"/>
      <w:lang w:val="en-GB"/>
    </w:rPr>
  </w:style>
  <w:style w:type="paragraph" w:customStyle="1" w:styleId="Header8">
    <w:name w:val="Header_8"/>
    <w:basedOn w:val="Normal10"/>
    <w:link w:val="HeaderChar8"/>
    <w:pPr>
      <w:tabs>
        <w:tab w:val="center" w:pos="4153"/>
        <w:tab w:val="right" w:pos="8306"/>
      </w:tabs>
    </w:pPr>
  </w:style>
  <w:style w:type="paragraph" w:customStyle="1" w:styleId="Normal10">
    <w:name w:val="Normal_10"/>
    <w:qFormat/>
    <w:pPr>
      <w:suppressAutoHyphens/>
    </w:pPr>
    <w:rPr>
      <w:sz w:val="24"/>
      <w:szCs w:val="24"/>
      <w:lang w:eastAsia="ar-SA"/>
    </w:rPr>
  </w:style>
  <w:style w:type="character" w:customStyle="1" w:styleId="HeaderChar8">
    <w:name w:val="Header Char_8"/>
    <w:link w:val="Header8"/>
    <w:rPr>
      <w:sz w:val="24"/>
      <w:szCs w:val="24"/>
      <w:lang w:val="en-GB" w:eastAsia="ar-SA" w:bidi="ar-SA"/>
    </w:rPr>
  </w:style>
  <w:style w:type="character" w:customStyle="1" w:styleId="NotesChar8">
    <w:name w:val="Notes Char_8"/>
    <w:link w:val="Notes8"/>
    <w:rPr>
      <w:rFonts w:ascii="Arial" w:hAnsi="Arial"/>
      <w:b/>
      <w:szCs w:val="24"/>
      <w:lang w:val="en-US" w:eastAsia="ar-SA"/>
    </w:rPr>
  </w:style>
  <w:style w:type="paragraph" w:customStyle="1" w:styleId="Notes9">
    <w:name w:val="Notes_9"/>
    <w:basedOn w:val="Header9"/>
    <w:link w:val="NotesChar9"/>
    <w:pPr>
      <w:numPr>
        <w:numId w:val="57"/>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9">
    <w:name w:val="Title 1.1_9"/>
    <w:basedOn w:val="Notes9"/>
    <w:pPr>
      <w:numPr>
        <w:ilvl w:val="1"/>
      </w:numPr>
      <w:tabs>
        <w:tab w:val="clear" w:pos="4320"/>
        <w:tab w:val="clear" w:pos="8640"/>
        <w:tab w:val="right" w:pos="-2700"/>
        <w:tab w:val="right" w:pos="720"/>
      </w:tabs>
      <w:spacing w:before="0" w:after="0"/>
    </w:pPr>
    <w:rPr>
      <w:b w:val="0"/>
      <w:szCs w:val="20"/>
      <w:lang w:val="en-GB"/>
    </w:rPr>
  </w:style>
  <w:style w:type="paragraph" w:customStyle="1" w:styleId="Header9">
    <w:name w:val="Header_9"/>
    <w:basedOn w:val="Normal11"/>
    <w:link w:val="HeaderChar9"/>
    <w:pPr>
      <w:tabs>
        <w:tab w:val="center" w:pos="4153"/>
        <w:tab w:val="right" w:pos="8306"/>
      </w:tabs>
    </w:pPr>
  </w:style>
  <w:style w:type="paragraph" w:customStyle="1" w:styleId="Normal11">
    <w:name w:val="Normal_11"/>
    <w:qFormat/>
    <w:pPr>
      <w:suppressAutoHyphens/>
    </w:pPr>
    <w:rPr>
      <w:sz w:val="24"/>
      <w:szCs w:val="24"/>
      <w:lang w:eastAsia="ar-SA"/>
    </w:rPr>
  </w:style>
  <w:style w:type="character" w:customStyle="1" w:styleId="HeaderChar9">
    <w:name w:val="Header Char_9"/>
    <w:link w:val="Header9"/>
    <w:rPr>
      <w:sz w:val="24"/>
      <w:szCs w:val="24"/>
      <w:lang w:val="en-GB" w:eastAsia="ar-SA" w:bidi="ar-SA"/>
    </w:rPr>
  </w:style>
  <w:style w:type="character" w:customStyle="1" w:styleId="NotesChar9">
    <w:name w:val="Notes Char_9"/>
    <w:link w:val="Notes9"/>
    <w:rPr>
      <w:rFonts w:ascii="Arial" w:hAnsi="Arial"/>
      <w:b/>
      <w:szCs w:val="24"/>
      <w:lang w:val="en-US" w:eastAsia="ar-SA"/>
    </w:rPr>
  </w:style>
  <w:style w:type="paragraph" w:customStyle="1" w:styleId="Notes10">
    <w:name w:val="Notes_10"/>
    <w:basedOn w:val="Header10"/>
    <w:link w:val="NotesChar10"/>
    <w:pPr>
      <w:numPr>
        <w:numId w:val="59"/>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100">
    <w:name w:val="Title 1.1_10"/>
    <w:basedOn w:val="Notes10"/>
    <w:pPr>
      <w:numPr>
        <w:ilvl w:val="1"/>
      </w:numPr>
      <w:tabs>
        <w:tab w:val="clear" w:pos="4320"/>
        <w:tab w:val="clear" w:pos="8640"/>
        <w:tab w:val="right" w:pos="-2700"/>
        <w:tab w:val="right" w:pos="720"/>
      </w:tabs>
      <w:spacing w:before="0" w:after="0"/>
    </w:pPr>
    <w:rPr>
      <w:b w:val="0"/>
      <w:szCs w:val="20"/>
      <w:lang w:val="en-GB"/>
    </w:rPr>
  </w:style>
  <w:style w:type="paragraph" w:customStyle="1" w:styleId="Header10">
    <w:name w:val="Header_10"/>
    <w:basedOn w:val="Normal12"/>
    <w:link w:val="HeaderChar10"/>
    <w:pPr>
      <w:tabs>
        <w:tab w:val="center" w:pos="4153"/>
        <w:tab w:val="right" w:pos="8306"/>
      </w:tabs>
    </w:pPr>
  </w:style>
  <w:style w:type="paragraph" w:customStyle="1" w:styleId="Normal12">
    <w:name w:val="Normal_12"/>
    <w:qFormat/>
    <w:pPr>
      <w:suppressAutoHyphens/>
    </w:pPr>
    <w:rPr>
      <w:sz w:val="24"/>
      <w:szCs w:val="24"/>
      <w:lang w:eastAsia="ar-SA"/>
    </w:rPr>
  </w:style>
  <w:style w:type="character" w:customStyle="1" w:styleId="HeaderChar10">
    <w:name w:val="Header Char_10"/>
    <w:link w:val="Header10"/>
    <w:rPr>
      <w:sz w:val="24"/>
      <w:szCs w:val="24"/>
      <w:lang w:val="en-GB" w:eastAsia="ar-SA" w:bidi="ar-SA"/>
    </w:rPr>
  </w:style>
  <w:style w:type="character" w:customStyle="1" w:styleId="NotesChar10">
    <w:name w:val="Notes Char_10"/>
    <w:link w:val="Notes10"/>
    <w:rPr>
      <w:rFonts w:ascii="Arial" w:hAnsi="Arial"/>
      <w:b/>
      <w:szCs w:val="24"/>
      <w:lang w:val="en-US" w:eastAsia="ar-SA"/>
    </w:rPr>
  </w:style>
  <w:style w:type="paragraph" w:customStyle="1" w:styleId="Notes11">
    <w:name w:val="Notes_11"/>
    <w:basedOn w:val="Header11"/>
    <w:link w:val="NotesChar11"/>
    <w:pPr>
      <w:numPr>
        <w:numId w:val="61"/>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110">
    <w:name w:val="Title 1.1_11"/>
    <w:basedOn w:val="Notes11"/>
    <w:pPr>
      <w:numPr>
        <w:ilvl w:val="1"/>
      </w:numPr>
      <w:tabs>
        <w:tab w:val="clear" w:pos="4320"/>
        <w:tab w:val="clear" w:pos="8640"/>
        <w:tab w:val="right" w:pos="-2700"/>
        <w:tab w:val="right" w:pos="720"/>
      </w:tabs>
      <w:spacing w:before="0" w:after="0"/>
    </w:pPr>
    <w:rPr>
      <w:b w:val="0"/>
      <w:szCs w:val="20"/>
      <w:lang w:val="en-GB"/>
    </w:rPr>
  </w:style>
  <w:style w:type="paragraph" w:customStyle="1" w:styleId="Header11">
    <w:name w:val="Header_11"/>
    <w:basedOn w:val="Normal13"/>
    <w:link w:val="HeaderChar11"/>
    <w:pPr>
      <w:tabs>
        <w:tab w:val="center" w:pos="4153"/>
        <w:tab w:val="right" w:pos="8306"/>
      </w:tabs>
    </w:pPr>
  </w:style>
  <w:style w:type="paragraph" w:customStyle="1" w:styleId="Normal13">
    <w:name w:val="Normal_13"/>
    <w:qFormat/>
    <w:pPr>
      <w:suppressAutoHyphens/>
    </w:pPr>
    <w:rPr>
      <w:sz w:val="24"/>
      <w:szCs w:val="24"/>
      <w:lang w:eastAsia="ar-SA"/>
    </w:rPr>
  </w:style>
  <w:style w:type="character" w:customStyle="1" w:styleId="HeaderChar11">
    <w:name w:val="Header Char_11"/>
    <w:link w:val="Header11"/>
    <w:rPr>
      <w:sz w:val="24"/>
      <w:szCs w:val="24"/>
      <w:lang w:val="en-GB" w:eastAsia="ar-SA" w:bidi="ar-SA"/>
    </w:rPr>
  </w:style>
  <w:style w:type="character" w:customStyle="1" w:styleId="NotesChar11">
    <w:name w:val="Notes Char_11"/>
    <w:link w:val="Notes11"/>
    <w:rPr>
      <w:rFonts w:ascii="Arial" w:hAnsi="Arial"/>
      <w:b/>
      <w:szCs w:val="24"/>
      <w:lang w:val="en-US" w:eastAsia="ar-SA"/>
    </w:rPr>
  </w:style>
  <w:style w:type="paragraph" w:customStyle="1" w:styleId="Title3212">
    <w:name w:val="Title 3.2.1._2"/>
    <w:basedOn w:val="Notes12"/>
    <w:pPr>
      <w:numPr>
        <w:ilvl w:val="2"/>
        <w:numId w:val="63"/>
      </w:numPr>
      <w:tabs>
        <w:tab w:val="clear" w:pos="4320"/>
        <w:tab w:val="clear" w:pos="8640"/>
        <w:tab w:val="right" w:pos="-2700"/>
      </w:tabs>
      <w:spacing w:before="240"/>
    </w:pPr>
    <w:rPr>
      <w:szCs w:val="20"/>
      <w:lang w:val="en-GB"/>
    </w:rPr>
  </w:style>
  <w:style w:type="paragraph" w:customStyle="1" w:styleId="Notes12">
    <w:name w:val="Notes_12"/>
    <w:basedOn w:val="Header12"/>
    <w:link w:val="NotesChar12"/>
    <w:pPr>
      <w:numPr>
        <w:numId w:val="64"/>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12">
    <w:name w:val="Title 1.1_12"/>
    <w:basedOn w:val="Notes12"/>
    <w:pPr>
      <w:numPr>
        <w:ilvl w:val="1"/>
      </w:numPr>
      <w:tabs>
        <w:tab w:val="clear" w:pos="4320"/>
        <w:tab w:val="clear" w:pos="8640"/>
        <w:tab w:val="right" w:pos="-2700"/>
        <w:tab w:val="right" w:pos="720"/>
      </w:tabs>
      <w:spacing w:before="0" w:after="0"/>
    </w:pPr>
    <w:rPr>
      <w:b w:val="0"/>
      <w:szCs w:val="20"/>
      <w:lang w:val="en-GB"/>
    </w:rPr>
  </w:style>
  <w:style w:type="paragraph" w:customStyle="1" w:styleId="Header12">
    <w:name w:val="Header_12"/>
    <w:basedOn w:val="Normal14"/>
    <w:link w:val="HeaderChar12"/>
    <w:pPr>
      <w:tabs>
        <w:tab w:val="center" w:pos="4153"/>
        <w:tab w:val="right" w:pos="8306"/>
      </w:tabs>
    </w:pPr>
  </w:style>
  <w:style w:type="paragraph" w:customStyle="1" w:styleId="Normal14">
    <w:name w:val="Normal_14"/>
    <w:qFormat/>
    <w:pPr>
      <w:suppressAutoHyphens/>
    </w:pPr>
    <w:rPr>
      <w:sz w:val="24"/>
      <w:szCs w:val="24"/>
      <w:lang w:eastAsia="ar-SA"/>
    </w:rPr>
  </w:style>
  <w:style w:type="character" w:customStyle="1" w:styleId="HeaderChar12">
    <w:name w:val="Header Char_12"/>
    <w:link w:val="Header12"/>
    <w:rPr>
      <w:sz w:val="24"/>
      <w:szCs w:val="24"/>
      <w:lang w:val="en-GB" w:eastAsia="ar-SA" w:bidi="ar-SA"/>
    </w:rPr>
  </w:style>
  <w:style w:type="character" w:customStyle="1" w:styleId="NotesChar12">
    <w:name w:val="Notes Char_12"/>
    <w:link w:val="Notes12"/>
    <w:rPr>
      <w:rFonts w:ascii="Arial" w:hAnsi="Arial"/>
      <w:b/>
      <w:szCs w:val="24"/>
      <w:lang w:val="en-US" w:eastAsia="ar-SA"/>
    </w:rPr>
  </w:style>
  <w:style w:type="paragraph" w:customStyle="1" w:styleId="Normal15">
    <w:name w:val="Normal_15"/>
    <w:qFormat/>
    <w:pPr>
      <w:suppressAutoHyphens/>
    </w:pPr>
    <w:rPr>
      <w:sz w:val="24"/>
      <w:szCs w:val="24"/>
      <w:lang w:eastAsia="ar-SA"/>
    </w:rPr>
  </w:style>
  <w:style w:type="paragraph" w:customStyle="1" w:styleId="Notes13">
    <w:name w:val="Notes_13"/>
    <w:basedOn w:val="Header13"/>
    <w:link w:val="NotesChar13"/>
    <w:pPr>
      <w:numPr>
        <w:numId w:val="65"/>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13">
    <w:name w:val="Title 1.1_13"/>
    <w:basedOn w:val="Notes13"/>
    <w:pPr>
      <w:numPr>
        <w:ilvl w:val="1"/>
      </w:numPr>
      <w:tabs>
        <w:tab w:val="clear" w:pos="4320"/>
        <w:tab w:val="clear" w:pos="8640"/>
        <w:tab w:val="right" w:pos="-2700"/>
        <w:tab w:val="right" w:pos="720"/>
      </w:tabs>
      <w:spacing w:before="0" w:after="0"/>
    </w:pPr>
    <w:rPr>
      <w:b w:val="0"/>
      <w:szCs w:val="20"/>
      <w:lang w:val="en-GB"/>
    </w:rPr>
  </w:style>
  <w:style w:type="paragraph" w:customStyle="1" w:styleId="Header13">
    <w:name w:val="Header_13"/>
    <w:basedOn w:val="Normal15"/>
    <w:link w:val="HeaderChar13"/>
    <w:pPr>
      <w:tabs>
        <w:tab w:val="center" w:pos="4153"/>
        <w:tab w:val="right" w:pos="8306"/>
      </w:tabs>
    </w:pPr>
  </w:style>
  <w:style w:type="character" w:customStyle="1" w:styleId="HeaderChar13">
    <w:name w:val="Header Char_13"/>
    <w:link w:val="Header13"/>
    <w:rPr>
      <w:sz w:val="24"/>
      <w:szCs w:val="24"/>
      <w:lang w:val="en-GB" w:eastAsia="ar-SA" w:bidi="ar-SA"/>
    </w:rPr>
  </w:style>
  <w:style w:type="character" w:customStyle="1" w:styleId="NotesChar13">
    <w:name w:val="Notes Char_13"/>
    <w:link w:val="Notes13"/>
    <w:rPr>
      <w:rFonts w:ascii="Arial" w:hAnsi="Arial"/>
      <w:b/>
      <w:szCs w:val="24"/>
      <w:lang w:val="en-US" w:eastAsia="ar-SA"/>
    </w:rPr>
  </w:style>
  <w:style w:type="paragraph" w:customStyle="1" w:styleId="Notes14">
    <w:name w:val="Notes_14"/>
    <w:basedOn w:val="Header14"/>
    <w:link w:val="NotesChar14"/>
    <w:pPr>
      <w:numPr>
        <w:numId w:val="67"/>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14">
    <w:name w:val="Title 1.1_14"/>
    <w:basedOn w:val="Notes14"/>
    <w:pPr>
      <w:numPr>
        <w:ilvl w:val="1"/>
      </w:numPr>
      <w:tabs>
        <w:tab w:val="clear" w:pos="4320"/>
        <w:tab w:val="clear" w:pos="8640"/>
        <w:tab w:val="right" w:pos="-2700"/>
        <w:tab w:val="right" w:pos="720"/>
      </w:tabs>
      <w:spacing w:before="0" w:after="0"/>
    </w:pPr>
    <w:rPr>
      <w:b w:val="0"/>
      <w:szCs w:val="20"/>
      <w:lang w:val="en-GB"/>
    </w:rPr>
  </w:style>
  <w:style w:type="paragraph" w:customStyle="1" w:styleId="Header14">
    <w:name w:val="Header_14"/>
    <w:basedOn w:val="Normal16"/>
    <w:link w:val="HeaderChar14"/>
    <w:pPr>
      <w:tabs>
        <w:tab w:val="center" w:pos="4153"/>
        <w:tab w:val="right" w:pos="8306"/>
      </w:tabs>
    </w:pPr>
  </w:style>
  <w:style w:type="paragraph" w:customStyle="1" w:styleId="Normal16">
    <w:name w:val="Normal_16"/>
    <w:qFormat/>
    <w:pPr>
      <w:suppressAutoHyphens/>
    </w:pPr>
    <w:rPr>
      <w:sz w:val="24"/>
      <w:szCs w:val="24"/>
      <w:lang w:eastAsia="ar-SA"/>
    </w:rPr>
  </w:style>
  <w:style w:type="character" w:customStyle="1" w:styleId="HeaderChar14">
    <w:name w:val="Header Char_14"/>
    <w:link w:val="Header14"/>
    <w:rPr>
      <w:sz w:val="24"/>
      <w:szCs w:val="24"/>
      <w:lang w:val="en-GB" w:eastAsia="ar-SA" w:bidi="ar-SA"/>
    </w:rPr>
  </w:style>
  <w:style w:type="character" w:customStyle="1" w:styleId="NotesChar14">
    <w:name w:val="Notes Char_14"/>
    <w:link w:val="Notes14"/>
    <w:rPr>
      <w:rFonts w:ascii="Arial" w:hAnsi="Arial"/>
      <w:b/>
      <w:szCs w:val="24"/>
      <w:lang w:val="en-US" w:eastAsia="ar-SA"/>
    </w:rPr>
  </w:style>
  <w:style w:type="paragraph" w:customStyle="1" w:styleId="Normal17">
    <w:name w:val="Normal_17"/>
    <w:qFormat/>
    <w:pPr>
      <w:suppressAutoHyphens/>
    </w:pPr>
    <w:rPr>
      <w:sz w:val="24"/>
      <w:szCs w:val="24"/>
      <w:lang w:eastAsia="ar-SA"/>
    </w:rPr>
  </w:style>
  <w:style w:type="paragraph" w:customStyle="1" w:styleId="Notes15">
    <w:name w:val="Notes_15"/>
    <w:basedOn w:val="Header15"/>
    <w:link w:val="NotesChar15"/>
    <w:pPr>
      <w:numPr>
        <w:numId w:val="69"/>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15">
    <w:name w:val="Title 1.1_15"/>
    <w:basedOn w:val="Notes15"/>
    <w:pPr>
      <w:numPr>
        <w:ilvl w:val="1"/>
      </w:numPr>
      <w:tabs>
        <w:tab w:val="clear" w:pos="4320"/>
        <w:tab w:val="clear" w:pos="8640"/>
        <w:tab w:val="right" w:pos="-2700"/>
        <w:tab w:val="right" w:pos="720"/>
      </w:tabs>
      <w:spacing w:before="0" w:after="0"/>
    </w:pPr>
    <w:rPr>
      <w:b w:val="0"/>
      <w:szCs w:val="20"/>
      <w:lang w:val="en-GB"/>
    </w:rPr>
  </w:style>
  <w:style w:type="paragraph" w:customStyle="1" w:styleId="Header15">
    <w:name w:val="Header_15"/>
    <w:basedOn w:val="Normal17"/>
    <w:link w:val="HeaderChar15"/>
    <w:pPr>
      <w:tabs>
        <w:tab w:val="center" w:pos="4153"/>
        <w:tab w:val="right" w:pos="8306"/>
      </w:tabs>
    </w:pPr>
  </w:style>
  <w:style w:type="character" w:customStyle="1" w:styleId="HeaderChar15">
    <w:name w:val="Header Char_15"/>
    <w:link w:val="Header15"/>
    <w:rPr>
      <w:sz w:val="24"/>
      <w:szCs w:val="24"/>
      <w:lang w:val="en-GB" w:eastAsia="ar-SA" w:bidi="ar-SA"/>
    </w:rPr>
  </w:style>
  <w:style w:type="character" w:customStyle="1" w:styleId="NotesChar15">
    <w:name w:val="Notes Char_15"/>
    <w:link w:val="Notes15"/>
    <w:rPr>
      <w:rFonts w:ascii="Arial" w:hAnsi="Arial"/>
      <w:b/>
      <w:szCs w:val="24"/>
      <w:lang w:val="en-US" w:eastAsia="ar-SA"/>
    </w:rPr>
  </w:style>
  <w:style w:type="paragraph" w:customStyle="1" w:styleId="Title3213">
    <w:name w:val="Title 3.2.1._3"/>
    <w:basedOn w:val="Notes16"/>
    <w:pPr>
      <w:numPr>
        <w:ilvl w:val="2"/>
        <w:numId w:val="71"/>
      </w:numPr>
      <w:tabs>
        <w:tab w:val="clear" w:pos="4320"/>
        <w:tab w:val="clear" w:pos="8640"/>
        <w:tab w:val="right" w:pos="-2700"/>
      </w:tabs>
      <w:spacing w:before="240"/>
    </w:pPr>
    <w:rPr>
      <w:szCs w:val="20"/>
      <w:lang w:val="en-GB"/>
    </w:rPr>
  </w:style>
  <w:style w:type="paragraph" w:customStyle="1" w:styleId="Notes16">
    <w:name w:val="Notes_16"/>
    <w:basedOn w:val="Header16"/>
    <w:link w:val="NotesChar16"/>
    <w:pPr>
      <w:numPr>
        <w:numId w:val="72"/>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16">
    <w:name w:val="Title 1.1_16"/>
    <w:basedOn w:val="Notes16"/>
    <w:pPr>
      <w:numPr>
        <w:ilvl w:val="1"/>
      </w:numPr>
      <w:tabs>
        <w:tab w:val="clear" w:pos="4320"/>
        <w:tab w:val="clear" w:pos="8640"/>
        <w:tab w:val="right" w:pos="-2700"/>
        <w:tab w:val="right" w:pos="720"/>
      </w:tabs>
      <w:spacing w:before="0" w:after="0"/>
    </w:pPr>
    <w:rPr>
      <w:b w:val="0"/>
      <w:szCs w:val="20"/>
      <w:lang w:val="en-GB"/>
    </w:rPr>
  </w:style>
  <w:style w:type="paragraph" w:customStyle="1" w:styleId="Header16">
    <w:name w:val="Header_16"/>
    <w:basedOn w:val="Normal18"/>
    <w:link w:val="HeaderChar16"/>
    <w:pPr>
      <w:tabs>
        <w:tab w:val="center" w:pos="4153"/>
        <w:tab w:val="right" w:pos="8306"/>
      </w:tabs>
    </w:pPr>
  </w:style>
  <w:style w:type="paragraph" w:customStyle="1" w:styleId="Normal18">
    <w:name w:val="Normal_18"/>
    <w:qFormat/>
    <w:pPr>
      <w:suppressAutoHyphens/>
    </w:pPr>
    <w:rPr>
      <w:sz w:val="24"/>
      <w:szCs w:val="24"/>
      <w:lang w:eastAsia="ar-SA"/>
    </w:rPr>
  </w:style>
  <w:style w:type="character" w:customStyle="1" w:styleId="HeaderChar16">
    <w:name w:val="Header Char_16"/>
    <w:link w:val="Header16"/>
    <w:rPr>
      <w:sz w:val="24"/>
      <w:szCs w:val="24"/>
      <w:lang w:val="en-GB" w:eastAsia="ar-SA" w:bidi="ar-SA"/>
    </w:rPr>
  </w:style>
  <w:style w:type="character" w:customStyle="1" w:styleId="NotesChar16">
    <w:name w:val="Notes Char_16"/>
    <w:link w:val="Notes16"/>
    <w:rPr>
      <w:rFonts w:ascii="Arial" w:hAnsi="Arial"/>
      <w:b/>
      <w:szCs w:val="24"/>
      <w:lang w:val="en-US" w:eastAsia="ar-SA"/>
    </w:rPr>
  </w:style>
  <w:style w:type="paragraph" w:customStyle="1" w:styleId="Normal19">
    <w:name w:val="Normal_19"/>
    <w:qFormat/>
    <w:pPr>
      <w:suppressAutoHyphens/>
    </w:pPr>
    <w:rPr>
      <w:sz w:val="24"/>
      <w:szCs w:val="24"/>
      <w:lang w:eastAsia="ar-SA"/>
    </w:rPr>
  </w:style>
  <w:style w:type="paragraph" w:customStyle="1" w:styleId="ListParagraph1">
    <w:name w:val="List Paragraph_1"/>
    <w:basedOn w:val="Normal19"/>
    <w:uiPriority w:val="34"/>
    <w:qFormat/>
    <w:pPr>
      <w:ind w:left="720"/>
      <w:contextualSpacing/>
    </w:pPr>
  </w:style>
  <w:style w:type="paragraph" w:customStyle="1" w:styleId="Notes17">
    <w:name w:val="Notes_17"/>
    <w:basedOn w:val="Header17"/>
    <w:link w:val="NotesChar17"/>
    <w:pPr>
      <w:numPr>
        <w:numId w:val="73"/>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Header17">
    <w:name w:val="Header_17"/>
    <w:basedOn w:val="Normal19"/>
    <w:link w:val="HeaderChar17"/>
    <w:pPr>
      <w:tabs>
        <w:tab w:val="center" w:pos="4153"/>
        <w:tab w:val="right" w:pos="8306"/>
      </w:tabs>
    </w:pPr>
  </w:style>
  <w:style w:type="character" w:customStyle="1" w:styleId="HeaderChar17">
    <w:name w:val="Header Char_17"/>
    <w:link w:val="Header17"/>
    <w:rPr>
      <w:sz w:val="24"/>
      <w:szCs w:val="24"/>
      <w:lang w:val="en-GB" w:eastAsia="ar-SA" w:bidi="ar-SA"/>
    </w:rPr>
  </w:style>
  <w:style w:type="character" w:customStyle="1" w:styleId="NotesChar17">
    <w:name w:val="Notes Char_17"/>
    <w:link w:val="Notes17"/>
    <w:rPr>
      <w:rFonts w:ascii="Arial" w:hAnsi="Arial"/>
      <w:b/>
      <w:szCs w:val="24"/>
      <w:lang w:val="en-US" w:eastAsia="ar-SA"/>
    </w:rPr>
  </w:style>
  <w:style w:type="paragraph" w:customStyle="1" w:styleId="Title1117">
    <w:name w:val="Title 1.1_17"/>
    <w:basedOn w:val="Notes17"/>
    <w:pPr>
      <w:numPr>
        <w:ilvl w:val="1"/>
      </w:numPr>
      <w:tabs>
        <w:tab w:val="clear" w:pos="4320"/>
        <w:tab w:val="clear" w:pos="8640"/>
        <w:tab w:val="right" w:pos="-2700"/>
        <w:tab w:val="right" w:pos="720"/>
      </w:tabs>
      <w:spacing w:before="0" w:after="0"/>
    </w:pPr>
    <w:rPr>
      <w:b w:val="0"/>
      <w:szCs w:val="20"/>
      <w:lang w:val="en-GB"/>
    </w:rPr>
  </w:style>
  <w:style w:type="paragraph" w:customStyle="1" w:styleId="Normal20">
    <w:name w:val="Normal_20"/>
    <w:qFormat/>
    <w:pPr>
      <w:suppressAutoHyphens/>
    </w:pPr>
    <w:rPr>
      <w:sz w:val="24"/>
      <w:szCs w:val="24"/>
      <w:lang w:eastAsia="ar-SA"/>
    </w:rPr>
  </w:style>
  <w:style w:type="paragraph" w:customStyle="1" w:styleId="ListParagraph2">
    <w:name w:val="List Paragraph_2"/>
    <w:basedOn w:val="Normal20"/>
    <w:uiPriority w:val="34"/>
    <w:qFormat/>
    <w:pPr>
      <w:ind w:left="720"/>
      <w:contextualSpacing/>
    </w:pPr>
  </w:style>
  <w:style w:type="paragraph" w:customStyle="1" w:styleId="Notes18">
    <w:name w:val="Notes_18"/>
    <w:basedOn w:val="Header18"/>
    <w:link w:val="NotesChar18"/>
    <w:pPr>
      <w:numPr>
        <w:numId w:val="74"/>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Header18">
    <w:name w:val="Header_18"/>
    <w:basedOn w:val="Normal20"/>
    <w:link w:val="HeaderChar18"/>
    <w:pPr>
      <w:tabs>
        <w:tab w:val="center" w:pos="4153"/>
        <w:tab w:val="right" w:pos="8306"/>
      </w:tabs>
    </w:pPr>
  </w:style>
  <w:style w:type="character" w:customStyle="1" w:styleId="HeaderChar18">
    <w:name w:val="Header Char_18"/>
    <w:link w:val="Header18"/>
    <w:rPr>
      <w:sz w:val="24"/>
      <w:szCs w:val="24"/>
      <w:lang w:val="en-GB" w:eastAsia="ar-SA" w:bidi="ar-SA"/>
    </w:rPr>
  </w:style>
  <w:style w:type="character" w:customStyle="1" w:styleId="NotesChar18">
    <w:name w:val="Notes Char_18"/>
    <w:link w:val="Notes18"/>
    <w:rPr>
      <w:rFonts w:ascii="Arial" w:hAnsi="Arial"/>
      <w:b/>
      <w:szCs w:val="24"/>
      <w:lang w:val="en-US" w:eastAsia="ar-SA"/>
    </w:rPr>
  </w:style>
  <w:style w:type="paragraph" w:customStyle="1" w:styleId="Title1118">
    <w:name w:val="Title 1.1_18"/>
    <w:basedOn w:val="Notes18"/>
    <w:pPr>
      <w:numPr>
        <w:ilvl w:val="1"/>
      </w:numPr>
      <w:tabs>
        <w:tab w:val="clear" w:pos="4320"/>
        <w:tab w:val="clear" w:pos="8640"/>
        <w:tab w:val="right" w:pos="-2700"/>
        <w:tab w:val="right" w:pos="720"/>
      </w:tabs>
      <w:spacing w:before="0" w:after="0"/>
    </w:pPr>
    <w:rPr>
      <w:b w:val="0"/>
      <w:szCs w:val="20"/>
      <w:lang w:val="en-GB"/>
    </w:rPr>
  </w:style>
  <w:style w:type="paragraph" w:customStyle="1" w:styleId="Normal21">
    <w:name w:val="Normal_21"/>
    <w:qFormat/>
    <w:pPr>
      <w:suppressAutoHyphens/>
    </w:pPr>
    <w:rPr>
      <w:sz w:val="24"/>
      <w:szCs w:val="24"/>
      <w:lang w:eastAsia="ar-SA"/>
    </w:rPr>
  </w:style>
  <w:style w:type="paragraph" w:customStyle="1" w:styleId="ListParagraph3">
    <w:name w:val="List Paragraph_3"/>
    <w:basedOn w:val="Normal21"/>
    <w:uiPriority w:val="34"/>
    <w:qFormat/>
    <w:pPr>
      <w:ind w:left="720"/>
      <w:contextualSpacing/>
    </w:pPr>
  </w:style>
  <w:style w:type="paragraph" w:customStyle="1" w:styleId="Notes19">
    <w:name w:val="Notes_19"/>
    <w:basedOn w:val="Header19"/>
    <w:link w:val="NotesChar19"/>
    <w:pPr>
      <w:numPr>
        <w:numId w:val="75"/>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Header19">
    <w:name w:val="Header_19"/>
    <w:basedOn w:val="Normal21"/>
    <w:link w:val="HeaderChar19"/>
    <w:pPr>
      <w:tabs>
        <w:tab w:val="center" w:pos="4153"/>
        <w:tab w:val="right" w:pos="8306"/>
      </w:tabs>
    </w:pPr>
  </w:style>
  <w:style w:type="character" w:customStyle="1" w:styleId="HeaderChar19">
    <w:name w:val="Header Char_19"/>
    <w:link w:val="Header19"/>
    <w:rPr>
      <w:sz w:val="24"/>
      <w:szCs w:val="24"/>
      <w:lang w:val="en-GB" w:eastAsia="ar-SA" w:bidi="ar-SA"/>
    </w:rPr>
  </w:style>
  <w:style w:type="character" w:customStyle="1" w:styleId="NotesChar19">
    <w:name w:val="Notes Char_19"/>
    <w:link w:val="Notes19"/>
    <w:rPr>
      <w:rFonts w:ascii="Arial" w:hAnsi="Arial"/>
      <w:b/>
      <w:szCs w:val="24"/>
      <w:lang w:val="en-US" w:eastAsia="ar-SA"/>
    </w:rPr>
  </w:style>
  <w:style w:type="paragraph" w:customStyle="1" w:styleId="Title1119">
    <w:name w:val="Title 1.1_19"/>
    <w:basedOn w:val="Notes19"/>
    <w:pPr>
      <w:numPr>
        <w:ilvl w:val="1"/>
      </w:numPr>
      <w:tabs>
        <w:tab w:val="clear" w:pos="4320"/>
        <w:tab w:val="clear" w:pos="8640"/>
        <w:tab w:val="right" w:pos="-2700"/>
        <w:tab w:val="right" w:pos="720"/>
      </w:tabs>
      <w:spacing w:before="0" w:after="0"/>
    </w:pPr>
    <w:rPr>
      <w:b w:val="0"/>
      <w:szCs w:val="20"/>
      <w:lang w:val="en-GB"/>
    </w:rPr>
  </w:style>
  <w:style w:type="paragraph" w:customStyle="1" w:styleId="Normal170">
    <w:name w:val="Normal_17_0"/>
    <w:qFormat/>
    <w:pPr>
      <w:suppressAutoHyphens/>
    </w:pPr>
    <w:rPr>
      <w:sz w:val="24"/>
      <w:szCs w:val="24"/>
      <w:lang w:eastAsia="ar-SA"/>
    </w:rPr>
  </w:style>
  <w:style w:type="paragraph" w:customStyle="1" w:styleId="Normal22">
    <w:name w:val="Normal_22"/>
    <w:qFormat/>
    <w:pPr>
      <w:suppressAutoHyphens/>
    </w:pPr>
    <w:rPr>
      <w:sz w:val="24"/>
      <w:szCs w:val="24"/>
      <w:lang w:eastAsia="ar-SA"/>
    </w:rPr>
  </w:style>
  <w:style w:type="paragraph" w:customStyle="1" w:styleId="Notes20">
    <w:name w:val="Notes_20"/>
    <w:basedOn w:val="Header20"/>
    <w:link w:val="NotesChar20"/>
    <w:pPr>
      <w:numPr>
        <w:numId w:val="77"/>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20">
    <w:name w:val="Title 1.1_20"/>
    <w:basedOn w:val="Notes20"/>
    <w:pPr>
      <w:numPr>
        <w:ilvl w:val="1"/>
      </w:numPr>
      <w:tabs>
        <w:tab w:val="clear" w:pos="4320"/>
        <w:tab w:val="clear" w:pos="8640"/>
        <w:tab w:val="right" w:pos="-2700"/>
        <w:tab w:val="right" w:pos="720"/>
      </w:tabs>
      <w:spacing w:before="0" w:after="0"/>
    </w:pPr>
    <w:rPr>
      <w:b w:val="0"/>
      <w:szCs w:val="20"/>
      <w:lang w:val="en-GB"/>
    </w:rPr>
  </w:style>
  <w:style w:type="paragraph" w:customStyle="1" w:styleId="Header20">
    <w:name w:val="Header_20"/>
    <w:basedOn w:val="Normal22"/>
    <w:link w:val="HeaderChar20"/>
    <w:pPr>
      <w:tabs>
        <w:tab w:val="center" w:pos="4153"/>
        <w:tab w:val="right" w:pos="8306"/>
      </w:tabs>
    </w:pPr>
  </w:style>
  <w:style w:type="character" w:customStyle="1" w:styleId="HeaderChar20">
    <w:name w:val="Header Char_20"/>
    <w:link w:val="Header20"/>
    <w:rPr>
      <w:sz w:val="24"/>
      <w:szCs w:val="24"/>
      <w:lang w:val="en-GB" w:eastAsia="ar-SA" w:bidi="ar-SA"/>
    </w:rPr>
  </w:style>
  <w:style w:type="character" w:customStyle="1" w:styleId="NotesChar20">
    <w:name w:val="Notes Char_20"/>
    <w:link w:val="Notes20"/>
    <w:rPr>
      <w:rFonts w:ascii="Arial" w:hAnsi="Arial"/>
      <w:b/>
      <w:szCs w:val="24"/>
      <w:lang w:val="en-US" w:eastAsia="ar-SA"/>
    </w:rPr>
  </w:style>
  <w:style w:type="paragraph" w:customStyle="1" w:styleId="Normal180">
    <w:name w:val="Normal_18_0"/>
    <w:qFormat/>
    <w:pPr>
      <w:suppressAutoHyphens/>
    </w:pPr>
    <w:rPr>
      <w:sz w:val="24"/>
      <w:szCs w:val="24"/>
      <w:lang w:eastAsia="ar-SA"/>
    </w:rPr>
  </w:style>
  <w:style w:type="paragraph" w:customStyle="1" w:styleId="Normal1800">
    <w:name w:val="Normal_18_0_0"/>
    <w:qFormat/>
    <w:pPr>
      <w:suppressAutoHyphens/>
    </w:pPr>
    <w:rPr>
      <w:sz w:val="24"/>
      <w:szCs w:val="24"/>
      <w:lang w:eastAsia="ar-SA"/>
    </w:rPr>
  </w:style>
  <w:style w:type="paragraph" w:customStyle="1" w:styleId="Normal23">
    <w:name w:val="Normal_23"/>
    <w:qFormat/>
    <w:pPr>
      <w:suppressAutoHyphens/>
    </w:pPr>
    <w:rPr>
      <w:sz w:val="24"/>
      <w:szCs w:val="24"/>
      <w:lang w:eastAsia="ar-SA"/>
    </w:rPr>
  </w:style>
  <w:style w:type="paragraph" w:customStyle="1" w:styleId="Notes21">
    <w:name w:val="Notes_21"/>
    <w:basedOn w:val="Header21"/>
    <w:link w:val="NotesChar21"/>
    <w:pPr>
      <w:numPr>
        <w:numId w:val="81"/>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21">
    <w:name w:val="Title 1.1_21"/>
    <w:basedOn w:val="Notes21"/>
    <w:pPr>
      <w:numPr>
        <w:ilvl w:val="1"/>
      </w:numPr>
      <w:tabs>
        <w:tab w:val="clear" w:pos="4320"/>
        <w:tab w:val="clear" w:pos="8640"/>
        <w:tab w:val="right" w:pos="-2700"/>
        <w:tab w:val="right" w:pos="720"/>
      </w:tabs>
      <w:spacing w:before="0" w:after="0"/>
    </w:pPr>
    <w:rPr>
      <w:b w:val="0"/>
      <w:szCs w:val="20"/>
      <w:lang w:val="en-GB"/>
    </w:rPr>
  </w:style>
  <w:style w:type="paragraph" w:customStyle="1" w:styleId="Header21">
    <w:name w:val="Header_21"/>
    <w:basedOn w:val="Normal23"/>
    <w:link w:val="HeaderChar21"/>
    <w:pPr>
      <w:tabs>
        <w:tab w:val="center" w:pos="4153"/>
        <w:tab w:val="right" w:pos="8306"/>
      </w:tabs>
    </w:pPr>
  </w:style>
  <w:style w:type="character" w:customStyle="1" w:styleId="HeaderChar21">
    <w:name w:val="Header Char_21"/>
    <w:link w:val="Header21"/>
    <w:rPr>
      <w:sz w:val="24"/>
      <w:szCs w:val="24"/>
      <w:lang w:val="en-GB" w:eastAsia="ar-SA" w:bidi="ar-SA"/>
    </w:rPr>
  </w:style>
  <w:style w:type="character" w:customStyle="1" w:styleId="NotesChar21">
    <w:name w:val="Notes Char_21"/>
    <w:link w:val="Notes21"/>
    <w:rPr>
      <w:rFonts w:ascii="Arial" w:hAnsi="Arial"/>
      <w:b/>
      <w:szCs w:val="24"/>
      <w:lang w:val="en-US" w:eastAsia="ar-SA"/>
    </w:rPr>
  </w:style>
  <w:style w:type="paragraph" w:customStyle="1" w:styleId="Normal181">
    <w:name w:val="Normal_18_1"/>
    <w:qFormat/>
    <w:pPr>
      <w:suppressAutoHyphens/>
    </w:pPr>
    <w:rPr>
      <w:sz w:val="24"/>
      <w:szCs w:val="24"/>
      <w:lang w:eastAsia="ar-SA"/>
    </w:rPr>
  </w:style>
  <w:style w:type="paragraph" w:customStyle="1" w:styleId="Normal24">
    <w:name w:val="Normal_24"/>
    <w:qFormat/>
    <w:pPr>
      <w:suppressAutoHyphens/>
    </w:pPr>
    <w:rPr>
      <w:sz w:val="24"/>
      <w:szCs w:val="24"/>
      <w:lang w:eastAsia="ar-SA"/>
    </w:rPr>
  </w:style>
  <w:style w:type="paragraph" w:customStyle="1" w:styleId="ListParagraph4">
    <w:name w:val="List Paragraph_4"/>
    <w:basedOn w:val="Normal24"/>
    <w:uiPriority w:val="34"/>
    <w:qFormat/>
    <w:pPr>
      <w:ind w:left="720"/>
      <w:contextualSpacing/>
    </w:pPr>
  </w:style>
  <w:style w:type="paragraph" w:customStyle="1" w:styleId="ListParagraph5">
    <w:name w:val="List Paragraph_5"/>
    <w:basedOn w:val="Normal25"/>
    <w:uiPriority w:val="34"/>
    <w:qFormat/>
    <w:pPr>
      <w:ind w:left="720"/>
      <w:contextualSpacing/>
    </w:pPr>
  </w:style>
  <w:style w:type="paragraph" w:customStyle="1" w:styleId="Normal25">
    <w:name w:val="Normal_25"/>
    <w:qFormat/>
    <w:pPr>
      <w:suppressAutoHyphens/>
    </w:pPr>
    <w:rPr>
      <w:sz w:val="24"/>
      <w:szCs w:val="24"/>
      <w:lang w:eastAsia="ar-SA"/>
    </w:rPr>
  </w:style>
  <w:style w:type="paragraph" w:customStyle="1" w:styleId="Notes22">
    <w:name w:val="Notes_22"/>
    <w:basedOn w:val="Header24"/>
    <w:link w:val="NotesChar22"/>
    <w:pPr>
      <w:numPr>
        <w:numId w:val="85"/>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22">
    <w:name w:val="Title 1.1_22"/>
    <w:basedOn w:val="Notes22"/>
    <w:pPr>
      <w:numPr>
        <w:ilvl w:val="1"/>
      </w:numPr>
      <w:tabs>
        <w:tab w:val="clear" w:pos="4320"/>
        <w:tab w:val="clear" w:pos="8640"/>
        <w:tab w:val="right" w:pos="-2700"/>
        <w:tab w:val="right" w:pos="720"/>
      </w:tabs>
      <w:spacing w:before="0" w:after="0"/>
    </w:pPr>
    <w:rPr>
      <w:b w:val="0"/>
      <w:szCs w:val="20"/>
      <w:lang w:val="en-GB"/>
    </w:rPr>
  </w:style>
  <w:style w:type="paragraph" w:customStyle="1" w:styleId="Header24">
    <w:name w:val="Header_24"/>
    <w:basedOn w:val="Normal26"/>
    <w:link w:val="HeaderChar24"/>
    <w:pPr>
      <w:tabs>
        <w:tab w:val="center" w:pos="4153"/>
        <w:tab w:val="right" w:pos="8306"/>
      </w:tabs>
    </w:pPr>
  </w:style>
  <w:style w:type="paragraph" w:customStyle="1" w:styleId="Normal26">
    <w:name w:val="Normal_26"/>
    <w:qFormat/>
    <w:pPr>
      <w:suppressAutoHyphens/>
    </w:pPr>
    <w:rPr>
      <w:sz w:val="24"/>
      <w:szCs w:val="24"/>
      <w:lang w:eastAsia="ar-SA"/>
    </w:rPr>
  </w:style>
  <w:style w:type="character" w:customStyle="1" w:styleId="HeaderChar24">
    <w:name w:val="Header Char_24"/>
    <w:link w:val="Header24"/>
    <w:rPr>
      <w:sz w:val="24"/>
      <w:szCs w:val="24"/>
      <w:lang w:val="en-GB" w:eastAsia="ar-SA" w:bidi="ar-SA"/>
    </w:rPr>
  </w:style>
  <w:style w:type="character" w:customStyle="1" w:styleId="NotesChar22">
    <w:name w:val="Notes Char_22"/>
    <w:link w:val="Notes22"/>
    <w:rPr>
      <w:rFonts w:ascii="Arial" w:hAnsi="Arial"/>
      <w:b/>
      <w:szCs w:val="24"/>
      <w:lang w:val="en-US" w:eastAsia="ar-SA"/>
    </w:rPr>
  </w:style>
  <w:style w:type="paragraph" w:customStyle="1" w:styleId="Header25">
    <w:name w:val="Header_25"/>
    <w:basedOn w:val="Normal27"/>
    <w:link w:val="HeaderChar25"/>
    <w:pPr>
      <w:tabs>
        <w:tab w:val="center" w:pos="4153"/>
        <w:tab w:val="right" w:pos="8306"/>
      </w:tabs>
    </w:pPr>
  </w:style>
  <w:style w:type="paragraph" w:customStyle="1" w:styleId="Normal27">
    <w:name w:val="Normal_27"/>
    <w:qFormat/>
    <w:pPr>
      <w:suppressAutoHyphens/>
    </w:pPr>
    <w:rPr>
      <w:sz w:val="24"/>
      <w:szCs w:val="24"/>
      <w:lang w:eastAsia="ar-SA"/>
    </w:rPr>
  </w:style>
  <w:style w:type="character" w:customStyle="1" w:styleId="HeaderChar25">
    <w:name w:val="Header Char_25"/>
    <w:link w:val="Header25"/>
    <w:rPr>
      <w:sz w:val="24"/>
      <w:szCs w:val="24"/>
      <w:lang w:val="en-GB" w:eastAsia="ar-SA" w:bidi="ar-SA"/>
    </w:rPr>
  </w:style>
  <w:style w:type="paragraph" w:customStyle="1" w:styleId="Notes23">
    <w:name w:val="Notes_23"/>
    <w:basedOn w:val="Header25"/>
    <w:link w:val="NotesChar23"/>
    <w:pPr>
      <w:numPr>
        <w:numId w:val="87"/>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23">
    <w:name w:val="Title 1.1_23"/>
    <w:basedOn w:val="Notes23"/>
    <w:pPr>
      <w:numPr>
        <w:ilvl w:val="1"/>
      </w:numPr>
      <w:tabs>
        <w:tab w:val="clear" w:pos="4320"/>
        <w:tab w:val="clear" w:pos="8640"/>
        <w:tab w:val="right" w:pos="-2700"/>
        <w:tab w:val="right" w:pos="720"/>
      </w:tabs>
      <w:spacing w:before="0" w:after="0"/>
    </w:pPr>
    <w:rPr>
      <w:b w:val="0"/>
      <w:szCs w:val="20"/>
      <w:lang w:val="en-GB"/>
    </w:rPr>
  </w:style>
  <w:style w:type="character" w:customStyle="1" w:styleId="NotesChar23">
    <w:name w:val="Notes Char_23"/>
    <w:link w:val="Notes23"/>
    <w:rPr>
      <w:rFonts w:ascii="Arial" w:hAnsi="Arial"/>
      <w:b/>
      <w:szCs w:val="24"/>
      <w:lang w:val="en-US" w:eastAsia="ar-SA"/>
    </w:rPr>
  </w:style>
  <w:style w:type="paragraph" w:customStyle="1" w:styleId="Notes24">
    <w:name w:val="Notes_24"/>
    <w:basedOn w:val="Header26"/>
    <w:link w:val="NotesChar24"/>
    <w:pPr>
      <w:numPr>
        <w:numId w:val="88"/>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24">
    <w:name w:val="Title 1.1_24"/>
    <w:basedOn w:val="Notes24"/>
    <w:pPr>
      <w:numPr>
        <w:ilvl w:val="1"/>
      </w:numPr>
      <w:tabs>
        <w:tab w:val="clear" w:pos="4320"/>
        <w:tab w:val="clear" w:pos="8640"/>
        <w:tab w:val="right" w:pos="-2700"/>
        <w:tab w:val="right" w:pos="720"/>
      </w:tabs>
      <w:spacing w:before="0" w:after="0"/>
    </w:pPr>
    <w:rPr>
      <w:b w:val="0"/>
      <w:szCs w:val="20"/>
      <w:lang w:val="en-GB"/>
    </w:rPr>
  </w:style>
  <w:style w:type="paragraph" w:customStyle="1" w:styleId="Header26">
    <w:name w:val="Header_26"/>
    <w:basedOn w:val="Normal28"/>
    <w:link w:val="HeaderChar26"/>
    <w:pPr>
      <w:tabs>
        <w:tab w:val="center" w:pos="4153"/>
        <w:tab w:val="right" w:pos="8306"/>
      </w:tabs>
    </w:pPr>
  </w:style>
  <w:style w:type="paragraph" w:customStyle="1" w:styleId="Normal28">
    <w:name w:val="Normal_28"/>
    <w:qFormat/>
    <w:pPr>
      <w:suppressAutoHyphens/>
    </w:pPr>
    <w:rPr>
      <w:sz w:val="24"/>
      <w:szCs w:val="24"/>
      <w:lang w:eastAsia="ar-SA"/>
    </w:rPr>
  </w:style>
  <w:style w:type="character" w:customStyle="1" w:styleId="HeaderChar26">
    <w:name w:val="Header Char_26"/>
    <w:link w:val="Header26"/>
    <w:rPr>
      <w:sz w:val="24"/>
      <w:szCs w:val="24"/>
      <w:lang w:val="en-GB" w:eastAsia="ar-SA" w:bidi="ar-SA"/>
    </w:rPr>
  </w:style>
  <w:style w:type="character" w:customStyle="1" w:styleId="NotesChar24">
    <w:name w:val="Notes Char_24"/>
    <w:link w:val="Notes24"/>
    <w:rPr>
      <w:rFonts w:ascii="Arial" w:hAnsi="Arial"/>
      <w:b/>
      <w:szCs w:val="24"/>
      <w:lang w:val="en-US" w:eastAsia="ar-SA"/>
    </w:rPr>
  </w:style>
  <w:style w:type="paragraph" w:customStyle="1" w:styleId="Header27">
    <w:name w:val="Header_27"/>
    <w:basedOn w:val="Normal29"/>
    <w:link w:val="HeaderChar27"/>
    <w:pPr>
      <w:tabs>
        <w:tab w:val="center" w:pos="4153"/>
        <w:tab w:val="right" w:pos="8306"/>
      </w:tabs>
    </w:pPr>
  </w:style>
  <w:style w:type="paragraph" w:customStyle="1" w:styleId="Normal29">
    <w:name w:val="Normal_29"/>
    <w:qFormat/>
    <w:pPr>
      <w:suppressAutoHyphens/>
    </w:pPr>
    <w:rPr>
      <w:sz w:val="24"/>
      <w:szCs w:val="24"/>
      <w:lang w:eastAsia="ar-SA"/>
    </w:rPr>
  </w:style>
  <w:style w:type="character" w:customStyle="1" w:styleId="HeaderChar27">
    <w:name w:val="Header Char_27"/>
    <w:link w:val="Header27"/>
    <w:rPr>
      <w:sz w:val="24"/>
      <w:szCs w:val="24"/>
      <w:lang w:val="en-GB" w:eastAsia="ar-SA" w:bidi="ar-SA"/>
    </w:rPr>
  </w:style>
  <w:style w:type="paragraph" w:customStyle="1" w:styleId="Title1125">
    <w:name w:val="Title 1.1_25"/>
    <w:basedOn w:val="Notes25"/>
    <w:pPr>
      <w:numPr>
        <w:ilvl w:val="1"/>
      </w:numPr>
      <w:tabs>
        <w:tab w:val="clear" w:pos="4320"/>
        <w:tab w:val="clear" w:pos="8640"/>
        <w:tab w:val="right" w:pos="-2700"/>
        <w:tab w:val="right" w:pos="720"/>
      </w:tabs>
      <w:spacing w:before="0" w:after="0"/>
    </w:pPr>
    <w:rPr>
      <w:b w:val="0"/>
      <w:szCs w:val="20"/>
      <w:lang w:val="en-GB"/>
    </w:rPr>
  </w:style>
  <w:style w:type="paragraph" w:customStyle="1" w:styleId="Notes25">
    <w:name w:val="Notes_25"/>
    <w:basedOn w:val="Header27"/>
    <w:link w:val="NotesChar25"/>
    <w:pPr>
      <w:numPr>
        <w:numId w:val="89"/>
      </w:numPr>
      <w:tabs>
        <w:tab w:val="clear" w:pos="4153"/>
        <w:tab w:val="clear" w:pos="8306"/>
        <w:tab w:val="center" w:pos="4320"/>
        <w:tab w:val="right" w:pos="8640"/>
      </w:tabs>
      <w:spacing w:before="120" w:after="120"/>
      <w:jc w:val="both"/>
    </w:pPr>
    <w:rPr>
      <w:rFonts w:ascii="Arial" w:hAnsi="Arial"/>
      <w:b/>
      <w:sz w:val="20"/>
      <w:lang w:val="en-US"/>
    </w:rPr>
  </w:style>
  <w:style w:type="character" w:customStyle="1" w:styleId="NotesChar25">
    <w:name w:val="Notes Char_25"/>
    <w:link w:val="Notes25"/>
    <w:rPr>
      <w:rFonts w:ascii="Arial" w:hAnsi="Arial"/>
      <w:b/>
      <w:szCs w:val="24"/>
      <w:lang w:val="en-US" w:eastAsia="ar-SA"/>
    </w:rPr>
  </w:style>
  <w:style w:type="paragraph" w:customStyle="1" w:styleId="ListParagraph6">
    <w:name w:val="List Paragraph_6"/>
    <w:basedOn w:val="Normal29"/>
    <w:uiPriority w:val="34"/>
    <w:qFormat/>
    <w:pPr>
      <w:ind w:left="720"/>
      <w:contextualSpacing/>
    </w:pPr>
  </w:style>
  <w:style w:type="paragraph" w:customStyle="1" w:styleId="Title1126">
    <w:name w:val="Title 1.1_26"/>
    <w:basedOn w:val="Notes26"/>
    <w:pPr>
      <w:numPr>
        <w:ilvl w:val="1"/>
      </w:numPr>
      <w:tabs>
        <w:tab w:val="clear" w:pos="4320"/>
        <w:tab w:val="clear" w:pos="8640"/>
        <w:tab w:val="right" w:pos="-2700"/>
        <w:tab w:val="right" w:pos="720"/>
      </w:tabs>
      <w:spacing w:before="0" w:after="0"/>
    </w:pPr>
    <w:rPr>
      <w:b w:val="0"/>
      <w:szCs w:val="20"/>
      <w:lang w:val="en-GB"/>
    </w:rPr>
  </w:style>
  <w:style w:type="paragraph" w:customStyle="1" w:styleId="Notes26">
    <w:name w:val="Notes_26"/>
    <w:basedOn w:val="Header28"/>
    <w:link w:val="NotesChar26"/>
    <w:pPr>
      <w:numPr>
        <w:numId w:val="91"/>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Header28">
    <w:name w:val="Header_28"/>
    <w:basedOn w:val="Normal30"/>
    <w:link w:val="HeaderChar28"/>
    <w:pPr>
      <w:tabs>
        <w:tab w:val="center" w:pos="4153"/>
        <w:tab w:val="right" w:pos="8306"/>
      </w:tabs>
    </w:pPr>
  </w:style>
  <w:style w:type="paragraph" w:customStyle="1" w:styleId="Normal30">
    <w:name w:val="Normal_30"/>
    <w:qFormat/>
    <w:pPr>
      <w:suppressAutoHyphens/>
    </w:pPr>
    <w:rPr>
      <w:sz w:val="24"/>
      <w:szCs w:val="24"/>
      <w:lang w:eastAsia="ar-SA"/>
    </w:rPr>
  </w:style>
  <w:style w:type="character" w:customStyle="1" w:styleId="HeaderChar28">
    <w:name w:val="Header Char_28"/>
    <w:link w:val="Header28"/>
    <w:rPr>
      <w:sz w:val="24"/>
      <w:szCs w:val="24"/>
      <w:lang w:val="en-GB" w:eastAsia="ar-SA" w:bidi="ar-SA"/>
    </w:rPr>
  </w:style>
  <w:style w:type="character" w:customStyle="1" w:styleId="NotesChar26">
    <w:name w:val="Notes Char_26"/>
    <w:link w:val="Notes26"/>
    <w:rPr>
      <w:rFonts w:ascii="Arial" w:hAnsi="Arial"/>
      <w:b/>
      <w:szCs w:val="24"/>
      <w:lang w:val="en-US" w:eastAsia="ar-SA"/>
    </w:rPr>
  </w:style>
  <w:style w:type="paragraph" w:customStyle="1" w:styleId="Notes">
    <w:name w:val="Notes"/>
    <w:basedOn w:val="Header"/>
    <w:link w:val="NotesChar"/>
    <w:pPr>
      <w:numPr>
        <w:numId w:val="92"/>
      </w:numPr>
      <w:tabs>
        <w:tab w:val="center" w:pos="4320"/>
        <w:tab w:val="right" w:pos="8640"/>
      </w:tabs>
      <w:spacing w:before="120" w:after="120"/>
      <w:jc w:val="both"/>
    </w:pPr>
    <w:rPr>
      <w:rFonts w:ascii="Arial" w:hAnsi="Arial"/>
      <w:b/>
      <w:sz w:val="20"/>
      <w:lang w:val="en-US"/>
    </w:rPr>
  </w:style>
  <w:style w:type="paragraph" w:customStyle="1" w:styleId="Title11">
    <w:name w:val="Title 1.1"/>
    <w:basedOn w:val="Notes"/>
    <w:pPr>
      <w:numPr>
        <w:ilvl w:val="1"/>
      </w:numPr>
      <w:tabs>
        <w:tab w:val="clear" w:pos="4320"/>
        <w:tab w:val="clear" w:pos="8640"/>
        <w:tab w:val="right" w:pos="-2700"/>
        <w:tab w:val="right" w:pos="720"/>
      </w:tabs>
      <w:spacing w:before="0" w:after="0"/>
    </w:pPr>
    <w:rPr>
      <w:b w:val="0"/>
      <w:szCs w:val="20"/>
      <w:lang w:val="en-GB"/>
    </w:rPr>
  </w:style>
  <w:style w:type="character" w:customStyle="1" w:styleId="NotesChar">
    <w:name w:val="Notes Char"/>
    <w:link w:val="Notes"/>
    <w:rPr>
      <w:rFonts w:ascii="Arial" w:hAnsi="Arial"/>
      <w:b/>
      <w:szCs w:val="24"/>
      <w:lang w:val="en-US"/>
    </w:rPr>
  </w:style>
  <w:style w:type="paragraph" w:customStyle="1" w:styleId="Title1">
    <w:name w:val="Title 1"/>
    <w:basedOn w:val="Notes"/>
    <w:pPr>
      <w:spacing w:before="0" w:after="0"/>
    </w:pPr>
  </w:style>
  <w:style w:type="paragraph" w:customStyle="1" w:styleId="Notes27">
    <w:name w:val="Notes_27"/>
    <w:basedOn w:val="Header29"/>
    <w:link w:val="NotesChar27"/>
    <w:pPr>
      <w:numPr>
        <w:numId w:val="93"/>
      </w:numPr>
      <w:tabs>
        <w:tab w:val="clear" w:pos="4153"/>
        <w:tab w:val="clear" w:pos="8306"/>
        <w:tab w:val="center" w:pos="4320"/>
        <w:tab w:val="right" w:pos="8640"/>
      </w:tabs>
      <w:spacing w:before="120" w:after="120"/>
      <w:jc w:val="both"/>
    </w:pPr>
    <w:rPr>
      <w:rFonts w:ascii="Arial" w:hAnsi="Arial"/>
      <w:b/>
      <w:sz w:val="20"/>
      <w:lang w:val="en-US"/>
    </w:rPr>
  </w:style>
  <w:style w:type="paragraph" w:customStyle="1" w:styleId="Title1127">
    <w:name w:val="Title 1.1_27"/>
    <w:basedOn w:val="Notes27"/>
    <w:pPr>
      <w:numPr>
        <w:ilvl w:val="1"/>
      </w:numPr>
      <w:tabs>
        <w:tab w:val="clear" w:pos="4320"/>
        <w:tab w:val="clear" w:pos="8640"/>
        <w:tab w:val="right" w:pos="-2700"/>
        <w:tab w:val="right" w:pos="720"/>
      </w:tabs>
      <w:spacing w:before="0" w:after="0"/>
    </w:pPr>
    <w:rPr>
      <w:b w:val="0"/>
      <w:szCs w:val="20"/>
      <w:lang w:val="en-GB"/>
    </w:rPr>
  </w:style>
  <w:style w:type="paragraph" w:customStyle="1" w:styleId="Header29">
    <w:name w:val="Header_29"/>
    <w:basedOn w:val="Normal31"/>
    <w:link w:val="HeaderChar29"/>
    <w:pPr>
      <w:tabs>
        <w:tab w:val="center" w:pos="4153"/>
        <w:tab w:val="right" w:pos="8306"/>
      </w:tabs>
    </w:pPr>
  </w:style>
  <w:style w:type="paragraph" w:customStyle="1" w:styleId="Normal31">
    <w:name w:val="Normal_31"/>
    <w:qFormat/>
    <w:pPr>
      <w:suppressAutoHyphens/>
    </w:pPr>
    <w:rPr>
      <w:sz w:val="24"/>
      <w:szCs w:val="24"/>
      <w:lang w:eastAsia="ar-SA"/>
    </w:rPr>
  </w:style>
  <w:style w:type="character" w:customStyle="1" w:styleId="HeaderChar29">
    <w:name w:val="Header Char_29"/>
    <w:link w:val="Header29"/>
    <w:rPr>
      <w:sz w:val="24"/>
      <w:szCs w:val="24"/>
      <w:lang w:val="en-GB" w:eastAsia="ar-SA" w:bidi="ar-SA"/>
    </w:rPr>
  </w:style>
  <w:style w:type="character" w:customStyle="1" w:styleId="NotesChar27">
    <w:name w:val="Notes Char_27"/>
    <w:link w:val="Notes27"/>
    <w:rPr>
      <w:rFonts w:ascii="Arial" w:hAnsi="Arial"/>
      <w:b/>
      <w:szCs w:val="24"/>
      <w:lang w:val="en-US" w:eastAsia="ar-SA"/>
    </w:rPr>
  </w:style>
  <w:style w:type="paragraph" w:customStyle="1" w:styleId="ListParagraph7">
    <w:name w:val="List Paragraph_7"/>
    <w:basedOn w:val="Normal31"/>
    <w:uiPriority w:val="34"/>
    <w:qFormat/>
    <w:pPr>
      <w:ind w:left="720"/>
      <w:contextualSpacing/>
    </w:pPr>
  </w:style>
  <w:style w:type="paragraph" w:customStyle="1" w:styleId="Notes28">
    <w:name w:val="Notes_28"/>
    <w:basedOn w:val="Header30"/>
    <w:link w:val="NotesChar28"/>
    <w:pPr>
      <w:numPr>
        <w:numId w:val="95"/>
      </w:numPr>
      <w:tabs>
        <w:tab w:val="clear" w:pos="4680"/>
        <w:tab w:val="clear" w:pos="9360"/>
        <w:tab w:val="center" w:pos="4320"/>
        <w:tab w:val="right" w:pos="8640"/>
      </w:tabs>
      <w:suppressAutoHyphens/>
      <w:spacing w:before="120" w:after="120"/>
      <w:jc w:val="both"/>
    </w:pPr>
    <w:rPr>
      <w:rFonts w:ascii="Arial" w:hAnsi="Arial"/>
      <w:b/>
      <w:szCs w:val="24"/>
      <w:lang w:eastAsia="ar-SA"/>
    </w:rPr>
  </w:style>
  <w:style w:type="paragraph" w:customStyle="1" w:styleId="Title1128">
    <w:name w:val="Title 1.1_28"/>
    <w:basedOn w:val="Notes28"/>
    <w:pPr>
      <w:numPr>
        <w:ilvl w:val="1"/>
      </w:numPr>
      <w:tabs>
        <w:tab w:val="clear" w:pos="431"/>
        <w:tab w:val="clear" w:pos="4320"/>
        <w:tab w:val="clear" w:pos="8640"/>
        <w:tab w:val="right" w:pos="-2700"/>
        <w:tab w:val="num" w:pos="360"/>
        <w:tab w:val="right" w:pos="720"/>
      </w:tabs>
      <w:spacing w:before="0" w:after="0"/>
    </w:pPr>
    <w:rPr>
      <w:b w:val="0"/>
      <w:szCs w:val="20"/>
      <w:lang w:val="en-GB"/>
    </w:rPr>
  </w:style>
  <w:style w:type="paragraph" w:customStyle="1" w:styleId="Header30">
    <w:name w:val="Header_30"/>
    <w:basedOn w:val="Normal32"/>
    <w:link w:val="HeaderChar30"/>
    <w:uiPriority w:val="99"/>
    <w:semiHidden/>
    <w:unhideWhenUsed/>
    <w:pPr>
      <w:tabs>
        <w:tab w:val="center" w:pos="4680"/>
        <w:tab w:val="right" w:pos="9360"/>
      </w:tabs>
    </w:pPr>
  </w:style>
  <w:style w:type="paragraph" w:customStyle="1" w:styleId="Normal32">
    <w:name w:val="Normal_32"/>
    <w:qFormat/>
    <w:rPr>
      <w:rFonts w:eastAsia="Calibri" w:cs="Arial"/>
      <w:lang w:val="en-US" w:eastAsia="en-US"/>
    </w:rPr>
  </w:style>
  <w:style w:type="character" w:customStyle="1" w:styleId="HeaderChar30">
    <w:name w:val="Header Char_30"/>
    <w:basedOn w:val="DefaultParagraphFont"/>
    <w:link w:val="Header30"/>
    <w:uiPriority w:val="99"/>
    <w:semiHidden/>
  </w:style>
  <w:style w:type="character" w:customStyle="1" w:styleId="NotesChar28">
    <w:name w:val="Notes Char_28"/>
    <w:link w:val="Notes28"/>
    <w:locked/>
    <w:rPr>
      <w:rFonts w:ascii="Arial" w:eastAsia="Calibri" w:hAnsi="Arial" w:cs="Arial"/>
      <w:b/>
      <w:szCs w:val="24"/>
      <w:lang w:val="en-US" w:eastAsia="ar-SA"/>
    </w:rPr>
  </w:style>
  <w:style w:type="table" w:styleId="TableGrid">
    <w:name w:val="Table Grid"/>
    <w:basedOn w:val="TableNormal"/>
    <w:uiPriority w:val="59"/>
    <w:rPr>
      <w:rFonts w:eastAsia="Calibri"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color w:val="016794"/>
    </w:rPr>
  </w:style>
  <w:style w:type="character" w:customStyle="1" w:styleId="CoverPageChar">
    <w:name w:val="CoverPage Char"/>
    <w:basedOn w:val="DefaultParagraphFont"/>
    <w:link w:val="CoverPage"/>
    <w:rPr>
      <w:rFonts w:ascii="Verdana" w:hAnsi="Verdana"/>
      <w:color w:val="016794"/>
      <w:sz w:val="52"/>
      <w:szCs w:val="52"/>
    </w:rPr>
  </w:style>
  <w:style w:type="character" w:customStyle="1" w:styleId="FooterCoverPageChar">
    <w:name w:val="Footer Cover Page Char"/>
    <w:basedOn w:val="CoverPageChar"/>
    <w:link w:val="FooterCoverPage"/>
    <w:rPr>
      <w:rFonts w:ascii="Times New Roman" w:hAnsi="Times New Roman"/>
      <w:color w:val="016794"/>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color w:val="016794"/>
    </w:rPr>
  </w:style>
  <w:style w:type="character" w:customStyle="1" w:styleId="HeaderCoverPageChar">
    <w:name w:val="Header Cover Page Char"/>
    <w:basedOn w:val="CoverPageChar"/>
    <w:link w:val="HeaderCoverPage"/>
    <w:rPr>
      <w:rFonts w:ascii="Times New Roman" w:hAnsi="Times New Roman"/>
      <w:color w:val="01679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0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eader" Target="header54.xml"/><Relationship Id="rId299" Type="http://schemas.openxmlformats.org/officeDocument/2006/relationships/header" Target="header141.xml"/><Relationship Id="rId21" Type="http://schemas.openxmlformats.org/officeDocument/2006/relationships/header" Target="header6.xml"/><Relationship Id="rId63" Type="http://schemas.openxmlformats.org/officeDocument/2006/relationships/header" Target="header27.xml"/><Relationship Id="rId159" Type="http://schemas.openxmlformats.org/officeDocument/2006/relationships/header" Target="header75.xml"/><Relationship Id="rId324" Type="http://schemas.openxmlformats.org/officeDocument/2006/relationships/footer" Target="footer153.xml"/><Relationship Id="rId366" Type="http://schemas.openxmlformats.org/officeDocument/2006/relationships/header" Target="header174.xml"/><Relationship Id="rId170" Type="http://schemas.openxmlformats.org/officeDocument/2006/relationships/footer" Target="footer80.xml"/><Relationship Id="rId226" Type="http://schemas.openxmlformats.org/officeDocument/2006/relationships/footer" Target="footer108.xml"/><Relationship Id="rId268" Type="http://schemas.openxmlformats.org/officeDocument/2006/relationships/header" Target="header128.xml"/><Relationship Id="rId32" Type="http://schemas.openxmlformats.org/officeDocument/2006/relationships/footer" Target="footer11.xml"/><Relationship Id="rId74" Type="http://schemas.openxmlformats.org/officeDocument/2006/relationships/footer" Target="footer32.xml"/><Relationship Id="rId128" Type="http://schemas.openxmlformats.org/officeDocument/2006/relationships/footer" Target="footer59.xml"/><Relationship Id="rId335" Type="http://schemas.openxmlformats.org/officeDocument/2006/relationships/header" Target="header159.xml"/><Relationship Id="rId377" Type="http://schemas.openxmlformats.org/officeDocument/2006/relationships/header" Target="header178.xml"/><Relationship Id="rId5" Type="http://schemas.microsoft.com/office/2007/relationships/stylesWithEffects" Target="stylesWithEffects.xml"/><Relationship Id="rId181" Type="http://schemas.openxmlformats.org/officeDocument/2006/relationships/footer" Target="footer85.xml"/><Relationship Id="rId237" Type="http://schemas.openxmlformats.org/officeDocument/2006/relationships/header" Target="header114.xml"/><Relationship Id="rId402" Type="http://schemas.openxmlformats.org/officeDocument/2006/relationships/header" Target="header188.xml"/><Relationship Id="rId279" Type="http://schemas.openxmlformats.org/officeDocument/2006/relationships/header" Target="header133.xml"/><Relationship Id="rId43" Type="http://schemas.openxmlformats.org/officeDocument/2006/relationships/footer" Target="footer16.xml"/><Relationship Id="rId139" Type="http://schemas.openxmlformats.org/officeDocument/2006/relationships/footer" Target="footer64.xml"/><Relationship Id="rId290" Type="http://schemas.openxmlformats.org/officeDocument/2006/relationships/footer" Target="footer138.xml"/><Relationship Id="rId304" Type="http://schemas.openxmlformats.org/officeDocument/2006/relationships/footer" Target="footer143.xml"/><Relationship Id="rId346" Type="http://schemas.openxmlformats.org/officeDocument/2006/relationships/footer" Target="footer164.xml"/><Relationship Id="rId388" Type="http://schemas.openxmlformats.org/officeDocument/2006/relationships/header" Target="header181.xml"/><Relationship Id="rId85" Type="http://schemas.openxmlformats.org/officeDocument/2006/relationships/footer" Target="footer37.xml"/><Relationship Id="rId150" Type="http://schemas.openxmlformats.org/officeDocument/2006/relationships/header" Target="header71.xml"/><Relationship Id="rId171" Type="http://schemas.openxmlformats.org/officeDocument/2006/relationships/header" Target="header81.xml"/><Relationship Id="rId192" Type="http://schemas.openxmlformats.org/officeDocument/2006/relationships/header" Target="header92.xml"/><Relationship Id="rId206" Type="http://schemas.openxmlformats.org/officeDocument/2006/relationships/footer" Target="footer98.xml"/><Relationship Id="rId227" Type="http://schemas.openxmlformats.org/officeDocument/2006/relationships/header" Target="header109.xml"/><Relationship Id="rId413" Type="http://schemas.openxmlformats.org/officeDocument/2006/relationships/header" Target="header193.xml"/><Relationship Id="rId248" Type="http://schemas.openxmlformats.org/officeDocument/2006/relationships/footer" Target="footer119.xml"/><Relationship Id="rId269" Type="http://schemas.openxmlformats.org/officeDocument/2006/relationships/footer" Target="footer127.xml"/><Relationship Id="rId12" Type="http://schemas.openxmlformats.org/officeDocument/2006/relationships/header" Target="header2.xml"/><Relationship Id="rId33" Type="http://schemas.openxmlformats.org/officeDocument/2006/relationships/header" Target="header12.xml"/><Relationship Id="rId108" Type="http://schemas.openxmlformats.org/officeDocument/2006/relationships/header" Target="header50.xml"/><Relationship Id="rId129" Type="http://schemas.openxmlformats.org/officeDocument/2006/relationships/header" Target="header60.xml"/><Relationship Id="rId280" Type="http://schemas.openxmlformats.org/officeDocument/2006/relationships/header" Target="header134.xml"/><Relationship Id="rId315" Type="http://schemas.openxmlformats.org/officeDocument/2006/relationships/footer" Target="footer148.xml"/><Relationship Id="rId336" Type="http://schemas.openxmlformats.org/officeDocument/2006/relationships/footer" Target="footer159.xml"/><Relationship Id="rId357" Type="http://schemas.openxmlformats.org/officeDocument/2006/relationships/footer" Target="footer169.xml"/><Relationship Id="rId54" Type="http://schemas.openxmlformats.org/officeDocument/2006/relationships/header" Target="header23.xml"/><Relationship Id="rId75" Type="http://schemas.openxmlformats.org/officeDocument/2006/relationships/header" Target="header33.xml"/><Relationship Id="rId96" Type="http://schemas.openxmlformats.org/officeDocument/2006/relationships/header" Target="header44.xml"/><Relationship Id="rId140" Type="http://schemas.openxmlformats.org/officeDocument/2006/relationships/footer" Target="footer65.xml"/><Relationship Id="rId161" Type="http://schemas.openxmlformats.org/officeDocument/2006/relationships/header" Target="header76.xml"/><Relationship Id="rId182" Type="http://schemas.openxmlformats.org/officeDocument/2006/relationships/footer" Target="footer86.xml"/><Relationship Id="rId217" Type="http://schemas.openxmlformats.org/officeDocument/2006/relationships/footer" Target="footer103.xml"/><Relationship Id="rId378" Type="http://schemas.openxmlformats.org/officeDocument/2006/relationships/header" Target="header179.xml"/><Relationship Id="rId399" Type="http://schemas.openxmlformats.org/officeDocument/2006/relationships/header" Target="header186.xml"/><Relationship Id="rId403" Type="http://schemas.openxmlformats.org/officeDocument/2006/relationships/footer" Target="footer187.xml"/><Relationship Id="rId6" Type="http://schemas.openxmlformats.org/officeDocument/2006/relationships/settings" Target="settings.xml"/><Relationship Id="rId238" Type="http://schemas.openxmlformats.org/officeDocument/2006/relationships/footer" Target="footer114.xml"/><Relationship Id="rId259" Type="http://schemas.openxmlformats.org/officeDocument/2006/relationships/header" Target="header123.xml"/><Relationship Id="rId424" Type="http://schemas.openxmlformats.org/officeDocument/2006/relationships/footer" Target="footer198.xml"/><Relationship Id="rId23" Type="http://schemas.openxmlformats.org/officeDocument/2006/relationships/header" Target="header7.xml"/><Relationship Id="rId119" Type="http://schemas.openxmlformats.org/officeDocument/2006/relationships/header" Target="header55.xml"/><Relationship Id="rId270" Type="http://schemas.openxmlformats.org/officeDocument/2006/relationships/footer" Target="footer128.xml"/><Relationship Id="rId291" Type="http://schemas.openxmlformats.org/officeDocument/2006/relationships/hyperlink" Target="http://europa.eu/rapid/press-release_IP-15-6055_en.htm" TargetMode="External"/><Relationship Id="rId305" Type="http://schemas.openxmlformats.org/officeDocument/2006/relationships/header" Target="header144.xml"/><Relationship Id="rId326" Type="http://schemas.openxmlformats.org/officeDocument/2006/relationships/header" Target="header155.xml"/><Relationship Id="rId347" Type="http://schemas.openxmlformats.org/officeDocument/2006/relationships/header" Target="header165.xml"/><Relationship Id="rId44" Type="http://schemas.openxmlformats.org/officeDocument/2006/relationships/footer" Target="footer17.xml"/><Relationship Id="rId65" Type="http://schemas.openxmlformats.org/officeDocument/2006/relationships/header" Target="header28.xml"/><Relationship Id="rId86" Type="http://schemas.openxmlformats.org/officeDocument/2006/relationships/footer" Target="footer38.xml"/><Relationship Id="rId130" Type="http://schemas.openxmlformats.org/officeDocument/2006/relationships/footer" Target="footer60.xml"/><Relationship Id="rId151" Type="http://schemas.openxmlformats.org/officeDocument/2006/relationships/footer" Target="footer70.xml"/><Relationship Id="rId368" Type="http://schemas.openxmlformats.org/officeDocument/2006/relationships/image" Target="media/image3.emf"/><Relationship Id="rId389" Type="http://schemas.openxmlformats.org/officeDocument/2006/relationships/header" Target="header182.xml"/><Relationship Id="rId172" Type="http://schemas.openxmlformats.org/officeDocument/2006/relationships/footer" Target="footer81.xml"/><Relationship Id="rId193" Type="http://schemas.openxmlformats.org/officeDocument/2006/relationships/footer" Target="footer91.xml"/><Relationship Id="rId207" Type="http://schemas.openxmlformats.org/officeDocument/2006/relationships/header" Target="header99.xml"/><Relationship Id="rId228" Type="http://schemas.openxmlformats.org/officeDocument/2006/relationships/header" Target="header110.xml"/><Relationship Id="rId249" Type="http://schemas.openxmlformats.org/officeDocument/2006/relationships/header" Target="header120.xml"/><Relationship Id="rId414" Type="http://schemas.openxmlformats.org/officeDocument/2006/relationships/header" Target="header194.xml"/><Relationship Id="rId13" Type="http://schemas.openxmlformats.org/officeDocument/2006/relationships/footer" Target="footer1.xml"/><Relationship Id="rId109" Type="http://schemas.openxmlformats.org/officeDocument/2006/relationships/footer" Target="footer49.xml"/><Relationship Id="rId260" Type="http://schemas.openxmlformats.org/officeDocument/2006/relationships/footer" Target="footer123.xml"/><Relationship Id="rId281" Type="http://schemas.openxmlformats.org/officeDocument/2006/relationships/footer" Target="footer133.xml"/><Relationship Id="rId316" Type="http://schemas.openxmlformats.org/officeDocument/2006/relationships/footer" Target="footer149.xml"/><Relationship Id="rId337" Type="http://schemas.openxmlformats.org/officeDocument/2006/relationships/header" Target="header160.xml"/><Relationship Id="rId34" Type="http://schemas.openxmlformats.org/officeDocument/2006/relationships/footer" Target="footer12.xml"/><Relationship Id="rId55" Type="http://schemas.openxmlformats.org/officeDocument/2006/relationships/footer" Target="footer22.xml"/><Relationship Id="rId76" Type="http://schemas.openxmlformats.org/officeDocument/2006/relationships/footer" Target="footer33.xml"/><Relationship Id="rId97" Type="http://schemas.openxmlformats.org/officeDocument/2006/relationships/footer" Target="footer43.xml"/><Relationship Id="rId120" Type="http://schemas.openxmlformats.org/officeDocument/2006/relationships/header" Target="header56.xml"/><Relationship Id="rId141" Type="http://schemas.openxmlformats.org/officeDocument/2006/relationships/header" Target="header66.xml"/><Relationship Id="rId358" Type="http://schemas.openxmlformats.org/officeDocument/2006/relationships/footer" Target="footer170.xml"/><Relationship Id="rId379" Type="http://schemas.openxmlformats.org/officeDocument/2006/relationships/footer" Target="footer178.xml"/><Relationship Id="rId7" Type="http://schemas.openxmlformats.org/officeDocument/2006/relationships/webSettings" Target="webSettings.xml"/><Relationship Id="rId162" Type="http://schemas.openxmlformats.org/officeDocument/2006/relationships/header" Target="header77.xml"/><Relationship Id="rId183" Type="http://schemas.openxmlformats.org/officeDocument/2006/relationships/header" Target="header87.xml"/><Relationship Id="rId218" Type="http://schemas.openxmlformats.org/officeDocument/2006/relationships/footer" Target="footer104.xml"/><Relationship Id="rId239" Type="http://schemas.openxmlformats.org/officeDocument/2006/relationships/header" Target="header115.xml"/><Relationship Id="rId390" Type="http://schemas.openxmlformats.org/officeDocument/2006/relationships/footer" Target="footer181.xml"/><Relationship Id="rId404" Type="http://schemas.openxmlformats.org/officeDocument/2006/relationships/footer" Target="footer188.xml"/><Relationship Id="rId425" Type="http://schemas.openxmlformats.org/officeDocument/2006/relationships/header" Target="header199.xml"/><Relationship Id="rId250" Type="http://schemas.openxmlformats.org/officeDocument/2006/relationships/footer" Target="footer120.xml"/><Relationship Id="rId271" Type="http://schemas.openxmlformats.org/officeDocument/2006/relationships/header" Target="header129.xml"/><Relationship Id="rId292" Type="http://schemas.openxmlformats.org/officeDocument/2006/relationships/hyperlink" Target="http://ec.europa.eu/europeaid/node/104594" TargetMode="External"/><Relationship Id="rId306" Type="http://schemas.openxmlformats.org/officeDocument/2006/relationships/footer" Target="footer144.xml"/><Relationship Id="rId24" Type="http://schemas.openxmlformats.org/officeDocument/2006/relationships/header" Target="header8.xml"/><Relationship Id="rId45" Type="http://schemas.openxmlformats.org/officeDocument/2006/relationships/header" Target="header18.xml"/><Relationship Id="rId66" Type="http://schemas.openxmlformats.org/officeDocument/2006/relationships/header" Target="header29.xml"/><Relationship Id="rId87" Type="http://schemas.openxmlformats.org/officeDocument/2006/relationships/header" Target="header39.xml"/><Relationship Id="rId110" Type="http://schemas.openxmlformats.org/officeDocument/2006/relationships/footer" Target="footer50.xml"/><Relationship Id="rId131" Type="http://schemas.openxmlformats.org/officeDocument/2006/relationships/header" Target="header61.xml"/><Relationship Id="rId327" Type="http://schemas.openxmlformats.org/officeDocument/2006/relationships/footer" Target="footer154.xml"/><Relationship Id="rId348" Type="http://schemas.openxmlformats.org/officeDocument/2006/relationships/footer" Target="footer165.xml"/><Relationship Id="rId369" Type="http://schemas.openxmlformats.org/officeDocument/2006/relationships/image" Target="media/image4.emf"/><Relationship Id="rId152" Type="http://schemas.openxmlformats.org/officeDocument/2006/relationships/footer" Target="footer71.xml"/><Relationship Id="rId173" Type="http://schemas.openxmlformats.org/officeDocument/2006/relationships/header" Target="header82.xml"/><Relationship Id="rId194" Type="http://schemas.openxmlformats.org/officeDocument/2006/relationships/footer" Target="footer92.xml"/><Relationship Id="rId208" Type="http://schemas.openxmlformats.org/officeDocument/2006/relationships/footer" Target="footer99.xml"/><Relationship Id="rId229" Type="http://schemas.openxmlformats.org/officeDocument/2006/relationships/footer" Target="footer109.xml"/><Relationship Id="rId380" Type="http://schemas.openxmlformats.org/officeDocument/2006/relationships/footer" Target="footer179.xml"/><Relationship Id="rId415" Type="http://schemas.openxmlformats.org/officeDocument/2006/relationships/footer" Target="footer193.xml"/><Relationship Id="rId240" Type="http://schemas.openxmlformats.org/officeDocument/2006/relationships/header" Target="header116.xml"/><Relationship Id="rId261" Type="http://schemas.openxmlformats.org/officeDocument/2006/relationships/header" Target="header124.xml"/><Relationship Id="rId14" Type="http://schemas.openxmlformats.org/officeDocument/2006/relationships/footer" Target="footer2.xml"/><Relationship Id="rId35" Type="http://schemas.openxmlformats.org/officeDocument/2006/relationships/header" Target="header13.xml"/><Relationship Id="rId56" Type="http://schemas.openxmlformats.org/officeDocument/2006/relationships/footer" Target="footer23.xml"/><Relationship Id="rId77" Type="http://schemas.openxmlformats.org/officeDocument/2006/relationships/header" Target="header34.xml"/><Relationship Id="rId100" Type="http://schemas.openxmlformats.org/officeDocument/2006/relationships/footer" Target="footer45.xml"/><Relationship Id="rId282" Type="http://schemas.openxmlformats.org/officeDocument/2006/relationships/footer" Target="footer134.xml"/><Relationship Id="rId317" Type="http://schemas.openxmlformats.org/officeDocument/2006/relationships/header" Target="header150.xml"/><Relationship Id="rId338" Type="http://schemas.openxmlformats.org/officeDocument/2006/relationships/header" Target="header161.xml"/><Relationship Id="rId359" Type="http://schemas.openxmlformats.org/officeDocument/2006/relationships/header" Target="header171.xml"/><Relationship Id="rId8" Type="http://schemas.openxmlformats.org/officeDocument/2006/relationships/footnotes" Target="footnotes.xml"/><Relationship Id="rId98" Type="http://schemas.openxmlformats.org/officeDocument/2006/relationships/footer" Target="footer44.xml"/><Relationship Id="rId121" Type="http://schemas.openxmlformats.org/officeDocument/2006/relationships/footer" Target="footer55.xml"/><Relationship Id="rId142" Type="http://schemas.openxmlformats.org/officeDocument/2006/relationships/footer" Target="footer66.xml"/><Relationship Id="rId163" Type="http://schemas.openxmlformats.org/officeDocument/2006/relationships/footer" Target="footer76.xml"/><Relationship Id="rId184" Type="http://schemas.openxmlformats.org/officeDocument/2006/relationships/footer" Target="footer87.xml"/><Relationship Id="rId219" Type="http://schemas.openxmlformats.org/officeDocument/2006/relationships/header" Target="header105.xml"/><Relationship Id="rId370" Type="http://schemas.openxmlformats.org/officeDocument/2006/relationships/image" Target="media/image5.emf"/><Relationship Id="rId391" Type="http://schemas.openxmlformats.org/officeDocument/2006/relationships/footer" Target="footer182.xml"/><Relationship Id="rId405" Type="http://schemas.openxmlformats.org/officeDocument/2006/relationships/header" Target="header189.xml"/><Relationship Id="rId426" Type="http://schemas.openxmlformats.org/officeDocument/2006/relationships/header" Target="header200.xml"/><Relationship Id="rId230" Type="http://schemas.openxmlformats.org/officeDocument/2006/relationships/footer" Target="footer110.xml"/><Relationship Id="rId251" Type="http://schemas.openxmlformats.org/officeDocument/2006/relationships/hyperlink" Target="http://ec.europa.eu/echo/" TargetMode="External"/><Relationship Id="rId25" Type="http://schemas.openxmlformats.org/officeDocument/2006/relationships/footer" Target="footer7.xml"/><Relationship Id="rId46" Type="http://schemas.openxmlformats.org/officeDocument/2006/relationships/footer" Target="footer18.xml"/><Relationship Id="rId67" Type="http://schemas.openxmlformats.org/officeDocument/2006/relationships/footer" Target="footer28.xml"/><Relationship Id="rId272" Type="http://schemas.openxmlformats.org/officeDocument/2006/relationships/footer" Target="footer129.xml"/><Relationship Id="rId293" Type="http://schemas.openxmlformats.org/officeDocument/2006/relationships/hyperlink" Target="https://ec.europa.eu/europeaid/regions/africa/eu-emergency-trust-fund/horn-africa_en" TargetMode="External"/><Relationship Id="rId307" Type="http://schemas.openxmlformats.org/officeDocument/2006/relationships/header" Target="header145.xml"/><Relationship Id="rId328" Type="http://schemas.openxmlformats.org/officeDocument/2006/relationships/footer" Target="footer155.xml"/><Relationship Id="rId349" Type="http://schemas.openxmlformats.org/officeDocument/2006/relationships/header" Target="header166.xml"/><Relationship Id="rId88" Type="http://schemas.openxmlformats.org/officeDocument/2006/relationships/footer" Target="footer39.xml"/><Relationship Id="rId111" Type="http://schemas.openxmlformats.org/officeDocument/2006/relationships/header" Target="header51.xml"/><Relationship Id="rId132" Type="http://schemas.openxmlformats.org/officeDocument/2006/relationships/header" Target="header62.xml"/><Relationship Id="rId153" Type="http://schemas.openxmlformats.org/officeDocument/2006/relationships/header" Target="header72.xml"/><Relationship Id="rId174" Type="http://schemas.openxmlformats.org/officeDocument/2006/relationships/header" Target="header83.xml"/><Relationship Id="rId195" Type="http://schemas.openxmlformats.org/officeDocument/2006/relationships/header" Target="header93.xml"/><Relationship Id="rId209" Type="http://schemas.openxmlformats.org/officeDocument/2006/relationships/header" Target="header100.xml"/><Relationship Id="rId360" Type="http://schemas.openxmlformats.org/officeDocument/2006/relationships/footer" Target="footer171.xml"/><Relationship Id="rId381" Type="http://schemas.openxmlformats.org/officeDocument/2006/relationships/header" Target="header180.xml"/><Relationship Id="rId416" Type="http://schemas.openxmlformats.org/officeDocument/2006/relationships/footer" Target="footer194.xml"/><Relationship Id="rId220" Type="http://schemas.openxmlformats.org/officeDocument/2006/relationships/footer" Target="footer105.xml"/><Relationship Id="rId241" Type="http://schemas.openxmlformats.org/officeDocument/2006/relationships/footer" Target="footer115.xml"/><Relationship Id="rId15" Type="http://schemas.openxmlformats.org/officeDocument/2006/relationships/header" Target="header3.xml"/><Relationship Id="rId36" Type="http://schemas.openxmlformats.org/officeDocument/2006/relationships/header" Target="header14.xml"/><Relationship Id="rId57" Type="http://schemas.openxmlformats.org/officeDocument/2006/relationships/header" Target="header24.xml"/><Relationship Id="rId262" Type="http://schemas.openxmlformats.org/officeDocument/2006/relationships/header" Target="header125.xml"/><Relationship Id="rId283" Type="http://schemas.openxmlformats.org/officeDocument/2006/relationships/header" Target="header135.xml"/><Relationship Id="rId318" Type="http://schemas.openxmlformats.org/officeDocument/2006/relationships/footer" Target="footer150.xml"/><Relationship Id="rId339" Type="http://schemas.openxmlformats.org/officeDocument/2006/relationships/footer" Target="footer160.xml"/><Relationship Id="rId78" Type="http://schemas.openxmlformats.org/officeDocument/2006/relationships/header" Target="header35.xml"/><Relationship Id="rId99" Type="http://schemas.openxmlformats.org/officeDocument/2006/relationships/header" Target="header45.xml"/><Relationship Id="rId101" Type="http://schemas.openxmlformats.org/officeDocument/2006/relationships/header" Target="header46.xml"/><Relationship Id="rId122" Type="http://schemas.openxmlformats.org/officeDocument/2006/relationships/footer" Target="footer56.xml"/><Relationship Id="rId143" Type="http://schemas.openxmlformats.org/officeDocument/2006/relationships/header" Target="header67.xml"/><Relationship Id="rId164" Type="http://schemas.openxmlformats.org/officeDocument/2006/relationships/footer" Target="footer77.xml"/><Relationship Id="rId185" Type="http://schemas.openxmlformats.org/officeDocument/2006/relationships/header" Target="header88.xml"/><Relationship Id="rId350" Type="http://schemas.openxmlformats.org/officeDocument/2006/relationships/header" Target="header167.xml"/><Relationship Id="rId371" Type="http://schemas.openxmlformats.org/officeDocument/2006/relationships/header" Target="header175.xml"/><Relationship Id="rId406" Type="http://schemas.openxmlformats.org/officeDocument/2006/relationships/footer" Target="footer189.xml"/><Relationship Id="rId9" Type="http://schemas.openxmlformats.org/officeDocument/2006/relationships/endnotes" Target="endnotes.xml"/><Relationship Id="rId210" Type="http://schemas.openxmlformats.org/officeDocument/2006/relationships/header" Target="header101.xml"/><Relationship Id="rId392" Type="http://schemas.openxmlformats.org/officeDocument/2006/relationships/header" Target="header183.xml"/><Relationship Id="rId427" Type="http://schemas.openxmlformats.org/officeDocument/2006/relationships/footer" Target="footer199.xml"/><Relationship Id="rId26" Type="http://schemas.openxmlformats.org/officeDocument/2006/relationships/footer" Target="footer8.xml"/><Relationship Id="rId231" Type="http://schemas.openxmlformats.org/officeDocument/2006/relationships/header" Target="header111.xml"/><Relationship Id="rId252" Type="http://schemas.openxmlformats.org/officeDocument/2006/relationships/hyperlink" Target="http://www.eeas.europa.eu/index_en.htm" TargetMode="External"/><Relationship Id="rId273" Type="http://schemas.openxmlformats.org/officeDocument/2006/relationships/header" Target="header130.xml"/><Relationship Id="rId294" Type="http://schemas.openxmlformats.org/officeDocument/2006/relationships/hyperlink" Target="http://ec.europa.eu/europeaid/regions/africa/eu-emergency-trust-fund/north-africa_en" TargetMode="External"/><Relationship Id="rId308" Type="http://schemas.openxmlformats.org/officeDocument/2006/relationships/header" Target="header146.xml"/><Relationship Id="rId329" Type="http://schemas.openxmlformats.org/officeDocument/2006/relationships/header" Target="header156.xml"/><Relationship Id="rId47" Type="http://schemas.openxmlformats.org/officeDocument/2006/relationships/header" Target="header19.xml"/><Relationship Id="rId68" Type="http://schemas.openxmlformats.org/officeDocument/2006/relationships/footer" Target="footer29.xml"/><Relationship Id="rId89" Type="http://schemas.openxmlformats.org/officeDocument/2006/relationships/header" Target="header40.xml"/><Relationship Id="rId112" Type="http://schemas.openxmlformats.org/officeDocument/2006/relationships/footer" Target="footer51.xml"/><Relationship Id="rId133" Type="http://schemas.openxmlformats.org/officeDocument/2006/relationships/footer" Target="footer61.xml"/><Relationship Id="rId154" Type="http://schemas.openxmlformats.org/officeDocument/2006/relationships/footer" Target="footer72.xml"/><Relationship Id="rId175" Type="http://schemas.openxmlformats.org/officeDocument/2006/relationships/footer" Target="footer82.xml"/><Relationship Id="rId340" Type="http://schemas.openxmlformats.org/officeDocument/2006/relationships/footer" Target="footer161.xml"/><Relationship Id="rId361" Type="http://schemas.openxmlformats.org/officeDocument/2006/relationships/image" Target="media/image2.emf"/><Relationship Id="rId196" Type="http://schemas.openxmlformats.org/officeDocument/2006/relationships/footer" Target="footer93.xml"/><Relationship Id="rId200" Type="http://schemas.openxmlformats.org/officeDocument/2006/relationships/footer" Target="footer95.xml"/><Relationship Id="rId382" Type="http://schemas.openxmlformats.org/officeDocument/2006/relationships/footer" Target="footer180.xml"/><Relationship Id="rId417" Type="http://schemas.openxmlformats.org/officeDocument/2006/relationships/header" Target="header195.xml"/><Relationship Id="rId16" Type="http://schemas.openxmlformats.org/officeDocument/2006/relationships/footer" Target="footer3.xml"/><Relationship Id="rId221" Type="http://schemas.openxmlformats.org/officeDocument/2006/relationships/header" Target="header106.xml"/><Relationship Id="rId242" Type="http://schemas.openxmlformats.org/officeDocument/2006/relationships/footer" Target="footer116.xml"/><Relationship Id="rId263" Type="http://schemas.openxmlformats.org/officeDocument/2006/relationships/footer" Target="footer124.xml"/><Relationship Id="rId284" Type="http://schemas.openxmlformats.org/officeDocument/2006/relationships/footer" Target="footer135.xml"/><Relationship Id="rId319" Type="http://schemas.openxmlformats.org/officeDocument/2006/relationships/header" Target="header151.xml"/><Relationship Id="rId37" Type="http://schemas.openxmlformats.org/officeDocument/2006/relationships/footer" Target="footer13.xml"/><Relationship Id="rId58" Type="http://schemas.openxmlformats.org/officeDocument/2006/relationships/footer" Target="footer24.xml"/><Relationship Id="rId79" Type="http://schemas.openxmlformats.org/officeDocument/2006/relationships/footer" Target="footer34.xml"/><Relationship Id="rId102" Type="http://schemas.openxmlformats.org/officeDocument/2006/relationships/header" Target="header47.xml"/><Relationship Id="rId123" Type="http://schemas.openxmlformats.org/officeDocument/2006/relationships/header" Target="header57.xml"/><Relationship Id="rId144" Type="http://schemas.openxmlformats.org/officeDocument/2006/relationships/header" Target="header68.xml"/><Relationship Id="rId330" Type="http://schemas.openxmlformats.org/officeDocument/2006/relationships/footer" Target="footer156.xml"/><Relationship Id="rId90" Type="http://schemas.openxmlformats.org/officeDocument/2006/relationships/header" Target="header41.xml"/><Relationship Id="rId165" Type="http://schemas.openxmlformats.org/officeDocument/2006/relationships/header" Target="header78.xml"/><Relationship Id="rId186" Type="http://schemas.openxmlformats.org/officeDocument/2006/relationships/header" Target="header89.xml"/><Relationship Id="rId351" Type="http://schemas.openxmlformats.org/officeDocument/2006/relationships/footer" Target="footer166.xml"/><Relationship Id="rId372" Type="http://schemas.openxmlformats.org/officeDocument/2006/relationships/header" Target="header176.xml"/><Relationship Id="rId393" Type="http://schemas.openxmlformats.org/officeDocument/2006/relationships/footer" Target="footer183.xml"/><Relationship Id="rId407" Type="http://schemas.openxmlformats.org/officeDocument/2006/relationships/header" Target="header190.xml"/><Relationship Id="rId428" Type="http://schemas.openxmlformats.org/officeDocument/2006/relationships/footer" Target="footer200.xml"/><Relationship Id="rId211" Type="http://schemas.openxmlformats.org/officeDocument/2006/relationships/footer" Target="footer100.xml"/><Relationship Id="rId232" Type="http://schemas.openxmlformats.org/officeDocument/2006/relationships/footer" Target="footer111.xml"/><Relationship Id="rId253" Type="http://schemas.openxmlformats.org/officeDocument/2006/relationships/hyperlink" Target="http://www.afd.fr/lang/en/home" TargetMode="External"/><Relationship Id="rId274" Type="http://schemas.openxmlformats.org/officeDocument/2006/relationships/header" Target="header131.xml"/><Relationship Id="rId295" Type="http://schemas.openxmlformats.org/officeDocument/2006/relationships/header" Target="header139.xml"/><Relationship Id="rId309" Type="http://schemas.openxmlformats.org/officeDocument/2006/relationships/footer" Target="footer145.xml"/><Relationship Id="rId27" Type="http://schemas.openxmlformats.org/officeDocument/2006/relationships/header" Target="header9.xml"/><Relationship Id="rId48" Type="http://schemas.openxmlformats.org/officeDocument/2006/relationships/header" Target="header20.xml"/><Relationship Id="rId69" Type="http://schemas.openxmlformats.org/officeDocument/2006/relationships/header" Target="header30.xml"/><Relationship Id="rId113" Type="http://schemas.openxmlformats.org/officeDocument/2006/relationships/header" Target="header52.xml"/><Relationship Id="rId134" Type="http://schemas.openxmlformats.org/officeDocument/2006/relationships/footer" Target="footer62.xml"/><Relationship Id="rId320" Type="http://schemas.openxmlformats.org/officeDocument/2006/relationships/header" Target="header152.xml"/><Relationship Id="rId80" Type="http://schemas.openxmlformats.org/officeDocument/2006/relationships/footer" Target="footer35.xml"/><Relationship Id="rId155" Type="http://schemas.openxmlformats.org/officeDocument/2006/relationships/header" Target="header73.xml"/><Relationship Id="rId176" Type="http://schemas.openxmlformats.org/officeDocument/2006/relationships/footer" Target="footer83.xml"/><Relationship Id="rId197" Type="http://schemas.openxmlformats.org/officeDocument/2006/relationships/header" Target="header94.xml"/><Relationship Id="rId341" Type="http://schemas.openxmlformats.org/officeDocument/2006/relationships/header" Target="header162.xml"/><Relationship Id="rId362" Type="http://schemas.openxmlformats.org/officeDocument/2006/relationships/header" Target="header172.xml"/><Relationship Id="rId383" Type="http://schemas.openxmlformats.org/officeDocument/2006/relationships/image" Target="media/image6.emf"/><Relationship Id="rId418" Type="http://schemas.openxmlformats.org/officeDocument/2006/relationships/footer" Target="footer195.xml"/><Relationship Id="rId201" Type="http://schemas.openxmlformats.org/officeDocument/2006/relationships/header" Target="header96.xml"/><Relationship Id="rId222" Type="http://schemas.openxmlformats.org/officeDocument/2006/relationships/header" Target="header107.xml"/><Relationship Id="rId243" Type="http://schemas.openxmlformats.org/officeDocument/2006/relationships/header" Target="header117.xml"/><Relationship Id="rId264" Type="http://schemas.openxmlformats.org/officeDocument/2006/relationships/footer" Target="footer125.xml"/><Relationship Id="rId285" Type="http://schemas.openxmlformats.org/officeDocument/2006/relationships/header" Target="header136.xml"/><Relationship Id="rId17" Type="http://schemas.openxmlformats.org/officeDocument/2006/relationships/header" Target="header4.xml"/><Relationship Id="rId38" Type="http://schemas.openxmlformats.org/officeDocument/2006/relationships/footer" Target="footer14.xml"/><Relationship Id="rId59" Type="http://schemas.openxmlformats.org/officeDocument/2006/relationships/header" Target="header25.xml"/><Relationship Id="rId103" Type="http://schemas.openxmlformats.org/officeDocument/2006/relationships/footer" Target="footer46.xml"/><Relationship Id="rId124" Type="http://schemas.openxmlformats.org/officeDocument/2006/relationships/footer" Target="footer57.xml"/><Relationship Id="rId310" Type="http://schemas.openxmlformats.org/officeDocument/2006/relationships/footer" Target="footer146.xml"/><Relationship Id="rId70" Type="http://schemas.openxmlformats.org/officeDocument/2006/relationships/footer" Target="footer30.xml"/><Relationship Id="rId91" Type="http://schemas.openxmlformats.org/officeDocument/2006/relationships/footer" Target="footer40.xml"/><Relationship Id="rId145" Type="http://schemas.openxmlformats.org/officeDocument/2006/relationships/footer" Target="footer67.xml"/><Relationship Id="rId166" Type="http://schemas.openxmlformats.org/officeDocument/2006/relationships/footer" Target="footer78.xml"/><Relationship Id="rId187" Type="http://schemas.openxmlformats.org/officeDocument/2006/relationships/footer" Target="footer88.xml"/><Relationship Id="rId331" Type="http://schemas.openxmlformats.org/officeDocument/2006/relationships/header" Target="header157.xml"/><Relationship Id="rId352" Type="http://schemas.openxmlformats.org/officeDocument/2006/relationships/footer" Target="footer167.xml"/><Relationship Id="rId373" Type="http://schemas.openxmlformats.org/officeDocument/2006/relationships/footer" Target="footer175.xml"/><Relationship Id="rId394" Type="http://schemas.openxmlformats.org/officeDocument/2006/relationships/image" Target="media/image11.emf"/><Relationship Id="rId408" Type="http://schemas.openxmlformats.org/officeDocument/2006/relationships/header" Target="header191.xml"/><Relationship Id="rId429" Type="http://schemas.openxmlformats.org/officeDocument/2006/relationships/header" Target="header201.xml"/><Relationship Id="rId1" Type="http://schemas.microsoft.com/office/2006/relationships/keyMapCustomizations" Target="customizations.xml"/><Relationship Id="rId212" Type="http://schemas.openxmlformats.org/officeDocument/2006/relationships/footer" Target="footer101.xml"/><Relationship Id="rId233" Type="http://schemas.openxmlformats.org/officeDocument/2006/relationships/header" Target="header112.xml"/><Relationship Id="rId254" Type="http://schemas.openxmlformats.org/officeDocument/2006/relationships/hyperlink" Target="http://www.government.nl/issues/development-cooperation" TargetMode="External"/><Relationship Id="rId28" Type="http://schemas.openxmlformats.org/officeDocument/2006/relationships/footer" Target="footer9.xml"/><Relationship Id="rId49" Type="http://schemas.openxmlformats.org/officeDocument/2006/relationships/footer" Target="footer19.xml"/><Relationship Id="rId114" Type="http://schemas.openxmlformats.org/officeDocument/2006/relationships/header" Target="header53.xml"/><Relationship Id="rId275" Type="http://schemas.openxmlformats.org/officeDocument/2006/relationships/footer" Target="footer130.xml"/><Relationship Id="rId296" Type="http://schemas.openxmlformats.org/officeDocument/2006/relationships/header" Target="header140.xml"/><Relationship Id="rId300" Type="http://schemas.openxmlformats.org/officeDocument/2006/relationships/footer" Target="footer141.xml"/><Relationship Id="rId60" Type="http://schemas.openxmlformats.org/officeDocument/2006/relationships/header" Target="header26.xml"/><Relationship Id="rId81" Type="http://schemas.openxmlformats.org/officeDocument/2006/relationships/header" Target="header36.xml"/><Relationship Id="rId135" Type="http://schemas.openxmlformats.org/officeDocument/2006/relationships/header" Target="header63.xml"/><Relationship Id="rId156" Type="http://schemas.openxmlformats.org/officeDocument/2006/relationships/header" Target="header74.xml"/><Relationship Id="rId177" Type="http://schemas.openxmlformats.org/officeDocument/2006/relationships/header" Target="header84.xml"/><Relationship Id="rId198" Type="http://schemas.openxmlformats.org/officeDocument/2006/relationships/header" Target="header95.xml"/><Relationship Id="rId321" Type="http://schemas.openxmlformats.org/officeDocument/2006/relationships/footer" Target="footer151.xml"/><Relationship Id="rId342" Type="http://schemas.openxmlformats.org/officeDocument/2006/relationships/footer" Target="footer162.xml"/><Relationship Id="rId363" Type="http://schemas.openxmlformats.org/officeDocument/2006/relationships/header" Target="header173.xml"/><Relationship Id="rId384" Type="http://schemas.openxmlformats.org/officeDocument/2006/relationships/image" Target="media/image7.emf"/><Relationship Id="rId419" Type="http://schemas.openxmlformats.org/officeDocument/2006/relationships/header" Target="header196.xml"/><Relationship Id="rId202" Type="http://schemas.openxmlformats.org/officeDocument/2006/relationships/footer" Target="footer96.xml"/><Relationship Id="rId223" Type="http://schemas.openxmlformats.org/officeDocument/2006/relationships/footer" Target="footer106.xml"/><Relationship Id="rId244" Type="http://schemas.openxmlformats.org/officeDocument/2006/relationships/footer" Target="footer117.xml"/><Relationship Id="rId430" Type="http://schemas.openxmlformats.org/officeDocument/2006/relationships/footer" Target="footer201.xml"/><Relationship Id="rId18" Type="http://schemas.openxmlformats.org/officeDocument/2006/relationships/header" Target="header5.xml"/><Relationship Id="rId39" Type="http://schemas.openxmlformats.org/officeDocument/2006/relationships/header" Target="header15.xml"/><Relationship Id="rId265" Type="http://schemas.openxmlformats.org/officeDocument/2006/relationships/header" Target="header126.xml"/><Relationship Id="rId286" Type="http://schemas.openxmlformats.org/officeDocument/2006/relationships/header" Target="header137.xml"/><Relationship Id="rId50" Type="http://schemas.openxmlformats.org/officeDocument/2006/relationships/footer" Target="footer20.xml"/><Relationship Id="rId104" Type="http://schemas.openxmlformats.org/officeDocument/2006/relationships/footer" Target="footer47.xml"/><Relationship Id="rId125" Type="http://schemas.openxmlformats.org/officeDocument/2006/relationships/header" Target="header58.xml"/><Relationship Id="rId146" Type="http://schemas.openxmlformats.org/officeDocument/2006/relationships/footer" Target="footer68.xml"/><Relationship Id="rId167" Type="http://schemas.openxmlformats.org/officeDocument/2006/relationships/header" Target="header79.xml"/><Relationship Id="rId188" Type="http://schemas.openxmlformats.org/officeDocument/2006/relationships/footer" Target="footer89.xml"/><Relationship Id="rId311" Type="http://schemas.openxmlformats.org/officeDocument/2006/relationships/header" Target="header147.xml"/><Relationship Id="rId332" Type="http://schemas.openxmlformats.org/officeDocument/2006/relationships/header" Target="header158.xml"/><Relationship Id="rId353" Type="http://schemas.openxmlformats.org/officeDocument/2006/relationships/header" Target="header168.xml"/><Relationship Id="rId374" Type="http://schemas.openxmlformats.org/officeDocument/2006/relationships/footer" Target="footer176.xml"/><Relationship Id="rId395" Type="http://schemas.openxmlformats.org/officeDocument/2006/relationships/header" Target="header184.xml"/><Relationship Id="rId409" Type="http://schemas.openxmlformats.org/officeDocument/2006/relationships/footer" Target="footer190.xml"/><Relationship Id="rId71" Type="http://schemas.openxmlformats.org/officeDocument/2006/relationships/header" Target="header31.xml"/><Relationship Id="rId92" Type="http://schemas.openxmlformats.org/officeDocument/2006/relationships/footer" Target="footer41.xml"/><Relationship Id="rId213" Type="http://schemas.openxmlformats.org/officeDocument/2006/relationships/header" Target="header102.xml"/><Relationship Id="rId234" Type="http://schemas.openxmlformats.org/officeDocument/2006/relationships/header" Target="header113.xml"/><Relationship Id="rId420" Type="http://schemas.openxmlformats.org/officeDocument/2006/relationships/header" Target="header197.xml"/><Relationship Id="rId2" Type="http://schemas.openxmlformats.org/officeDocument/2006/relationships/customXml" Target="../customXml/item1.xml"/><Relationship Id="rId29" Type="http://schemas.openxmlformats.org/officeDocument/2006/relationships/header" Target="header10.xml"/><Relationship Id="rId255" Type="http://schemas.openxmlformats.org/officeDocument/2006/relationships/header" Target="header121.xml"/><Relationship Id="rId276" Type="http://schemas.openxmlformats.org/officeDocument/2006/relationships/footer" Target="footer131.xml"/><Relationship Id="rId297" Type="http://schemas.openxmlformats.org/officeDocument/2006/relationships/footer" Target="footer139.xml"/><Relationship Id="rId40" Type="http://schemas.openxmlformats.org/officeDocument/2006/relationships/footer" Target="footer15.xml"/><Relationship Id="rId115" Type="http://schemas.openxmlformats.org/officeDocument/2006/relationships/footer" Target="footer52.xml"/><Relationship Id="rId136" Type="http://schemas.openxmlformats.org/officeDocument/2006/relationships/footer" Target="footer63.xml"/><Relationship Id="rId157" Type="http://schemas.openxmlformats.org/officeDocument/2006/relationships/footer" Target="footer73.xml"/><Relationship Id="rId178" Type="http://schemas.openxmlformats.org/officeDocument/2006/relationships/footer" Target="footer84.xml"/><Relationship Id="rId301" Type="http://schemas.openxmlformats.org/officeDocument/2006/relationships/header" Target="header142.xml"/><Relationship Id="rId322" Type="http://schemas.openxmlformats.org/officeDocument/2006/relationships/footer" Target="footer152.xml"/><Relationship Id="rId343" Type="http://schemas.openxmlformats.org/officeDocument/2006/relationships/header" Target="header163.xml"/><Relationship Id="rId364" Type="http://schemas.openxmlformats.org/officeDocument/2006/relationships/footer" Target="footer172.xml"/><Relationship Id="rId61" Type="http://schemas.openxmlformats.org/officeDocument/2006/relationships/footer" Target="footer25.xml"/><Relationship Id="rId82" Type="http://schemas.openxmlformats.org/officeDocument/2006/relationships/footer" Target="footer36.xml"/><Relationship Id="rId199" Type="http://schemas.openxmlformats.org/officeDocument/2006/relationships/footer" Target="footer94.xml"/><Relationship Id="rId203" Type="http://schemas.openxmlformats.org/officeDocument/2006/relationships/header" Target="header97.xml"/><Relationship Id="rId385" Type="http://schemas.openxmlformats.org/officeDocument/2006/relationships/image" Target="media/image8.emf"/><Relationship Id="rId19" Type="http://schemas.openxmlformats.org/officeDocument/2006/relationships/footer" Target="footer4.xml"/><Relationship Id="rId224" Type="http://schemas.openxmlformats.org/officeDocument/2006/relationships/footer" Target="footer107.xml"/><Relationship Id="rId245" Type="http://schemas.openxmlformats.org/officeDocument/2006/relationships/header" Target="header118.xml"/><Relationship Id="rId266" Type="http://schemas.openxmlformats.org/officeDocument/2006/relationships/footer" Target="footer126.xml"/><Relationship Id="rId287" Type="http://schemas.openxmlformats.org/officeDocument/2006/relationships/footer" Target="footer136.xml"/><Relationship Id="rId410" Type="http://schemas.openxmlformats.org/officeDocument/2006/relationships/footer" Target="footer191.xml"/><Relationship Id="rId431" Type="http://schemas.openxmlformats.org/officeDocument/2006/relationships/fontTable" Target="fontTable.xml"/><Relationship Id="rId30" Type="http://schemas.openxmlformats.org/officeDocument/2006/relationships/header" Target="header11.xml"/><Relationship Id="rId105" Type="http://schemas.openxmlformats.org/officeDocument/2006/relationships/header" Target="header48.xml"/><Relationship Id="rId126" Type="http://schemas.openxmlformats.org/officeDocument/2006/relationships/header" Target="header59.xml"/><Relationship Id="rId147" Type="http://schemas.openxmlformats.org/officeDocument/2006/relationships/header" Target="header69.xml"/><Relationship Id="rId168" Type="http://schemas.openxmlformats.org/officeDocument/2006/relationships/header" Target="header80.xml"/><Relationship Id="rId312" Type="http://schemas.openxmlformats.org/officeDocument/2006/relationships/footer" Target="footer147.xml"/><Relationship Id="rId333" Type="http://schemas.openxmlformats.org/officeDocument/2006/relationships/footer" Target="footer157.xml"/><Relationship Id="rId354" Type="http://schemas.openxmlformats.org/officeDocument/2006/relationships/footer" Target="footer168.xml"/><Relationship Id="rId51" Type="http://schemas.openxmlformats.org/officeDocument/2006/relationships/header" Target="header21.xml"/><Relationship Id="rId72" Type="http://schemas.openxmlformats.org/officeDocument/2006/relationships/header" Target="header32.xml"/><Relationship Id="rId93" Type="http://schemas.openxmlformats.org/officeDocument/2006/relationships/header" Target="header42.xml"/><Relationship Id="rId189" Type="http://schemas.openxmlformats.org/officeDocument/2006/relationships/header" Target="header90.xml"/><Relationship Id="rId375" Type="http://schemas.openxmlformats.org/officeDocument/2006/relationships/header" Target="header177.xml"/><Relationship Id="rId396" Type="http://schemas.openxmlformats.org/officeDocument/2006/relationships/header" Target="header185.xml"/><Relationship Id="rId3" Type="http://schemas.openxmlformats.org/officeDocument/2006/relationships/numbering" Target="numbering.xml"/><Relationship Id="rId214" Type="http://schemas.openxmlformats.org/officeDocument/2006/relationships/footer" Target="footer102.xml"/><Relationship Id="rId235" Type="http://schemas.openxmlformats.org/officeDocument/2006/relationships/footer" Target="footer112.xml"/><Relationship Id="rId256" Type="http://schemas.openxmlformats.org/officeDocument/2006/relationships/header" Target="header122.xml"/><Relationship Id="rId277" Type="http://schemas.openxmlformats.org/officeDocument/2006/relationships/header" Target="header132.xml"/><Relationship Id="rId298" Type="http://schemas.openxmlformats.org/officeDocument/2006/relationships/footer" Target="footer140.xml"/><Relationship Id="rId400" Type="http://schemas.openxmlformats.org/officeDocument/2006/relationships/footer" Target="footer186.xml"/><Relationship Id="rId421" Type="http://schemas.openxmlformats.org/officeDocument/2006/relationships/footer" Target="footer196.xml"/><Relationship Id="rId116" Type="http://schemas.openxmlformats.org/officeDocument/2006/relationships/footer" Target="footer53.xml"/><Relationship Id="rId137" Type="http://schemas.openxmlformats.org/officeDocument/2006/relationships/header" Target="header64.xml"/><Relationship Id="rId158" Type="http://schemas.openxmlformats.org/officeDocument/2006/relationships/footer" Target="footer74.xml"/><Relationship Id="rId302" Type="http://schemas.openxmlformats.org/officeDocument/2006/relationships/header" Target="header143.xml"/><Relationship Id="rId323" Type="http://schemas.openxmlformats.org/officeDocument/2006/relationships/header" Target="header153.xml"/><Relationship Id="rId344" Type="http://schemas.openxmlformats.org/officeDocument/2006/relationships/header" Target="header164.xml"/><Relationship Id="rId20" Type="http://schemas.openxmlformats.org/officeDocument/2006/relationships/footer" Target="footer5.xml"/><Relationship Id="rId41" Type="http://schemas.openxmlformats.org/officeDocument/2006/relationships/header" Target="header16.xml"/><Relationship Id="rId62" Type="http://schemas.openxmlformats.org/officeDocument/2006/relationships/footer" Target="footer26.xml"/><Relationship Id="rId83" Type="http://schemas.openxmlformats.org/officeDocument/2006/relationships/header" Target="header37.xml"/><Relationship Id="rId179" Type="http://schemas.openxmlformats.org/officeDocument/2006/relationships/header" Target="header85.xml"/><Relationship Id="rId365" Type="http://schemas.openxmlformats.org/officeDocument/2006/relationships/footer" Target="footer173.xml"/><Relationship Id="rId386" Type="http://schemas.openxmlformats.org/officeDocument/2006/relationships/image" Target="media/image9.emf"/><Relationship Id="rId190" Type="http://schemas.openxmlformats.org/officeDocument/2006/relationships/footer" Target="footer90.xml"/><Relationship Id="rId204" Type="http://schemas.openxmlformats.org/officeDocument/2006/relationships/header" Target="header98.xml"/><Relationship Id="rId225" Type="http://schemas.openxmlformats.org/officeDocument/2006/relationships/header" Target="header108.xml"/><Relationship Id="rId246" Type="http://schemas.openxmlformats.org/officeDocument/2006/relationships/header" Target="header119.xml"/><Relationship Id="rId267" Type="http://schemas.openxmlformats.org/officeDocument/2006/relationships/header" Target="header127.xml"/><Relationship Id="rId288" Type="http://schemas.openxmlformats.org/officeDocument/2006/relationships/footer" Target="footer137.xml"/><Relationship Id="rId411" Type="http://schemas.openxmlformats.org/officeDocument/2006/relationships/header" Target="header192.xml"/><Relationship Id="rId432" Type="http://schemas.openxmlformats.org/officeDocument/2006/relationships/theme" Target="theme/theme1.xml"/><Relationship Id="rId106" Type="http://schemas.openxmlformats.org/officeDocument/2006/relationships/footer" Target="footer48.xml"/><Relationship Id="rId127" Type="http://schemas.openxmlformats.org/officeDocument/2006/relationships/footer" Target="footer58.xml"/><Relationship Id="rId313" Type="http://schemas.openxmlformats.org/officeDocument/2006/relationships/header" Target="header148.xml"/><Relationship Id="rId10" Type="http://schemas.openxmlformats.org/officeDocument/2006/relationships/image" Target="media/image1.emf"/><Relationship Id="rId31" Type="http://schemas.openxmlformats.org/officeDocument/2006/relationships/footer" Target="footer10.xml"/><Relationship Id="rId52" Type="http://schemas.openxmlformats.org/officeDocument/2006/relationships/footer" Target="footer21.xml"/><Relationship Id="rId73" Type="http://schemas.openxmlformats.org/officeDocument/2006/relationships/footer" Target="footer31.xml"/><Relationship Id="rId94" Type="http://schemas.openxmlformats.org/officeDocument/2006/relationships/footer" Target="footer42.xml"/><Relationship Id="rId148" Type="http://schemas.openxmlformats.org/officeDocument/2006/relationships/footer" Target="footer69.xml"/><Relationship Id="rId169" Type="http://schemas.openxmlformats.org/officeDocument/2006/relationships/footer" Target="footer79.xml"/><Relationship Id="rId334" Type="http://schemas.openxmlformats.org/officeDocument/2006/relationships/footer" Target="footer158.xml"/><Relationship Id="rId355" Type="http://schemas.openxmlformats.org/officeDocument/2006/relationships/header" Target="header169.xml"/><Relationship Id="rId376" Type="http://schemas.openxmlformats.org/officeDocument/2006/relationships/footer" Target="footer177.xml"/><Relationship Id="rId397" Type="http://schemas.openxmlformats.org/officeDocument/2006/relationships/footer" Target="footer184.xml"/><Relationship Id="rId4" Type="http://schemas.openxmlformats.org/officeDocument/2006/relationships/styles" Target="styles.xml"/><Relationship Id="rId180" Type="http://schemas.openxmlformats.org/officeDocument/2006/relationships/header" Target="header86.xml"/><Relationship Id="rId215" Type="http://schemas.openxmlformats.org/officeDocument/2006/relationships/header" Target="header103.xml"/><Relationship Id="rId236" Type="http://schemas.openxmlformats.org/officeDocument/2006/relationships/footer" Target="footer113.xml"/><Relationship Id="rId257" Type="http://schemas.openxmlformats.org/officeDocument/2006/relationships/footer" Target="footer121.xml"/><Relationship Id="rId278" Type="http://schemas.openxmlformats.org/officeDocument/2006/relationships/footer" Target="footer132.xml"/><Relationship Id="rId401" Type="http://schemas.openxmlformats.org/officeDocument/2006/relationships/header" Target="header187.xml"/><Relationship Id="rId422" Type="http://schemas.openxmlformats.org/officeDocument/2006/relationships/footer" Target="footer197.xml"/><Relationship Id="rId303" Type="http://schemas.openxmlformats.org/officeDocument/2006/relationships/footer" Target="footer142.xml"/><Relationship Id="rId42" Type="http://schemas.openxmlformats.org/officeDocument/2006/relationships/header" Target="header17.xml"/><Relationship Id="rId84" Type="http://schemas.openxmlformats.org/officeDocument/2006/relationships/header" Target="header38.xml"/><Relationship Id="rId138" Type="http://schemas.openxmlformats.org/officeDocument/2006/relationships/header" Target="header65.xml"/><Relationship Id="rId345" Type="http://schemas.openxmlformats.org/officeDocument/2006/relationships/footer" Target="footer163.xml"/><Relationship Id="rId387" Type="http://schemas.openxmlformats.org/officeDocument/2006/relationships/image" Target="media/image10.emf"/><Relationship Id="rId191" Type="http://schemas.openxmlformats.org/officeDocument/2006/relationships/header" Target="header91.xml"/><Relationship Id="rId205" Type="http://schemas.openxmlformats.org/officeDocument/2006/relationships/footer" Target="footer97.xml"/><Relationship Id="rId247" Type="http://schemas.openxmlformats.org/officeDocument/2006/relationships/footer" Target="footer118.xml"/><Relationship Id="rId412" Type="http://schemas.openxmlformats.org/officeDocument/2006/relationships/footer" Target="footer192.xml"/><Relationship Id="rId107" Type="http://schemas.openxmlformats.org/officeDocument/2006/relationships/header" Target="header49.xml"/><Relationship Id="rId289" Type="http://schemas.openxmlformats.org/officeDocument/2006/relationships/header" Target="header138.xml"/><Relationship Id="rId11" Type="http://schemas.openxmlformats.org/officeDocument/2006/relationships/header" Target="header1.xml"/><Relationship Id="rId53" Type="http://schemas.openxmlformats.org/officeDocument/2006/relationships/header" Target="header22.xml"/><Relationship Id="rId149" Type="http://schemas.openxmlformats.org/officeDocument/2006/relationships/header" Target="header70.xml"/><Relationship Id="rId314" Type="http://schemas.openxmlformats.org/officeDocument/2006/relationships/header" Target="header149.xml"/><Relationship Id="rId356" Type="http://schemas.openxmlformats.org/officeDocument/2006/relationships/header" Target="header170.xml"/><Relationship Id="rId398" Type="http://schemas.openxmlformats.org/officeDocument/2006/relationships/footer" Target="footer185.xml"/><Relationship Id="rId95" Type="http://schemas.openxmlformats.org/officeDocument/2006/relationships/header" Target="header43.xml"/><Relationship Id="rId160" Type="http://schemas.openxmlformats.org/officeDocument/2006/relationships/footer" Target="footer75.xml"/><Relationship Id="rId216" Type="http://schemas.openxmlformats.org/officeDocument/2006/relationships/header" Target="header104.xml"/><Relationship Id="rId423" Type="http://schemas.openxmlformats.org/officeDocument/2006/relationships/header" Target="header198.xml"/><Relationship Id="rId258" Type="http://schemas.openxmlformats.org/officeDocument/2006/relationships/footer" Target="footer122.xml"/><Relationship Id="rId22" Type="http://schemas.openxmlformats.org/officeDocument/2006/relationships/footer" Target="footer6.xml"/><Relationship Id="rId64" Type="http://schemas.openxmlformats.org/officeDocument/2006/relationships/footer" Target="footer27.xml"/><Relationship Id="rId118" Type="http://schemas.openxmlformats.org/officeDocument/2006/relationships/footer" Target="footer54.xml"/><Relationship Id="rId325" Type="http://schemas.openxmlformats.org/officeDocument/2006/relationships/header" Target="header154.xml"/><Relationship Id="rId367" Type="http://schemas.openxmlformats.org/officeDocument/2006/relationships/footer" Target="footer17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E9287-1983-4CD3-BD68-60AC0030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128</Pages>
  <Words>35031</Words>
  <Characters>199680</Characters>
  <Application>Microsoft Office Word</Application>
  <DocSecurity>0</DocSecurity>
  <Lines>1664</Lines>
  <Paragraphs>468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WOJCIECHOWSKA Eliza (SG)</cp:lastModifiedBy>
  <cp:revision>17</cp:revision>
  <cp:lastPrinted>2017-06-26T10:02:00Z</cp:lastPrinted>
  <dcterms:created xsi:type="dcterms:W3CDTF">2017-06-23T13:04:00Z</dcterms:created>
  <dcterms:modified xsi:type="dcterms:W3CDTF">2017-06-26T10:07:00Z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ulture00">
    <vt:lpwstr>GQoAAB+LCAAAAAAABABFlgt2YzEIQ7dk8H893v8eRle8dE7TNvGzDQhJJMd4Ea/pp8eLft/xh/oZ+s2+31kv42qjPmr30hmtjPlirDeX9ulJbB3IF/PwNI5W13knfFQ7xtb6eme+rYPc0bW7z9fZer61o4uaju/+4ranO1Pnmj7N+bQQobdNIRrL9+l8Nt1zX6Zy6kpLD+swGYWCZVLG5WnniX6VaOriqX9NdWe+06vGVCJcOPT+UsfWznwzeJF</vt:lpwstr>
  </property>
  <property fmtid="{D5CDD505-2E9C-101B-9397-08002B2CF9AE}" pid="3" name="DMCulture01">
    <vt:lpwstr>Ikt5oT/nEVAAh2NcjX12YobRSBXXvIXgHAR2Zvsdv99DydBbEOsdvdzgZgo2qUxGTBqkF2clPkCriJcVwAvoEckpa0CYgaJ2quau/pSIWyCrCzjc4vNk61peJVohGpcpwhGPXrboO9EA5O5mfdyHBcKeE74p3D+SAN9Gat8a57uJJtgB7qCP0CCB1FYXpobq+hBW1bz3vJNJdgjor1sRMN1nJ+lplOr8osxAVUAHc/O7rmmGG4usWJQb+u8ii1J</vt:lpwstr>
  </property>
  <property fmtid="{D5CDD505-2E9C-101B-9397-08002B2CF9AE}" pid="4" name="DMCulture02">
    <vt:lpwstr>eRBamisjc6vClUG2kMKwucvbiz2Ncro0lfu4s7JipBIYbbuR1lf+RsFgwITadujFd1XS2cZJJmzH17FRpsGx/7eykBgmwDCUanmgaKsM4h4Hr61lW8EpfvdwkQcPb6Re5FRheQATfSjA208xPWKR7sZc7dWxKSXoTq5a87rqBk4+3gJRyOAMzj9CxLbbV6TEWBQNGITqeBRC0CfTUjblhZZAUfD4J07xQZ+mIMaJPmNfNcxNY2BSarDRyjTgrBR</vt:lpwstr>
  </property>
  <property fmtid="{D5CDD505-2E9C-101B-9397-08002B2CF9AE}" pid="5" name="DMCulture03">
    <vt:lpwstr>ICSjaUzPpiAaCBDgsLjLzatvGnA7AbmY1jD0zIAeGiP4nTmY6Y/qny3pTmyaUKfUTpqA4NtmUBRBZD8+qA76TqQcxs8UM7qZ5ZAtwHmYXxCncUhtL26+WO1q42LOy1iPOYMu2zUPcect1/Ype+27RmFUe/LctS55j7Hz25unVYdvTi78UpZxGclgq3bnVig7WrlLhYpX51hDX4jXoiIk2JETBD7CaRzpec3eyxF5XSr1ynaTNQhVekVJeFTQwAV</vt:lpwstr>
  </property>
  <property fmtid="{D5CDD505-2E9C-101B-9397-08002B2CF9AE}" pid="6" name="DMCulture04">
    <vt:lpwstr>988BJhw008OuI+QZTizQp/sBO5lcNtIx3B4IsWaRZVRvU/xmMwOFyvRIzVFlAthz79YkA0HQWBD7Gnr1Z5vSUSqGQzZMnbcdpBoORWexfjB4aMp1BYqxRzkE8xY3Smvqe4sNneZb437+uPZ/lmOoNQWxCo8Hj0LgCux20rFgSqJAamc4zxrCth5G2YZOF0ExERle6gIpgj7ebc1DjeFB3sdPE/pL/dVxN7n5m8AkYrMrkSvzSMbSywWoRNSZdlH</vt:lpwstr>
  </property>
  <property fmtid="{D5CDD505-2E9C-101B-9397-08002B2CF9AE}" pid="7" name="DMCulture05">
    <vt:lpwstr>uSou5fL5ckI8nq8tIAlfCCYp7Ruc62Kzp2D0LPdU6dRvoIhmGtQrC7qRkfnJTvGeWd7AfDwhkbX+Dqd30hLUIn9LxDZamaU/DuheO/YW2YVq2/ZqZHhTXMfgeEjb+mrx2CuSoy2jZZPaUhyhaPy7VLmBrTUtJPD3plGCumt1MeD0d5cH+elC32Z52KQFQ5yieV2WMXRwYbf59HfwHhg3l2hkKAAA=</vt:lpwstr>
  </property>
  <property fmtid="{D5CDD505-2E9C-101B-9397-08002B2CF9AE}" pid="8" name="frecMETA00">
    <vt:lpwstr>wwUAAB+LCAAAAAAABAA9lIuNxEAIQ1sKzL8e+u/hns3qpItySxiwjZkYo27WOXVe5an5KnZlRsX9Kj7exCMJfbxvnVm5Rq1bcbLurHPrLj4RJ3tNDp6i6l5FratyMWdRjcjetZKyxDgaO+qSlEOJ6rB2PQoBJOagINFJ3xH1woXjZS0XzPXV2LVHHdqTHR8oqX7AnTSZ3ehGCTqYc9KuAkJ79glgxj58JKqWoDtFALDvM23oRvAZBEIR+5brihr</vt:lpwstr>
  </property>
  <property fmtid="{D5CDD505-2E9C-101B-9397-08002B2CF9AE}" pid="9" name="frecMETA01">
    <vt:lpwstr>hJXLQBReP6iiKiAJCrhNpP9C3uQ6+fyAEwhElGLwCC42DfgF9aQtUZXIuJZYe/g4kEk2+6SYxBFLIXuvJSb2oOyW8hxB3/IspatsfOSkpU2To9bb1zEk+SgOiQSp5uW7s/OlFTB3OctlpL1xz8ASlzjS0rZkMF80V8pjcAYbgTRelH0vgE/GTmryQAXJ37NMQ6KwaIaDfaoNqJiDRiDDvMy8p+GSj9tBWnz2aZ9hfmr/mlmjLd/3JVmKZbQ50oL</vt:lpwstr>
  </property>
  <property fmtid="{D5CDD505-2E9C-101B-9397-08002B2CF9AE}" pid="10" name="frecMETA02">
    <vt:lpwstr>d8J80pJ9ow1BK81pP2+F7uRm8UeacdZkkC1fMTzbp2diAtCAVep6WAHh3K42a2Bduwok+ShTtyabE+74DmqlDQZXtm8vnWowVoAmD04Ffbeqq4yM8elyrLSa8dZRGx0f4566nJ3HbA0nYA2Rv45F/tlPYGlVKbhvIyb88W56csNds0+rVsPiatTO0B10WTDiQRNMoDHvdIZw3hyO1fec7p/jASa80is+8Crb5aaVly9tC5B0RAt87UpeAbhQ8AZ</vt:lpwstr>
  </property>
  <property fmtid="{D5CDD505-2E9C-101B-9397-08002B2CF9AE}" pid="11" name="frecMETA03">
    <vt:lpwstr>ExPXvcgtVziR+D4a4jnakippD0t33u+IKzc6Ef3I/9c8dDdmD0xfj1v7OuTZvqaiwwllrqN4M3MrAcS62rRzG0o3LF7821xwNnQVlqX77Jj4C47pK+mz1PRys7zBwVpC/HDBQAA</vt:lpwstr>
  </property>
  <property fmtid="{D5CDD505-2E9C-101B-9397-08002B2CF9AE}" pid="12" name="PeriodId">
    <vt:i4>6</vt:i4>
  </property>
  <property fmtid="{D5CDD505-2E9C-101B-9397-08002B2CF9AE}" pid="13" name="PeriodName">
    <vt:lpwstr>2016 Annual Accounts</vt:lpwstr>
  </property>
  <property fmtid="{D5CDD505-2E9C-101B-9397-08002B2CF9AE}" pid="14" name="ReportId">
    <vt:i4>88</vt:i4>
  </property>
  <property fmtid="{D5CDD505-2E9C-101B-9397-08002B2CF9AE}" pid="15" name="ReportName">
    <vt:lpwstr>EDF Annual Accounts</vt:lpwstr>
  </property>
  <property fmtid="{D5CDD505-2E9C-101B-9397-08002B2CF9AE}" pid="16" name="UseLegacyExcelTemplate">
    <vt:bool>true</vt:bool>
  </property>
  <property fmtid="{D5CDD505-2E9C-101B-9397-08002B2CF9AE}" pid="17" name="Part">
    <vt:lpwstr>1</vt:lpwstr>
  </property>
  <property fmtid="{D5CDD505-2E9C-101B-9397-08002B2CF9AE}" pid="18" name="Total parts">
    <vt:lpwstr>1</vt:lpwstr>
  </property>
  <property fmtid="{D5CDD505-2E9C-101B-9397-08002B2CF9AE}" pid="19" name="DocStatus">
    <vt:lpwstr>Green</vt:lpwstr>
  </property>
  <property fmtid="{D5CDD505-2E9C-101B-9397-08002B2CF9AE}" pid="20" name="Classification">
    <vt:lpwstr> </vt:lpwstr>
  </property>
</Properties>
</file>