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1118E1241464CC895E21F15A956DADC" style="width:450.6pt;height:334.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Default"/>
        <w:pageBreakBefore/>
        <w:jc w:val="center"/>
        <w:rPr>
          <w:rFonts w:ascii="Times New Roman" w:hAnsi="Times New Roman" w:cs="Times New Roman"/>
          <w:b/>
          <w:bCs/>
          <w:noProof/>
          <w:color w:val="auto"/>
          <w:sz w:val="23"/>
          <w:szCs w:val="23"/>
        </w:rPr>
      </w:pPr>
      <w:bookmarkStart w:id="1" w:name="_GoBack"/>
      <w:bookmarkEnd w:id="1"/>
      <w:r>
        <w:rPr>
          <w:rFonts w:ascii="Times New Roman" w:hAnsi="Times New Roman"/>
          <w:b/>
          <w:noProof/>
          <w:color w:val="auto"/>
          <w:sz w:val="23"/>
        </w:rPr>
        <w:lastRenderedPageBreak/>
        <w:t>ДОКЛАД НА КОМИСИЯТА ДО ЕВРОПЕЙСКИЯ ПАРЛАМЕНТ И СЪВЕТА</w:t>
      </w:r>
      <w:r>
        <w:rPr>
          <w:rFonts w:ascii="Times New Roman" w:hAnsi="Times New Roman" w:cs="Times New Roman"/>
          <w:b/>
          <w:bCs/>
          <w:noProof/>
          <w:color w:val="auto"/>
          <w:sz w:val="23"/>
          <w:szCs w:val="23"/>
        </w:rPr>
        <w:br/>
      </w:r>
      <w:r>
        <w:rPr>
          <w:rFonts w:ascii="Times New Roman" w:hAnsi="Times New Roman" w:cs="Times New Roman"/>
          <w:b/>
          <w:bCs/>
          <w:noProof/>
          <w:color w:val="auto"/>
          <w:sz w:val="23"/>
          <w:szCs w:val="23"/>
        </w:rPr>
        <w:br/>
      </w:r>
      <w:r>
        <w:rPr>
          <w:rFonts w:ascii="Times New Roman" w:hAnsi="Times New Roman"/>
          <w:b/>
          <w:noProof/>
          <w:color w:val="auto"/>
          <w:sz w:val="23"/>
        </w:rPr>
        <w:t xml:space="preserve"> относно упражняването на правомощието за приемане на делегирани актове, предоставено на Комисията по силата на Директива (ЕС) 2016/802 на Европейския парламент и на Съвета от 11 май 2016 г. относно намаляването на съдържанието на сяра в определени течни горива</w:t>
      </w:r>
    </w:p>
    <w:p>
      <w:pPr>
        <w:pStyle w:val="Default"/>
        <w:rPr>
          <w:rFonts w:ascii="Times New Roman" w:hAnsi="Times New Roman" w:cs="Times New Roman"/>
          <w:noProof/>
          <w:color w:val="auto"/>
          <w:sz w:val="23"/>
          <w:szCs w:val="23"/>
        </w:rPr>
      </w:pPr>
    </w:p>
    <w:p>
      <w:pPr>
        <w:pStyle w:val="Default"/>
        <w:rPr>
          <w:rFonts w:ascii="Times New Roman" w:hAnsi="Times New Roman" w:cs="Times New Roman"/>
          <w:noProof/>
          <w:color w:val="auto"/>
          <w:sz w:val="23"/>
          <w:szCs w:val="23"/>
        </w:rPr>
      </w:pPr>
      <w:r>
        <w:rPr>
          <w:rFonts w:ascii="Times New Roman" w:hAnsi="Times New Roman"/>
          <w:noProof/>
          <w:color w:val="auto"/>
          <w:sz w:val="23"/>
        </w:rPr>
        <w:t xml:space="preserve">1. ВЪВЕДЕНИЕ </w:t>
      </w:r>
    </w:p>
    <w:p>
      <w:pPr>
        <w:pStyle w:val="Default"/>
        <w:rPr>
          <w:rFonts w:ascii="Times New Roman" w:hAnsi="Times New Roman" w:cs="Times New Roman"/>
          <w:noProof/>
          <w:color w:val="auto"/>
          <w:sz w:val="23"/>
          <w:szCs w:val="23"/>
        </w:rPr>
      </w:pPr>
    </w:p>
    <w:p>
      <w:pPr>
        <w:pStyle w:val="Default"/>
        <w:jc w:val="both"/>
        <w:rPr>
          <w:rFonts w:ascii="Times New Roman" w:hAnsi="Times New Roman" w:cs="Times New Roman"/>
          <w:noProof/>
          <w:color w:val="auto"/>
          <w:sz w:val="23"/>
          <w:szCs w:val="23"/>
        </w:rPr>
      </w:pPr>
      <w:r>
        <w:rPr>
          <w:rFonts w:ascii="Times New Roman" w:hAnsi="Times New Roman"/>
          <w:noProof/>
          <w:color w:val="auto"/>
          <w:sz w:val="23"/>
        </w:rPr>
        <w:t>Директива (ЕС) 2016/802</w:t>
      </w:r>
      <w:r>
        <w:rPr>
          <w:rStyle w:val="FootnoteReference"/>
          <w:rFonts w:ascii="Times New Roman" w:hAnsi="Times New Roman"/>
          <w:noProof/>
          <w:color w:val="auto"/>
          <w:sz w:val="23"/>
        </w:rPr>
        <w:footnoteReference w:id="1"/>
      </w:r>
      <w:r>
        <w:rPr>
          <w:rFonts w:ascii="Times New Roman" w:hAnsi="Times New Roman"/>
          <w:noProof/>
          <w:color w:val="auto"/>
          <w:sz w:val="23"/>
        </w:rPr>
        <w:t xml:space="preserve"> на Европейския парламент и на Съвета от 11 май 2016 г. относно намаляването на съдържанието на сяра в определени течни горива (кодифициран текст) цели предотвратяването и контролирането на замърсяването на въздуха, причинено от вредни емисии във въздуха от изгарянето на течни горива, включително на корабно гориво, с високо съдържание на сяра, които увреждат здравето на човека и околната среда и допринасят за киселинното отлагане.</w:t>
      </w:r>
    </w:p>
    <w:p>
      <w:pPr>
        <w:pStyle w:val="Default"/>
        <w:jc w:val="both"/>
        <w:rPr>
          <w:rFonts w:ascii="Times New Roman" w:hAnsi="Times New Roman" w:cs="Times New Roman"/>
          <w:noProof/>
          <w:color w:val="auto"/>
          <w:sz w:val="23"/>
          <w:szCs w:val="23"/>
        </w:rPr>
      </w:pPr>
      <w:r>
        <w:rPr>
          <w:rFonts w:ascii="Times New Roman" w:hAnsi="Times New Roman"/>
          <w:noProof/>
          <w:color w:val="auto"/>
          <w:sz w:val="23"/>
        </w:rPr>
        <w:t>Посочената директива оправомощава Комисията да приема делегирани актове с цел адаптиране на следните членове и приложения към научно-техническия напредък, и не на последно място, за да се гарантира съгласуваност със съответните инструменти, приети от Международната морска организация, и, по целесъобразност, с други стандарти на ЕС или международни стандарти:</w:t>
      </w:r>
    </w:p>
    <w:p>
      <w:pPr>
        <w:pStyle w:val="Default"/>
        <w:jc w:val="both"/>
        <w:rPr>
          <w:rFonts w:ascii="Times New Roman" w:hAnsi="Times New Roman" w:cs="Times New Roman"/>
          <w:noProof/>
          <w:color w:val="auto"/>
          <w:sz w:val="23"/>
          <w:szCs w:val="23"/>
        </w:rPr>
      </w:pPr>
    </w:p>
    <w:p>
      <w:pPr>
        <w:pStyle w:val="Default"/>
        <w:numPr>
          <w:ilvl w:val="0"/>
          <w:numId w:val="1"/>
        </w:numPr>
        <w:jc w:val="both"/>
        <w:rPr>
          <w:rFonts w:ascii="Times New Roman" w:hAnsi="Times New Roman" w:cs="Times New Roman"/>
          <w:noProof/>
          <w:color w:val="auto"/>
          <w:sz w:val="23"/>
          <w:szCs w:val="23"/>
        </w:rPr>
      </w:pPr>
      <w:r>
        <w:rPr>
          <w:rFonts w:ascii="Times New Roman" w:hAnsi="Times New Roman"/>
          <w:noProof/>
          <w:color w:val="auto"/>
          <w:sz w:val="23"/>
        </w:rPr>
        <w:t>член 2, букви а) — д) и п) за установяване на определения и спецификации за горивата, обхванати от директивата;</w:t>
      </w:r>
    </w:p>
    <w:p>
      <w:pPr>
        <w:pStyle w:val="Default"/>
        <w:numPr>
          <w:ilvl w:val="0"/>
          <w:numId w:val="1"/>
        </w:numPr>
        <w:jc w:val="both"/>
        <w:rPr>
          <w:rFonts w:ascii="Times New Roman" w:hAnsi="Times New Roman" w:cs="Times New Roman"/>
          <w:noProof/>
          <w:color w:val="auto"/>
          <w:sz w:val="23"/>
          <w:szCs w:val="23"/>
        </w:rPr>
      </w:pPr>
      <w:r>
        <w:rPr>
          <w:rFonts w:ascii="Times New Roman" w:hAnsi="Times New Roman"/>
          <w:noProof/>
          <w:color w:val="auto"/>
          <w:sz w:val="23"/>
        </w:rPr>
        <w:t>член 13, параграф 2, точка б), подточка i) относно вземането на проби и анализа на корабното гориво, предназначено за изгаряне на борда, по време на доставката му на корабите;</w:t>
      </w:r>
    </w:p>
    <w:p>
      <w:pPr>
        <w:pStyle w:val="Default"/>
        <w:numPr>
          <w:ilvl w:val="0"/>
          <w:numId w:val="1"/>
        </w:numPr>
        <w:jc w:val="both"/>
        <w:rPr>
          <w:rFonts w:ascii="Times New Roman" w:hAnsi="Times New Roman" w:cs="Times New Roman"/>
          <w:noProof/>
          <w:color w:val="auto"/>
          <w:sz w:val="23"/>
          <w:szCs w:val="23"/>
        </w:rPr>
      </w:pPr>
      <w:r>
        <w:rPr>
          <w:rFonts w:ascii="Times New Roman" w:hAnsi="Times New Roman"/>
          <w:noProof/>
          <w:color w:val="auto"/>
          <w:sz w:val="23"/>
        </w:rPr>
        <w:t>член 13, параграф 3, предвиждащ референтния метод за определяне на съдържанието на сяра в течните горива;</w:t>
      </w:r>
    </w:p>
    <w:p>
      <w:pPr>
        <w:pStyle w:val="Default"/>
        <w:numPr>
          <w:ilvl w:val="0"/>
          <w:numId w:val="1"/>
        </w:numPr>
        <w:jc w:val="both"/>
        <w:rPr>
          <w:rFonts w:ascii="Times New Roman" w:hAnsi="Times New Roman" w:cs="Times New Roman"/>
          <w:noProof/>
          <w:color w:val="auto"/>
          <w:sz w:val="23"/>
          <w:szCs w:val="23"/>
        </w:rPr>
      </w:pPr>
      <w:r>
        <w:rPr>
          <w:rFonts w:ascii="Times New Roman" w:hAnsi="Times New Roman"/>
          <w:noProof/>
          <w:color w:val="auto"/>
          <w:sz w:val="23"/>
        </w:rPr>
        <w:t>приложения I и II за определяне на еквивалентните стойности на емисиите и критериите за използване на методите за намаляване на емисиите, посочени в член 8.</w:t>
      </w:r>
    </w:p>
    <w:p>
      <w:pPr>
        <w:pStyle w:val="Default"/>
        <w:ind w:left="720"/>
        <w:jc w:val="both"/>
        <w:rPr>
          <w:rFonts w:ascii="Times New Roman" w:hAnsi="Times New Roman" w:cs="Times New Roman"/>
          <w:noProof/>
          <w:color w:val="auto"/>
          <w:sz w:val="23"/>
          <w:szCs w:val="23"/>
        </w:rPr>
      </w:pPr>
    </w:p>
    <w:p>
      <w:pPr>
        <w:pStyle w:val="Default"/>
        <w:rPr>
          <w:rFonts w:ascii="Times New Roman" w:hAnsi="Times New Roman" w:cs="Times New Roman"/>
          <w:noProof/>
          <w:color w:val="auto"/>
          <w:sz w:val="23"/>
          <w:szCs w:val="23"/>
        </w:rPr>
      </w:pPr>
      <w:r>
        <w:rPr>
          <w:rFonts w:ascii="Times New Roman" w:hAnsi="Times New Roman"/>
          <w:noProof/>
          <w:color w:val="auto"/>
          <w:sz w:val="23"/>
        </w:rPr>
        <w:t xml:space="preserve">2. ПРАВНО ОСНОВАНИЕ </w:t>
      </w:r>
    </w:p>
    <w:p>
      <w:pPr>
        <w:pStyle w:val="Default"/>
        <w:rPr>
          <w:rFonts w:ascii="Times New Roman" w:hAnsi="Times New Roman" w:cs="Times New Roman"/>
          <w:noProof/>
          <w:color w:val="auto"/>
          <w:sz w:val="23"/>
          <w:szCs w:val="23"/>
        </w:rPr>
      </w:pPr>
    </w:p>
    <w:p>
      <w:pPr>
        <w:pStyle w:val="Default"/>
        <w:jc w:val="both"/>
        <w:rPr>
          <w:rFonts w:ascii="Times New Roman" w:hAnsi="Times New Roman" w:cs="Times New Roman"/>
          <w:noProof/>
          <w:color w:val="auto"/>
          <w:sz w:val="23"/>
          <w:szCs w:val="23"/>
        </w:rPr>
      </w:pPr>
      <w:r>
        <w:rPr>
          <w:rFonts w:ascii="Times New Roman" w:hAnsi="Times New Roman"/>
          <w:noProof/>
          <w:color w:val="auto"/>
          <w:sz w:val="23"/>
        </w:rPr>
        <w:t xml:space="preserve">Настоящият доклад се изисква съгласно член 16, параграф 2 от Директива (ЕС) 2016/802. В съответствие с посочената разпоредба правомощията да приема делегирани актове се предоставят на Комисията за срок от пет години, считано от 17 декември 2012 г., като Комисията се задължава да изготви доклад относно делегирането на правомощията най-късно 9 месеца преди изтичането на петгодишния период. Делегирането на правомощията се подновява автоматично за периоди с еднаква продължителност, освен ако Европейският парламент или Съветът не го оттеглят в съответствие с член 16, параграф 2. </w:t>
      </w:r>
    </w:p>
    <w:p>
      <w:pPr>
        <w:pStyle w:val="Default"/>
        <w:rPr>
          <w:rFonts w:ascii="Times New Roman" w:hAnsi="Times New Roman" w:cs="Times New Roman"/>
          <w:noProof/>
          <w:color w:val="auto"/>
          <w:sz w:val="23"/>
          <w:szCs w:val="23"/>
        </w:rPr>
      </w:pPr>
    </w:p>
    <w:p>
      <w:pPr>
        <w:pStyle w:val="Default"/>
        <w:rPr>
          <w:rFonts w:ascii="Times New Roman" w:hAnsi="Times New Roman" w:cs="Times New Roman"/>
          <w:noProof/>
          <w:color w:val="auto"/>
          <w:sz w:val="23"/>
          <w:szCs w:val="23"/>
        </w:rPr>
      </w:pPr>
      <w:r>
        <w:rPr>
          <w:rFonts w:ascii="Times New Roman" w:hAnsi="Times New Roman"/>
          <w:noProof/>
          <w:color w:val="auto"/>
          <w:sz w:val="23"/>
        </w:rPr>
        <w:t xml:space="preserve">3. УПРАЖНЯВАНЕ НА ДЕЛЕГИРАНОТО ПРАВОМОЩИЕ </w:t>
      </w:r>
    </w:p>
    <w:p>
      <w:pPr>
        <w:pStyle w:val="Default"/>
        <w:rPr>
          <w:rFonts w:ascii="Times New Roman" w:hAnsi="Times New Roman" w:cs="Times New Roman"/>
          <w:noProof/>
          <w:color w:val="auto"/>
          <w:sz w:val="23"/>
          <w:szCs w:val="23"/>
        </w:rPr>
      </w:pPr>
    </w:p>
    <w:p>
      <w:pPr>
        <w:pStyle w:val="Default"/>
        <w:jc w:val="both"/>
        <w:rPr>
          <w:rFonts w:ascii="Times New Roman" w:hAnsi="Times New Roman" w:cs="Times New Roman"/>
          <w:noProof/>
          <w:color w:val="auto"/>
          <w:sz w:val="23"/>
          <w:szCs w:val="23"/>
        </w:rPr>
      </w:pPr>
      <w:r>
        <w:rPr>
          <w:rFonts w:ascii="Times New Roman" w:hAnsi="Times New Roman"/>
          <w:noProof/>
          <w:color w:val="auto"/>
          <w:sz w:val="23"/>
        </w:rPr>
        <w:t>Упражняването на делегираното правомощие бе счетено за необходимо за адаптирането на редица предвидени в директивата разпоредби към научно-техническия напредък. След последното изменение на правните разпоредби (2012 г.)</w:t>
      </w:r>
      <w:r>
        <w:rPr>
          <w:rStyle w:val="FootnoteReference"/>
          <w:rFonts w:ascii="Times New Roman" w:hAnsi="Times New Roman"/>
          <w:noProof/>
          <w:color w:val="auto"/>
          <w:sz w:val="23"/>
        </w:rPr>
        <w:footnoteReference w:id="2"/>
      </w:r>
      <w:r>
        <w:rPr>
          <w:rFonts w:ascii="Times New Roman" w:hAnsi="Times New Roman"/>
          <w:noProof/>
          <w:color w:val="auto"/>
          <w:sz w:val="23"/>
        </w:rPr>
        <w:t xml:space="preserve"> обаче, не е имало значителни промени в областта на спецификациите на горивата и стандартите за проверка на съдържанието на сяра в горивата или в методите за намаляване на емисиите, поради което се налага Комисията да използва делегираните правомощия, предоставени от директивата. </w:t>
      </w:r>
    </w:p>
    <w:p>
      <w:pPr>
        <w:pStyle w:val="Default"/>
        <w:jc w:val="both"/>
        <w:rPr>
          <w:rFonts w:ascii="Times New Roman" w:hAnsi="Times New Roman" w:cs="Times New Roman"/>
          <w:noProof/>
          <w:color w:val="auto"/>
          <w:sz w:val="23"/>
          <w:szCs w:val="23"/>
        </w:rPr>
      </w:pPr>
    </w:p>
    <w:p>
      <w:pPr>
        <w:pStyle w:val="Default"/>
        <w:jc w:val="both"/>
        <w:rPr>
          <w:rFonts w:ascii="Times New Roman" w:hAnsi="Times New Roman" w:cs="Times New Roman"/>
          <w:noProof/>
          <w:color w:val="auto"/>
          <w:sz w:val="23"/>
          <w:szCs w:val="23"/>
        </w:rPr>
      </w:pPr>
      <w:r>
        <w:rPr>
          <w:rFonts w:ascii="Times New Roman" w:hAnsi="Times New Roman"/>
          <w:noProof/>
          <w:color w:val="auto"/>
          <w:sz w:val="23"/>
        </w:rPr>
        <w:t xml:space="preserve">Въпреки това, с оглед на влизането в сила на 1 януари 2020 г. на предвиденото в съответствие с член 6, параграф 1, буква б) от директивата по-строго изискване за 0,50 % съдържание на сяра в горивата на кораби, плаващи във водите на ЕС извън зоните за контрол на емисиите на серни оксиди (SOx-ECAs), така и в световен мащаб, на пазара на ЕС може да започне използването на ново корабно гориво и методи за намаляване на емисиите, за да се гарантира спазването на по-строгото изискване. Също така Международната морска организация понастоящем работи по нови приложими стандарти и други технически разпоредби. И двете промени вероятно ще наложат Комисията да използва делегираните ѝ правомощия, за да се гарантира, че директивата е адаптирана към научно-техническия напредък и е в съответствие със стандартите, приети от Международната морска организация.  </w:t>
      </w:r>
    </w:p>
    <w:p>
      <w:pPr>
        <w:pStyle w:val="Default"/>
        <w:jc w:val="both"/>
        <w:rPr>
          <w:rFonts w:ascii="Times New Roman" w:hAnsi="Times New Roman" w:cs="Times New Roman"/>
          <w:noProof/>
          <w:color w:val="auto"/>
          <w:sz w:val="23"/>
          <w:szCs w:val="23"/>
        </w:rPr>
      </w:pPr>
    </w:p>
    <w:p>
      <w:pPr>
        <w:pStyle w:val="Default"/>
        <w:jc w:val="both"/>
        <w:rPr>
          <w:rFonts w:ascii="Times New Roman" w:hAnsi="Times New Roman" w:cs="Times New Roman"/>
          <w:noProof/>
          <w:color w:val="auto"/>
          <w:sz w:val="23"/>
          <w:szCs w:val="23"/>
        </w:rPr>
      </w:pPr>
      <w:r>
        <w:rPr>
          <w:rFonts w:ascii="Times New Roman" w:hAnsi="Times New Roman"/>
          <w:noProof/>
          <w:color w:val="auto"/>
          <w:sz w:val="23"/>
        </w:rPr>
        <w:t>4. ЗАКЛЮЧЕНИЕ</w:t>
      </w:r>
    </w:p>
    <w:p>
      <w:pPr>
        <w:pStyle w:val="Default"/>
        <w:jc w:val="both"/>
        <w:rPr>
          <w:rFonts w:ascii="Times New Roman" w:hAnsi="Times New Roman" w:cs="Times New Roman"/>
          <w:noProof/>
          <w:color w:val="auto"/>
          <w:sz w:val="23"/>
          <w:szCs w:val="23"/>
        </w:rPr>
      </w:pPr>
    </w:p>
    <w:p>
      <w:pPr>
        <w:jc w:val="both"/>
        <w:rPr>
          <w:rFonts w:ascii="Times New Roman" w:hAnsi="Times New Roman" w:cs="Times New Roman"/>
          <w:noProof/>
          <w:sz w:val="23"/>
          <w:szCs w:val="23"/>
        </w:rPr>
      </w:pPr>
      <w:r>
        <w:rPr>
          <w:rFonts w:ascii="Times New Roman" w:hAnsi="Times New Roman"/>
          <w:noProof/>
          <w:sz w:val="23"/>
        </w:rPr>
        <w:t>През последните пет години Комисията не е упражнила делегираните правомощия, предоставени ѝ по силата на Директива (ЕС) 2016/802. Комисията приканва Европейския парламент и Съвета да вземат под внимание настоящия доклад.</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22152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fr-BE"/>
        </w:rPr>
      </w:pPr>
      <w:r>
        <w:rPr>
          <w:rStyle w:val="FootnoteReference"/>
        </w:rPr>
        <w:footnoteRef/>
      </w:r>
      <w:r>
        <w:t xml:space="preserve"> </w:t>
      </w:r>
      <w:r>
        <w:rPr>
          <w:sz w:val="14"/>
        </w:rPr>
        <w:t>ОВ L 132, 21.5.2016 г., стр. 58—78</w:t>
      </w:r>
    </w:p>
  </w:footnote>
  <w:footnote w:id="2">
    <w:p>
      <w:pPr>
        <w:pStyle w:val="FootnoteText"/>
        <w:rPr>
          <w:lang w:val="fr-BE"/>
        </w:rPr>
      </w:pPr>
      <w:r>
        <w:rPr>
          <w:rStyle w:val="FootnoteReference"/>
        </w:rPr>
        <w:footnoteRef/>
      </w:r>
      <w:r>
        <w:t xml:space="preserve"> </w:t>
      </w:r>
      <w:r>
        <w:rPr>
          <w:sz w:val="14"/>
        </w:rPr>
        <w:t>ОВ L 327, 27.11.2012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7DF7"/>
    <w:multiLevelType w:val="hybridMultilevel"/>
    <w:tmpl w:val="9474A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1118E1241464CC895E21F15A956DADC"/>
    <w:docVar w:name="LW_CROSSREFERENCE" w:val="&lt;UNUSED&gt;"/>
    <w:docVar w:name="LW_DocType" w:val="NORMAL"/>
    <w:docVar w:name="LW_EMISSION" w:val="28.6.2017"/>
    <w:docVar w:name="LW_EMISSION_ISODATE" w:val="2017-06-28"/>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342"/>
    <w:docVar w:name="LW_REF.INTERNE" w:val="&lt;UNUSED&gt;"/>
    <w:docVar w:name="LW_SOUS.TITRE.OBJ.CP" w:val="&lt;UNUSED&gt;"/>
    <w:docVar w:name="LW_SUPERTITRE" w:val="&lt;UNUSED&gt;"/>
    <w:docVar w:name="LW_TITRE.OBJ.CP" w:val="\u1086?\u1090?\u1085?\u1086?\u1089?\u1085?\u1086? \u1091?\u1087?\u1088?\u1072?\u1078?\u1085?\u1103?\u1074?\u1072?\u1085?\u1077?\u1090?\u1086? \u1085?\u1072? \u1087?\u1088?\u1072?\u1074?\u1086?\u1084?\u1086?\u1097?\u1080?\u1077?\u1090?\u1086? \u1079?\u1072? \u1087?\u1088?\u1080?\u1077?\u1084?\u1072?\u1085?\u1077? \u1085?\u1072? \u1076?\u1077?\u1083?\u1077?\u1075?\u1080?\u1088?\u1072?\u1085?\u1080? \u1072?\u1082?\u1090?\u1086?\u1074?\u1077?, \u1087?\u1088?\u1077?\u1076?\u1086?\u1089?\u1090?\u1072?\u1074?\u1077?\u1085?\u1086? \u1085?\u1072? \u1050?\u1086?\u1084?\u1080?\u1089?\u1080?\u1103?\u1090?\u1072? \u1087?\u1086? \u1089?\u1080?\u1083?\u1072?\u1090?\u1072? \u1085?\u1072? \u1044?\u1080?\u1088?\u1077?\u1082?\u1090?\u1080?\u1074?\u1072? (\u1045?\u1057?) 2016/802 \u1085?\u1072? \u1045?\u1074?\u1088?\u1086?\u1087?\u1077?\u1081?\u1089?\u1082?\u1080?\u1103? \u1087?\u1072?\u1088?\u1083?\u1072?\u1084?\u1077?\u1085?\u1090? \u1080? \u1085?\u1072? \u1057?\u1098?\u1074?\u1077?\u1090?\u1072? \u1086?\u1090? 11 \u1084?\u1072?\u1081? 2016 \u1075?. \u1086?\u1090?\u1085?\u1086?\u1089?\u1085?\u1086? \u1085?\u1072?\u1084?\u1072?\u1083?\u1103?\u1074?\u1072?\u1085?\u1077?\u1090?\u1086? \u1085?\u1072? \u1089?\u1098?\u1076?\u1098?\u1088?\u1078?\u1072?\u1085?\u1080?\u1077?\u1090?\u1086? \u1085?\u1072? \u1089?\u1103?\u1088?\u1072? \u1074? \u1086?\u1087?\u1088?\u1077?\u1076?\u1077?\u1083?\u1077?\u1085?\u1080? \u1090?\u1077?\u1095?\u1085?\u1080? \u1075?\u1086?\u1088?\u1080?\u1074?\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pageBreakBefore/>
      <w:tabs>
        <w:tab w:val="center" w:pos="4535"/>
        <w:tab w:val="right" w:pos="9071"/>
        <w:tab w:val="right" w:pos="9921"/>
      </w:tabs>
      <w:spacing w:before="360" w:after="0" w:line="240" w:lineRule="auto"/>
      <w:ind w:left="-850" w:right="-850"/>
    </w:pPr>
    <w:rPr>
      <w:rFonts w:ascii="Times New Roman" w:hAnsi="Times New Roman" w:cs="Times New Roman"/>
      <w:bCs/>
      <w:color w:val="000000"/>
      <w:sz w:val="24"/>
      <w:szCs w:val="23"/>
    </w:rPr>
  </w:style>
  <w:style w:type="character" w:customStyle="1" w:styleId="DefaultChar">
    <w:name w:val="Default Char"/>
    <w:basedOn w:val="DefaultParagraphFont"/>
    <w:link w:val="Default"/>
    <w:rPr>
      <w:rFonts w:ascii="Arial" w:hAnsi="Arial" w:cs="Arial"/>
      <w:color w:val="000000"/>
      <w:sz w:val="24"/>
      <w:szCs w:val="24"/>
    </w:rPr>
  </w:style>
  <w:style w:type="character" w:customStyle="1" w:styleId="FooterCoverPageChar">
    <w:name w:val="Footer Cover Page Char"/>
    <w:basedOn w:val="DefaultChar"/>
    <w:link w:val="FooterCoverPage"/>
    <w:rPr>
      <w:rFonts w:ascii="Times New Roman" w:hAnsi="Times New Roman" w:cs="Times New Roman"/>
      <w:bCs/>
      <w:color w:val="000000"/>
      <w:sz w:val="24"/>
      <w:szCs w:val="23"/>
    </w:rPr>
  </w:style>
  <w:style w:type="paragraph" w:customStyle="1" w:styleId="HeaderCoverPage">
    <w:name w:val="Header Cover Page"/>
    <w:basedOn w:val="Normal"/>
    <w:link w:val="HeaderCoverPageChar"/>
    <w:pPr>
      <w:pageBreakBefore/>
      <w:tabs>
        <w:tab w:val="center" w:pos="4535"/>
        <w:tab w:val="right" w:pos="9071"/>
      </w:tabs>
      <w:spacing w:after="120" w:line="240" w:lineRule="auto"/>
      <w:jc w:val="both"/>
    </w:pPr>
    <w:rPr>
      <w:rFonts w:ascii="Times New Roman" w:hAnsi="Times New Roman" w:cs="Times New Roman"/>
      <w:bCs/>
      <w:color w:val="000000"/>
      <w:sz w:val="24"/>
      <w:szCs w:val="23"/>
    </w:rPr>
  </w:style>
  <w:style w:type="character" w:customStyle="1" w:styleId="HeaderCoverPageChar">
    <w:name w:val="Header Cover Page Char"/>
    <w:basedOn w:val="DefaultChar"/>
    <w:link w:val="HeaderCoverPage"/>
    <w:rPr>
      <w:rFonts w:ascii="Times New Roman" w:hAnsi="Times New Roman" w:cs="Times New Roman"/>
      <w:bCs/>
      <w:color w:val="000000"/>
      <w:sz w:val="24"/>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pageBreakBefore/>
      <w:tabs>
        <w:tab w:val="center" w:pos="4535"/>
        <w:tab w:val="right" w:pos="9071"/>
        <w:tab w:val="right" w:pos="9921"/>
      </w:tabs>
      <w:spacing w:before="360" w:after="0" w:line="240" w:lineRule="auto"/>
      <w:ind w:left="-850" w:right="-850"/>
    </w:pPr>
    <w:rPr>
      <w:rFonts w:ascii="Times New Roman" w:hAnsi="Times New Roman" w:cs="Times New Roman"/>
      <w:bCs/>
      <w:color w:val="000000"/>
      <w:sz w:val="24"/>
      <w:szCs w:val="23"/>
    </w:rPr>
  </w:style>
  <w:style w:type="character" w:customStyle="1" w:styleId="DefaultChar">
    <w:name w:val="Default Char"/>
    <w:basedOn w:val="DefaultParagraphFont"/>
    <w:link w:val="Default"/>
    <w:rPr>
      <w:rFonts w:ascii="Arial" w:hAnsi="Arial" w:cs="Arial"/>
      <w:color w:val="000000"/>
      <w:sz w:val="24"/>
      <w:szCs w:val="24"/>
    </w:rPr>
  </w:style>
  <w:style w:type="character" w:customStyle="1" w:styleId="FooterCoverPageChar">
    <w:name w:val="Footer Cover Page Char"/>
    <w:basedOn w:val="DefaultChar"/>
    <w:link w:val="FooterCoverPage"/>
    <w:rPr>
      <w:rFonts w:ascii="Times New Roman" w:hAnsi="Times New Roman" w:cs="Times New Roman"/>
      <w:bCs/>
      <w:color w:val="000000"/>
      <w:sz w:val="24"/>
      <w:szCs w:val="23"/>
    </w:rPr>
  </w:style>
  <w:style w:type="paragraph" w:customStyle="1" w:styleId="HeaderCoverPage">
    <w:name w:val="Header Cover Page"/>
    <w:basedOn w:val="Normal"/>
    <w:link w:val="HeaderCoverPageChar"/>
    <w:pPr>
      <w:pageBreakBefore/>
      <w:tabs>
        <w:tab w:val="center" w:pos="4535"/>
        <w:tab w:val="right" w:pos="9071"/>
      </w:tabs>
      <w:spacing w:after="120" w:line="240" w:lineRule="auto"/>
      <w:jc w:val="both"/>
    </w:pPr>
    <w:rPr>
      <w:rFonts w:ascii="Times New Roman" w:hAnsi="Times New Roman" w:cs="Times New Roman"/>
      <w:bCs/>
      <w:color w:val="000000"/>
      <w:sz w:val="24"/>
      <w:szCs w:val="23"/>
    </w:rPr>
  </w:style>
  <w:style w:type="character" w:customStyle="1" w:styleId="HeaderCoverPageChar">
    <w:name w:val="Header Cover Page Char"/>
    <w:basedOn w:val="DefaultChar"/>
    <w:link w:val="HeaderCoverPage"/>
    <w:rPr>
      <w:rFonts w:ascii="Times New Roman" w:hAnsi="Times New Roman" w:cs="Times New Roman"/>
      <w:bCs/>
      <w:color w:val="000000"/>
      <w:sz w:val="24"/>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F7892-58FB-4788-9ED4-A627191F7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580</Words>
  <Characters>3372</Characters>
  <Application>Microsoft Office Word</Application>
  <DocSecurity>0</DocSecurity>
  <Lines>71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2017-05-23T11:01:00Z</dcterms:created>
  <dcterms:modified xsi:type="dcterms:W3CDTF">2017-06-23T13:08:00Z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