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52AF665A35204092A840DF74FFF3CF6C" style="width:450.5pt;height:403.5pt">
            <v:imagedata r:id="rId9" o:title=""/>
          </v:shape>
        </w:pict>
      </w:r>
    </w:p>
    <w:bookmarkEnd w:id="2"/>
    <w:p>
      <w:pPr>
        <w:pStyle w:val="Heading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keepLines/>
        <w:spacing w:before="480" w:after="480" w:line="276" w:lineRule="auto"/>
        <w:jc w:val="center"/>
        <w:outlineLvl w:val="0"/>
        <w:rPr>
          <w:rFonts w:ascii="Times New Roman" w:eastAsiaTheme="majorEastAsia" w:hAnsi="Times New Roman"/>
          <w:b/>
          <w:bCs/>
          <w:noProof/>
          <w:sz w:val="28"/>
          <w:szCs w:val="24"/>
        </w:rPr>
      </w:pPr>
      <w:bookmarkStart w:id="3" w:name="_GoBack"/>
      <w:bookmarkEnd w:id="0"/>
      <w:bookmarkEnd w:id="1"/>
      <w:bookmarkEnd w:id="3"/>
      <w:r>
        <w:rPr>
          <w:rFonts w:ascii="Times New Roman" w:eastAsiaTheme="majorEastAsia" w:hAnsi="Times New Roman"/>
          <w:b/>
          <w:noProof/>
          <w:sz w:val="28"/>
        </w:rPr>
        <w:lastRenderedPageBreak/>
        <w:t>РЕЗЮМЕ НА ДОКЛАД</w:t>
      </w:r>
    </w:p>
    <w:p>
      <w:pPr>
        <w:keepNext/>
        <w:keepLines/>
        <w:numPr>
          <w:ilvl w:val="0"/>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smallCaps/>
          <w:noProof/>
          <w:sz w:val="24"/>
        </w:rPr>
        <w:t>Въведение</w:t>
      </w:r>
    </w:p>
    <w:p>
      <w:pPr>
        <w:spacing w:before="120" w:after="120"/>
        <w:rPr>
          <w:rFonts w:ascii="Times New Roman" w:hAnsi="Times New Roman"/>
          <w:noProof/>
          <w:sz w:val="24"/>
          <w:szCs w:val="24"/>
        </w:rPr>
      </w:pPr>
      <w:r>
        <w:rPr>
          <w:rFonts w:ascii="Times New Roman" w:hAnsi="Times New Roman"/>
          <w:noProof/>
          <w:sz w:val="24"/>
        </w:rPr>
        <w:t>В настоящия доклад са обхванати обратната информация и приносът от гражданите и администрациите, асоциациите и други организации (по-нататък наричани „заинтересовани страни“) по отношение на съобщението на Комисията „План за действие „Едно здраве“ в подкрепа на държавите членки в борбата срещу антимикробната резистентност (АМР)“ (по-нататък наричан „план за действие „Едно здраве“).</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имаха възможността да предоставят обратна информация по пътната карта на Комисията относно плана за действие „Едно здраве“ срещу АМР</w:t>
      </w:r>
      <w:r>
        <w:rPr>
          <w:rFonts w:ascii="Times New Roman" w:hAnsi="Times New Roman"/>
          <w:noProof/>
          <w:sz w:val="24"/>
          <w:vertAlign w:val="superscript"/>
        </w:rPr>
        <w:footnoteReference w:id="2"/>
      </w:r>
      <w:r>
        <w:rPr>
          <w:rFonts w:ascii="Times New Roman" w:hAnsi="Times New Roman"/>
          <w:noProof/>
          <w:sz w:val="24"/>
        </w:rPr>
        <w:t xml:space="preserve"> в периода от 24 октомври 2016 г. до 28 март 2017 г. Освен това, между 27 януари и 28 април 2017 г. се състоя открита обществена консултация (ООК)</w:t>
      </w:r>
      <w:bookmarkStart w:id="4" w:name="_Ref482286554"/>
      <w:r>
        <w:rPr>
          <w:rFonts w:ascii="Times New Roman" w:hAnsi="Times New Roman"/>
          <w:noProof/>
          <w:sz w:val="24"/>
          <w:vertAlign w:val="superscript"/>
        </w:rPr>
        <w:footnoteReference w:id="3"/>
      </w:r>
      <w:bookmarkEnd w:id="4"/>
      <w:r>
        <w:rPr>
          <w:rFonts w:ascii="Times New Roman" w:hAnsi="Times New Roman"/>
          <w:noProof/>
          <w:sz w:val="24"/>
        </w:rPr>
        <w:t>, насочена към гражданите и заинтересованите страни, относно съдържанието на новия план за действие „Едно здраве“ срещу АМР</w:t>
      </w:r>
      <w:r>
        <w:rPr>
          <w:rFonts w:ascii="Times New Roman" w:hAnsi="Times New Roman"/>
          <w:noProof/>
          <w:sz w:val="24"/>
          <w:vertAlign w:val="superscript"/>
        </w:rPr>
        <w:footnoteReference w:id="4"/>
      </w:r>
      <w:r>
        <w:rPr>
          <w:rFonts w:ascii="Times New Roman" w:hAnsi="Times New Roman"/>
          <w:noProof/>
          <w:sz w:val="24"/>
        </w:rPr>
        <w:t>.</w:t>
      </w:r>
    </w:p>
    <w:p>
      <w:pPr>
        <w:spacing w:before="120" w:after="120"/>
        <w:rPr>
          <w:rFonts w:ascii="Times New Roman" w:hAnsi="Times New Roman"/>
          <w:noProof/>
          <w:sz w:val="24"/>
          <w:szCs w:val="24"/>
        </w:rPr>
      </w:pPr>
      <w:r>
        <w:rPr>
          <w:rFonts w:ascii="Times New Roman" w:hAnsi="Times New Roman"/>
          <w:noProof/>
          <w:sz w:val="24"/>
        </w:rPr>
        <w:t xml:space="preserve">22 заинтересовани страни представиха отзивите си относно пътната карта на Комисията. При ООП бяха получени отговори от 584 участници: 421 граждани и 163 заинтересовани страни. 16 от общо 163-те заинтересовани страни представиха коментари и по пътната карта на Комисията. </w:t>
      </w:r>
    </w:p>
    <w:p>
      <w:pPr>
        <w:spacing w:before="120" w:after="120"/>
        <w:rPr>
          <w:rFonts w:ascii="Times New Roman" w:hAnsi="Times New Roman"/>
          <w:noProof/>
          <w:sz w:val="24"/>
          <w:szCs w:val="24"/>
        </w:rPr>
      </w:pPr>
      <w:r>
        <w:rPr>
          <w:rFonts w:ascii="Times New Roman" w:hAnsi="Times New Roman"/>
          <w:noProof/>
          <w:sz w:val="24"/>
        </w:rPr>
        <w:t>Участниците бяха представители на голямо разнообразие от сектори. Над една пета от респондентите бяха публични или частни администрации, следвани от неправителствени организации (НПО), заинтересовани страни от фармацевтичната промишленост и доставчици на услуги в областта на човешкото здраве. Повече от половината от респондентите (52 %) бяха рамкови организации или асоциации, представляващи интересите на заинтересованите страни.</w:t>
      </w:r>
    </w:p>
    <w:p>
      <w:pPr>
        <w:spacing w:before="120" w:after="120"/>
        <w:rPr>
          <w:rFonts w:ascii="Times New Roman" w:hAnsi="Times New Roman"/>
          <w:noProof/>
          <w:sz w:val="24"/>
          <w:szCs w:val="24"/>
        </w:rPr>
      </w:pPr>
      <w:r>
        <w:rPr>
          <w:rFonts w:ascii="Times New Roman" w:hAnsi="Times New Roman"/>
          <w:noProof/>
          <w:sz w:val="24"/>
        </w:rPr>
        <w:t>Що се отнася до гражданите, 406 от тях бяха от 22 държави членки, а 15 — от държави извън ЕС. Преобладаващата част от респондентите са високообразовани (87 % имат висше образование), заети са в сектора на хуманитарното здравеопазване (39 %) или ветеринарния сектор (12 %) и са признали, че са много добре или добре информирани относно АМР и последствията от нея (съответно 48 и 40 %), следователно извадката е много квалифицирана да отговори на откритата обществена консултация.</w:t>
      </w:r>
    </w:p>
    <w:p>
      <w:pPr>
        <w:spacing w:before="120" w:after="120"/>
        <w:rPr>
          <w:rFonts w:ascii="Times New Roman" w:hAnsi="Times New Roman"/>
          <w:noProof/>
          <w:sz w:val="24"/>
          <w:szCs w:val="24"/>
        </w:rPr>
      </w:pPr>
      <w:r>
        <w:rPr>
          <w:rFonts w:ascii="Times New Roman" w:hAnsi="Times New Roman"/>
          <w:noProof/>
          <w:sz w:val="24"/>
        </w:rPr>
        <w:t>Получените мнения потвърждават силната подкрепа от страна на гражданите и заинтересованите страни за нов план за действие „Едно здраве“ и значението на един цялостен подход. Мненията бяха взети под внимание при определянето на конкретните действия в рамките на трите основни стълба на новия план за действие „Едно здраве“. Повечето от взетите предвид мнения представят варианти на политики, които имат ясна добавена стойност за ЕС за държавите членки, които са относими към справянето с предизвикателствата на АМР, свързани с научноизследователската и развойна дейност (НИРД), или които биха спомогнали да се гарантира, че ЕС ще има силен глас относно АМР на международно равнище. Мненията, които надхвърлиха границите на компетентността на ЕС, не бяха взети под внимание.</w:t>
      </w:r>
    </w:p>
    <w:p>
      <w:pPr>
        <w:spacing w:before="120" w:after="120"/>
        <w:rPr>
          <w:rFonts w:ascii="Times New Roman" w:hAnsi="Times New Roman"/>
          <w:noProof/>
          <w:sz w:val="24"/>
          <w:szCs w:val="24"/>
        </w:rPr>
      </w:pPr>
      <w:r>
        <w:rPr>
          <w:rFonts w:ascii="Times New Roman" w:hAnsi="Times New Roman"/>
          <w:noProof/>
          <w:sz w:val="24"/>
        </w:rPr>
        <w:t>Успоредно ще бъде публикувано по-подробно фактическо изложение на обратната информация, получена при ООК</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_Ref482286554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2</w:t>
      </w:r>
      <w:r>
        <w:rPr>
          <w:rFonts w:ascii="Times New Roman" w:hAnsi="Times New Roman"/>
          <w:noProof/>
          <w:sz w:val="24"/>
          <w:szCs w:val="24"/>
          <w:vertAlign w:val="superscript"/>
        </w:rPr>
        <w:fldChar w:fldCharType="end"/>
      </w:r>
      <w:r>
        <w:rPr>
          <w:rFonts w:ascii="Times New Roman" w:hAnsi="Times New Roman"/>
          <w:noProof/>
          <w:sz w:val="24"/>
        </w:rPr>
        <w:t>. В него ще се предлага по-изчерпателен преглед на получените мнения.</w:t>
      </w:r>
    </w:p>
    <w:p>
      <w:pPr>
        <w:keepNext/>
        <w:keepLines/>
        <w:numPr>
          <w:ilvl w:val="0"/>
          <w:numId w:val="46"/>
        </w:numPr>
        <w:spacing w:before="120" w:after="120"/>
        <w:outlineLvl w:val="0"/>
        <w:rPr>
          <w:rFonts w:ascii="Times New Roman" w:eastAsiaTheme="majorEastAsia" w:hAnsi="Times New Roman"/>
          <w:b/>
          <w:smallCaps/>
          <w:noProof/>
          <w:sz w:val="24"/>
          <w:szCs w:val="24"/>
        </w:rPr>
      </w:pPr>
      <w:r>
        <w:rPr>
          <w:rFonts w:ascii="Times New Roman" w:eastAsiaTheme="majorEastAsia" w:hAnsi="Times New Roman"/>
          <w:b/>
          <w:smallCaps/>
          <w:noProof/>
          <w:sz w:val="24"/>
        </w:rPr>
        <w:t>Превръщане на ЕС в регион с най-добри практики</w:t>
      </w:r>
    </w:p>
    <w:p>
      <w:pPr>
        <w:keepNext/>
        <w:keepLines/>
        <w:spacing w:before="120" w:after="120"/>
        <w:rPr>
          <w:rFonts w:ascii="Times New Roman" w:hAnsi="Times New Roman"/>
          <w:noProof/>
          <w:sz w:val="24"/>
          <w:szCs w:val="24"/>
        </w:rPr>
      </w:pPr>
      <w:r>
        <w:rPr>
          <w:rFonts w:ascii="Times New Roman" w:hAnsi="Times New Roman"/>
          <w:noProof/>
          <w:sz w:val="24"/>
        </w:rPr>
        <w:t>Почти половината от гражданите (46 %) придават еднакво значение на провеждането на действия за борба с АМР в секторите на здравето на човека и животните и на околната среда, а повече от една четвърт (27 %) подкрепят действия както сектора на здравето на човека, така и в сектора на здравето на животните. Изразените от заинтересованите страни мнения също съответстват на подхода „Едно здраве“, който обхваща действията и в трите сектора (здравето на човека, здравето на животните и околната среда).</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По-добри доказателства и осведоменост за предизвикателствата, свързани с АМР</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запознати със системите за надзор на ЕС, считат, че са необходими повече подобрения при събирането на данни относно здравето на животните, отколкото при данните относно здравето на човека. Те са посочили следните възможности за подобряване на надзора в ЕС, които ще бъдат допълнително проучени на етапа на прилагане на новия план за действие „Едно здраве“:</w:t>
      </w:r>
    </w:p>
    <w:p>
      <w:pPr>
        <w:numPr>
          <w:ilvl w:val="0"/>
          <w:numId w:val="48"/>
        </w:numPr>
        <w:spacing w:before="120" w:after="120"/>
        <w:contextualSpacing/>
        <w:rPr>
          <w:rFonts w:ascii="Times New Roman" w:hAnsi="Times New Roman"/>
          <w:noProof/>
          <w:sz w:val="24"/>
          <w:szCs w:val="24"/>
        </w:rPr>
      </w:pPr>
      <w:r>
        <w:rPr>
          <w:rFonts w:ascii="Times New Roman" w:hAnsi="Times New Roman"/>
          <w:noProof/>
          <w:sz w:val="24"/>
        </w:rPr>
        <w:t>преминаване към стандартизирана система за събиране на данни с цел намаляване на различията в качеството на националните данни;</w:t>
      </w:r>
    </w:p>
    <w:p>
      <w:pPr>
        <w:numPr>
          <w:ilvl w:val="0"/>
          <w:numId w:val="48"/>
        </w:numPr>
        <w:spacing w:before="120" w:after="120"/>
        <w:contextualSpacing/>
        <w:rPr>
          <w:rFonts w:ascii="Times New Roman" w:hAnsi="Times New Roman"/>
          <w:noProof/>
          <w:sz w:val="24"/>
          <w:szCs w:val="24"/>
        </w:rPr>
      </w:pPr>
      <w:r>
        <w:rPr>
          <w:rFonts w:ascii="Times New Roman" w:hAnsi="Times New Roman"/>
          <w:noProof/>
          <w:sz w:val="24"/>
        </w:rPr>
        <w:t>по отношение на данните за консумацията на антимикробни средства:</w:t>
      </w:r>
    </w:p>
    <w:p>
      <w:pPr>
        <w:numPr>
          <w:ilvl w:val="1"/>
          <w:numId w:val="48"/>
        </w:numPr>
        <w:spacing w:before="120" w:after="120"/>
        <w:contextualSpacing/>
        <w:rPr>
          <w:rFonts w:ascii="Times New Roman" w:hAnsi="Times New Roman"/>
          <w:noProof/>
          <w:sz w:val="24"/>
          <w:szCs w:val="24"/>
        </w:rPr>
      </w:pPr>
      <w:r>
        <w:rPr>
          <w:rFonts w:ascii="Times New Roman" w:hAnsi="Times New Roman"/>
          <w:noProof/>
          <w:sz w:val="24"/>
        </w:rPr>
        <w:t>в сектора на здравето на човека, по-подробно равнище при събирането на данни (например събиране на данни на регионално, подрегионално или дори местно равнище; стратифицирани по здравни сектори; специфични по възраст/пол);</w:t>
      </w:r>
    </w:p>
    <w:p>
      <w:pPr>
        <w:numPr>
          <w:ilvl w:val="1"/>
          <w:numId w:val="48"/>
        </w:numPr>
        <w:spacing w:before="120" w:after="120"/>
        <w:contextualSpacing/>
        <w:rPr>
          <w:rFonts w:ascii="Times New Roman" w:hAnsi="Times New Roman"/>
          <w:noProof/>
          <w:sz w:val="24"/>
          <w:szCs w:val="24"/>
        </w:rPr>
      </w:pPr>
      <w:r>
        <w:rPr>
          <w:rFonts w:ascii="Times New Roman" w:hAnsi="Times New Roman"/>
          <w:noProof/>
          <w:sz w:val="24"/>
        </w:rPr>
        <w:t>в сектора на здравето на животните, данни за консумацията по животински видове; по прицелна популация (например прасета за угояване или свине и нерези за разплод, а не всички свине); по земеделска система (например интензивно земеделие), както и да започне събирането на данни за употребата на антимикробни средства при домашните любимци (например котки и кучета);</w:t>
      </w:r>
    </w:p>
    <w:p>
      <w:pPr>
        <w:numPr>
          <w:ilvl w:val="1"/>
          <w:numId w:val="48"/>
        </w:numPr>
        <w:spacing w:before="120" w:after="120"/>
        <w:contextualSpacing/>
        <w:rPr>
          <w:rFonts w:ascii="Times New Roman" w:hAnsi="Times New Roman"/>
          <w:noProof/>
          <w:sz w:val="24"/>
          <w:szCs w:val="24"/>
        </w:rPr>
      </w:pPr>
      <w:r>
        <w:rPr>
          <w:rFonts w:ascii="Times New Roman" w:hAnsi="Times New Roman"/>
          <w:noProof/>
          <w:sz w:val="24"/>
        </w:rPr>
        <w:t>и в двата сектора, събиране на данни за диагнозата или причините за предписване;</w:t>
      </w:r>
    </w:p>
    <w:p>
      <w:pPr>
        <w:numPr>
          <w:ilvl w:val="0"/>
          <w:numId w:val="48"/>
        </w:numPr>
        <w:spacing w:before="120" w:after="120"/>
        <w:ind w:left="714" w:hanging="357"/>
        <w:contextualSpacing/>
        <w:rPr>
          <w:rFonts w:ascii="Times New Roman" w:hAnsi="Times New Roman"/>
          <w:noProof/>
          <w:sz w:val="24"/>
          <w:szCs w:val="24"/>
        </w:rPr>
      </w:pPr>
      <w:r>
        <w:rPr>
          <w:rFonts w:ascii="Times New Roman" w:hAnsi="Times New Roman"/>
          <w:noProof/>
          <w:sz w:val="24"/>
        </w:rPr>
        <w:t>по отношение на данните за антимикробната резистентност заинтересованите страни призоваха за разширяване на обхвата на системите за надзор, за да бъдат включени повече патогени в сектора на здравето на човека. В двата сектора те призовават за база данни за гени за резистентност, както и за използването на генетични методи, за да се подобри качеството на данните.</w:t>
      </w:r>
    </w:p>
    <w:p>
      <w:pPr>
        <w:spacing w:before="240" w:after="120"/>
        <w:rPr>
          <w:rFonts w:ascii="Times New Roman" w:hAnsi="Times New Roman"/>
          <w:noProof/>
          <w:sz w:val="24"/>
          <w:szCs w:val="24"/>
        </w:rPr>
      </w:pPr>
      <w:r>
        <w:rPr>
          <w:rFonts w:ascii="Times New Roman" w:hAnsi="Times New Roman"/>
          <w:noProof/>
          <w:sz w:val="24"/>
        </w:rPr>
        <w:t>За укрепване на базата от данни, друго предложение на заинтересованите страни, което беше превърнато в конкретни действия в съобщението относно новия план за действие „Едно здраве“, помага на държавите членки да оценят икономическата и здравната тежест на АМР.</w:t>
      </w:r>
    </w:p>
    <w:p>
      <w:pPr>
        <w:spacing w:before="120" w:after="120"/>
        <w:rPr>
          <w:rFonts w:ascii="Times New Roman" w:hAnsi="Times New Roman"/>
          <w:noProof/>
          <w:sz w:val="24"/>
          <w:szCs w:val="24"/>
        </w:rPr>
      </w:pPr>
      <w:r>
        <w:rPr>
          <w:rFonts w:ascii="Times New Roman" w:hAnsi="Times New Roman"/>
          <w:noProof/>
          <w:sz w:val="24"/>
        </w:rPr>
        <w:t>Други предложения на заинтересованите страни изискват по-нататъшно обсъждане и не бяха превърнати в конкретни действия в новия план за действие „Едно здраве“. Те включват оценка на икономическото и здравното въздействие на ваксините срещу основни инфекциозни болести при хората и оценка на ефективността на схемите за ваксиниране, мерките за контрол на инфекциите, земеделските системи и хранителните практики при животните.</w:t>
      </w:r>
    </w:p>
    <w:p>
      <w:pPr>
        <w:spacing w:before="120" w:after="120"/>
        <w:rPr>
          <w:rFonts w:ascii="Times New Roman" w:hAnsi="Times New Roman"/>
          <w:noProof/>
          <w:sz w:val="24"/>
          <w:szCs w:val="24"/>
        </w:rPr>
      </w:pPr>
      <w:r>
        <w:rPr>
          <w:rFonts w:ascii="Times New Roman" w:hAnsi="Times New Roman"/>
          <w:noProof/>
          <w:sz w:val="24"/>
        </w:rPr>
        <w:t xml:space="preserve">По отношение на осведомеността, заинтересованите страни изразиха голяма подкрепа за това, че Комисията допълва дейностите на държавите членки за повишаване на осведомеността относно АМР. Почти четири пъти повече респонденти (79 %) оценяват усилията на Комисията като полезни или много полезни в сравнение с онези, които ги определят като по-малко полезни (21 %). </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призовават основно за инициативи, ръководени от държавите членки, които да са специфични за отделните държави, съобразени и насочени във възможно най-голяма степен към гражданите и потребителите, но също и към фармацевтите, лекарите, зъболекарите, пациентите, ветеринарните лекари и земеделските стопани. Тези национални кампании са извън обхвата на новия план за действие „Едно здраве“.</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По-добра координация и прилагане на правилата на ЕС за справяне с АМР</w:t>
      </w:r>
    </w:p>
    <w:p>
      <w:pPr>
        <w:keepNext/>
        <w:keepLines/>
        <w:spacing w:before="120" w:after="120"/>
        <w:rPr>
          <w:rFonts w:ascii="Times New Roman" w:hAnsi="Times New Roman"/>
          <w:noProof/>
          <w:sz w:val="24"/>
          <w:szCs w:val="24"/>
        </w:rPr>
      </w:pPr>
      <w:r>
        <w:rPr>
          <w:rFonts w:ascii="Times New Roman" w:hAnsi="Times New Roman"/>
          <w:noProof/>
          <w:sz w:val="24"/>
        </w:rPr>
        <w:t>За да се подобри координацията на действията на държавите членки за борба с АМР, заинтересованите страни считат, че е важно да се провеждат редовни обсъждания в рамките на специализираната мрежа „Едно здраве“ за АМР, която събира експерти от секторите на здравето на човека, здравето на животните и околната среда. Те също така призоваха Комисията да координира и улесни обмена на най-добри практики и обмена на информация по националните планове за действие (НПД) на държавите членки срещу АМР. Комисията отговори положително на това искане в новия план за действие „Едно здраве“.</w:t>
      </w:r>
    </w:p>
    <w:p>
      <w:pPr>
        <w:spacing w:before="120" w:after="120"/>
        <w:rPr>
          <w:rFonts w:ascii="Times New Roman" w:hAnsi="Times New Roman"/>
          <w:noProof/>
          <w:sz w:val="24"/>
          <w:szCs w:val="24"/>
        </w:rPr>
      </w:pPr>
      <w:r>
        <w:rPr>
          <w:rFonts w:ascii="Times New Roman" w:hAnsi="Times New Roman"/>
          <w:noProof/>
          <w:sz w:val="24"/>
        </w:rPr>
        <w:t>87 % от заинтересованите страни считат, че би било много полезно или полезно държавите членки да определят измерими цели за намаляване на инфекциите при хората и животните, на употребата на антимикробни средства в секторите на здравето на човека и здравето на животните, както и на АМР и в трите сектора. В новия план за действие „Едно здраве“ бяха включени конкретни действия за подпомагане на държавите членки при изпълнението на техните национални планове за действие срещу АМР.</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По-добра профилактика и контрол на АМР</w:t>
      </w:r>
    </w:p>
    <w:p>
      <w:pPr>
        <w:spacing w:before="120" w:after="120"/>
        <w:rPr>
          <w:rFonts w:ascii="Times New Roman" w:hAnsi="Times New Roman"/>
          <w:noProof/>
          <w:sz w:val="24"/>
          <w:szCs w:val="24"/>
        </w:rPr>
      </w:pPr>
      <w:r>
        <w:rPr>
          <w:rFonts w:ascii="Times New Roman" w:hAnsi="Times New Roman"/>
          <w:noProof/>
          <w:sz w:val="24"/>
        </w:rPr>
        <w:t>За да се намали употребата на антимикробни средства и да се предотврати разпространението на АМР, заинтересованите страни подкрепиха новите инициативи на Комисията при хората, а след това и новите инициативи на Комисията при животните и в селското стопанство.</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настоятелно призоваха за инициативи на ЕС за профилактика и контрол на инфекциите и за разумната употреба на антимикробни средства. Следните предложения бяха превърнати в конкретни действия в новия план за действие „Едно здраве“:</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подкрепа за дейности в сектора на здравето на човека, например включването на обучение и политики за контрол на вътреболничните инфекции за всички специалисти в областта на здравеопазването;</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насърчаване на екипи за „управление на употребата на антимикробни средства“ в болниците и здравните заведения и подобряване на политиките за управление на употребата на антимикробни средства сред всички лекари в първичното здравеопазване и болниците;</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оказване на подкрепа на държавите членки за изготвянето на насоки за лечение и инструменти за подпомагане на вземането на решения;</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насърчаване на инициативи в сектора на здравето на животните, насочени към подобряване на животновъдните практики за профилактика и контрол на инфекциите;</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насърчаване на стратегии относно употребата на фуражи и храненето на животните, разработени от националните органи в сътрудничество с експерти от фуражната промишленост.</w:t>
      </w:r>
    </w:p>
    <w:p>
      <w:pPr>
        <w:spacing w:before="120" w:after="120"/>
        <w:ind w:left="720"/>
        <w:contextualSpacing/>
        <w:rPr>
          <w:rFonts w:ascii="Times New Roman" w:hAnsi="Times New Roman"/>
          <w:noProof/>
          <w:sz w:val="24"/>
          <w:szCs w:val="24"/>
        </w:rPr>
      </w:pPr>
    </w:p>
    <w:p>
      <w:pPr>
        <w:spacing w:before="120" w:after="120"/>
        <w:rPr>
          <w:rFonts w:ascii="Times New Roman" w:hAnsi="Times New Roman"/>
          <w:noProof/>
          <w:sz w:val="24"/>
          <w:szCs w:val="24"/>
        </w:rPr>
      </w:pPr>
      <w:r>
        <w:rPr>
          <w:rFonts w:ascii="Times New Roman" w:hAnsi="Times New Roman"/>
          <w:noProof/>
          <w:sz w:val="24"/>
        </w:rPr>
        <w:t>Заинтересованите страни направиха и предложения относно действия в рамките на компетенциите на държавите членки. Комисията не ги включи в новия план за действие „Едно здраве“. Те включват следното:</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държавите членки да разработят ясни национални програми за ваксиниране в сектора на здравето на човека с цели за ваксиниране, които признават ролята на ваксините в борбата срещу АМР, и да установят и отстранят основните пречки пред въвеждането и разгръщането на национални схеми за ваксинация;</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държавите членки да създадат национални програми за ваксиниране в сектора на здравето на животните, които отразяват разнообразието на животинските видове и условията на отглеждане;</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държавите членки да включат графици за ваксинация в своите национални планове за действие срещу АМР;</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държавите членки да насърчат достъпа на лицата, издаващи рецепти, до бърза диагностика, която да им помага при вземането на решения, и да въведат мерки, насочени към доставчиците на здравни услуги за хората и животните, за да се насърчи използването на бърза диагностика;</w:t>
      </w:r>
    </w:p>
    <w:p>
      <w:pPr>
        <w:numPr>
          <w:ilvl w:val="0"/>
          <w:numId w:val="47"/>
        </w:numPr>
        <w:spacing w:before="120" w:after="120"/>
        <w:contextualSpacing/>
        <w:rPr>
          <w:rFonts w:ascii="Times New Roman" w:hAnsi="Times New Roman"/>
          <w:noProof/>
          <w:sz w:val="24"/>
          <w:szCs w:val="24"/>
        </w:rPr>
      </w:pPr>
      <w:r>
        <w:rPr>
          <w:rFonts w:ascii="Times New Roman" w:hAnsi="Times New Roman"/>
          <w:noProof/>
          <w:sz w:val="24"/>
        </w:rPr>
        <w:t>държавите членки да включат използването на бърза диагностика в образователните програми и програмите за обучение и управление на употребата на антимикробни средства.</w:t>
      </w:r>
    </w:p>
    <w:p>
      <w:pPr>
        <w:spacing w:before="120" w:after="120"/>
        <w:rPr>
          <w:rFonts w:ascii="Times New Roman" w:hAnsi="Times New Roman"/>
          <w:noProof/>
          <w:sz w:val="24"/>
          <w:szCs w:val="24"/>
        </w:rPr>
      </w:pPr>
      <w:r>
        <w:rPr>
          <w:rFonts w:ascii="Times New Roman" w:hAnsi="Times New Roman"/>
          <w:noProof/>
          <w:sz w:val="24"/>
        </w:rPr>
        <w:t>И накрая, някои заинтересовани страни от секторите на хомеопатичната и алтернативната медицина призоваха за популяризиране на хомеопатичните и алтернативните лекарствени продукти (традиционна, допълваща и алтернативна медицина) в борбата срещу АМР. Тези предложения не бяха разгледани от Комисията в новия план за действие „Едно здраве“ поради липсата на ясни доказателства.</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По-добро отчитане на ролята на околната среда</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изразиха силна подкрепа за инициативи, насочени към наблюдението на антимикробни средства и резистентни микроорганизми в околната среда. Няколко заинтересовани страни посочиха, че трябва да се направят проучвания на въздействието върху здравето и икономиката, преди да се определят ограниченията за изхвърляне на антимикробни средства в околната среда.</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запознати с начините на изхвърляне на антимикробни средства в околната среда, считат, че трябва да се предприемат действия за ограничаване на изхвърлянето на антимикробни средства от процеса на производство на фармацевтични продукти. Няколко заинтересовани страни енергично призоваха Комисията да приеме стратегически подход на ЕС към фармацевтичните продукти в околната среда. Това действие беше включено в новия план за действие „Едно здраве“ и ще бъде последвано, когато е целесъобразно, от предложения за мерки. В рамките на стратегическия подход могат да бъдат разгледани редица възможности, например във връзка с производствените отпадъчни води и събирането на неизползвани антимикробни средства. Както е подчертала в своето съобщение, Комисията възнамерява да максимизира използването на данни от съществуващите системи за мониторинг за подобряване на познанията за появата на АМР и разпространението на антимикробни средства в околната среда и така по-добре да се подхранят с информация мерките на политиката.</w:t>
      </w:r>
    </w:p>
    <w:p>
      <w:pPr>
        <w:keepNext/>
        <w:keepLines/>
        <w:numPr>
          <w:ilvl w:val="1"/>
          <w:numId w:val="46"/>
        </w:numPr>
        <w:spacing w:before="120" w:after="120"/>
        <w:outlineLvl w:val="0"/>
        <w:rPr>
          <w:rFonts w:ascii="Times New Roman" w:eastAsiaTheme="majorEastAsia" w:hAnsi="Times New Roman"/>
          <w:b/>
          <w:bCs/>
          <w:noProof/>
          <w:sz w:val="24"/>
          <w:szCs w:val="24"/>
        </w:rPr>
      </w:pPr>
      <w:r>
        <w:rPr>
          <w:rFonts w:ascii="Times New Roman" w:eastAsiaTheme="majorEastAsia" w:hAnsi="Times New Roman"/>
          <w:b/>
          <w:noProof/>
          <w:sz w:val="24"/>
        </w:rPr>
        <w:t>Засилено партньорство за борба срещу АМР и подобряване на наличието на антимикробни средства</w:t>
      </w:r>
    </w:p>
    <w:p>
      <w:pPr>
        <w:spacing w:before="120" w:after="120"/>
        <w:rPr>
          <w:rFonts w:ascii="Times New Roman" w:hAnsi="Times New Roman"/>
          <w:noProof/>
          <w:sz w:val="24"/>
          <w:szCs w:val="24"/>
        </w:rPr>
      </w:pPr>
      <w:r>
        <w:rPr>
          <w:rFonts w:ascii="Times New Roman" w:hAnsi="Times New Roman"/>
          <w:noProof/>
          <w:sz w:val="24"/>
        </w:rPr>
        <w:t>Успехът в борбата срещу АМР зависи от усилията на всички равнища на управление и от множество обществени участници. Заинтересованите страни считат, че насърчаването на диалога между всички относими заинтересовани страни е от решаващо значение за обсъждане на предизвикателствата пред разработването на антимикробни средства за хората и животните, регулаторната рамка за алтернативи на употребата на антимикробни средства, както и за ускоряване на разработването на ваксини за мултирезистентни патогенни бактерии.</w:t>
      </w:r>
    </w:p>
    <w:p>
      <w:pPr>
        <w:spacing w:before="120" w:after="120"/>
        <w:rPr>
          <w:rFonts w:ascii="Times New Roman" w:hAnsi="Times New Roman"/>
          <w:noProof/>
          <w:sz w:val="24"/>
          <w:szCs w:val="24"/>
        </w:rPr>
      </w:pPr>
      <w:r>
        <w:rPr>
          <w:rFonts w:ascii="Times New Roman" w:hAnsi="Times New Roman"/>
          <w:noProof/>
          <w:sz w:val="24"/>
        </w:rPr>
        <w:t>За да се оптимизират плановете за разработки, заинтересованите страни от фармацевтичната промишленост енергично призовават за ранен и непрекъснат диалог с всички относими заинтересовани страни през целия цикъл на разработване на продуктите. Те призовават по-специално за диалог по регулаторна рамка, който да отдава предимство на разработването на антимикробни лекарства, ваксини и диагностични тестове; да създава допълнителни възможности за ефикасни пътища за разработване на лекарствени продукти; и да ускорява пътищата за преглед на антимикробни лекарствени продукти, насочени към тежки и животозастрашаващи инфекции. Заинтересованите страни в сектора на здравето на животните поискаха диалог с цел правилно разграничаване във фазата на разработване на това кои нови антимикробни средства са предназначени за употреба при хора и кои — за употреба при животни.</w:t>
      </w:r>
    </w:p>
    <w:p>
      <w:pPr>
        <w:spacing w:before="120" w:after="120"/>
        <w:rPr>
          <w:rFonts w:ascii="Times New Roman" w:hAnsi="Times New Roman" w:cstheme="minorBidi"/>
          <w:noProof/>
          <w:sz w:val="24"/>
          <w:szCs w:val="24"/>
        </w:rPr>
      </w:pPr>
      <w:r>
        <w:rPr>
          <w:rFonts w:ascii="Times New Roman" w:hAnsi="Times New Roman" w:cstheme="minorBidi"/>
          <w:noProof/>
          <w:sz w:val="24"/>
        </w:rPr>
        <w:t>В съответствие с тези коментари и предложения и както беше посочено в съобщението ѝ относно новия план за действие „Едно здраве“, Комисията включи инициативи за насърчаване на редовния диалог между заинтересованите страни и за насърчаването им да разработят и споделят своите стратегии за борба срещу АМР.</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имаха множество конструктивни предложения за това как да се гарантира наличността на ефикасни антимикробни средства (например запазване на продажбите по интернет и подобряване и преформулиране на по-стари антимикробни средства, за да бъдат запазени по-дълго време на пазара). Комисията внимателно анализира тези предложения и ги отрази в новия план за действие „Едно здраве“.</w:t>
      </w:r>
    </w:p>
    <w:p>
      <w:pPr>
        <w:keepNext/>
        <w:keepLines/>
        <w:numPr>
          <w:ilvl w:val="0"/>
          <w:numId w:val="46"/>
        </w:numPr>
        <w:spacing w:before="120" w:after="120"/>
        <w:outlineLvl w:val="0"/>
        <w:rPr>
          <w:rFonts w:ascii="Times New Roman" w:eastAsiaTheme="majorEastAsia" w:hAnsi="Times New Roman"/>
          <w:smallCaps/>
          <w:noProof/>
          <w:sz w:val="24"/>
          <w:szCs w:val="24"/>
        </w:rPr>
      </w:pPr>
      <w:r>
        <w:rPr>
          <w:rFonts w:ascii="Times New Roman" w:eastAsiaTheme="majorEastAsia" w:hAnsi="Times New Roman"/>
          <w:b/>
          <w:smallCaps/>
          <w:noProof/>
          <w:sz w:val="24"/>
        </w:rPr>
        <w:t>Стимулиране на научните изследвания, развойната дейност и иновациите в областта на АМР</w:t>
      </w:r>
    </w:p>
    <w:p>
      <w:pPr>
        <w:keepNext/>
        <w:keepLines/>
        <w:spacing w:before="120" w:after="120"/>
        <w:rPr>
          <w:rFonts w:ascii="Times New Roman" w:hAnsi="Times New Roman"/>
          <w:noProof/>
          <w:sz w:val="24"/>
          <w:szCs w:val="24"/>
        </w:rPr>
      </w:pPr>
      <w:r>
        <w:rPr>
          <w:rFonts w:ascii="Times New Roman" w:hAnsi="Times New Roman"/>
          <w:noProof/>
          <w:sz w:val="24"/>
        </w:rPr>
        <w:t>Научните изследвания, развойната дейност и иновациите са основни стратегически елементи в борбата срещу АМР. Заинтересованите страни, запознати с разработването на лекарствени продукти, посочват като основни пречки пред въвеждането на нови антимикробни средства сред пациентите в Европа липсата на финансиране за научноизследователска и развойна дейност (НИРД) в областта на АМР, последвана от липсата на икономически модели, стимулиращи НИРД в областта на АМР, и представляващата предизвикателство регулаторна среда.</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Подобряване на знанията относно откриването, ефективния контрол и надзор на инфекциите</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занимаващи се с НИРД, призовават за финансиране на фундаментални научни изследвания, но и на изследвания в областта на комуникацията, поведенческите науки и методите за насърчаване на промяна в начините на употреба на антимикробните средства. Както е посочено в съобщението ѝ относно новия план за действие „Едно здраве“, Комисията поддържа ангажимента си да подкрепя научните изследвания, за да бъдат разбрани по-добре епидемиологията, механизмите на резистентност или свързаните с АМР предизвикателства и да бъде подобрено ранното откриване на огнища на болести.</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Разработване на нови терапевтични средства и алтернативи</w:t>
      </w:r>
    </w:p>
    <w:p>
      <w:pPr>
        <w:spacing w:before="120" w:after="120"/>
        <w:rPr>
          <w:rFonts w:ascii="Times New Roman" w:hAnsi="Times New Roman"/>
          <w:noProof/>
          <w:sz w:val="24"/>
          <w:szCs w:val="24"/>
        </w:rPr>
      </w:pPr>
      <w:r>
        <w:rPr>
          <w:rFonts w:ascii="Times New Roman" w:hAnsi="Times New Roman"/>
          <w:noProof/>
          <w:sz w:val="24"/>
        </w:rPr>
        <w:t>С оглед на приоритизирането на научните изследвания 76 % от заинтересованите страни изразяват съгласие, че ЕС следва да разработи списък на приоритетите за научноизследователска и развойна дейност за резистентните патогени, т.е. списък с приоритетни патогени. Тази възможност ще бъде допълнително проучена на етапа на прилагане на новия план за действие „Едно здраве“.</w:t>
      </w:r>
    </w:p>
    <w:p>
      <w:pPr>
        <w:spacing w:before="120" w:after="120"/>
        <w:rPr>
          <w:rFonts w:ascii="Times New Roman" w:hAnsi="Times New Roman"/>
          <w:noProof/>
          <w:sz w:val="24"/>
          <w:szCs w:val="24"/>
        </w:rPr>
      </w:pPr>
      <w:r>
        <w:rPr>
          <w:rFonts w:ascii="Times New Roman" w:hAnsi="Times New Roman"/>
          <w:noProof/>
          <w:sz w:val="24"/>
        </w:rPr>
        <w:t>В допълнение в становищата и предложенията на заинтересованите страни се призовава за подкрепа на научните общности за получаване на лесен достъп до ресурси и възможност за споделянето им, за използване на съществуващите данни, за да ги превърнат в нови знания, както и за подкрепа за научните изследвания в областта на новаторските алтернативи на антимикробните средства (например промяна на употребата на лекарствени продукти). Този принос ще бъде превърнат във варианти на политиките с цел облекчаване на усилията за разработване на нови антимикробни средства и новаторски алтернативи и справяне с научните предизвикателства.</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Разработване на нови профилактични ваксини</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считат, че за да се изберат подходящи патогени за разработването на нови ваксини срещу резистентни на антимикробни средства патогени и вътреболнични инфекции, би било от полза да се определят ясно приоритетите и да се създадат необходимите инструменти за подкрепа на това разработване. В новия план за действие „Едно здраве“ Комисията посочи своя ангажимент да подкрепи разработването на нови ефикасни профилактични ваксини.</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Разработване на новаторска диагностика</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считат, че бързите диагностични тестове са от съществено значение за информираното предписване, а оттам и за рационалната употреба на антимикробни средства в секторите на здравето на човека и здравето на животните. Те също така призовават за подкрепа и финансиране на целеви научни изследвания за иновативни, бързи и по-мобилни технологии, за да се улеснят и ускорят откриването и идентифицирането на патогени.</w:t>
      </w:r>
    </w:p>
    <w:p>
      <w:pPr>
        <w:spacing w:before="120" w:after="120"/>
        <w:rPr>
          <w:rFonts w:ascii="Times New Roman" w:hAnsi="Times New Roman"/>
          <w:noProof/>
          <w:sz w:val="24"/>
          <w:szCs w:val="24"/>
        </w:rPr>
      </w:pPr>
      <w:r>
        <w:rPr>
          <w:rFonts w:ascii="Times New Roman" w:hAnsi="Times New Roman"/>
          <w:noProof/>
          <w:sz w:val="24"/>
        </w:rPr>
        <w:t>Другите възможности, разгледани от заинтересованите страни, попадат в компетенциите на държавите членки и включват насърчаване на алтернативни системи за възстановяване на разходите за бърза диагностика и насърчаване на използването на бърза диагностика в секторите на здравето на човека и здравето на животните.</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Разработване на нови икономически модели и стимули</w:t>
      </w:r>
    </w:p>
    <w:p>
      <w:pPr>
        <w:spacing w:before="120" w:after="120"/>
        <w:rPr>
          <w:rFonts w:ascii="Times New Roman" w:hAnsi="Times New Roman"/>
          <w:noProof/>
          <w:sz w:val="24"/>
          <w:szCs w:val="24"/>
        </w:rPr>
      </w:pPr>
      <w:r>
        <w:rPr>
          <w:rFonts w:ascii="Times New Roman" w:hAnsi="Times New Roman"/>
          <w:noProof/>
          <w:sz w:val="24"/>
        </w:rPr>
        <w:t xml:space="preserve">Заинтересованите страни широко подкрепят разработването на нови модели за финансиране и бизнес модели за подобряване на достъпа до иновативни технологични решения за профилактика и контрол на АМР и вътреболничните инфекции. </w:t>
      </w:r>
    </w:p>
    <w:p>
      <w:pPr>
        <w:spacing w:before="120" w:after="120"/>
        <w:rPr>
          <w:rFonts w:ascii="Times New Roman" w:hAnsi="Times New Roman"/>
          <w:noProof/>
          <w:sz w:val="24"/>
          <w:szCs w:val="24"/>
        </w:rPr>
      </w:pPr>
      <w:r>
        <w:rPr>
          <w:rFonts w:ascii="Times New Roman" w:hAnsi="Times New Roman"/>
          <w:noProof/>
          <w:sz w:val="24"/>
        </w:rPr>
        <w:t>Що се отнася до стимулите, заинтересованите страни, запознати с инструментите за финансиране, изразяват значителен ентусиазъм по отношение на възможностите за финансиране по европейската рамкова програма „Хоризонт 2020“ (95 % ги определят като много важни или важни), последвани от финансирането от публично-частното партньорство в рамките на Инициативата за иновативни лекарства (ИИЛ) (92 % го считат за много важно или важно).</w:t>
      </w:r>
    </w:p>
    <w:p>
      <w:pPr>
        <w:spacing w:before="120" w:after="120"/>
        <w:rPr>
          <w:rFonts w:ascii="Times New Roman" w:hAnsi="Times New Roman"/>
          <w:noProof/>
          <w:sz w:val="24"/>
          <w:szCs w:val="24"/>
        </w:rPr>
      </w:pPr>
      <w:r>
        <w:rPr>
          <w:rFonts w:ascii="Times New Roman" w:hAnsi="Times New Roman"/>
          <w:noProof/>
          <w:sz w:val="24"/>
        </w:rPr>
        <w:t>Но макар и тези механизми за придвижване („push“) да са много добре възприети, заинтересованите страни от фармацевтичната промишленост призовават те да бъдат допълнени с механизми за привличане („pull“), които възнаграждават иновациите на по-ранен етап от жизнения цикъл на продукта и намаляват дела от приходите на производителите, получен от обема на продажбите на антимикробни средства, за да бъдат спазени принципите за управление на употребата. Тези възможности ще бъдат проучени на етапа на прилагане на новия план за действие „Едно здраве“.</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Попълване на празнините в знанията относно АМР в околната среда и начините за превенция на предаването</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изразяват съгласие, че липсва ясно разбиране за динамиката на предаване на АМР между околната среда и хората, животните и храните. В своите мнения заинтересовани страни последователно изтъкват финансиране на научни изследвания относно въздействието на изхвърлянето на антимикробни средства в околната среда и смекчаването на риска, който то може да породи.</w:t>
      </w:r>
    </w:p>
    <w:p>
      <w:pPr>
        <w:keepNext/>
        <w:keepLines/>
        <w:numPr>
          <w:ilvl w:val="0"/>
          <w:numId w:val="46"/>
        </w:numPr>
        <w:spacing w:before="120" w:after="120"/>
        <w:outlineLvl w:val="0"/>
        <w:rPr>
          <w:rFonts w:ascii="Times New Roman" w:eastAsiaTheme="majorEastAsia" w:hAnsi="Times New Roman"/>
          <w:b/>
          <w:smallCaps/>
          <w:noProof/>
          <w:sz w:val="24"/>
          <w:szCs w:val="24"/>
        </w:rPr>
      </w:pPr>
      <w:r>
        <w:rPr>
          <w:rFonts w:ascii="Times New Roman" w:eastAsiaTheme="majorEastAsia" w:hAnsi="Times New Roman"/>
          <w:b/>
          <w:smallCaps/>
          <w:noProof/>
          <w:sz w:val="24"/>
        </w:rPr>
        <w:t>Насочване на дневния ред в световен мащаб</w:t>
      </w:r>
    </w:p>
    <w:p>
      <w:pPr>
        <w:spacing w:before="120" w:after="120"/>
        <w:rPr>
          <w:rFonts w:ascii="Times New Roman" w:hAnsi="Times New Roman"/>
          <w:noProof/>
          <w:sz w:val="24"/>
          <w:szCs w:val="24"/>
        </w:rPr>
      </w:pPr>
      <w:r>
        <w:rPr>
          <w:rFonts w:ascii="Times New Roman" w:hAnsi="Times New Roman"/>
          <w:noProof/>
          <w:sz w:val="24"/>
        </w:rPr>
        <w:t xml:space="preserve">Предизвикателствата, свързани с АМР, са общи за целия свят и поради пътуванията и търговията разпространението на АМР може да бъде допълнително улеснено. </w:t>
      </w:r>
    </w:p>
    <w:p>
      <w:pPr>
        <w:spacing w:before="120" w:after="120"/>
        <w:rPr>
          <w:rFonts w:ascii="Times New Roman" w:hAnsi="Times New Roman"/>
          <w:noProof/>
          <w:sz w:val="24"/>
          <w:szCs w:val="24"/>
        </w:rPr>
      </w:pPr>
      <w:r>
        <w:rPr>
          <w:rFonts w:ascii="Times New Roman" w:hAnsi="Times New Roman"/>
          <w:noProof/>
          <w:sz w:val="24"/>
        </w:rPr>
        <w:t>Гражданите изразяват силна подкрепа както за действията относно АМР, насочени към ЕС, така и за действията в световен мащаб, което е в съответствие с действията, представени в раздели 2 и 4 от настоящия доклад. Заинтересованите страни считат, че глобалните координирани действия са от решаващо значение и изразяват предпочитание към усилията на ЕС в европейския регион извън ЕС, последван от региона на Южна Азия и Северноафриканския регион. Тези предпочитания бяха отразени в новия план за действие „Едно здраве“, който се прилага за някои европейски държави извън ЕС и някои северноафрикански държави, като бяха предвидени дейности за изграждане на капацитет в държавите, обхванати от процеса на разширяване на ЕС, и в съседните на ЕС държави (включително онези, за които се прилага Европейската политика за съседство). Освен това дейности за региона на Южна Азия се предвиждат и в рамките на инициативата „По-добро обучение за по-безопасни храни“ (BTSF).</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По-силно присъствие на ЕС в световен мащаб</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изразиха ясна подкрепа за засилване на сътрудничеството с международни организации за нормативно регулиране (например СЗО, OIE, ФАО</w:t>
      </w:r>
      <w:r>
        <w:rPr>
          <w:rFonts w:ascii="Times New Roman" w:hAnsi="Times New Roman"/>
          <w:noProof/>
          <w:sz w:val="24"/>
          <w:vertAlign w:val="superscript"/>
        </w:rPr>
        <w:footnoteReference w:id="5"/>
      </w:r>
      <w:r>
        <w:rPr>
          <w:rFonts w:ascii="Times New Roman" w:hAnsi="Times New Roman"/>
          <w:noProof/>
          <w:sz w:val="24"/>
        </w:rPr>
        <w:t xml:space="preserve"> и Кодекс алиментариус) за справяне с АМР. Освен това заинтересованите страни посочиха международните действия, включително това, че вносът в ЕС (например на храни) следва да отговаря на стандартите на ЕС и че Комисията следва да подкрепи създаването на международни бази данни за мониторинга на употребата на антимикробни средства и появата на резистентност. Предложенията на заинтересованите страни, свързани със защитата на стандартите и мерките на ЕС относно АМР и засилването на техническото сътрудничество в областите, обхванати от Глобалния план за действие на СЗО относно АМР, бяха отразени в новия план за действие „Едно здраве“.</w:t>
      </w:r>
    </w:p>
    <w:p>
      <w:pPr>
        <w:spacing w:before="120" w:after="120"/>
        <w:rPr>
          <w:rFonts w:ascii="Times New Roman" w:hAnsi="Times New Roman"/>
          <w:noProof/>
          <w:sz w:val="24"/>
          <w:szCs w:val="24"/>
        </w:rPr>
      </w:pPr>
      <w:r>
        <w:rPr>
          <w:rFonts w:ascii="Times New Roman" w:hAnsi="Times New Roman"/>
          <w:noProof/>
          <w:sz w:val="24"/>
        </w:rPr>
        <w:t>Няколко заинтересовани страни също така призоваха за предприемане на действия за справяне с изхвърлянето в околната среда на отпадъци от фармацевтичната промишленост чрез прилагане на проверки на място и внасяне на изменения в правилата в съответствие с добрите производствени практики, за да бъдат включени екологичните критерии и критериите за управление на отпадъците. В съобщението си Комисията подчерта своята подкрепа за усилията за ефективно управление на отпадъчните води от производството на фармацевтични продукти. Правоприлагането за проверки на място по въпросите на околната среда в държави извън ЕС би било извън мандата на Комисията.</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По-силни двустранни партньорства за по-силно сътрудничество</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възприемат положително насърчаването на двустранни партньорства с ключовите търговски партньори на ЕС и основните регионални и глобални участници (например САЩ, Канада, Бразилия, Китай, Индия и Южна Африка). Комисията се ангажира да работи със стратегически партньори в новия план за действие „Едно здраве“. Споразуменията за изграждане на капацитет, търговия и партньорство, както и необвързващото сътрудничество, бяха подкрепени от заинтересованите страни. Няколко заинтересовани страни призоваха към по-решителни действия с държави, които изнасят големи обеми антимикробни средства в Европа, но предложенията, които нарушават националния суверенитет, не бяха взети под внимание.</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Сътрудничество с развиващите се държави</w:t>
      </w:r>
    </w:p>
    <w:p>
      <w:pPr>
        <w:spacing w:before="120" w:after="120"/>
        <w:rPr>
          <w:rFonts w:ascii="Times New Roman" w:hAnsi="Times New Roman"/>
          <w:noProof/>
          <w:sz w:val="24"/>
          <w:szCs w:val="24"/>
        </w:rPr>
      </w:pPr>
      <w:r>
        <w:rPr>
          <w:rFonts w:ascii="Times New Roman" w:hAnsi="Times New Roman"/>
          <w:noProof/>
          <w:sz w:val="24"/>
        </w:rPr>
        <w:t>В своите коментари заинтересованите страни поискаха международни действия, включително повишаване на осведомеността относно АМР в световен мащаб и подпомагане на държавите, които най-много се нуждаят от подкрепа, чрез изграждане на капацитет за надзор и управление на употребата. Докато ЕС може да повишава политическата осведоменост на международни форуми (например Организацията на обединените нации), то дейностите за повишаване на обществената осведоменост в трети държави са извън компетентността на Комисията, поради което всички предложения за дейности, свързани с пряко предприемане на кампании за повишаване на осведомеността от страна на Комисията, бяха отхвърлени.</w:t>
      </w:r>
    </w:p>
    <w:p>
      <w:pPr>
        <w:keepNext/>
        <w:keepLines/>
        <w:numPr>
          <w:ilvl w:val="1"/>
          <w:numId w:val="46"/>
        </w:numPr>
        <w:spacing w:before="120" w:after="120"/>
        <w:outlineLvl w:val="0"/>
        <w:rPr>
          <w:rFonts w:ascii="Times New Roman" w:eastAsiaTheme="majorEastAsia" w:hAnsi="Times New Roman"/>
          <w:b/>
          <w:noProof/>
          <w:sz w:val="24"/>
          <w:szCs w:val="24"/>
        </w:rPr>
      </w:pPr>
      <w:r>
        <w:rPr>
          <w:rFonts w:ascii="Times New Roman" w:eastAsiaTheme="majorEastAsia" w:hAnsi="Times New Roman"/>
          <w:b/>
          <w:noProof/>
          <w:sz w:val="24"/>
        </w:rPr>
        <w:t>Разработване на дневен ред за научни изследвания в световен мащаб</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изразиха положителни становища относно координацията на научните изследвания. По отношение на международните действия те настояват за подобряване на картографирането и координацията на глобалните усилия в областта на НИРД и глобалното подпомагане на усилията в областта на НИРД, по-специално по отношение на списъка на свързаните с НИРД приоритети на СЗО по отношение на АМР и справянето с мултирезистентната туберкулоза.</w:t>
      </w:r>
    </w:p>
    <w:p>
      <w:pPr>
        <w:keepNext/>
        <w:keepLines/>
        <w:numPr>
          <w:ilvl w:val="0"/>
          <w:numId w:val="46"/>
        </w:numPr>
        <w:spacing w:before="120" w:after="120"/>
        <w:outlineLvl w:val="0"/>
        <w:rPr>
          <w:rFonts w:ascii="Times New Roman" w:eastAsiaTheme="majorEastAsia" w:hAnsi="Times New Roman"/>
          <w:b/>
          <w:smallCaps/>
          <w:noProof/>
          <w:sz w:val="24"/>
          <w:szCs w:val="24"/>
        </w:rPr>
      </w:pPr>
      <w:r>
        <w:rPr>
          <w:rFonts w:ascii="Times New Roman" w:eastAsiaTheme="majorEastAsia" w:hAnsi="Times New Roman"/>
          <w:b/>
          <w:smallCaps/>
          <w:noProof/>
          <w:sz w:val="24"/>
        </w:rPr>
        <w:t>Заключение</w:t>
      </w:r>
    </w:p>
    <w:p>
      <w:pPr>
        <w:spacing w:before="120" w:after="120"/>
        <w:rPr>
          <w:rFonts w:ascii="Times New Roman" w:hAnsi="Times New Roman"/>
          <w:noProof/>
          <w:sz w:val="24"/>
          <w:szCs w:val="24"/>
        </w:rPr>
      </w:pPr>
      <w:r>
        <w:rPr>
          <w:rFonts w:ascii="Times New Roman" w:hAnsi="Times New Roman"/>
          <w:noProof/>
          <w:sz w:val="24"/>
        </w:rPr>
        <w:t>Като цяло гражданите и заинтересованите страни изразяват в своите отговори много силна подкрепа за новото съобщение на Комисията „План за действие „Едно здраве“ за подкрепа на държавите членки в борбата срещу антимикробната резистентност (АМР)“. Те вярват, че АМР е основен проблем за общественото здраве, по който ЕС може да донесе реална добавена стойност и да предложи конкретни мерки.</w:t>
      </w:r>
    </w:p>
    <w:p>
      <w:pPr>
        <w:spacing w:before="120" w:after="120"/>
        <w:rPr>
          <w:rFonts w:ascii="Times New Roman" w:hAnsi="Times New Roman"/>
          <w:noProof/>
          <w:sz w:val="24"/>
          <w:szCs w:val="24"/>
        </w:rPr>
      </w:pPr>
      <w:r>
        <w:rPr>
          <w:rFonts w:ascii="Times New Roman" w:hAnsi="Times New Roman"/>
          <w:noProof/>
          <w:sz w:val="24"/>
        </w:rPr>
        <w:t>Предоставената обратна информация по пътната карта на Комисията беше използвана за захранване с информация на разработването на политики в областта на АМР и за определяне на областите на действие в рамките на трите основни стълба на новия план за действие „Едно здраве“. Резултатите от откритата обществена консултация потвърдиха получената информация по пътната карта и предоставиха допълнителни идеи. Включените в настоящия доклад мнения до голяма степен са превърнати в конкретни действия в новия план за действие „Едно здраве“ или се анализират допълнително, за да бъдат включени в евентуални действия по време на етапа на прилагане.</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признаха значението на разработването на надеждни системи за мониторинг и надзор на равнище ЕС с цел да се осигури информация за политиките, за да се превърне ЕС в регион с най-добри практики. Въпреки че заинтересованите страни дадоха положителна оценка на събраната от настоящите системи за надзор на ЕС информация относно АМР и консумацията на антимикробни средства, те специално призовават за събиране на данни за консумацията на антимикробни средства по отделни животински видове в сектора на здравето на животните. За да се укрепи базата от данни, те призовават също така за генериране на данни чрез проучвания на икономиката на здравеопазването и проучвания за оценка, които показват стойността на политиките или интервенциите.</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също така активно изразиха позиция относно това доколко е приложимо забавянето на появата на АМР чрез разработването на мерки за профилактика и контрол на инфекциите, програми за управление на употребата на антимикробни средства и политики за разумна употреба. Заинтересованите страни в сектора на здравето на човека призоваха за приоритетни действия за профилактика на инфекциите и безопасност на пациентите в болниците. Те също така призоваха за насърчаване на ваксинирането, по-специално на равнище държави членки, като ефективна мярка за обществено здраве с цел профилактика на инфекциите и оттам намаляване на необходимостта от употреба на антимикробни средства. На свой ред заинтересованите страни в сектора на здравето на животните поискаха нови инициативи за профилактика на инфекциите, животновъдни практики и най-добри практики при режимите за хранене, и изразиха загрижеността си относно намалената наличност на съществуващи антимикробни средства и слабата наличност на ваксини на някои пазари.</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подкрепиха категорично инициативите, имащи за цел мониторинг на антимикробните средства и АМР в околната среда, при условие че те са подкрепени от солидна научнообоснована база от данни. Те енергично призоваха Комисията да приеме стратегически подход на ЕС към фармацевтичните продукти в околната среда.</w:t>
      </w:r>
    </w:p>
    <w:p>
      <w:pPr>
        <w:spacing w:before="120" w:after="120"/>
        <w:rPr>
          <w:rFonts w:ascii="Times New Roman" w:hAnsi="Times New Roman"/>
          <w:noProof/>
          <w:sz w:val="24"/>
          <w:szCs w:val="24"/>
        </w:rPr>
      </w:pPr>
      <w:r>
        <w:rPr>
          <w:rFonts w:ascii="Times New Roman" w:hAnsi="Times New Roman"/>
          <w:noProof/>
          <w:sz w:val="24"/>
        </w:rPr>
        <w:t>По отношение на научните изследвания, развойната дейност и иновациите в областта на АМР заинтересованите страни до голяма степен подкрепят разработването на списък с приоритетни патогени на равнище ЕС, за да се отдаде приоритет на инвестициите в НИРД и на преките инвестиции в НИРД в областта на фармацевтичната промишленост, свързани с най-големите заплахи. Заинтересованите страни от фармацевтичната промишленост енергично призовават за ранен и непрекъснат диалог с всички относими заинтересовани страни през целия цикъл на разработване на продуктите и за регулаторна рамка, която да отдава предимство на разработването на нови антимикробни средства, алтернативи, ваксини и диагностични тестове. Заинтересованите страни, участващи в НИРД, също така поискаха засилено споделяне на ресурсите и по-добро използване на съществуващите данни. По отношение на разработването на нова диагностика заинтересованите страни поискаха целево финансиране за иновативни, бързи технологии, но най-вече за действия за насърчаване на тяхното навлизане и за включването им в програми за управление на употребата на антимикробни средства.</w:t>
      </w:r>
    </w:p>
    <w:p>
      <w:pPr>
        <w:spacing w:before="120" w:after="120"/>
        <w:rPr>
          <w:rFonts w:ascii="Times New Roman" w:hAnsi="Times New Roman"/>
          <w:noProof/>
          <w:sz w:val="24"/>
          <w:szCs w:val="24"/>
        </w:rPr>
      </w:pPr>
      <w:r>
        <w:rPr>
          <w:rFonts w:ascii="Times New Roman" w:hAnsi="Times New Roman"/>
          <w:noProof/>
          <w:sz w:val="24"/>
        </w:rPr>
        <w:t>Заинтересованите страни изразиха подкрепа за разработването на нови модели за финансиране и бизнес модели за насърчаване на разработването на нови антимикробни средства, алтернативи, ваксини и бърза диагностика с цел профилактика и контрол на резистентни инфекции и по-специално на вътреболнични инфекции. Те отдават голямо значение на механизмите за придвижване („push“) като европейската рамкова програма „Хоризонт 2020“ и Инициативата за иновативни лекарства, но заинтересованите страни от фармацевтичната индустрия настояват също така за механизми за привличане („pull“), които да възнаграждават иновациите на по-ранен етап от жизнения цикъл на продукта.</w:t>
      </w:r>
    </w:p>
    <w:p>
      <w:pPr>
        <w:spacing w:before="120" w:after="120"/>
        <w:rPr>
          <w:rFonts w:ascii="Times New Roman" w:hAnsi="Times New Roman"/>
          <w:noProof/>
          <w:sz w:val="24"/>
          <w:szCs w:val="24"/>
        </w:rPr>
      </w:pPr>
      <w:r>
        <w:rPr>
          <w:rFonts w:ascii="Times New Roman" w:hAnsi="Times New Roman"/>
          <w:noProof/>
          <w:sz w:val="24"/>
        </w:rPr>
        <w:t>На международно равнище заинтересованите страни до голяма степен подкрепят засилването на сътрудничеството с международни организации за справяне с АМР и насърчаването на двустранните партньорства с ключовите търговски партньори на ЕС и основните регионални и глобални участници. Заинтересованите страни изразяват предпочитание към изграждането на капацитет и сътрудничеството в европейския регион извън ЕС, но също така призовават за засилване на партньорствата с Китай и Индия, предвид ролята им в производството на антимикробни средства и като основни износители на хранителни продукти за ЕС. И накрая, заинтересованите страни призовават за повече дейности за изграждане на капацитет и сътрудничество в държавите с ниски и средни доходи.</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9018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pPr>
      <w:r>
        <w:rPr>
          <w:rStyle w:val="FootnoteReference"/>
        </w:rPr>
        <w:footnoteRef/>
      </w:r>
      <w:r>
        <w:tab/>
      </w:r>
      <w:r>
        <w:rPr>
          <w:rFonts w:ascii="Times New Roman" w:hAnsi="Times New Roman"/>
        </w:rPr>
        <w:t>http://ec.europa.eu/dgs/health_food-safety/amr/docs/communication_amr_2011_748_en.pdf</w:t>
      </w:r>
    </w:p>
  </w:footnote>
  <w:footnote w:id="3">
    <w:p>
      <w:pPr>
        <w:pStyle w:val="FootnoteText"/>
        <w:spacing w:after="0" w:line="240" w:lineRule="auto"/>
        <w:jc w:val="left"/>
      </w:pPr>
      <w:r>
        <w:rPr>
          <w:rStyle w:val="FootnoteReference"/>
        </w:rPr>
        <w:footnoteRef/>
      </w:r>
      <w:r>
        <w:tab/>
      </w:r>
      <w:r>
        <w:rPr>
          <w:rFonts w:ascii="Times New Roman" w:hAnsi="Times New Roman"/>
        </w:rPr>
        <w:t>http://ec.europa.eu/dgs/health_food-safety/amr/consultations/consultation_20170123_amr-new-action-</w:t>
      </w:r>
      <w:r>
        <w:tab/>
      </w:r>
      <w:r>
        <w:rPr>
          <w:rFonts w:ascii="Times New Roman" w:hAnsi="Times New Roman"/>
        </w:rPr>
        <w:t>plan_en.htm</w:t>
      </w:r>
    </w:p>
  </w:footnote>
  <w:footnote w:id="4">
    <w:p>
      <w:pPr>
        <w:pStyle w:val="FootnoteText"/>
        <w:spacing w:after="0" w:line="240" w:lineRule="auto"/>
      </w:pPr>
      <w:r>
        <w:rPr>
          <w:rStyle w:val="FootnoteReference"/>
        </w:rPr>
        <w:footnoteRef/>
      </w:r>
      <w:r>
        <w:tab/>
      </w:r>
      <w:r>
        <w:rPr>
          <w:rFonts w:ascii="Times New Roman" w:hAnsi="Times New Roman"/>
        </w:rPr>
        <w:t xml:space="preserve">Последното актуализиране е на 28 април 2017 г. Мненията, получени от Европейската комисия след тази дата, </w:t>
      </w:r>
      <w:r>
        <w:tab/>
      </w:r>
      <w:r>
        <w:rPr>
          <w:rFonts w:ascii="Times New Roman" w:hAnsi="Times New Roman"/>
        </w:rPr>
        <w:t>не бяха взети предвид при изготвянето на настоящия доклад.</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tab/>
      </w:r>
      <w:r>
        <w:rPr>
          <w:rFonts w:ascii="Times New Roman" w:hAnsi="Times New Roman"/>
        </w:rPr>
        <w:t xml:space="preserve">СЗО: Световна здравна организация, OIE: Световна организация за здравеопазване на животните, ФАО: Организация на </w:t>
      </w:r>
      <w:r>
        <w:tab/>
      </w:r>
      <w:r>
        <w:rPr>
          <w:rFonts w:ascii="Times New Roman" w:hAnsi="Times New Roman"/>
        </w:rPr>
        <w:t>ООН за прехрана и земеделие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EC"/>
    <w:multiLevelType w:val="hybridMultilevel"/>
    <w:tmpl w:val="7566389C"/>
    <w:lvl w:ilvl="0" w:tplc="08090001">
      <w:start w:val="1"/>
      <w:numFmt w:val="bullet"/>
      <w:lvlText w:val=""/>
      <w:lvlJc w:val="left"/>
      <w:pPr>
        <w:ind w:left="720" w:hanging="360"/>
      </w:pPr>
      <w:rPr>
        <w:rFonts w:ascii="Symbol" w:hAnsi="Symbol" w:hint="default"/>
      </w:rPr>
    </w:lvl>
    <w:lvl w:ilvl="1" w:tplc="440C054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9349D"/>
    <w:multiLevelType w:val="hybridMultilevel"/>
    <w:tmpl w:val="58D07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76811"/>
    <w:multiLevelType w:val="hybridMultilevel"/>
    <w:tmpl w:val="3C1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F4E95"/>
    <w:multiLevelType w:val="hybridMultilevel"/>
    <w:tmpl w:val="0054EB9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1A4D97"/>
    <w:multiLevelType w:val="hybridMultilevel"/>
    <w:tmpl w:val="AB8ED5F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750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CB6656E"/>
    <w:multiLevelType w:val="hybridMultilevel"/>
    <w:tmpl w:val="C74892E2"/>
    <w:lvl w:ilvl="0" w:tplc="EFE24CC0">
      <w:start w:val="1"/>
      <w:numFmt w:val="decimal"/>
      <w:lvlText w:val="%1."/>
      <w:lvlJc w:val="left"/>
      <w:pPr>
        <w:ind w:left="720" w:hanging="360"/>
      </w:pPr>
      <w:rPr>
        <w:rFonts w:eastAsiaTheme="majorEastAsia"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C93A45"/>
    <w:multiLevelType w:val="hybridMultilevel"/>
    <w:tmpl w:val="57827E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2602B8"/>
    <w:multiLevelType w:val="hybridMultilevel"/>
    <w:tmpl w:val="85F6C004"/>
    <w:lvl w:ilvl="0" w:tplc="440C0548">
      <w:numFmt w:val="bullet"/>
      <w:lvlText w:val="-"/>
      <w:lvlJc w:val="left"/>
      <w:pPr>
        <w:ind w:left="780" w:hanging="360"/>
      </w:pPr>
      <w:rPr>
        <w:rFonts w:ascii="Times New Roman" w:eastAsiaTheme="minorHAns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6B00C70"/>
    <w:multiLevelType w:val="hybridMultilevel"/>
    <w:tmpl w:val="8F6C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4A34A0"/>
    <w:multiLevelType w:val="hybridMultilevel"/>
    <w:tmpl w:val="56A0C5F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8D3986"/>
    <w:multiLevelType w:val="hybridMultilevel"/>
    <w:tmpl w:val="F600E060"/>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C077148"/>
    <w:multiLevelType w:val="hybridMultilevel"/>
    <w:tmpl w:val="9B1AD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87202"/>
    <w:multiLevelType w:val="hybridMultilevel"/>
    <w:tmpl w:val="0CBE235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5F025B6"/>
    <w:multiLevelType w:val="hybridMultilevel"/>
    <w:tmpl w:val="F334DC0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C02FF5"/>
    <w:multiLevelType w:val="hybridMultilevel"/>
    <w:tmpl w:val="2CEA5C3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327E3B2B"/>
    <w:multiLevelType w:val="hybridMultilevel"/>
    <w:tmpl w:val="0470A862"/>
    <w:lvl w:ilvl="0" w:tplc="3154E738">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3B7B0ED7"/>
    <w:multiLevelType w:val="hybridMultilevel"/>
    <w:tmpl w:val="E28C9E9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B4C0D"/>
    <w:multiLevelType w:val="hybridMultilevel"/>
    <w:tmpl w:val="84F2A0EE"/>
    <w:lvl w:ilvl="0" w:tplc="440C0548">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1692AC0"/>
    <w:multiLevelType w:val="hybridMultilevel"/>
    <w:tmpl w:val="6F9896B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723C5E"/>
    <w:multiLevelType w:val="hybridMultilevel"/>
    <w:tmpl w:val="204EB4E2"/>
    <w:lvl w:ilvl="0" w:tplc="440C0548">
      <w:numFmt w:val="bullet"/>
      <w:lvlText w:val="-"/>
      <w:lvlJc w:val="left"/>
      <w:pPr>
        <w:ind w:left="-60" w:hanging="360"/>
      </w:pPr>
      <w:rPr>
        <w:rFonts w:ascii="Times New Roman" w:eastAsiaTheme="minorHAnsi" w:hAnsi="Times New Roman" w:cs="Times New Roman" w:hint="default"/>
      </w:rPr>
    </w:lvl>
    <w:lvl w:ilvl="1" w:tplc="08090003">
      <w:start w:val="1"/>
      <w:numFmt w:val="bullet"/>
      <w:lvlText w:val="o"/>
      <w:lvlJc w:val="left"/>
      <w:pPr>
        <w:ind w:left="660" w:hanging="360"/>
      </w:pPr>
      <w:rPr>
        <w:rFonts w:ascii="Courier New" w:hAnsi="Courier New" w:cs="Courier New" w:hint="default"/>
      </w:rPr>
    </w:lvl>
    <w:lvl w:ilvl="2" w:tplc="08090005">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5">
    <w:nsid w:val="453C5E4C"/>
    <w:multiLevelType w:val="hybridMultilevel"/>
    <w:tmpl w:val="B0D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A51C67"/>
    <w:multiLevelType w:val="hybridMultilevel"/>
    <w:tmpl w:val="A81CE4B8"/>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17756F"/>
    <w:multiLevelType w:val="hybridMultilevel"/>
    <w:tmpl w:val="5822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46DD8"/>
    <w:multiLevelType w:val="hybridMultilevel"/>
    <w:tmpl w:val="A6E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436D15"/>
    <w:multiLevelType w:val="hybridMultilevel"/>
    <w:tmpl w:val="5C187480"/>
    <w:lvl w:ilvl="0" w:tplc="082CCF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6C2527"/>
    <w:multiLevelType w:val="hybridMultilevel"/>
    <w:tmpl w:val="1264DDA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6553CBB"/>
    <w:multiLevelType w:val="hybridMultilevel"/>
    <w:tmpl w:val="117E6048"/>
    <w:lvl w:ilvl="0" w:tplc="DE4CC03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7D4723"/>
    <w:multiLevelType w:val="hybridMultilevel"/>
    <w:tmpl w:val="8C8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D01256"/>
    <w:multiLevelType w:val="hybridMultilevel"/>
    <w:tmpl w:val="39FA8A0E"/>
    <w:lvl w:ilvl="0" w:tplc="440C0548">
      <w:numFmt w:val="bullet"/>
      <w:lvlText w:val="-"/>
      <w:lvlJc w:val="left"/>
      <w:pPr>
        <w:ind w:left="607" w:hanging="360"/>
      </w:pPr>
      <w:rPr>
        <w:rFonts w:ascii="Times New Roman" w:eastAsiaTheme="minorHAnsi"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5">
    <w:nsid w:val="5C1D07E8"/>
    <w:multiLevelType w:val="hybridMultilevel"/>
    <w:tmpl w:val="C7EE6A62"/>
    <w:lvl w:ilvl="0" w:tplc="440C054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5A7B50"/>
    <w:multiLevelType w:val="hybridMultilevel"/>
    <w:tmpl w:val="18D27A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3D3EDA"/>
    <w:multiLevelType w:val="hybridMultilevel"/>
    <w:tmpl w:val="E9B44F2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7F2DCD"/>
    <w:multiLevelType w:val="hybridMultilevel"/>
    <w:tmpl w:val="8C6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B25D3C"/>
    <w:multiLevelType w:val="hybridMultilevel"/>
    <w:tmpl w:val="FC8E5DD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0E21136"/>
    <w:multiLevelType w:val="multilevel"/>
    <w:tmpl w:val="0FFC8E26"/>
    <w:lvl w:ilvl="0">
      <w:start w:val="1"/>
      <w:numFmt w:val="decimal"/>
      <w:lvlText w:val="%1."/>
      <w:lvlJc w:val="left"/>
      <w:pPr>
        <w:ind w:left="432" w:hanging="432"/>
      </w:p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67E043CA"/>
    <w:multiLevelType w:val="hybridMultilevel"/>
    <w:tmpl w:val="C42ED072"/>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CA79EA"/>
    <w:multiLevelType w:val="hybridMultilevel"/>
    <w:tmpl w:val="D5141A0A"/>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F24DC4"/>
    <w:multiLevelType w:val="multilevel"/>
    <w:tmpl w:val="9418E486"/>
    <w:lvl w:ilvl="0">
      <w:start w:val="1"/>
      <w:numFmt w:val="decimal"/>
      <w:lvlText w:val="1.%1"/>
      <w:lvlJc w:val="left"/>
      <w:pPr>
        <w:ind w:left="432" w:hanging="432"/>
      </w:pPr>
      <w:rPr>
        <w:rFonts w:hint="default"/>
      </w:r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59E0CA5"/>
    <w:multiLevelType w:val="hybridMultilevel"/>
    <w:tmpl w:val="6E7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EC4DD9"/>
    <w:multiLevelType w:val="hybridMultilevel"/>
    <w:tmpl w:val="A61E772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0"/>
  </w:num>
  <w:num w:numId="4">
    <w:abstractNumId w:val="31"/>
  </w:num>
  <w:num w:numId="5">
    <w:abstractNumId w:val="20"/>
  </w:num>
  <w:num w:numId="6">
    <w:abstractNumId w:val="43"/>
  </w:num>
  <w:num w:numId="7">
    <w:abstractNumId w:val="33"/>
  </w:num>
  <w:num w:numId="8">
    <w:abstractNumId w:val="28"/>
  </w:num>
  <w:num w:numId="9">
    <w:abstractNumId w:val="0"/>
  </w:num>
  <w:num w:numId="10">
    <w:abstractNumId w:val="29"/>
  </w:num>
  <w:num w:numId="11">
    <w:abstractNumId w:val="2"/>
  </w:num>
  <w:num w:numId="12">
    <w:abstractNumId w:val="38"/>
  </w:num>
  <w:num w:numId="13">
    <w:abstractNumId w:val="32"/>
  </w:num>
  <w:num w:numId="14">
    <w:abstractNumId w:val="4"/>
  </w:num>
  <w:num w:numId="15">
    <w:abstractNumId w:val="44"/>
  </w:num>
  <w:num w:numId="16">
    <w:abstractNumId w:val="9"/>
  </w:num>
  <w:num w:numId="17">
    <w:abstractNumId w:val="8"/>
  </w:num>
  <w:num w:numId="18">
    <w:abstractNumId w:val="11"/>
  </w:num>
  <w:num w:numId="19">
    <w:abstractNumId w:val="22"/>
  </w:num>
  <w:num w:numId="20">
    <w:abstractNumId w:val="24"/>
  </w:num>
  <w:num w:numId="21">
    <w:abstractNumId w:val="34"/>
  </w:num>
  <w:num w:numId="22">
    <w:abstractNumId w:val="16"/>
  </w:num>
  <w:num w:numId="23">
    <w:abstractNumId w:val="35"/>
  </w:num>
  <w:num w:numId="24">
    <w:abstractNumId w:val="3"/>
  </w:num>
  <w:num w:numId="25">
    <w:abstractNumId w:val="26"/>
  </w:num>
  <w:num w:numId="26">
    <w:abstractNumId w:val="30"/>
  </w:num>
  <w:num w:numId="27">
    <w:abstractNumId w:val="12"/>
  </w:num>
  <w:num w:numId="28">
    <w:abstractNumId w:val="25"/>
  </w:num>
  <w:num w:numId="29">
    <w:abstractNumId w:val="27"/>
  </w:num>
  <w:num w:numId="30">
    <w:abstractNumId w:val="9"/>
  </w:num>
  <w:num w:numId="31">
    <w:abstractNumId w:val="41"/>
  </w:num>
  <w:num w:numId="32">
    <w:abstractNumId w:val="37"/>
  </w:num>
  <w:num w:numId="33">
    <w:abstractNumId w:val="21"/>
  </w:num>
  <w:num w:numId="34">
    <w:abstractNumId w:val="42"/>
  </w:num>
  <w:num w:numId="35">
    <w:abstractNumId w:val="45"/>
  </w:num>
  <w:num w:numId="36">
    <w:abstractNumId w:val="39"/>
  </w:num>
  <w:num w:numId="37">
    <w:abstractNumId w:val="23"/>
  </w:num>
  <w:num w:numId="38">
    <w:abstractNumId w:val="13"/>
  </w:num>
  <w:num w:numId="39">
    <w:abstractNumId w:val="17"/>
  </w:num>
  <w:num w:numId="40">
    <w:abstractNumId w:val="36"/>
  </w:num>
  <w:num w:numId="41">
    <w:abstractNumId w:val="15"/>
  </w:num>
  <w:num w:numId="42">
    <w:abstractNumId w:val="19"/>
  </w:num>
  <w:num w:numId="43">
    <w:abstractNumId w:val="7"/>
  </w:num>
  <w:num w:numId="44">
    <w:abstractNumId w:val="6"/>
  </w:num>
  <w:num w:numId="45">
    <w:abstractNumId w:val="35"/>
  </w:num>
  <w:num w:numId="46">
    <w:abstractNumId w:val="5"/>
  </w:num>
  <w:num w:numId="47">
    <w:abstractNumId w:val="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52AF665A35204092A840DF74FFF3CF6C"/>
    <w:docVar w:name="LW_CROSSREFERENCE" w:val="{COM(2017) 339 final}"/>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45?\u1074?\u1088?\u1086?\u1087?\u1077?\u1081?\u1089?\u1082?\u1080? \u1087?\u1083?\u1072?\u1085? \u1079?\u1072? \u1076?\u1077?\u1081?\u1089?\u1090?\u1074?\u1080?\u1077? \u8222?\u1045?\u1076?\u1085?\u1086? \u1079?\u1076?\u1088?\u1072?\u1074?\u1077?\u8220? \u1089?\u1088?\u1077?\u1097?\u1091? \u1072?\u1085?\u1090?\u1080?\u1084?\u1080?\u1082?\u1088?\u1086?\u1073?\u1085?\u1072?\u1090?\u1072? \u1088?\u1077?\u1079?\u1080?\u1089?\u1090?\u1077?\u1085?\u1090?\u1085?\u1086?\u1089?\u1090? (\u1040?\u1052?\u1056?)"/>
    <w:docVar w:name="LW_PART_NBR" w:val="1"/>
    <w:docVar w:name="LW_PART_NBR_TOTAL" w:val="1"/>
    <w:docVar w:name="LW_REF.INST.NEW" w:val="SWD"/>
    <w:docVar w:name="LW_REF.INST.NEW_ADOPTED" w:val="final"/>
    <w:docVar w:name="LW_REF.INST.NEW_TEXT" w:val="(2017) 240"/>
    <w:docVar w:name="LW_REF.INTERNE" w:val="&lt;UNUSED&gt;"/>
    <w:docVar w:name="LW_SUPERTITRE" w:val="&lt;UNUSED&gt;"/>
    <w:docVar w:name="LW_TITRE.OBJ.CP" w:val="\u1056?\u1077?\u1079?\u1102?\u1084?\u1077? \u1085?\u1072? \u1076?\u1086?\u1082?\u1083?\u1072?\u1076?"/>
    <w:docVar w:name="LW_TYPE.DOC.CP" w:val="\u1056?\u1040?\u1041?\u1054?\u1058?\u1045?\u1053? \u1044?\u1054?\u1050?\u1059?\u1052?\u1045?\u1053?\u1058? \u1053?\u1040? \u1057?\u1051?\u1059?\u1046?\u1041?\u1048?\u1058?\u1045? \u1053?\u1040? \u1050?\u1054?\u1052?\u1048?\u1057?\u1048?\u1071?\u1058?\u1040?"/>
    <w:docVar w:name="LW_TYPEACTEPRINCIPAL.CP" w:val="\u1057?\u1098?\u1086?\u1073?\u1097?\u1077?\u1085?\u1080?\u1077? \u1085?\u1072? \u1050?\u1086?\u1084?\u1080?\u1089?\u1080?\u1103?\u1090?\u1072? \u1076?\u1086? \u1057?\u1098?\u1074?\u1077?\u1090?\u1072? \u1080? \u1076?\u1086? \u1045?\u1074?\u1088?\u1086?\u1087?\u1077?\u1081?\u1089?\u1082?\u1080?\u1103? \u1087?\u1072?\u1088?\u1083?\u1072?\u1084?\u1077?\u1085?\u109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261">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1183785663">
      <w:bodyDiv w:val="1"/>
      <w:marLeft w:val="0"/>
      <w:marRight w:val="0"/>
      <w:marTop w:val="0"/>
      <w:marBottom w:val="0"/>
      <w:divBdr>
        <w:top w:val="none" w:sz="0" w:space="0" w:color="auto"/>
        <w:left w:val="none" w:sz="0" w:space="0" w:color="auto"/>
        <w:bottom w:val="none" w:sz="0" w:space="0" w:color="auto"/>
        <w:right w:val="none" w:sz="0" w:space="0" w:color="auto"/>
      </w:divBdr>
    </w:div>
    <w:div w:id="1258756071">
      <w:bodyDiv w:val="1"/>
      <w:marLeft w:val="0"/>
      <w:marRight w:val="0"/>
      <w:marTop w:val="0"/>
      <w:marBottom w:val="0"/>
      <w:divBdr>
        <w:top w:val="none" w:sz="0" w:space="0" w:color="auto"/>
        <w:left w:val="none" w:sz="0" w:space="0" w:color="auto"/>
        <w:bottom w:val="none" w:sz="0" w:space="0" w:color="auto"/>
        <w:right w:val="none" w:sz="0" w:space="0" w:color="auto"/>
      </w:divBdr>
    </w:div>
    <w:div w:id="1485778139">
      <w:bodyDiv w:val="1"/>
      <w:marLeft w:val="0"/>
      <w:marRight w:val="0"/>
      <w:marTop w:val="0"/>
      <w:marBottom w:val="0"/>
      <w:divBdr>
        <w:top w:val="none" w:sz="0" w:space="0" w:color="auto"/>
        <w:left w:val="none" w:sz="0" w:space="0" w:color="auto"/>
        <w:bottom w:val="none" w:sz="0" w:space="0" w:color="auto"/>
        <w:right w:val="none" w:sz="0" w:space="0" w:color="auto"/>
      </w:divBdr>
    </w:div>
    <w:div w:id="1750080816">
      <w:bodyDiv w:val="1"/>
      <w:marLeft w:val="0"/>
      <w:marRight w:val="0"/>
      <w:marTop w:val="0"/>
      <w:marBottom w:val="0"/>
      <w:divBdr>
        <w:top w:val="none" w:sz="0" w:space="0" w:color="auto"/>
        <w:left w:val="none" w:sz="0" w:space="0" w:color="auto"/>
        <w:bottom w:val="none" w:sz="0" w:space="0" w:color="auto"/>
        <w:right w:val="none" w:sz="0" w:space="0" w:color="auto"/>
      </w:divBdr>
    </w:div>
    <w:div w:id="19103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7412-0D7F-49E4-BDA6-A9B27CA9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4252</Words>
  <Characters>25944</Characters>
  <Application>Microsoft Office Word</Application>
  <DocSecurity>0</DocSecurity>
  <Lines>439</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SANTE/7060/2017-EN</vt:lpstr>
      <vt:lpstr>SANTE/7060/2017-EN  Rev. 1 CIS</vt:lpstr>
    </vt:vector>
  </TitlesOfParts>
  <Manager/>
  <Company/>
  <LinksUpToDate>false</LinksUpToDate>
  <CharactersWithSpaces>30094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SANTE/7060/2017-EN</dc:title>
  <dc:subject>Commission Staff Working Document</dc:subject>
  <dc:creator/>
  <cp:keywords>7060</cp:keywords>
  <dc:description>Outlook 6.6.2017</dc:description>
  <cp:lastModifiedBy>DIGIT/A3</cp:lastModifiedBy>
  <cp:revision>17</cp:revision>
  <cp:lastPrinted>2017-06-01T16:36:00Z</cp:lastPrinted>
  <dcterms:created xsi:type="dcterms:W3CDTF">2017-06-06T09:35:00Z</dcterms:created>
  <dcterms:modified xsi:type="dcterms:W3CDTF">2017-06-28T05:52:00Z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