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150AA19C406464EA7FAD1BEB1DBBD17" style="width:450pt;height:45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I: Преглед на проявите, за които бяха отпуснати средства през 2016 г.</w:t>
      </w:r>
    </w:p>
    <w:tbl>
      <w:tblPr>
        <w:tblpPr w:leftFromText="180" w:rightFromText="180" w:vertAnchor="page" w:horzAnchor="margin" w:tblpY="223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1701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Организатор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Проява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Място и дата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noProof/>
                <w:spacing w:val="-4"/>
              </w:rPr>
              <w:t>Финансово участие на Комисията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pacing w:val="-4"/>
              </w:rPr>
              <w:t>(общ размер на отпуснатите средства в евро)</w:t>
            </w:r>
          </w:p>
        </w:tc>
      </w:tr>
      <w:tr>
        <w:trPr>
          <w:trHeight w:val="629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Семинари</w:t>
            </w:r>
          </w:p>
        </w:tc>
      </w:tr>
      <w:tr>
        <w:trPr>
          <w:trHeight w:val="7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Общностна стратегия за защита на еврото в региона на Средиземноморието 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Тирана (Албания)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 — 7 октомври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85 276,65</w:t>
            </w:r>
          </w:p>
        </w:tc>
      </w:tr>
      <w:tr>
        <w:trPr>
          <w:trHeight w:val="782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повишаване на осведомеността относно законодателството на ЕС, засилване на сътрудничеството относно защитата на еврото във финансовия сектор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Curso de Formación sobre Falsificación de Moneda para Expertos de Paises Iberoamericanos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Буенос Айрес (Аржентина)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29 ноември — 2 декември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194 336,13</w:t>
            </w:r>
          </w:p>
        </w:tc>
      </w:tr>
      <w:tr>
        <w:trPr>
          <w:trHeight w:val="949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 април 1929 г.),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България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Българска народна банка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Задълбочаване на познанията на турските органи от националните центрове за анализи (НЦА) и сред националните компетентни органи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гр. София, България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15 — 17 март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6 288,30</w:t>
            </w:r>
          </w:p>
        </w:tc>
      </w:tr>
      <w:tr>
        <w:trPr>
          <w:trHeight w:val="506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686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Нова заплаха за фалшифицирането на еврото — Deep Web (дълбоката мрежа) и криптовалутите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Рим, 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</w:pPr>
            <w:r>
              <w:rPr>
                <w:rFonts w:ascii="Times New Roman" w:hAnsi="Times New Roman"/>
                <w:b/>
                <w:noProof/>
                <w:spacing w:val="-2"/>
              </w:rPr>
              <w:t>4 — 5 април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69 908,67</w:t>
            </w:r>
          </w:p>
        </w:tc>
      </w:tr>
      <w:tr>
        <w:trPr>
          <w:trHeight w:val="686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686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Семинар относно установяване на истинността на евромонетите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Брюксел, Белгия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</w:rPr>
            </w:pPr>
            <w:r>
              <w:rPr>
                <w:rFonts w:ascii="Times New Roman" w:hAnsi="Times New Roman"/>
                <w:b/>
                <w:noProof/>
                <w:spacing w:val="-2"/>
              </w:rPr>
              <w:t>16 — 18 май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130 000,00</w:t>
            </w:r>
          </w:p>
        </w:tc>
      </w:tr>
      <w:tr>
        <w:trPr>
          <w:trHeight w:val="464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повишаване на ефективността при установяване на истинността на евромонетите и класифициране на фалшифицирани евромонети.</w:t>
            </w:r>
          </w:p>
        </w:tc>
      </w:tr>
      <w:tr>
        <w:trPr>
          <w:trHeight w:val="62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Технически обучения:</w:t>
            </w:r>
          </w:p>
        </w:tc>
      </w:tr>
      <w:tr>
        <w:trPr>
          <w:trHeight w:val="7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ГД </w:t>
            </w:r>
            <w:r>
              <w:rPr>
                <w:rFonts w:ascii="Times New Roman" w:hAnsi="Times New Roman"/>
                <w:b/>
                <w:noProof/>
              </w:rPr>
              <w:lastRenderedPageBreak/>
              <w:t>„Икономически и финансови въпроси“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Семинар/помощ за държавите членки: Изоставане при класифицирането на евромонетите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Мадрид, 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 — 8 юли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13 181,85</w:t>
            </w:r>
          </w:p>
        </w:tc>
      </w:tr>
      <w:tr>
        <w:trPr>
          <w:trHeight w:val="70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lastRenderedPageBreak/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662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Практическо обучение за потребители на LICO 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Айндховен, Нидерландия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27 — 30 март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90 000,00</w:t>
            </w:r>
          </w:p>
        </w:tc>
      </w:tr>
      <w:tr>
        <w:trPr>
          <w:trHeight w:val="662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повишаване на ефективността при установяване на истинността на евромонетите и класифициране на фалшифицирани евромонети.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Тактическо техническо обучение: Защита на еврото срещу фалшифициране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Лима, Перу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 — 9 ноември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141 255,18</w:t>
            </w:r>
          </w:p>
        </w:tc>
      </w:tr>
      <w:tr>
        <w:trPr>
          <w:trHeight w:val="477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626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Обмен на служители</w:t>
            </w: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Централната банка на Испания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Дейност по обучение/Обмен на персонал: Познания за класифицирането на фалшифицирани банкноти и монети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Мадрид, 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 септември — 8 октомври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15 665,00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укрепване на сътрудничеството и обмен на ноу-хау относно класифицирането на фалшифицирани евромонети и банкноти.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Испания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между Аржентина, Колумбия, Чили, Перу, Еквадор и Испания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Буенос Айрес, Богота, Сантяго, Лима, Кито,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Брюксел, Мадрид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 януари — 31 юли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103 747,72</w:t>
            </w:r>
          </w:p>
        </w:tc>
      </w:tr>
      <w:tr>
        <w:trPr>
          <w:trHeight w:val="522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Обмен на служители между Италия, Босна и Херцеговина, Китай, , Кипър, Ирландия, Черна гора, Испания , 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Рим, Фабриано, Сараево,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Пекин, Никозия, Дъблин и Подгорица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 март — 30 ноември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38 770,00</w:t>
            </w:r>
          </w:p>
        </w:tc>
      </w:tr>
      <w:tr>
        <w:trPr>
          <w:trHeight w:val="484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Проучвания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Наноструктурирани фотохромни полимери за нови защитни характеристики на евромонетите — Фаза 2 на проучването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Париж, Франция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Септември 2016 г. — октомври 2017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127 673,00</w:t>
            </w:r>
          </w:p>
        </w:tc>
      </w:tr>
      <w:tr>
        <w:trPr>
          <w:trHeight w:val="396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засилване на защитните характеристики на бъдещите евромонети</w:t>
            </w:r>
          </w:p>
        </w:tc>
      </w:tr>
      <w:tr>
        <w:trPr>
          <w:trHeight w:val="596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Закупуване на оборудване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Закупуване на оборудване, което да се използва от специализирани органи за борба срещу фалшифицирането за защита на еврото срещу фалшифициране, и обучение на полицията на Черна гора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Подгорица, Черна гора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 — 23 март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13 251,37</w:t>
            </w:r>
          </w:p>
        </w:tc>
      </w:tr>
      <w:tr>
        <w:trPr>
          <w:trHeight w:val="567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19222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Несъкратените имена на организаторите може да бъдат намерени в списъка на компетентните национални органи, посочени в член 2, буква б) от Регламент (ЕО) № 1338/2001 на Съвета, ОВ C 264, 12.8.2015 г., стр. 2—29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150AA19C406464EA7FAD1BEB1DBBD17"/>
    <w:docVar w:name="LW_CROSSREFERENCE" w:val="&lt;UNUSED&gt;"/>
    <w:docVar w:name="LW_DocType" w:val="NORMAL"/>
    <w:docVar w:name="LW_EMISSION" w:val="29.6.2017"/>
    <w:docVar w:name="LW_EMISSION_ISODATE" w:val="2017-06-2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88?\u1077?\u1079?\u1091?\u1083?\u1090?\u1072?\u1090?\u1080?\u1090?\u1077? \u1087?\u1088?\u1077?\u1079? 2016 \u1075?. \u1085?\u1072? \u1087?\u1088?\u1086?\u1075?\u1088?\u1072?\u1084?\u1072?\u1090?\u1072? \u8222?\u1055?\u1077?\u1088?\u1080?\u1082?\u1098?\u1083? 2020\u8220? \u1079?\u1072? \u1079?\u1072?\u1097?\u1080?\u1090?\u1072? \u1085?\u1072? \u1077?\u1074?\u1088?\u1086?\u1090?\u1086? \u1089?\u1088?\u1077?\u1097?\u1091? \u1092?\u1072?\u1083?\u1096?\u1080?\u1092?\u1080?\u1094?\u1080?\u1088?\u1072?\u1085?\u107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345"/>
    <w:docVar w:name="LW_REF.INTERNE" w:val="&lt;UNUSED&gt;"/>
    <w:docVar w:name="LW_SUPERTITRE" w:val="&lt;UNUSED&gt;"/>
    <w:docVar w:name="LW_TITRE.OBJ.CP" w:val="\u1055?\u1088?\u1077?\u1075?\u1083?\u1077?\u1076? \u1085?\u1072? \u1087?\u1088?\u1086?\u1103?\u1074?\u1080?\u1090?\u1077?, \u1079?\u1072? \u1082?\u1086?\u1080?\u1090?\u1086? \u1073?\u1103?\u1093?\u1072? \u1086?\u1090?\u1087?\u1091?\u1089?\u1085?\u1072?\u1090?\u1080? \u1089?\u1088?\u1077?\u1076?\u1089?\u1090?\u1074?\u1072? \u1087?\u1088?\u1077?\u1079? 2016 \u1075?.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5150-202B-4DDE-8721-F0FA6967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604</Words>
  <Characters>3594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12</cp:revision>
  <cp:lastPrinted>2017-03-24T12:47:00Z</cp:lastPrinted>
  <dcterms:created xsi:type="dcterms:W3CDTF">2017-05-22T12:38:00Z</dcterms:created>
  <dcterms:modified xsi:type="dcterms:W3CDTF">2017-06-23T06:51:00Z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