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6D26B5B4C5240DD8FCCF6E029DC164E" style="width:450.75pt;height:470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Приложениe II: Прояви по линия на „Перикъл 2020“, за които са поети задължения по предходни бюджети, но които са осъществени през 2016 г.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4076"/>
        <w:gridCol w:w="35"/>
        <w:gridCol w:w="2091"/>
        <w:gridCol w:w="35"/>
        <w:gridCol w:w="1701"/>
      </w:tblGrid>
      <w:tr>
        <w:trPr>
          <w:trHeight w:val="1325"/>
        </w:trPr>
        <w:tc>
          <w:tcPr>
            <w:tcW w:w="1844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Проява</w:t>
            </w:r>
          </w:p>
        </w:tc>
        <w:tc>
          <w:tcPr>
            <w:tcW w:w="2126" w:type="dxa"/>
            <w:gridSpan w:val="2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noProof/>
                <w:spacing w:val="-4"/>
              </w:rPr>
              <w:t>(общ размер на отпуснатите средства в евро)</w:t>
            </w:r>
          </w:p>
        </w:tc>
      </w:tr>
      <w:tr>
        <w:trPr>
          <w:trHeight w:val="50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Семинари</w:t>
            </w:r>
          </w:p>
        </w:tc>
      </w:tr>
      <w:tr>
        <w:trPr>
          <w:trHeight w:val="997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DCPJ-OCRFM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Семинар: „Coopération en matière de lutte contre la contrefaçon de l'euro avec la République Populaire de Chine“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Париж, 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19—20 януари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25 106</w:t>
            </w:r>
          </w:p>
        </w:tc>
      </w:tr>
      <w:tr>
        <w:trPr>
          <w:trHeight w:val="53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17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Хърватска национална банка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Семинар: „2-ра Балканска мрежа за защита на еврото“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Сплит, 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21—24 март 2016 г.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59 115,98</w:t>
            </w:r>
          </w:p>
        </w:tc>
      </w:tr>
      <w:tr>
        <w:trPr>
          <w:trHeight w:val="51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UCIFM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Семинар: „Фалшифициране на еврото в Европа: Анализ на ситуацията, възможните бъдещи заплахи и мерки, които да бъдат приети“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Рим, 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12—13 април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58 480,96</w:t>
            </w:r>
          </w:p>
        </w:tc>
      </w:tr>
      <w:tr>
        <w:trPr>
          <w:trHeight w:val="51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12-а конференция за еврото в Югоизточна Европа, организирана по програма „Перикъл“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Загреб, 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17—21 октомври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197 199</w:t>
            </w:r>
          </w:p>
        </w:tc>
      </w:tr>
      <w:tr>
        <w:trPr>
          <w:trHeight w:val="102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 април 1929 г.),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Германия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Landes- kriminalamt Берлин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Семинар: „Борбата срещу фалшифицирането на парични знаци - Берлин 2016 г.“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Берлин, Германия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24—28 октомври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22 700</w:t>
            </w:r>
          </w:p>
        </w:tc>
      </w:tr>
      <w:tr>
        <w:trPr>
          <w:trHeight w:val="528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1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Обмен на служители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CCAFM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„Обмен на служители във връзка с методи на разследване: Италия, Албания, Гърция, Унгария, България, Турция, Сърбия, Хърватия, Китай и Словения“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Няколко места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14 февруари — 18 юни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64 696,56</w:t>
            </w:r>
          </w:p>
        </w:tc>
      </w:tr>
      <w:tr>
        <w:trPr>
          <w:trHeight w:val="85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 w:cs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разследване; укрепване на сътрудничеството и обмен на ноу-хау.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Обмен на персонал „Аржентина, Колумбия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Мексико, Перу, Испания и Белгия“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Няколко места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 януари 2016 г. — 30 юли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76 709,03</w:t>
            </w:r>
          </w:p>
        </w:tc>
      </w:tr>
      <w:tr>
        <w:trPr>
          <w:trHeight w:val="46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„Обмен на персонал между Албания и Косово по програмата „Перикъл“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Тирана, Албания и Прищина, Косово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27 юни — 1 юли, 11—25 юли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22 494,08</w:t>
            </w:r>
          </w:p>
        </w:tc>
      </w:tr>
      <w:tr>
        <w:trPr>
          <w:trHeight w:val="41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 w:cs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8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Проучвания</w:t>
            </w:r>
          </w:p>
        </w:tc>
      </w:tr>
      <w:tr>
        <w:trPr>
          <w:trHeight w:val="113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Проучване относно фалшифицирането на еврото във Франция — участници и организации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Париж, Франция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 септември 2014 г. — 30 юни 2016 г.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41 371</w:t>
            </w:r>
          </w:p>
        </w:tc>
      </w:tr>
      <w:tr>
        <w:trPr>
          <w:trHeight w:val="113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Научни изследвания</w:t>
            </w: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843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8719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Несъкратените имена на организаторите може да бъдат намерени в списъка на компетентните национални органи, посочен в член 2, буква б) от Регламент (ЕО) № 1338/2001 на Съвета, ОВ C 264, 12.8.2015 г., стр. 2—29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6D26B5B4C5240DD8FCCF6E029DC164E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7?\u1088?\u1077?\u1079? 2016 \u1075?.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345"/>
    <w:docVar w:name="LW_REF.INTERNE" w:val="&lt;UNUSED&gt;"/>
    <w:docVar w:name="LW_SUPERTITRE" w:val="&lt;UNUSED&gt;"/>
    <w:docVar w:name="LW_TITRE.OBJ.CP" w:val="\u1055?\u1088?\u1086?\u1103?\u1074?\u1080? \u1087?\u1086? \u1083?\u1080?\u1085?\u1080?\u1103? \u1085?\u1072? \u8222?\u1055?\u1077?\u1088?\u1080?\u1082?\u1098?\u1083? 2020\u8220?, \u1079?\u1072? \u1082?\u1086?\u1080?\u1090?\u1086? \u1089?\u1072? \u1087?\u1086?\u1077?\u1090?\u1080? \u1079?\u1072?\u1076?\u1098?\u1083?\u1078?\u1077?\u1085?\u1080?\u1103? \u1087?\u1086? \u1087?\u1088?\u1077?\u1076?\u1093?\u1086?\u1076?\u1085?\u1080? \u1073?\u1102?\u1076?\u1078?\u1077?\u1090?\u1080?, \u1085?\u1086? \u1082?\u1086?\u1080?\u1090?\u1086? \u1089?\u1072? \u1086?\u1089?\u1098?\u1097?\u1077?\u1089?\u1090?\u1074?\u1077?\u1085?\u1080? \u1087?\u1088?\u1077?\u1079? 2016 \u1075?.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7A0C-C9C4-4290-9DC6-8365CFBD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2435</Characters>
  <Application>Microsoft Office Word</Application>
  <DocSecurity>0</DocSecurity>
  <Lines>135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20</cp:revision>
  <cp:lastPrinted>2016-04-07T07:48:00Z</cp:lastPrinted>
  <dcterms:created xsi:type="dcterms:W3CDTF">2017-06-09T13:03:00Z</dcterms:created>
  <dcterms:modified xsi:type="dcterms:W3CDTF">2017-06-23T06:52:00Z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