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109" w:rsidRDefault="00817AEC" w:rsidP="00817AE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9E964EFCF66452AB0825751CE11B611" style="width:450.75pt;height:442.5pt">
            <v:imagedata r:id="rId9" o:title=""/>
          </v:shape>
        </w:pict>
      </w:r>
    </w:p>
    <w:bookmarkEnd w:id="0"/>
    <w:p w:rsidR="00015109" w:rsidRDefault="00015109">
      <w:pPr>
        <w:rPr>
          <w:noProof/>
        </w:rPr>
        <w:sectPr w:rsidR="00015109" w:rsidSect="00817AE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015109" w:rsidRDefault="00817AEC">
      <w:pPr>
        <w:pBdr>
          <w:top w:val="single" w:sz="4" w:space="1" w:color="auto"/>
          <w:left w:val="single" w:sz="4" w:space="4" w:color="auto"/>
          <w:bottom w:val="single" w:sz="4" w:space="1" w:color="auto"/>
          <w:right w:val="single" w:sz="4" w:space="4" w:color="auto"/>
        </w:pBdr>
        <w:shd w:val="clear" w:color="auto" w:fill="8DB3E2" w:themeFill="text2" w:themeFillTint="66"/>
        <w:spacing w:after="0"/>
        <w:jc w:val="center"/>
        <w:rPr>
          <w:rFonts w:ascii="Times New Roman" w:eastAsia="Times New Roman" w:hAnsi="Times New Roman" w:cs="Times New Roman"/>
          <w:b/>
          <w:noProof/>
        </w:rPr>
      </w:pPr>
      <w:bookmarkStart w:id="1" w:name="_GoBack"/>
      <w:bookmarkEnd w:id="1"/>
      <w:r>
        <w:rPr>
          <w:rFonts w:ascii="Times New Roman" w:eastAsia="Times New Roman" w:hAnsi="Times New Roman" w:cs="Times New Roman"/>
          <w:b/>
          <w:noProof/>
        </w:rPr>
        <w:lastRenderedPageBreak/>
        <w:t xml:space="preserve">STATE OF PLAY OF IMPLEMENTING THE ACTIONS SET OUT IN THE COMMISSION COMMUNICATION ON </w:t>
      </w:r>
    </w:p>
    <w:p w:rsidR="00015109" w:rsidRDefault="00817AEC">
      <w:pPr>
        <w:pBdr>
          <w:top w:val="single" w:sz="4" w:space="1" w:color="auto"/>
          <w:left w:val="single" w:sz="4" w:space="4" w:color="auto"/>
          <w:bottom w:val="single" w:sz="4" w:space="1" w:color="auto"/>
          <w:right w:val="single" w:sz="4" w:space="4" w:color="auto"/>
        </w:pBdr>
        <w:shd w:val="clear" w:color="auto" w:fill="8DB3E2" w:themeFill="text2" w:themeFillTint="66"/>
        <w:spacing w:after="0"/>
        <w:jc w:val="center"/>
        <w:rPr>
          <w:rFonts w:ascii="Times New Roman" w:eastAsia="Times New Roman" w:hAnsi="Times New Roman" w:cs="Times New Roman"/>
          <w:b/>
          <w:noProof/>
        </w:rPr>
      </w:pPr>
      <w:r>
        <w:rPr>
          <w:rFonts w:ascii="Times New Roman" w:eastAsia="Times New Roman" w:hAnsi="Times New Roman" w:cs="Times New Roman"/>
          <w:b/>
          <w:noProof/>
        </w:rPr>
        <w:t xml:space="preserve">SUPPORTING </w:t>
      </w:r>
      <w:r>
        <w:rPr>
          <w:rFonts w:ascii="Times New Roman" w:eastAsia="Times New Roman" w:hAnsi="Times New Roman" w:cs="Times New Roman"/>
          <w:b/>
          <w:noProof/>
        </w:rPr>
        <w:t>THE PREVENTION OF RADICALISATION LEADING TO VIOLENT EXTREMISM</w:t>
      </w:r>
    </w:p>
    <w:p w:rsidR="00015109" w:rsidRDefault="00817AEC">
      <w:pPr>
        <w:pBdr>
          <w:top w:val="single" w:sz="4" w:space="1" w:color="auto"/>
          <w:left w:val="single" w:sz="4" w:space="4" w:color="auto"/>
          <w:bottom w:val="single" w:sz="4" w:space="1" w:color="auto"/>
          <w:right w:val="single" w:sz="4" w:space="4" w:color="auto"/>
        </w:pBdr>
        <w:shd w:val="clear" w:color="auto" w:fill="8DB3E2" w:themeFill="text2" w:themeFillTint="66"/>
        <w:spacing w:after="0"/>
        <w:jc w:val="center"/>
        <w:rPr>
          <w:rFonts w:ascii="Times New Roman" w:eastAsia="Times New Roman" w:hAnsi="Times New Roman" w:cs="Times New Roman"/>
          <w:b/>
          <w:noProof/>
        </w:rPr>
      </w:pPr>
      <w:r>
        <w:rPr>
          <w:rFonts w:ascii="Times New Roman" w:eastAsia="Times New Roman" w:hAnsi="Times New Roman" w:cs="Times New Roman"/>
          <w:b/>
          <w:noProof/>
        </w:rPr>
        <w:t>(COM(2016) 379 final of 14.6.2016)</w:t>
      </w:r>
    </w:p>
    <w:tbl>
      <w:tblPr>
        <w:tblStyle w:val="TableGrid"/>
        <w:tblW w:w="14268" w:type="dxa"/>
        <w:tblLayout w:type="fixed"/>
        <w:tblLook w:val="04A0" w:firstRow="1" w:lastRow="0" w:firstColumn="1" w:lastColumn="0" w:noHBand="0" w:noVBand="1"/>
      </w:tblPr>
      <w:tblGrid>
        <w:gridCol w:w="4908"/>
        <w:gridCol w:w="20"/>
        <w:gridCol w:w="972"/>
        <w:gridCol w:w="20"/>
        <w:gridCol w:w="8348"/>
      </w:tblGrid>
      <w:tr w:rsidR="00015109">
        <w:trPr>
          <w:tblHeader/>
        </w:trPr>
        <w:tc>
          <w:tcPr>
            <w:tcW w:w="4928" w:type="dxa"/>
            <w:gridSpan w:val="2"/>
            <w:tcBorders>
              <w:bottom w:val="single" w:sz="4" w:space="0" w:color="auto"/>
            </w:tcBorders>
            <w:shd w:val="clear" w:color="auto" w:fill="8DB3E2" w:themeFill="text2" w:themeFillTint="66"/>
          </w:tcPr>
          <w:p w:rsidR="00015109" w:rsidRDefault="00817AEC">
            <w:pPr>
              <w:rPr>
                <w:rFonts w:ascii="Times New Roman" w:hAnsi="Times New Roman" w:cs="Times New Roman"/>
                <w:b/>
                <w:noProof/>
                <w:sz w:val="20"/>
                <w:szCs w:val="20"/>
              </w:rPr>
            </w:pPr>
            <w:r>
              <w:rPr>
                <w:rFonts w:ascii="Times New Roman" w:hAnsi="Times New Roman" w:cs="Times New Roman"/>
                <w:b/>
                <w:noProof/>
                <w:sz w:val="20"/>
                <w:szCs w:val="20"/>
              </w:rPr>
              <w:t>Key Actions</w:t>
            </w:r>
          </w:p>
          <w:p w:rsidR="00015109" w:rsidRDefault="00015109">
            <w:pPr>
              <w:rPr>
                <w:rFonts w:ascii="Times New Roman" w:hAnsi="Times New Roman" w:cs="Times New Roman"/>
                <w:b/>
                <w:noProof/>
                <w:sz w:val="20"/>
                <w:szCs w:val="20"/>
              </w:rPr>
            </w:pPr>
          </w:p>
        </w:tc>
        <w:tc>
          <w:tcPr>
            <w:tcW w:w="992" w:type="dxa"/>
            <w:gridSpan w:val="2"/>
            <w:tcBorders>
              <w:bottom w:val="single" w:sz="4" w:space="0" w:color="auto"/>
            </w:tcBorders>
            <w:shd w:val="clear" w:color="auto" w:fill="8DB3E2" w:themeFill="text2" w:themeFillTint="66"/>
          </w:tcPr>
          <w:p w:rsidR="00015109" w:rsidRDefault="00817AEC">
            <w:pPr>
              <w:rPr>
                <w:rFonts w:ascii="Times New Roman" w:hAnsi="Times New Roman" w:cs="Times New Roman"/>
                <w:b/>
                <w:noProof/>
                <w:sz w:val="20"/>
                <w:szCs w:val="20"/>
              </w:rPr>
            </w:pPr>
            <w:r>
              <w:rPr>
                <w:rFonts w:ascii="Times New Roman" w:hAnsi="Times New Roman" w:cs="Times New Roman"/>
                <w:b/>
                <w:noProof/>
                <w:sz w:val="20"/>
                <w:szCs w:val="20"/>
              </w:rPr>
              <w:t>Timing</w:t>
            </w:r>
          </w:p>
        </w:tc>
        <w:tc>
          <w:tcPr>
            <w:tcW w:w="8348" w:type="dxa"/>
            <w:tcBorders>
              <w:bottom w:val="single" w:sz="4" w:space="0" w:color="auto"/>
            </w:tcBorders>
            <w:shd w:val="clear" w:color="auto" w:fill="8DB3E2" w:themeFill="text2" w:themeFillTint="66"/>
          </w:tcPr>
          <w:p w:rsidR="00015109" w:rsidRDefault="00817AEC">
            <w:pPr>
              <w:ind w:left="34"/>
              <w:rPr>
                <w:rFonts w:ascii="Times New Roman" w:hAnsi="Times New Roman" w:cs="Times New Roman"/>
                <w:b/>
                <w:noProof/>
                <w:sz w:val="20"/>
                <w:szCs w:val="20"/>
              </w:rPr>
            </w:pPr>
            <w:r>
              <w:rPr>
                <w:rFonts w:ascii="Times New Roman" w:hAnsi="Times New Roman" w:cs="Times New Roman"/>
                <w:b/>
                <w:noProof/>
                <w:sz w:val="20"/>
                <w:szCs w:val="20"/>
              </w:rPr>
              <w:t>Description/State of play</w:t>
            </w:r>
          </w:p>
        </w:tc>
      </w:tr>
      <w:tr w:rsidR="00015109">
        <w:tc>
          <w:tcPr>
            <w:tcW w:w="4928" w:type="dxa"/>
            <w:gridSpan w:val="2"/>
            <w:tcBorders>
              <w:bottom w:val="single" w:sz="4" w:space="0" w:color="auto"/>
            </w:tcBorders>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 xml:space="preserve">1.1. </w:t>
            </w:r>
            <w:r>
              <w:rPr>
                <w:rFonts w:ascii="Times New Roman" w:hAnsi="Times New Roman" w:cs="Times New Roman"/>
                <w:noProof/>
              </w:rPr>
              <w:tab/>
              <w:t xml:space="preserve">Radicalisation Awareness Network (RAN) Centre of Excellence to provide support to Member States  in </w:t>
            </w:r>
            <w:r>
              <w:rPr>
                <w:rFonts w:ascii="Times New Roman" w:hAnsi="Times New Roman" w:cs="Times New Roman"/>
                <w:noProof/>
              </w:rPr>
              <w:t>designing and implementing effective prevent work.</w:t>
            </w:r>
          </w:p>
        </w:tc>
        <w:tc>
          <w:tcPr>
            <w:tcW w:w="992" w:type="dxa"/>
            <w:gridSpan w:val="2"/>
            <w:tcBorders>
              <w:bottom w:val="single" w:sz="4" w:space="0" w:color="auto"/>
            </w:tcBorders>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tcBorders>
              <w:bottom w:val="single" w:sz="4" w:space="0" w:color="auto"/>
            </w:tcBorders>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In 2016, the Radicalisation Awareness Network has provided 19 support services to Member States.</w:t>
            </w:r>
          </w:p>
          <w:p w:rsidR="00015109" w:rsidRDefault="00817AEC">
            <w:pPr>
              <w:jc w:val="both"/>
              <w:rPr>
                <w:rFonts w:ascii="Times New Roman" w:hAnsi="Times New Roman" w:cs="Times New Roman"/>
                <w:noProof/>
                <w:highlight w:val="yellow"/>
              </w:rPr>
            </w:pPr>
            <w:r>
              <w:rPr>
                <w:rFonts w:ascii="Times New Roman" w:hAnsi="Times New Roman" w:cs="Times New Roman"/>
                <w:noProof/>
              </w:rPr>
              <w:t>In 2017, the Radicalisation Awareness Network is planning to provide 20 such support services throug</w:t>
            </w:r>
            <w:r>
              <w:rPr>
                <w:rFonts w:ascii="Times New Roman" w:hAnsi="Times New Roman" w:cs="Times New Roman"/>
                <w:noProof/>
              </w:rPr>
              <w:t>h workshops, train-the-trainer events and expert missions.</w:t>
            </w:r>
          </w:p>
          <w:p w:rsidR="00015109" w:rsidRDefault="00015109">
            <w:pPr>
              <w:jc w:val="both"/>
              <w:rPr>
                <w:rFonts w:ascii="Times New Roman" w:hAnsi="Times New Roman" w:cs="Times New Roman"/>
                <w:noProof/>
                <w:highlight w:val="yellow"/>
              </w:rPr>
            </w:pPr>
          </w:p>
        </w:tc>
      </w:tr>
      <w:tr w:rsidR="00015109">
        <w:tc>
          <w:tcPr>
            <w:tcW w:w="4928" w:type="dxa"/>
            <w:gridSpan w:val="2"/>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1.2.</w:t>
            </w:r>
            <w:r>
              <w:rPr>
                <w:rFonts w:ascii="Times New Roman" w:hAnsi="Times New Roman" w:cs="Times New Roman"/>
                <w:noProof/>
              </w:rPr>
              <w:tab/>
              <w:t>The Radicalisation Awareness Network Centre of Excellence</w:t>
            </w:r>
            <w:r>
              <w:rPr>
                <w:noProof/>
              </w:rPr>
              <w:t xml:space="preserve"> </w:t>
            </w:r>
            <w:r>
              <w:rPr>
                <w:rFonts w:ascii="Times New Roman" w:hAnsi="Times New Roman" w:cs="Times New Roman"/>
                <w:noProof/>
              </w:rPr>
              <w:t>to provide guidelines and handbooks for establishing multi-agency structures.</w:t>
            </w: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shd w:val="clear" w:color="auto" w:fill="FFFFFF" w:themeFill="background1"/>
          </w:tcPr>
          <w:p w:rsidR="00015109" w:rsidRDefault="00817AEC">
            <w:pPr>
              <w:pStyle w:val="TxtPractice"/>
              <w:jc w:val="both"/>
              <w:rPr>
                <w:rFonts w:ascii="Times New Roman" w:hAnsi="Times New Roman"/>
                <w:noProof/>
                <w:color w:val="auto"/>
                <w:sz w:val="22"/>
                <w:szCs w:val="22"/>
              </w:rPr>
            </w:pPr>
            <w:r>
              <w:rPr>
                <w:rFonts w:ascii="Times New Roman" w:hAnsi="Times New Roman"/>
                <w:noProof/>
                <w:color w:val="auto"/>
                <w:sz w:val="22"/>
                <w:szCs w:val="22"/>
              </w:rPr>
              <w:t>In 2016 and 2017, the Radicalisation Awareness Network issued a number of topical papers (including on addressing radicalisation in the prison and probation context, on how to set up multi-agency cooperation structures at local level, counter narratives, t</w:t>
            </w:r>
            <w:r>
              <w:rPr>
                <w:rFonts w:ascii="Times New Roman" w:hAnsi="Times New Roman"/>
                <w:noProof/>
                <w:color w:val="auto"/>
                <w:sz w:val="22"/>
                <w:szCs w:val="22"/>
              </w:rPr>
              <w:t xml:space="preserve">raining for police officers, addressing radicalisation in schools, etc.) which are accessible under: </w:t>
            </w:r>
            <w:hyperlink r:id="rId16" w:history="1">
              <w:r>
                <w:rPr>
                  <w:rStyle w:val="Hyperlink"/>
                  <w:rFonts w:ascii="Times New Roman" w:hAnsi="Times New Roman"/>
                  <w:noProof/>
                  <w:sz w:val="22"/>
                  <w:szCs w:val="22"/>
                </w:rPr>
                <w:t>https://ec.europa.eu/home-affairs/what</w:t>
              </w:r>
              <w:r>
                <w:rPr>
                  <w:rStyle w:val="Hyperlink"/>
                  <w:rFonts w:ascii="Times New Roman" w:hAnsi="Times New Roman"/>
                  <w:noProof/>
                  <w:sz w:val="22"/>
                  <w:szCs w:val="22"/>
                </w:rPr>
                <w:t>-we-do/networks/radicalisation_awareness_network/ran-papers_en</w:t>
              </w:r>
            </w:hyperlink>
            <w:r>
              <w:rPr>
                <w:rFonts w:ascii="Times New Roman" w:hAnsi="Times New Roman"/>
                <w:noProof/>
                <w:color w:val="auto"/>
                <w:sz w:val="22"/>
                <w:szCs w:val="22"/>
              </w:rPr>
              <w:t xml:space="preserve"> </w:t>
            </w:r>
          </w:p>
          <w:p w:rsidR="00015109" w:rsidRDefault="00817AEC">
            <w:pPr>
              <w:pStyle w:val="TxtPractice"/>
              <w:jc w:val="both"/>
              <w:rPr>
                <w:rFonts w:ascii="Times New Roman" w:hAnsi="Times New Roman"/>
                <w:noProof/>
                <w:color w:val="auto"/>
                <w:sz w:val="22"/>
                <w:szCs w:val="22"/>
                <w:highlight w:val="yellow"/>
              </w:rPr>
            </w:pPr>
            <w:r>
              <w:rPr>
                <w:rFonts w:ascii="Times New Roman" w:hAnsi="Times New Roman"/>
                <w:noProof/>
                <w:color w:val="auto"/>
                <w:sz w:val="22"/>
                <w:szCs w:val="22"/>
              </w:rPr>
              <w:t>On 19 June 2017, the network presented a “Responses to Returnees” manual to support Member States in addressing the challenges posed by returning Foreign Terrorist Fighters. The manual provide</w:t>
            </w:r>
            <w:r>
              <w:rPr>
                <w:rFonts w:ascii="Times New Roman" w:hAnsi="Times New Roman"/>
                <w:noProof/>
                <w:color w:val="auto"/>
                <w:sz w:val="22"/>
                <w:szCs w:val="22"/>
              </w:rPr>
              <w:t>s an overview of approaches from practitioners to address different scenarios of persons returning from conflict zones.</w:t>
            </w:r>
          </w:p>
        </w:tc>
      </w:tr>
      <w:tr w:rsidR="00015109">
        <w:tc>
          <w:tcPr>
            <w:tcW w:w="4928" w:type="dxa"/>
            <w:gridSpan w:val="2"/>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1.3.</w:t>
            </w:r>
            <w:r>
              <w:rPr>
                <w:rFonts w:ascii="Times New Roman" w:hAnsi="Times New Roman" w:cs="Times New Roman"/>
                <w:noProof/>
              </w:rPr>
              <w:tab/>
              <w:t>The Radicalisation Awareness Network Centre of Excellence</w:t>
            </w:r>
            <w:r>
              <w:rPr>
                <w:noProof/>
              </w:rPr>
              <w:t xml:space="preserve"> </w:t>
            </w:r>
            <w:r>
              <w:rPr>
                <w:rFonts w:ascii="Times New Roman" w:hAnsi="Times New Roman" w:cs="Times New Roman"/>
                <w:noProof/>
              </w:rPr>
              <w:t xml:space="preserve">to create a platform for exchange of experiences and practices, through </w:t>
            </w:r>
            <w:r>
              <w:rPr>
                <w:rFonts w:ascii="Times New Roman" w:hAnsi="Times New Roman" w:cs="Times New Roman"/>
                <w:noProof/>
              </w:rPr>
              <w:t>further mapping of research on radicalisation.</w:t>
            </w: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shd w:val="clear" w:color="auto" w:fill="FFFFFF" w:themeFill="background1"/>
          </w:tcPr>
          <w:p w:rsidR="00015109" w:rsidRDefault="00817AEC">
            <w:pPr>
              <w:pStyle w:val="TxtPractice"/>
              <w:jc w:val="both"/>
              <w:rPr>
                <w:rFonts w:ascii="Times New Roman" w:hAnsi="Times New Roman"/>
                <w:noProof/>
                <w:color w:val="auto"/>
                <w:sz w:val="22"/>
                <w:szCs w:val="22"/>
              </w:rPr>
            </w:pPr>
            <w:r>
              <w:rPr>
                <w:rFonts w:ascii="Times New Roman" w:hAnsi="Times New Roman"/>
                <w:noProof/>
                <w:color w:val="auto"/>
                <w:sz w:val="22"/>
                <w:szCs w:val="22"/>
              </w:rPr>
              <w:t>In 2016, the Radicalisation Awareness Network mapped the latest research findings and gaps in research areas relevant for the work of the different Radicalisation Awareness Network working groups.</w:t>
            </w:r>
          </w:p>
          <w:p w:rsidR="00015109" w:rsidRDefault="00015109">
            <w:pPr>
              <w:pStyle w:val="TxtPractice"/>
              <w:jc w:val="both"/>
              <w:rPr>
                <w:rFonts w:ascii="Times New Roman" w:hAnsi="Times New Roman"/>
                <w:noProof/>
                <w:color w:val="auto"/>
                <w:sz w:val="22"/>
                <w:szCs w:val="22"/>
                <w:highlight w:val="yellow"/>
              </w:rPr>
            </w:pPr>
          </w:p>
        </w:tc>
      </w:tr>
      <w:tr w:rsidR="00015109">
        <w:tc>
          <w:tcPr>
            <w:tcW w:w="4928" w:type="dxa"/>
            <w:gridSpan w:val="2"/>
            <w:tcBorders>
              <w:bottom w:val="single" w:sz="4" w:space="0" w:color="auto"/>
            </w:tcBorders>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2.1.</w:t>
            </w:r>
            <w:r>
              <w:rPr>
                <w:rFonts w:ascii="Times New Roman" w:hAnsi="Times New Roman" w:cs="Times New Roman"/>
                <w:noProof/>
              </w:rPr>
              <w:tab/>
              <w:t>Establish a repository of prevent strategies at national level, regional or local level.</w:t>
            </w:r>
          </w:p>
        </w:tc>
        <w:tc>
          <w:tcPr>
            <w:tcW w:w="992" w:type="dxa"/>
            <w:gridSpan w:val="2"/>
            <w:tcBorders>
              <w:bottom w:val="single" w:sz="4" w:space="0" w:color="auto"/>
            </w:tcBorders>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tcBorders>
              <w:bottom w:val="single" w:sz="4" w:space="0" w:color="auto"/>
            </w:tcBorders>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 xml:space="preserve">First version of the repository of national prevent strategies was established and is online: </w:t>
            </w:r>
            <w:hyperlink r:id="rId17" w:history="1">
              <w:r>
                <w:rPr>
                  <w:rStyle w:val="Hyperlink"/>
                  <w:rFonts w:ascii="Times New Roman" w:hAnsi="Times New Roman" w:cs="Times New Roman"/>
                  <w:noProof/>
                </w:rPr>
                <w:t>http://ec.europa.eu/dgs/home-affairs/what-we-do/networks/radicalisation_awareness_network/ran-and-member-states/repository/index_en.htm</w:t>
              </w:r>
            </w:hyperlink>
            <w:r>
              <w:rPr>
                <w:rFonts w:ascii="Times New Roman" w:hAnsi="Times New Roman" w:cs="Times New Roman"/>
                <w:noProof/>
              </w:rPr>
              <w:t xml:space="preserve"> ).</w:t>
            </w:r>
          </w:p>
          <w:p w:rsidR="00015109" w:rsidRDefault="00817AEC">
            <w:pPr>
              <w:jc w:val="both"/>
              <w:rPr>
                <w:rFonts w:ascii="Times New Roman" w:hAnsi="Times New Roman" w:cs="Times New Roman"/>
                <w:noProof/>
              </w:rPr>
            </w:pPr>
            <w:r>
              <w:rPr>
                <w:rFonts w:ascii="Times New Roman" w:hAnsi="Times New Roman" w:cs="Times New Roman"/>
                <w:noProof/>
              </w:rPr>
              <w:t>The content will be regul</w:t>
            </w:r>
            <w:r>
              <w:rPr>
                <w:rFonts w:ascii="Times New Roman" w:hAnsi="Times New Roman" w:cs="Times New Roman"/>
                <w:noProof/>
              </w:rPr>
              <w:t>arly updated.</w:t>
            </w:r>
          </w:p>
        </w:tc>
      </w:tr>
      <w:tr w:rsidR="00015109">
        <w:tc>
          <w:tcPr>
            <w:tcW w:w="4928" w:type="dxa"/>
            <w:gridSpan w:val="2"/>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2.2.</w:t>
            </w:r>
            <w:r>
              <w:rPr>
                <w:rFonts w:ascii="Times New Roman" w:hAnsi="Times New Roman" w:cs="Times New Roman"/>
                <w:noProof/>
              </w:rPr>
              <w:tab/>
              <w:t xml:space="preserve">Establish networks of practitioners </w:t>
            </w: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 xml:space="preserve">The Radicalisation Awareness (RAN) Network Centre of Excellence has been established supporting the RAN. RAN continues to offer to tailor made support for Member States for, amongst others, </w:t>
            </w:r>
            <w:r>
              <w:rPr>
                <w:rFonts w:ascii="Times New Roman" w:hAnsi="Times New Roman" w:cs="Times New Roman"/>
                <w:noProof/>
              </w:rPr>
              <w:t>establishing national networks of practitioners.</w:t>
            </w:r>
          </w:p>
          <w:p w:rsidR="00015109" w:rsidRDefault="00015109">
            <w:pPr>
              <w:jc w:val="both"/>
              <w:rPr>
                <w:rFonts w:ascii="Times New Roman" w:hAnsi="Times New Roman" w:cs="Times New Roman"/>
                <w:noProof/>
              </w:rPr>
            </w:pPr>
          </w:p>
        </w:tc>
      </w:tr>
      <w:tr w:rsidR="00015109">
        <w:tc>
          <w:tcPr>
            <w:tcW w:w="4928" w:type="dxa"/>
            <w:gridSpan w:val="2"/>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2.3.</w:t>
            </w:r>
            <w:r>
              <w:rPr>
                <w:rFonts w:ascii="Times New Roman" w:hAnsi="Times New Roman" w:cs="Times New Roman"/>
                <w:noProof/>
              </w:rPr>
              <w:tab/>
              <w:t>Establish national/regional contact points in Member States</w:t>
            </w: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Launch of the network of prevent policy makers in February 2017.</w:t>
            </w:r>
          </w:p>
        </w:tc>
      </w:tr>
      <w:tr w:rsidR="00015109">
        <w:tc>
          <w:tcPr>
            <w:tcW w:w="4928" w:type="dxa"/>
            <w:gridSpan w:val="2"/>
            <w:tcBorders>
              <w:bottom w:val="single" w:sz="4" w:space="0" w:color="auto"/>
            </w:tcBorders>
            <w:shd w:val="clear" w:color="auto" w:fill="FFFFFF" w:themeFill="background1"/>
          </w:tcPr>
          <w:p w:rsidR="00015109" w:rsidRDefault="00817AEC">
            <w:pPr>
              <w:tabs>
                <w:tab w:val="left" w:pos="4275"/>
              </w:tabs>
              <w:ind w:left="480" w:hanging="480"/>
              <w:jc w:val="both"/>
              <w:rPr>
                <w:rFonts w:ascii="Times New Roman" w:hAnsi="Times New Roman" w:cs="Times New Roman"/>
                <w:noProof/>
              </w:rPr>
            </w:pPr>
            <w:r>
              <w:rPr>
                <w:rFonts w:ascii="Times New Roman" w:hAnsi="Times New Roman" w:cs="Times New Roman"/>
                <w:noProof/>
              </w:rPr>
              <w:lastRenderedPageBreak/>
              <w:t>3.1.</w:t>
            </w:r>
            <w:r>
              <w:rPr>
                <w:rFonts w:ascii="Times New Roman" w:hAnsi="Times New Roman" w:cs="Times New Roman"/>
                <w:noProof/>
              </w:rPr>
              <w:tab/>
              <w:t xml:space="preserve">Mobilise research under Horizon 2020 on the complex root </w:t>
            </w:r>
            <w:r>
              <w:rPr>
                <w:rFonts w:ascii="Times New Roman" w:hAnsi="Times New Roman" w:cs="Times New Roman"/>
                <w:noProof/>
              </w:rPr>
              <w:t>causes of violent radicalisation</w:t>
            </w:r>
            <w:r>
              <w:rPr>
                <w:noProof/>
              </w:rPr>
              <w:t xml:space="preserve"> </w:t>
            </w:r>
            <w:r>
              <w:rPr>
                <w:rFonts w:ascii="Times New Roman" w:hAnsi="Times New Roman" w:cs="Times New Roman"/>
                <w:noProof/>
              </w:rPr>
              <w:t>in order to deliver concrete tools to allow better informed policy interventions.</w:t>
            </w:r>
          </w:p>
          <w:p w:rsidR="00015109" w:rsidRDefault="00015109">
            <w:pPr>
              <w:tabs>
                <w:tab w:val="left" w:pos="4275"/>
              </w:tabs>
              <w:jc w:val="both"/>
              <w:rPr>
                <w:rFonts w:ascii="Times New Roman" w:hAnsi="Times New Roman" w:cs="Times New Roman"/>
                <w:noProof/>
              </w:rPr>
            </w:pPr>
          </w:p>
          <w:p w:rsidR="00015109" w:rsidRDefault="00015109">
            <w:pPr>
              <w:tabs>
                <w:tab w:val="left" w:pos="4275"/>
              </w:tabs>
              <w:jc w:val="both"/>
              <w:rPr>
                <w:rFonts w:ascii="Times New Roman" w:hAnsi="Times New Roman" w:cs="Times New Roman"/>
                <w:noProof/>
              </w:rPr>
            </w:pPr>
          </w:p>
        </w:tc>
        <w:tc>
          <w:tcPr>
            <w:tcW w:w="992" w:type="dxa"/>
            <w:gridSpan w:val="2"/>
            <w:tcBorders>
              <w:bottom w:val="single" w:sz="4" w:space="0" w:color="auto"/>
            </w:tcBorders>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 xml:space="preserve">Ongoing </w:t>
            </w:r>
          </w:p>
          <w:p w:rsidR="00015109" w:rsidRDefault="00015109">
            <w:pPr>
              <w:rPr>
                <w:rFonts w:ascii="Times New Roman" w:hAnsi="Times New Roman" w:cs="Times New Roman"/>
                <w:noProof/>
              </w:rPr>
            </w:pPr>
          </w:p>
          <w:p w:rsidR="00015109" w:rsidRDefault="00015109">
            <w:pPr>
              <w:rPr>
                <w:rFonts w:ascii="Times New Roman" w:hAnsi="Times New Roman" w:cs="Times New Roman"/>
                <w:noProof/>
              </w:rPr>
            </w:pPr>
          </w:p>
        </w:tc>
        <w:tc>
          <w:tcPr>
            <w:tcW w:w="8348" w:type="dxa"/>
            <w:tcBorders>
              <w:bottom w:val="single" w:sz="4" w:space="0" w:color="auto"/>
            </w:tcBorders>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 xml:space="preserve">The "Secure Societies" Work Programme of Horizon 2020 for 2016-2017 includes a topic on the development of a comprehensive </w:t>
            </w:r>
            <w:r>
              <w:rPr>
                <w:rFonts w:ascii="Times New Roman" w:hAnsi="Times New Roman" w:cs="Times New Roman"/>
                <w:noProof/>
              </w:rPr>
              <w:t>approach to violent radicalisation in the EU. Four projects of total amount of EUR 12 million were recently selected: PERICLES, MINDb4ACT, PRACTICIES and TRIVALENT.</w:t>
            </w:r>
          </w:p>
          <w:p w:rsidR="00015109" w:rsidRDefault="00015109">
            <w:pPr>
              <w:jc w:val="both"/>
              <w:rPr>
                <w:rFonts w:ascii="Times New Roman" w:hAnsi="Times New Roman" w:cs="Times New Roman"/>
                <w:noProof/>
              </w:rPr>
            </w:pPr>
          </w:p>
          <w:p w:rsidR="00015109" w:rsidRDefault="00817AEC">
            <w:pPr>
              <w:jc w:val="both"/>
              <w:rPr>
                <w:rFonts w:ascii="Times New Roman" w:hAnsi="Times New Roman" w:cs="Times New Roman"/>
                <w:noProof/>
              </w:rPr>
            </w:pPr>
            <w:r>
              <w:rPr>
                <w:rFonts w:ascii="Times New Roman" w:hAnsi="Times New Roman" w:cs="Times New Roman"/>
                <w:noProof/>
              </w:rPr>
              <w:t>The Commission is now launching the reflection on the 2018-2019/20 Work Programme where re</w:t>
            </w:r>
            <w:r>
              <w:rPr>
                <w:rFonts w:ascii="Times New Roman" w:hAnsi="Times New Roman" w:cs="Times New Roman"/>
                <w:noProof/>
              </w:rPr>
              <w:t>search on anti-radicalisation will play a key role.</w:t>
            </w:r>
          </w:p>
          <w:p w:rsidR="00015109" w:rsidRDefault="00015109">
            <w:pPr>
              <w:jc w:val="both"/>
              <w:rPr>
                <w:rFonts w:ascii="Times New Roman" w:hAnsi="Times New Roman" w:cs="Times New Roman"/>
                <w:noProof/>
              </w:rPr>
            </w:pPr>
          </w:p>
          <w:p w:rsidR="00015109" w:rsidRDefault="00817AEC">
            <w:pPr>
              <w:jc w:val="both"/>
              <w:rPr>
                <w:rFonts w:ascii="Times New Roman" w:hAnsi="Times New Roman" w:cs="Times New Roman"/>
                <w:noProof/>
              </w:rPr>
            </w:pPr>
            <w:r>
              <w:rPr>
                <w:rFonts w:ascii="Times New Roman" w:hAnsi="Times New Roman" w:cs="Times New Roman"/>
                <w:noProof/>
              </w:rPr>
              <w:t>The 'Inclusive, innovative and reflective Societies' work programme of Horizon 2020 for 2016-2017 includes two relevant research topics on the societal contexts of radicalisation and on the interplay bet</w:t>
            </w:r>
            <w:r>
              <w:rPr>
                <w:rFonts w:ascii="Times New Roman" w:hAnsi="Times New Roman" w:cs="Times New Roman"/>
                <w:noProof/>
              </w:rPr>
              <w:t>ween global trends of secularisation and religious radicalisation.</w:t>
            </w:r>
          </w:p>
          <w:p w:rsidR="00015109" w:rsidRDefault="00015109">
            <w:pPr>
              <w:jc w:val="both"/>
              <w:rPr>
                <w:rFonts w:ascii="Times New Roman" w:hAnsi="Times New Roman" w:cs="Times New Roman"/>
                <w:noProof/>
              </w:rPr>
            </w:pPr>
          </w:p>
          <w:p w:rsidR="00015109" w:rsidRDefault="00817AEC">
            <w:pPr>
              <w:jc w:val="both"/>
              <w:rPr>
                <w:noProof/>
              </w:rPr>
            </w:pPr>
            <w:r>
              <w:rPr>
                <w:rFonts w:ascii="Times New Roman" w:hAnsi="Times New Roman" w:cs="Times New Roman"/>
                <w:noProof/>
              </w:rPr>
              <w:t>Further research is conducted also within the Eurydice network, which provides information on education systems and policies in the EU.</w:t>
            </w:r>
          </w:p>
          <w:p w:rsidR="00015109" w:rsidRDefault="00015109">
            <w:pPr>
              <w:jc w:val="both"/>
              <w:rPr>
                <w:rFonts w:ascii="Times New Roman" w:hAnsi="Times New Roman" w:cs="Times New Roman"/>
                <w:i/>
                <w:noProof/>
              </w:rPr>
            </w:pPr>
          </w:p>
        </w:tc>
      </w:tr>
      <w:tr w:rsidR="00015109">
        <w:tc>
          <w:tcPr>
            <w:tcW w:w="4928" w:type="dxa"/>
            <w:gridSpan w:val="2"/>
            <w:shd w:val="clear" w:color="auto" w:fill="FFFFFF" w:themeFill="background1"/>
          </w:tcPr>
          <w:p w:rsidR="00015109" w:rsidRDefault="00817AEC">
            <w:pPr>
              <w:pStyle w:val="Default"/>
              <w:ind w:left="480" w:hanging="480"/>
              <w:jc w:val="both"/>
              <w:rPr>
                <w:noProof/>
              </w:rPr>
            </w:pPr>
            <w:r>
              <w:rPr>
                <w:noProof/>
                <w:sz w:val="22"/>
                <w:szCs w:val="22"/>
              </w:rPr>
              <w:t>4.1.</w:t>
            </w:r>
            <w:r>
              <w:rPr>
                <w:noProof/>
                <w:sz w:val="22"/>
                <w:szCs w:val="22"/>
              </w:rPr>
              <w:tab/>
              <w:t>Under the EU Internet Forum: to develop a Joi</w:t>
            </w:r>
            <w:r>
              <w:rPr>
                <w:noProof/>
                <w:sz w:val="22"/>
                <w:szCs w:val="22"/>
              </w:rPr>
              <w:t>nt Referral Platform to improve the speed and effectiveness of the referrals process</w:t>
            </w:r>
            <w:r>
              <w:rPr>
                <w:noProof/>
                <w:sz w:val="22"/>
                <w:szCs w:val="22"/>
              </w:rPr>
              <w:br/>
            </w:r>
            <w:r>
              <w:rPr>
                <w:noProof/>
                <w:sz w:val="22"/>
                <w:szCs w:val="22"/>
              </w:rPr>
              <w:br/>
            </w: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Four of large companies (Facebook, Twitter, Google and Microsoft) have developed the prototype of a "database of hashes" which helps prevent terrorist content re</w:t>
            </w:r>
            <w:r>
              <w:rPr>
                <w:rFonts w:ascii="Times New Roman" w:hAnsi="Times New Roman" w:cs="Times New Roman"/>
                <w:noProof/>
              </w:rPr>
              <w:t>moved from one site simply being re-uploaded onto another. The tool is operational and companies are now looking into bringing other smaller companies on board.</w:t>
            </w:r>
          </w:p>
        </w:tc>
      </w:tr>
      <w:tr w:rsidR="00015109">
        <w:tc>
          <w:tcPr>
            <w:tcW w:w="4928" w:type="dxa"/>
            <w:gridSpan w:val="2"/>
            <w:tcBorders>
              <w:bottom w:val="single" w:sz="4" w:space="0" w:color="auto"/>
            </w:tcBorders>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4.2</w:t>
            </w:r>
            <w:r>
              <w:rPr>
                <w:rFonts w:ascii="Times New Roman" w:hAnsi="Times New Roman" w:cs="Times New Roman"/>
                <w:noProof/>
              </w:rPr>
              <w:tab/>
              <w:t xml:space="preserve">Under the EU Internet Forum: to set up a civil society empowerment programme to </w:t>
            </w:r>
            <w:r>
              <w:rPr>
                <w:rFonts w:ascii="Times New Roman" w:hAnsi="Times New Roman" w:cs="Times New Roman"/>
                <w:noProof/>
              </w:rPr>
              <w:t>significantly ramp up the training and support for civil society partners in order to enhance the volume of effective positive alternative narratives delivered online.</w:t>
            </w:r>
          </w:p>
          <w:p w:rsidR="00015109" w:rsidRDefault="00817AEC">
            <w:pPr>
              <w:ind w:left="480" w:hanging="480"/>
              <w:jc w:val="both"/>
              <w:rPr>
                <w:rFonts w:ascii="Times New Roman" w:hAnsi="Times New Roman" w:cs="Times New Roman"/>
                <w:noProof/>
              </w:rPr>
            </w:pPr>
            <w:r>
              <w:rPr>
                <w:rFonts w:ascii="Times New Roman" w:hAnsi="Times New Roman" w:cs="Times New Roman"/>
                <w:noProof/>
              </w:rPr>
              <w:tab/>
            </w:r>
          </w:p>
        </w:tc>
        <w:tc>
          <w:tcPr>
            <w:tcW w:w="992" w:type="dxa"/>
            <w:gridSpan w:val="2"/>
            <w:tcBorders>
              <w:bottom w:val="single" w:sz="4" w:space="0" w:color="auto"/>
            </w:tcBorders>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tcBorders>
              <w:bottom w:val="single" w:sz="4" w:space="0" w:color="auto"/>
            </w:tcBorders>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The kick-off of the Civil Society Empowerment Programme (CSEP) took place on 1</w:t>
            </w:r>
            <w:r>
              <w:rPr>
                <w:rFonts w:ascii="Times New Roman" w:hAnsi="Times New Roman" w:cs="Times New Roman"/>
                <w:noProof/>
              </w:rPr>
              <w:t>5/16 March 2017, with the objective to help civil society actors to challenge more effectively the terrorist narrative online. It will include trainings by the Radicalisation Awareness Network Centre of Excellence, supported by the European Strategic Commu</w:t>
            </w:r>
            <w:r>
              <w:rPr>
                <w:rFonts w:ascii="Times New Roman" w:hAnsi="Times New Roman" w:cs="Times New Roman"/>
                <w:noProof/>
              </w:rPr>
              <w:t>nications Network and in close collaboration with industry partners. A call for proposals will be launched in a second phase (Q2/3 2017) and the effectiveness of the programme will subsequently be evaluated.</w:t>
            </w:r>
          </w:p>
          <w:p w:rsidR="00015109" w:rsidRDefault="00015109">
            <w:pPr>
              <w:jc w:val="both"/>
              <w:rPr>
                <w:rFonts w:ascii="Times New Roman" w:hAnsi="Times New Roman" w:cs="Times New Roman"/>
                <w:noProof/>
              </w:rPr>
            </w:pPr>
          </w:p>
        </w:tc>
      </w:tr>
      <w:tr w:rsidR="00015109">
        <w:tc>
          <w:tcPr>
            <w:tcW w:w="4928" w:type="dxa"/>
            <w:gridSpan w:val="2"/>
            <w:tcBorders>
              <w:bottom w:val="single" w:sz="4" w:space="0" w:color="auto"/>
            </w:tcBorders>
            <w:shd w:val="clear" w:color="auto" w:fill="FFFFFF" w:themeFill="background1"/>
          </w:tcPr>
          <w:p w:rsidR="00015109" w:rsidRDefault="00817AEC">
            <w:pPr>
              <w:ind w:left="480" w:hanging="480"/>
              <w:jc w:val="both"/>
              <w:rPr>
                <w:rFonts w:ascii="Times New Roman" w:hAnsi="Times New Roman" w:cs="Times New Roman"/>
                <w:b/>
                <w:noProof/>
              </w:rPr>
            </w:pPr>
            <w:r>
              <w:rPr>
                <w:rFonts w:ascii="Times New Roman" w:hAnsi="Times New Roman" w:cs="Times New Roman"/>
                <w:noProof/>
              </w:rPr>
              <w:t>4.3</w:t>
            </w:r>
            <w:r>
              <w:rPr>
                <w:rFonts w:ascii="Times New Roman" w:hAnsi="Times New Roman" w:cs="Times New Roman"/>
                <w:noProof/>
              </w:rPr>
              <w:tab/>
            </w:r>
            <w:r>
              <w:rPr>
                <w:rFonts w:ascii="Times New Roman" w:hAnsi="Times New Roman" w:cs="Times New Roman"/>
                <w:b/>
                <w:noProof/>
              </w:rPr>
              <w:t>Additional action within Key Action 4:</w:t>
            </w:r>
          </w:p>
          <w:p w:rsidR="00015109" w:rsidRDefault="00015109">
            <w:pPr>
              <w:ind w:left="480" w:hanging="480"/>
              <w:jc w:val="both"/>
              <w:rPr>
                <w:rFonts w:ascii="Times New Roman" w:hAnsi="Times New Roman" w:cs="Times New Roman"/>
                <w:b/>
                <w:noProof/>
              </w:rPr>
            </w:pPr>
          </w:p>
          <w:p w:rsidR="00015109" w:rsidRDefault="00817AEC">
            <w:pPr>
              <w:ind w:left="480" w:hanging="480"/>
              <w:jc w:val="both"/>
              <w:rPr>
                <w:rFonts w:ascii="Times New Roman" w:hAnsi="Times New Roman" w:cs="Times New Roman"/>
                <w:noProof/>
              </w:rPr>
            </w:pPr>
            <w:r>
              <w:rPr>
                <w:rFonts w:ascii="Times New Roman" w:hAnsi="Times New Roman" w:cs="Times New Roman"/>
                <w:noProof/>
              </w:rPr>
              <w:tab/>
            </w:r>
            <w:r>
              <w:rPr>
                <w:rFonts w:ascii="Times New Roman" w:hAnsi="Times New Roman" w:cs="Times New Roman"/>
                <w:noProof/>
              </w:rPr>
              <w:t xml:space="preserve">Conduct targeted research on terrorists' use of the Internet. </w:t>
            </w:r>
          </w:p>
        </w:tc>
        <w:tc>
          <w:tcPr>
            <w:tcW w:w="992" w:type="dxa"/>
            <w:gridSpan w:val="2"/>
            <w:tcBorders>
              <w:bottom w:val="single" w:sz="4" w:space="0" w:color="auto"/>
            </w:tcBorders>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tcBorders>
              <w:bottom w:val="single" w:sz="4" w:space="0" w:color="auto"/>
            </w:tcBorders>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 xml:space="preserve">The Framework Programme 7 Project Voxpol presented and delivered a first round of research to the EU Internet Forum on 8 December 2016. The research focused on an overview of terrorism </w:t>
            </w:r>
            <w:r>
              <w:rPr>
                <w:rFonts w:ascii="Times New Roman" w:hAnsi="Times New Roman" w:cs="Times New Roman"/>
                <w:noProof/>
              </w:rPr>
              <w:t>and violent extremism in 2016, the online behaviours of convicted terrorists, and future trends.</w:t>
            </w:r>
          </w:p>
        </w:tc>
      </w:tr>
      <w:tr w:rsidR="00015109">
        <w:tc>
          <w:tcPr>
            <w:tcW w:w="4928" w:type="dxa"/>
            <w:gridSpan w:val="2"/>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5.1.</w:t>
            </w:r>
            <w:r>
              <w:rPr>
                <w:rFonts w:ascii="Times New Roman" w:hAnsi="Times New Roman" w:cs="Times New Roman"/>
                <w:noProof/>
              </w:rPr>
              <w:tab/>
              <w:t xml:space="preserve">The Radicalisation Awareness Network Centre </w:t>
            </w:r>
            <w:r>
              <w:rPr>
                <w:rFonts w:ascii="Times New Roman" w:hAnsi="Times New Roman" w:cs="Times New Roman"/>
                <w:noProof/>
              </w:rPr>
              <w:lastRenderedPageBreak/>
              <w:t>of Excellence to provide for a platform of exchange of experiences and best practices in enhancing media lite</w:t>
            </w:r>
            <w:r>
              <w:rPr>
                <w:rFonts w:ascii="Times New Roman" w:hAnsi="Times New Roman" w:cs="Times New Roman"/>
                <w:noProof/>
              </w:rPr>
              <w:t>racy and critical thinking on the internet.</w:t>
            </w: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lastRenderedPageBreak/>
              <w:t>Ongoing</w:t>
            </w:r>
          </w:p>
        </w:tc>
        <w:tc>
          <w:tcPr>
            <w:tcW w:w="8348" w:type="dxa"/>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 xml:space="preserve">The Radicalisation Awareness Network "Education" working group organised a large scale </w:t>
            </w:r>
            <w:r>
              <w:rPr>
                <w:rFonts w:ascii="Times New Roman" w:hAnsi="Times New Roman" w:cs="Times New Roman"/>
                <w:noProof/>
              </w:rPr>
              <w:lastRenderedPageBreak/>
              <w:t xml:space="preserve">meeting on citizenship, media literacy and critical thinking in November 2016. </w:t>
            </w:r>
          </w:p>
          <w:p w:rsidR="00015109" w:rsidRDefault="00015109">
            <w:pPr>
              <w:jc w:val="both"/>
              <w:rPr>
                <w:rFonts w:ascii="Times New Roman" w:hAnsi="Times New Roman" w:cs="Times New Roman"/>
                <w:noProof/>
              </w:rPr>
            </w:pPr>
          </w:p>
          <w:p w:rsidR="00015109" w:rsidRDefault="00817AEC">
            <w:pPr>
              <w:jc w:val="both"/>
              <w:rPr>
                <w:rFonts w:ascii="Times New Roman" w:hAnsi="Times New Roman" w:cs="Times New Roman"/>
                <w:noProof/>
              </w:rPr>
            </w:pPr>
            <w:r>
              <w:rPr>
                <w:rFonts w:ascii="Times New Roman" w:hAnsi="Times New Roman" w:cs="Times New Roman"/>
                <w:noProof/>
              </w:rPr>
              <w:t>Under the Education and Training 202</w:t>
            </w:r>
            <w:r>
              <w:rPr>
                <w:rFonts w:ascii="Times New Roman" w:hAnsi="Times New Roman" w:cs="Times New Roman"/>
                <w:noProof/>
              </w:rPr>
              <w:t>0 Working Group on promoting citizenship and the common values of freedom, tolerance and non-discrimination through education, a peer learning event was organised in The Netherlands on media literacy in April 2016, followed by Council conclusions by the Ed</w:t>
            </w:r>
            <w:r>
              <w:rPr>
                <w:rFonts w:ascii="Times New Roman" w:hAnsi="Times New Roman" w:cs="Times New Roman"/>
                <w:noProof/>
              </w:rPr>
              <w:t>ucation Council in May 2016.</w:t>
            </w:r>
          </w:p>
          <w:p w:rsidR="00015109" w:rsidRDefault="00015109">
            <w:pPr>
              <w:jc w:val="both"/>
              <w:rPr>
                <w:noProof/>
              </w:rPr>
            </w:pPr>
          </w:p>
        </w:tc>
      </w:tr>
      <w:tr w:rsidR="00015109">
        <w:tc>
          <w:tcPr>
            <w:tcW w:w="4928" w:type="dxa"/>
            <w:gridSpan w:val="2"/>
            <w:shd w:val="clear" w:color="auto" w:fill="FFFFFF" w:themeFill="background1"/>
          </w:tcPr>
          <w:p w:rsidR="00015109" w:rsidRDefault="00817AEC">
            <w:pPr>
              <w:tabs>
                <w:tab w:val="left" w:pos="1290"/>
              </w:tabs>
              <w:ind w:left="480" w:hanging="480"/>
              <w:jc w:val="both"/>
              <w:rPr>
                <w:rFonts w:ascii="Times New Roman" w:hAnsi="Times New Roman" w:cs="Times New Roman"/>
                <w:noProof/>
              </w:rPr>
            </w:pPr>
            <w:r>
              <w:rPr>
                <w:rFonts w:ascii="Times New Roman" w:hAnsi="Times New Roman" w:cs="Times New Roman"/>
                <w:noProof/>
              </w:rPr>
              <w:lastRenderedPageBreak/>
              <w:t>5.2.</w:t>
            </w:r>
            <w:r>
              <w:rPr>
                <w:rFonts w:ascii="Times New Roman" w:hAnsi="Times New Roman" w:cs="Times New Roman"/>
                <w:noProof/>
              </w:rPr>
              <w:tab/>
              <w:t xml:space="preserve">The Radicalisation Awareness Network Centre of Excellence to develop an EU-wide campaign with a view to strengthening resilience against radicalisation online to provide alternative narratives or alternative actions </w:t>
            </w:r>
            <w:r>
              <w:rPr>
                <w:rFonts w:ascii="Times New Roman" w:hAnsi="Times New Roman" w:cs="Times New Roman"/>
                <w:noProof/>
              </w:rPr>
              <w:t>(Exit Hate campaign).</w:t>
            </w: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 xml:space="preserve">Ongoing </w:t>
            </w:r>
          </w:p>
        </w:tc>
        <w:tc>
          <w:tcPr>
            <w:tcW w:w="8348" w:type="dxa"/>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The "EXIT HATE" six-week pilot campaign, a platform to showcase initiatives and positive stories (including for and by youngsters) from around Europe that promotes alternatives to extremist propaganda, was launched in Septemb</w:t>
            </w:r>
            <w:r>
              <w:rPr>
                <w:rFonts w:ascii="Times New Roman" w:hAnsi="Times New Roman" w:cs="Times New Roman"/>
                <w:noProof/>
              </w:rPr>
              <w:t>er 2016.</w:t>
            </w:r>
          </w:p>
          <w:p w:rsidR="00015109" w:rsidRDefault="00015109">
            <w:pPr>
              <w:jc w:val="both"/>
              <w:rPr>
                <w:rFonts w:ascii="Times New Roman" w:hAnsi="Times New Roman" w:cs="Times New Roman"/>
                <w:noProof/>
              </w:rPr>
            </w:pPr>
          </w:p>
        </w:tc>
      </w:tr>
      <w:tr w:rsidR="00015109">
        <w:tc>
          <w:tcPr>
            <w:tcW w:w="4928" w:type="dxa"/>
            <w:gridSpan w:val="2"/>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6.1.</w:t>
            </w:r>
            <w:r>
              <w:rPr>
                <w:rFonts w:ascii="Times New Roman" w:hAnsi="Times New Roman" w:cs="Times New Roman"/>
                <w:noProof/>
              </w:rPr>
              <w:tab/>
              <w:t>Commission and relevant IT companies to monitor the public commitments in the code of conduct countering illegal hate speech online, including their impact.</w:t>
            </w:r>
          </w:p>
          <w:p w:rsidR="00015109" w:rsidRDefault="00817AEC">
            <w:pPr>
              <w:ind w:left="480" w:hanging="480"/>
              <w:jc w:val="both"/>
              <w:rPr>
                <w:rFonts w:ascii="Times New Roman" w:hAnsi="Times New Roman" w:cs="Times New Roman"/>
                <w:noProof/>
              </w:rPr>
            </w:pPr>
            <w:r>
              <w:rPr>
                <w:rFonts w:ascii="Times New Roman" w:hAnsi="Times New Roman" w:cs="Times New Roman"/>
                <w:noProof/>
              </w:rPr>
              <w:t xml:space="preserve"> </w:t>
            </w:r>
            <w:r>
              <w:rPr>
                <w:rFonts w:ascii="Times New Roman" w:hAnsi="Times New Roman" w:cs="Times New Roman"/>
                <w:noProof/>
              </w:rPr>
              <w:br/>
            </w:r>
          </w:p>
          <w:p w:rsidR="00015109" w:rsidRDefault="00015109">
            <w:pPr>
              <w:ind w:left="480" w:hanging="480"/>
              <w:jc w:val="both"/>
              <w:rPr>
                <w:rFonts w:ascii="Times New Roman" w:hAnsi="Times New Roman" w:cs="Times New Roman"/>
                <w:noProof/>
              </w:rPr>
            </w:pP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The results of the a second monitoring of the implementation of the Code of Conduct was presented on 31 May 2017 and showed significant progress in terms of removal rates and speed. At the same time, work needs to further focus on improving transparency an</w:t>
            </w:r>
            <w:r>
              <w:rPr>
                <w:rFonts w:ascii="Times New Roman" w:hAnsi="Times New Roman" w:cs="Times New Roman"/>
                <w:noProof/>
              </w:rPr>
              <w:t xml:space="preserve">d feed-back to users (see point 6.2). </w:t>
            </w:r>
          </w:p>
          <w:p w:rsidR="00015109" w:rsidRDefault="00015109">
            <w:pPr>
              <w:jc w:val="both"/>
              <w:rPr>
                <w:rFonts w:ascii="Times New Roman" w:hAnsi="Times New Roman" w:cs="Times New Roman"/>
                <w:noProof/>
              </w:rPr>
            </w:pPr>
          </w:p>
          <w:p w:rsidR="00015109" w:rsidRDefault="00817AEC">
            <w:pPr>
              <w:jc w:val="both"/>
              <w:rPr>
                <w:rFonts w:ascii="Times New Roman" w:hAnsi="Times New Roman" w:cs="Times New Roman"/>
                <w:noProof/>
              </w:rPr>
            </w:pPr>
            <w:r>
              <w:rPr>
                <w:rFonts w:ascii="Times New Roman" w:hAnsi="Times New Roman" w:cs="Times New Roman"/>
                <w:noProof/>
              </w:rPr>
              <w:t>The Council reached a general approach on the proposal for a revised directive on Audio Visual Media Service (AVMS) on 23 May 2017. One of the objectives to the proposed amendments to the  AVMS Directive is to ensure</w:t>
            </w:r>
            <w:r>
              <w:rPr>
                <w:rFonts w:ascii="Times New Roman" w:hAnsi="Times New Roman" w:cs="Times New Roman"/>
                <w:noProof/>
              </w:rPr>
              <w:t xml:space="preserve"> that video-sharing platforms be required to take appropriate measures to protect citizens from incitement to violence or hatred (flagging and/or reporting).</w:t>
            </w:r>
          </w:p>
          <w:p w:rsidR="00015109" w:rsidRDefault="00015109">
            <w:pPr>
              <w:jc w:val="both"/>
              <w:rPr>
                <w:rFonts w:ascii="Times New Roman" w:hAnsi="Times New Roman" w:cs="Times New Roman"/>
                <w:noProof/>
                <w:highlight w:val="cyan"/>
              </w:rPr>
            </w:pPr>
          </w:p>
        </w:tc>
      </w:tr>
      <w:tr w:rsidR="00015109">
        <w:tc>
          <w:tcPr>
            <w:tcW w:w="4928" w:type="dxa"/>
            <w:gridSpan w:val="2"/>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6.2.</w:t>
            </w:r>
            <w:r>
              <w:rPr>
                <w:rFonts w:ascii="Times New Roman" w:hAnsi="Times New Roman" w:cs="Times New Roman"/>
                <w:noProof/>
              </w:rPr>
              <w:tab/>
              <w:t xml:space="preserve">Commission and relevant IT companies to improve transparency in the application of notice </w:t>
            </w:r>
            <w:r>
              <w:rPr>
                <w:rFonts w:ascii="Times New Roman" w:hAnsi="Times New Roman" w:cs="Times New Roman"/>
                <w:noProof/>
              </w:rPr>
              <w:t>and take down procedures.</w:t>
            </w:r>
          </w:p>
          <w:p w:rsidR="00015109" w:rsidRDefault="00015109">
            <w:pPr>
              <w:ind w:left="480" w:hanging="480"/>
              <w:jc w:val="both"/>
              <w:rPr>
                <w:rFonts w:ascii="Times New Roman" w:hAnsi="Times New Roman" w:cs="Times New Roman"/>
                <w:b/>
                <w:noProof/>
                <w:color w:val="000000"/>
              </w:rPr>
            </w:pP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Further work with the IT Companies will focus on procedures vis-a-vis specific users affected by notifications as well as against the general public and encourage counter and alternative narratives. The mid-term review on</w:t>
            </w:r>
            <w:r>
              <w:rPr>
                <w:rFonts w:ascii="Times New Roman" w:hAnsi="Times New Roman" w:cs="Times New Roman"/>
                <w:noProof/>
              </w:rPr>
              <w:t xml:space="preserve"> the implementation of the Digital Single Market Strategy issued on 10 May 2017 confirmed the need to continue working towards minimum procedural requirements for the ‘notice and action' procedures of online intermediaries.</w:t>
            </w:r>
          </w:p>
          <w:p w:rsidR="00015109" w:rsidRDefault="00015109">
            <w:pPr>
              <w:jc w:val="both"/>
              <w:rPr>
                <w:rFonts w:ascii="Times New Roman" w:hAnsi="Times New Roman" w:cs="Times New Roman"/>
                <w:noProof/>
              </w:rPr>
            </w:pPr>
          </w:p>
        </w:tc>
      </w:tr>
      <w:tr w:rsidR="00015109">
        <w:tc>
          <w:tcPr>
            <w:tcW w:w="4928" w:type="dxa"/>
            <w:gridSpan w:val="2"/>
            <w:shd w:val="clear" w:color="auto" w:fill="FFFFFF" w:themeFill="background1"/>
          </w:tcPr>
          <w:p w:rsidR="00015109" w:rsidRDefault="00817AEC">
            <w:pPr>
              <w:ind w:left="480" w:hanging="480"/>
              <w:jc w:val="both"/>
              <w:rPr>
                <w:rFonts w:ascii="Times New Roman" w:hAnsi="Times New Roman" w:cs="Times New Roman"/>
                <w:b/>
                <w:i/>
                <w:noProof/>
                <w:color w:val="000000"/>
              </w:rPr>
            </w:pPr>
            <w:r>
              <w:rPr>
                <w:rFonts w:ascii="Times New Roman" w:hAnsi="Times New Roman" w:cs="Times New Roman"/>
                <w:b/>
                <w:i/>
                <w:noProof/>
                <w:color w:val="000000"/>
              </w:rPr>
              <w:t xml:space="preserve">Additional action 1 on online </w:t>
            </w:r>
            <w:r>
              <w:rPr>
                <w:rFonts w:ascii="Times New Roman" w:hAnsi="Times New Roman" w:cs="Times New Roman"/>
                <w:b/>
                <w:i/>
                <w:noProof/>
                <w:color w:val="000000"/>
              </w:rPr>
              <w:t>dimension:</w:t>
            </w:r>
          </w:p>
          <w:p w:rsidR="00015109" w:rsidRDefault="00015109">
            <w:pPr>
              <w:ind w:left="480" w:hanging="480"/>
              <w:jc w:val="both"/>
              <w:rPr>
                <w:rFonts w:ascii="Times New Roman" w:hAnsi="Times New Roman" w:cs="Times New Roman"/>
                <w:b/>
                <w:noProof/>
                <w:color w:val="000000"/>
              </w:rPr>
            </w:pPr>
          </w:p>
          <w:p w:rsidR="00015109" w:rsidRDefault="00817AEC">
            <w:pPr>
              <w:ind w:left="480" w:hanging="480"/>
              <w:jc w:val="both"/>
              <w:rPr>
                <w:rFonts w:ascii="Times New Roman" w:hAnsi="Times New Roman" w:cs="Times New Roman"/>
                <w:noProof/>
              </w:rPr>
            </w:pPr>
            <w:r>
              <w:rPr>
                <w:rFonts w:ascii="Times New Roman" w:hAnsi="Times New Roman" w:cs="Times New Roman"/>
                <w:noProof/>
              </w:rPr>
              <w:lastRenderedPageBreak/>
              <w:tab/>
              <w:t>Support civil society in monitoring and diminishing the attraction and impact of hate speech through the Rights, Equality and Citizenship Programme</w:t>
            </w: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lastRenderedPageBreak/>
              <w:t>Ongoing</w:t>
            </w:r>
          </w:p>
        </w:tc>
        <w:tc>
          <w:tcPr>
            <w:tcW w:w="8348" w:type="dxa"/>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In 2017, the Commission has increased the funding devoted to combat racism and xenophob</w:t>
            </w:r>
            <w:r>
              <w:rPr>
                <w:rFonts w:ascii="Times New Roman" w:hAnsi="Times New Roman" w:cs="Times New Roman"/>
                <w:noProof/>
              </w:rPr>
              <w:t xml:space="preserve">ia to EUR 7 million, out of which EUR 1,5 million is allocated specifically to </w:t>
            </w:r>
            <w:r>
              <w:rPr>
                <w:rFonts w:ascii="Times New Roman" w:hAnsi="Times New Roman" w:cs="Times New Roman"/>
                <w:noProof/>
              </w:rPr>
              <w:lastRenderedPageBreak/>
              <w:t>counter hate speech online including through the development of counter-narratives.</w:t>
            </w:r>
          </w:p>
        </w:tc>
      </w:tr>
      <w:tr w:rsidR="00015109">
        <w:tc>
          <w:tcPr>
            <w:tcW w:w="4928" w:type="dxa"/>
            <w:gridSpan w:val="2"/>
            <w:tcBorders>
              <w:bottom w:val="single" w:sz="4" w:space="0" w:color="auto"/>
            </w:tcBorders>
            <w:shd w:val="clear" w:color="auto" w:fill="FFFFFF" w:themeFill="background1"/>
          </w:tcPr>
          <w:p w:rsidR="00015109" w:rsidRDefault="00817AEC">
            <w:pPr>
              <w:ind w:left="480" w:hanging="480"/>
              <w:jc w:val="both"/>
              <w:rPr>
                <w:rFonts w:ascii="Times New Roman" w:hAnsi="Times New Roman" w:cs="Times New Roman"/>
                <w:b/>
                <w:i/>
                <w:noProof/>
                <w:color w:val="000000"/>
              </w:rPr>
            </w:pPr>
            <w:r>
              <w:rPr>
                <w:rFonts w:ascii="Times New Roman" w:hAnsi="Times New Roman" w:cs="Times New Roman"/>
                <w:b/>
                <w:i/>
                <w:noProof/>
                <w:color w:val="000000"/>
              </w:rPr>
              <w:lastRenderedPageBreak/>
              <w:t>Additional action 2 on online dimension:</w:t>
            </w:r>
          </w:p>
          <w:p w:rsidR="00015109" w:rsidRDefault="00015109">
            <w:pPr>
              <w:ind w:left="480" w:hanging="480"/>
              <w:jc w:val="both"/>
              <w:rPr>
                <w:rFonts w:ascii="Times New Roman" w:hAnsi="Times New Roman" w:cs="Times New Roman"/>
                <w:b/>
                <w:noProof/>
                <w:color w:val="000000"/>
              </w:rPr>
            </w:pPr>
          </w:p>
          <w:p w:rsidR="00015109" w:rsidRDefault="00817AEC">
            <w:pPr>
              <w:ind w:left="480" w:hanging="480"/>
              <w:jc w:val="both"/>
              <w:rPr>
                <w:rFonts w:ascii="Times New Roman" w:hAnsi="Times New Roman" w:cs="Times New Roman"/>
                <w:noProof/>
              </w:rPr>
            </w:pPr>
            <w:r>
              <w:rPr>
                <w:rFonts w:ascii="Times New Roman" w:hAnsi="Times New Roman" w:cs="Times New Roman"/>
                <w:noProof/>
              </w:rPr>
              <w:tab/>
              <w:t>Continue financing the Strategic Communications A</w:t>
            </w:r>
            <w:r>
              <w:rPr>
                <w:rFonts w:ascii="Times New Roman" w:hAnsi="Times New Roman" w:cs="Times New Roman"/>
                <w:noProof/>
              </w:rPr>
              <w:t>dvisory Team/Strategic Communications Network, to develop the appropriate policy framework, communication campaigns or individual initiatives</w:t>
            </w:r>
          </w:p>
        </w:tc>
        <w:tc>
          <w:tcPr>
            <w:tcW w:w="992" w:type="dxa"/>
            <w:gridSpan w:val="2"/>
            <w:tcBorders>
              <w:bottom w:val="single" w:sz="4" w:space="0" w:color="auto"/>
            </w:tcBorders>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tcBorders>
              <w:bottom w:val="single" w:sz="4" w:space="0" w:color="auto"/>
            </w:tcBorders>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 xml:space="preserve">The European Strategic Communications Network (ESCN), a Belgian-led project, buils on the Syria strategic </w:t>
            </w:r>
            <w:r>
              <w:rPr>
                <w:rFonts w:ascii="Times New Roman" w:hAnsi="Times New Roman" w:cs="Times New Roman"/>
                <w:noProof/>
              </w:rPr>
              <w:t>communication advisory team (SSCAT) project tasked with organising and facilitating a Network of Member States to share best practice on the use of strategic communications in countering terrorism and violent extremism. It is co-financed by the Internal Se</w:t>
            </w:r>
            <w:r>
              <w:rPr>
                <w:rFonts w:ascii="Times New Roman" w:hAnsi="Times New Roman" w:cs="Times New Roman"/>
                <w:noProof/>
              </w:rPr>
              <w:t>curity Fund-Police (ISF-Police) action grant (maximum amount of EUR 1.150.000).</w:t>
            </w:r>
          </w:p>
          <w:p w:rsidR="00015109" w:rsidRDefault="00015109">
            <w:pPr>
              <w:jc w:val="both"/>
              <w:rPr>
                <w:rFonts w:ascii="Times New Roman" w:hAnsi="Times New Roman" w:cs="Times New Roman"/>
                <w:noProof/>
              </w:rPr>
            </w:pPr>
          </w:p>
        </w:tc>
      </w:tr>
      <w:tr w:rsidR="00015109">
        <w:tc>
          <w:tcPr>
            <w:tcW w:w="4928" w:type="dxa"/>
            <w:gridSpan w:val="2"/>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7</w:t>
            </w:r>
            <w:r>
              <w:rPr>
                <w:rFonts w:ascii="Times New Roman" w:hAnsi="Times New Roman" w:cs="Times New Roman"/>
                <w:noProof/>
              </w:rPr>
              <w:tab/>
              <w:t>The Radicalisation Awareness Network Centre of Excellence to exchange good practices and formulate policy recommendations on the prevention of radicalisation for first-line</w:t>
            </w:r>
            <w:r>
              <w:rPr>
                <w:rFonts w:ascii="Times New Roman" w:hAnsi="Times New Roman" w:cs="Times New Roman"/>
                <w:noProof/>
              </w:rPr>
              <w:t xml:space="preserve"> practitioners (including where appropriate judges and prosecutors), covering the prison and probation sector.</w:t>
            </w: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The Radicalisation Awareness Network working group on Prisons and Probation continues to foster exchanges of best practices amongst pract</w:t>
            </w:r>
            <w:r>
              <w:rPr>
                <w:rFonts w:ascii="Times New Roman" w:hAnsi="Times New Roman" w:cs="Times New Roman"/>
                <w:noProof/>
              </w:rPr>
              <w:t xml:space="preserve">itioners and will report on its activities at the end of 2017. </w:t>
            </w:r>
          </w:p>
          <w:p w:rsidR="00015109" w:rsidRDefault="00015109">
            <w:pPr>
              <w:jc w:val="both"/>
              <w:rPr>
                <w:rFonts w:ascii="Times New Roman" w:hAnsi="Times New Roman" w:cs="Times New Roman"/>
                <w:noProof/>
              </w:rPr>
            </w:pPr>
          </w:p>
          <w:p w:rsidR="00015109" w:rsidRDefault="00817AEC">
            <w:pPr>
              <w:pStyle w:val="Para3"/>
              <w:numPr>
                <w:ilvl w:val="0"/>
                <w:numId w:val="0"/>
              </w:numPr>
              <w:tabs>
                <w:tab w:val="clear" w:pos="992"/>
                <w:tab w:val="left" w:pos="454"/>
              </w:tabs>
              <w:jc w:val="both"/>
              <w:rPr>
                <w:rFonts w:ascii="Times New Roman" w:hAnsi="Times New Roman"/>
                <w:sz w:val="22"/>
                <w:szCs w:val="22"/>
              </w:rPr>
            </w:pPr>
            <w:r>
              <w:rPr>
                <w:rFonts w:ascii="Times New Roman" w:hAnsi="Times New Roman"/>
                <w:sz w:val="22"/>
                <w:szCs w:val="22"/>
                <w:lang w:val="en-GB"/>
              </w:rPr>
              <w:t>T</w:t>
            </w:r>
            <w:r>
              <w:rPr>
                <w:rFonts w:ascii="Times New Roman" w:hAnsi="Times New Roman"/>
                <w:sz w:val="22"/>
                <w:szCs w:val="22"/>
              </w:rPr>
              <w:t xml:space="preserve">he Justice programme provides operating grants to the European Organisation of Prison and Correctional Services (EuroPris) which brings together prison administrations and to the </w:t>
            </w:r>
            <w:r>
              <w:rPr>
                <w:rFonts w:ascii="Times New Roman" w:hAnsi="Times New Roman"/>
                <w:sz w:val="22"/>
                <w:szCs w:val="22"/>
                <w:lang w:val="en-GB"/>
              </w:rPr>
              <w:t>Confédération Européenne de Probation (CEP). Those organisations organise regular meetings amongst practioners to discuss issues relating to radicalisation.</w:t>
            </w:r>
          </w:p>
          <w:p w:rsidR="00015109" w:rsidRDefault="00817AEC">
            <w:pPr>
              <w:jc w:val="both"/>
              <w:rPr>
                <w:rFonts w:ascii="Times New Roman" w:hAnsi="Times New Roman" w:cs="Times New Roman"/>
                <w:noProof/>
              </w:rPr>
            </w:pPr>
            <w:r>
              <w:rPr>
                <w:rFonts w:ascii="Times New Roman" w:hAnsi="Times New Roman" w:cs="Times New Roman"/>
                <w:noProof/>
              </w:rPr>
              <w:t>The Erasmus+ programme supports training programmes in prisons aimed at preventing and tackling rad</w:t>
            </w:r>
            <w:r>
              <w:rPr>
                <w:rFonts w:ascii="Times New Roman" w:hAnsi="Times New Roman" w:cs="Times New Roman"/>
                <w:noProof/>
              </w:rPr>
              <w:t>icalisation. The Radicalization Prevention in Prisons (R2PRIS) Project was launched in December 2015 to help frontline staff (correctional officers, educational staff and psychologists, social workers, etc) to identify, report and interpret signals of radi</w:t>
            </w:r>
            <w:r>
              <w:rPr>
                <w:rFonts w:ascii="Times New Roman" w:hAnsi="Times New Roman" w:cs="Times New Roman"/>
                <w:noProof/>
              </w:rPr>
              <w:t>calisation and respond appropriately. The project is implemented in five countries, (Portugal, Norway, Turkey, Belgium and Romania) and will include 160 training session by August 2018.</w:t>
            </w:r>
          </w:p>
          <w:p w:rsidR="00015109" w:rsidRDefault="00015109">
            <w:pPr>
              <w:jc w:val="both"/>
              <w:rPr>
                <w:rFonts w:ascii="Times New Roman" w:hAnsi="Times New Roman" w:cs="Times New Roman"/>
                <w:noProof/>
              </w:rPr>
            </w:pPr>
          </w:p>
        </w:tc>
      </w:tr>
      <w:tr w:rsidR="00015109">
        <w:tc>
          <w:tcPr>
            <w:tcW w:w="4928" w:type="dxa"/>
            <w:gridSpan w:val="2"/>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8</w:t>
            </w:r>
            <w:r>
              <w:rPr>
                <w:rFonts w:ascii="Times New Roman" w:hAnsi="Times New Roman" w:cs="Times New Roman"/>
                <w:noProof/>
              </w:rPr>
              <w:tab/>
              <w:t xml:space="preserve">Provide financial support to help Member States to develop risk </w:t>
            </w:r>
            <w:r>
              <w:rPr>
                <w:rFonts w:ascii="Times New Roman" w:hAnsi="Times New Roman" w:cs="Times New Roman"/>
                <w:noProof/>
              </w:rPr>
              <w:t>assessment tools.</w:t>
            </w:r>
          </w:p>
          <w:p w:rsidR="00015109" w:rsidRDefault="00015109">
            <w:pPr>
              <w:ind w:left="480" w:hanging="480"/>
              <w:jc w:val="both"/>
              <w:rPr>
                <w:rFonts w:ascii="Times New Roman" w:hAnsi="Times New Roman" w:cs="Times New Roman"/>
                <w:noProof/>
              </w:rPr>
            </w:pPr>
          </w:p>
          <w:p w:rsidR="00015109" w:rsidRDefault="00015109">
            <w:pPr>
              <w:pStyle w:val="Default"/>
              <w:jc w:val="both"/>
              <w:rPr>
                <w:noProof/>
              </w:rPr>
            </w:pP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p w:rsidR="00015109" w:rsidRDefault="00015109">
            <w:pPr>
              <w:rPr>
                <w:rFonts w:ascii="Times New Roman" w:hAnsi="Times New Roman" w:cs="Times New Roman"/>
                <w:noProof/>
              </w:rPr>
            </w:pPr>
          </w:p>
        </w:tc>
        <w:tc>
          <w:tcPr>
            <w:tcW w:w="8348" w:type="dxa"/>
            <w:shd w:val="clear" w:color="auto" w:fill="FFFFFF" w:themeFill="background1"/>
          </w:tcPr>
          <w:p w:rsidR="00015109" w:rsidRDefault="00817AEC">
            <w:pPr>
              <w:pStyle w:val="Para1"/>
              <w:numPr>
                <w:ilvl w:val="0"/>
                <w:numId w:val="0"/>
              </w:numPr>
              <w:jc w:val="both"/>
              <w:rPr>
                <w:rFonts w:ascii="Times New Roman" w:hAnsi="Times New Roman"/>
                <w:sz w:val="22"/>
                <w:szCs w:val="22"/>
                <w:lang w:val="en-GB"/>
              </w:rPr>
            </w:pPr>
            <w:bookmarkStart w:id="2" w:name="_Ref474158607"/>
            <w:r>
              <w:rPr>
                <w:rFonts w:ascii="Times New Roman" w:hAnsi="Times New Roman"/>
                <w:sz w:val="22"/>
                <w:szCs w:val="22"/>
                <w:lang w:val="en-GB"/>
              </w:rPr>
              <w:t xml:space="preserve">In line with the strategic focus on preventing radicalisation in prisons and integrating rehabilitation into the criminal justice response, the Commission  launched two calls for proposals in </w:t>
            </w:r>
            <w:r>
              <w:rPr>
                <w:rFonts w:ascii="Times New Roman" w:hAnsi="Times New Roman"/>
                <w:b/>
                <w:sz w:val="22"/>
                <w:szCs w:val="22"/>
                <w:lang w:val="en-GB"/>
              </w:rPr>
              <w:t>2015</w:t>
            </w:r>
            <w:r>
              <w:rPr>
                <w:rFonts w:ascii="Times New Roman" w:hAnsi="Times New Roman"/>
                <w:sz w:val="22"/>
                <w:szCs w:val="22"/>
                <w:lang w:val="en-GB"/>
              </w:rPr>
              <w:t xml:space="preserve"> through the Justice Programme </w:t>
            </w:r>
            <w:r>
              <w:rPr>
                <w:rFonts w:ascii="Times New Roman" w:hAnsi="Times New Roman"/>
                <w:sz w:val="22"/>
                <w:szCs w:val="22"/>
                <w:lang w:val="en-GB"/>
              </w:rPr>
              <w:t>2014-2020:</w:t>
            </w:r>
            <w:bookmarkEnd w:id="2"/>
          </w:p>
          <w:p w:rsidR="00015109" w:rsidRDefault="00817AEC">
            <w:pPr>
              <w:pStyle w:val="Para4"/>
              <w:jc w:val="both"/>
              <w:rPr>
                <w:rFonts w:ascii="Times New Roman" w:hAnsi="Times New Roman"/>
                <w:sz w:val="22"/>
                <w:szCs w:val="22"/>
                <w:lang w:val="en-GB"/>
              </w:rPr>
            </w:pPr>
            <w:r>
              <w:rPr>
                <w:rFonts w:ascii="Times New Roman" w:hAnsi="Times New Roman"/>
                <w:sz w:val="22"/>
                <w:szCs w:val="22"/>
                <w:lang w:val="en-GB"/>
              </w:rPr>
              <w:t xml:space="preserve">JUST/2015/JCOO/AG/TERR: Action grants to support judicial cooperation in </w:t>
            </w:r>
            <w:r>
              <w:rPr>
                <w:rFonts w:ascii="Times New Roman" w:hAnsi="Times New Roman"/>
                <w:sz w:val="22"/>
                <w:szCs w:val="22"/>
                <w:lang w:val="en-GB"/>
              </w:rPr>
              <w:lastRenderedPageBreak/>
              <w:t>criminal matters relating to the criminal justice response to terrorism and violent radicalisation. (budget of EUR 1 million; three projects selected).</w:t>
            </w:r>
          </w:p>
          <w:p w:rsidR="00015109" w:rsidRDefault="00817AEC">
            <w:pPr>
              <w:pStyle w:val="Para4"/>
              <w:jc w:val="both"/>
              <w:rPr>
                <w:rFonts w:ascii="Times New Roman" w:hAnsi="Times New Roman"/>
                <w:sz w:val="22"/>
                <w:szCs w:val="22"/>
                <w:lang w:val="en-GB"/>
              </w:rPr>
            </w:pPr>
            <w:r>
              <w:rPr>
                <w:rFonts w:ascii="Times New Roman" w:hAnsi="Times New Roman"/>
                <w:sz w:val="22"/>
                <w:szCs w:val="22"/>
              </w:rPr>
              <w:t>JUST/2015/JTRA/AG/EJ</w:t>
            </w:r>
            <w:r>
              <w:rPr>
                <w:rFonts w:ascii="Times New Roman" w:hAnsi="Times New Roman"/>
                <w:sz w:val="22"/>
                <w:szCs w:val="22"/>
              </w:rPr>
              <w:t>TR: Action grants to support European judicial training. (budget of EUR 1,5 million</w:t>
            </w:r>
            <w:r>
              <w:rPr>
                <w:rFonts w:ascii="Times New Roman" w:hAnsi="Times New Roman"/>
                <w:b/>
                <w:sz w:val="22"/>
                <w:szCs w:val="22"/>
              </w:rPr>
              <w:t xml:space="preserve"> </w:t>
            </w:r>
            <w:r>
              <w:rPr>
                <w:rFonts w:ascii="Times New Roman" w:hAnsi="Times New Roman"/>
                <w:sz w:val="22"/>
                <w:szCs w:val="22"/>
              </w:rPr>
              <w:t>available for the part on “judicial aspects of the fight against terrorism and organised crime” and “prevention of radicalisation in detention”- five projects selected)</w:t>
            </w:r>
          </w:p>
          <w:p w:rsidR="00015109" w:rsidRDefault="00817AEC">
            <w:pPr>
              <w:autoSpaceDE w:val="0"/>
              <w:autoSpaceDN w:val="0"/>
              <w:jc w:val="both"/>
              <w:rPr>
                <w:rFonts w:ascii="Times New Roman" w:hAnsi="Times New Roman" w:cs="Times New Roman"/>
                <w:noProof/>
              </w:rPr>
            </w:pPr>
            <w:r>
              <w:rPr>
                <w:rFonts w:ascii="Times New Roman" w:hAnsi="Times New Roman" w:cs="Times New Roman"/>
                <w:noProof/>
              </w:rPr>
              <w:t xml:space="preserve">In </w:t>
            </w:r>
            <w:r>
              <w:rPr>
                <w:rFonts w:ascii="Times New Roman" w:hAnsi="Times New Roman" w:cs="Times New Roman"/>
                <w:noProof/>
              </w:rPr>
              <w:t>2016, there was a single call for judicial cooperation (JUST-JCOO-TERR-AG-2016) with a budget of EUR 4 million which also includes judicial training in the area of radicalisation (10 projects were selected and three were put on the reserve list).</w:t>
            </w:r>
          </w:p>
          <w:p w:rsidR="00015109" w:rsidRDefault="00015109">
            <w:pPr>
              <w:autoSpaceDE w:val="0"/>
              <w:autoSpaceDN w:val="0"/>
              <w:jc w:val="both"/>
              <w:rPr>
                <w:rFonts w:ascii="Times New Roman" w:hAnsi="Times New Roman" w:cs="Times New Roman"/>
                <w:noProof/>
              </w:rPr>
            </w:pPr>
          </w:p>
          <w:p w:rsidR="00015109" w:rsidRDefault="00817AEC">
            <w:pPr>
              <w:autoSpaceDE w:val="0"/>
              <w:autoSpaceDN w:val="0"/>
              <w:jc w:val="both"/>
              <w:rPr>
                <w:rFonts w:ascii="Times New Roman" w:hAnsi="Times New Roman" w:cs="Times New Roman"/>
                <w:noProof/>
              </w:rPr>
            </w:pPr>
            <w:r>
              <w:rPr>
                <w:rFonts w:ascii="Times New Roman" w:hAnsi="Times New Roman" w:cs="Times New Roman"/>
                <w:noProof/>
              </w:rPr>
              <w:t xml:space="preserve">In the </w:t>
            </w:r>
            <w:r>
              <w:rPr>
                <w:rFonts w:ascii="Times New Roman" w:hAnsi="Times New Roman" w:cs="Times New Roman"/>
                <w:noProof/>
              </w:rPr>
              <w:t>2017 Justice annual work programme (under Judicial cooperation in criminal matters), priority is given to the efficient contribution to the European Agenda on Security as regards the judicial responses to terrorism, notably on countering terrorist financin</w:t>
            </w:r>
            <w:r>
              <w:rPr>
                <w:rFonts w:ascii="Times New Roman" w:hAnsi="Times New Roman" w:cs="Times New Roman"/>
                <w:noProof/>
              </w:rPr>
              <w:t>g and on reinforcing the prevention of radicalisation, especially in prisons.</w:t>
            </w:r>
          </w:p>
        </w:tc>
      </w:tr>
      <w:tr w:rsidR="00015109">
        <w:tc>
          <w:tcPr>
            <w:tcW w:w="4928" w:type="dxa"/>
            <w:gridSpan w:val="2"/>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lastRenderedPageBreak/>
              <w:t>9</w:t>
            </w:r>
            <w:r>
              <w:rPr>
                <w:rFonts w:ascii="Times New Roman" w:hAnsi="Times New Roman" w:cs="Times New Roman"/>
                <w:noProof/>
              </w:rPr>
              <w:tab/>
              <w:t>Support the development of education and training programmes in prison (including vocational training) to enable detainees to ease their reintegration into society.</w:t>
            </w: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Er</w:t>
            </w:r>
            <w:r>
              <w:rPr>
                <w:rFonts w:ascii="Times New Roman" w:hAnsi="Times New Roman" w:cs="Times New Roman"/>
                <w:noProof/>
              </w:rPr>
              <w:t xml:space="preserve">asmus+ can support adult learning projects which can target up-skilling and reintegration measures in prisons. Several projects (selected under the 2016 Erasmus+ social inclusion call) were launched in January 2017, for a total of EUR 1,3 </w:t>
            </w:r>
            <w:r>
              <w:rPr>
                <w:rFonts w:ascii="Times New Roman" w:hAnsi="Times New Roman"/>
                <w:noProof/>
              </w:rPr>
              <w:t>million.</w:t>
            </w:r>
          </w:p>
          <w:p w:rsidR="00015109" w:rsidRDefault="00015109">
            <w:pPr>
              <w:jc w:val="both"/>
              <w:rPr>
                <w:rFonts w:ascii="Times New Roman" w:hAnsi="Times New Roman" w:cs="Times New Roman"/>
                <w:noProof/>
              </w:rPr>
            </w:pPr>
          </w:p>
          <w:p w:rsidR="00015109" w:rsidRDefault="00817AEC">
            <w:pPr>
              <w:jc w:val="both"/>
              <w:rPr>
                <w:rFonts w:ascii="Times New Roman" w:hAnsi="Times New Roman" w:cs="Times New Roman"/>
                <w:noProof/>
              </w:rPr>
            </w:pPr>
            <w:r>
              <w:rPr>
                <w:rFonts w:ascii="Times New Roman" w:hAnsi="Times New Roman" w:cs="Times New Roman"/>
                <w:noProof/>
              </w:rPr>
              <w:t>The Eur</w:t>
            </w:r>
            <w:r>
              <w:rPr>
                <w:rFonts w:ascii="Times New Roman" w:hAnsi="Times New Roman" w:cs="Times New Roman"/>
                <w:noProof/>
              </w:rPr>
              <w:t>opean Social Fund supports a wide range of social inclusion measures related to de-radicalisation and professional reinsertion after prison.</w:t>
            </w:r>
          </w:p>
          <w:p w:rsidR="00015109" w:rsidRDefault="00015109">
            <w:pPr>
              <w:jc w:val="both"/>
              <w:rPr>
                <w:rFonts w:ascii="Times New Roman" w:hAnsi="Times New Roman" w:cs="Times New Roman"/>
                <w:noProof/>
              </w:rPr>
            </w:pPr>
          </w:p>
        </w:tc>
      </w:tr>
      <w:tr w:rsidR="00015109">
        <w:tc>
          <w:tcPr>
            <w:tcW w:w="4908" w:type="dxa"/>
            <w:shd w:val="clear" w:color="auto" w:fill="FFFFFF" w:themeFill="background1"/>
          </w:tcPr>
          <w:p w:rsidR="00015109" w:rsidRDefault="00817AEC">
            <w:pPr>
              <w:tabs>
                <w:tab w:val="left" w:pos="4830"/>
              </w:tabs>
              <w:ind w:left="480" w:hanging="480"/>
              <w:jc w:val="both"/>
              <w:rPr>
                <w:rFonts w:ascii="Times New Roman" w:hAnsi="Times New Roman" w:cs="Times New Roman"/>
                <w:noProof/>
              </w:rPr>
            </w:pPr>
            <w:r>
              <w:rPr>
                <w:rFonts w:ascii="Times New Roman" w:hAnsi="Times New Roman" w:cs="Times New Roman"/>
                <w:noProof/>
              </w:rPr>
              <w:t>10.</w:t>
            </w:r>
            <w:r>
              <w:rPr>
                <w:rFonts w:ascii="Times New Roman" w:hAnsi="Times New Roman" w:cs="Times New Roman"/>
                <w:noProof/>
              </w:rPr>
              <w:tab/>
              <w:t>Support the development of rehabilitation programmes for prisoners by Member States</w:t>
            </w:r>
            <w:r>
              <w:rPr>
                <w:noProof/>
              </w:rPr>
              <w:t xml:space="preserve"> </w:t>
            </w:r>
            <w:r>
              <w:rPr>
                <w:rFonts w:ascii="Times New Roman" w:hAnsi="Times New Roman" w:cs="Times New Roman"/>
                <w:noProof/>
              </w:rPr>
              <w:t xml:space="preserve">and the exchange of best </w:t>
            </w:r>
            <w:r>
              <w:rPr>
                <w:rFonts w:ascii="Times New Roman" w:hAnsi="Times New Roman" w:cs="Times New Roman"/>
                <w:noProof/>
              </w:rPr>
              <w:t>practices and policies in the field of the execution of penal sanctions.</w:t>
            </w:r>
          </w:p>
          <w:p w:rsidR="00015109" w:rsidRDefault="00015109">
            <w:pPr>
              <w:tabs>
                <w:tab w:val="left" w:pos="4830"/>
              </w:tabs>
              <w:ind w:left="480" w:hanging="480"/>
              <w:jc w:val="both"/>
              <w:rPr>
                <w:rFonts w:ascii="Times New Roman" w:hAnsi="Times New Roman" w:cs="Times New Roman"/>
                <w:noProof/>
              </w:rPr>
            </w:pPr>
          </w:p>
        </w:tc>
        <w:tc>
          <w:tcPr>
            <w:tcW w:w="992" w:type="dxa"/>
            <w:gridSpan w:val="2"/>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Ongoing</w:t>
            </w:r>
          </w:p>
        </w:tc>
        <w:tc>
          <w:tcPr>
            <w:tcW w:w="8368" w:type="dxa"/>
            <w:gridSpan w:val="2"/>
            <w:shd w:val="clear" w:color="auto" w:fill="FFFFFF" w:themeFill="background1"/>
          </w:tcPr>
          <w:p w:rsidR="00015109" w:rsidRDefault="00817AEC">
            <w:pPr>
              <w:tabs>
                <w:tab w:val="left" w:pos="3845"/>
              </w:tabs>
              <w:jc w:val="both"/>
              <w:rPr>
                <w:rFonts w:ascii="Times New Roman" w:hAnsi="Times New Roman" w:cs="Times New Roman"/>
                <w:noProof/>
              </w:rPr>
            </w:pPr>
            <w:r>
              <w:rPr>
                <w:rFonts w:ascii="Times New Roman" w:hAnsi="Times New Roman" w:cs="Times New Roman"/>
                <w:noProof/>
              </w:rPr>
              <w:t>Funding for the development of rehabilitation programmes</w:t>
            </w:r>
            <w:r>
              <w:rPr>
                <w:noProof/>
              </w:rPr>
              <w:t xml:space="preserve"> </w:t>
            </w:r>
            <w:r>
              <w:rPr>
                <w:rFonts w:ascii="Times New Roman" w:hAnsi="Times New Roman" w:cs="Times New Roman"/>
                <w:noProof/>
              </w:rPr>
              <w:t>and exchanges of best practices is provided by the Commission, see key action 8.</w:t>
            </w:r>
          </w:p>
          <w:p w:rsidR="00015109" w:rsidRDefault="00015109">
            <w:pPr>
              <w:tabs>
                <w:tab w:val="left" w:pos="3845"/>
              </w:tabs>
              <w:jc w:val="both"/>
              <w:rPr>
                <w:rFonts w:ascii="Times New Roman" w:hAnsi="Times New Roman" w:cs="Times New Roman"/>
                <w:noProof/>
              </w:rPr>
            </w:pPr>
          </w:p>
        </w:tc>
      </w:tr>
      <w:tr w:rsidR="00015109">
        <w:tc>
          <w:tcPr>
            <w:tcW w:w="4928" w:type="dxa"/>
            <w:gridSpan w:val="2"/>
            <w:tcBorders>
              <w:bottom w:val="single" w:sz="4" w:space="0" w:color="auto"/>
            </w:tcBorders>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11</w:t>
            </w:r>
            <w:r>
              <w:rPr>
                <w:rFonts w:ascii="Times New Roman" w:hAnsi="Times New Roman" w:cs="Times New Roman"/>
                <w:noProof/>
              </w:rPr>
              <w:tab/>
              <w:t xml:space="preserve">Promote the sharing of </w:t>
            </w:r>
            <w:r>
              <w:rPr>
                <w:rFonts w:ascii="Times New Roman" w:hAnsi="Times New Roman" w:cs="Times New Roman"/>
                <w:noProof/>
              </w:rPr>
              <w:t>information at Eurojust by specialised prosecutors.</w:t>
            </w:r>
          </w:p>
          <w:p w:rsidR="00015109" w:rsidRDefault="00015109">
            <w:pPr>
              <w:jc w:val="both"/>
              <w:rPr>
                <w:rFonts w:ascii="Times New Roman" w:hAnsi="Times New Roman" w:cs="Times New Roman"/>
                <w:noProof/>
              </w:rPr>
            </w:pPr>
          </w:p>
        </w:tc>
        <w:tc>
          <w:tcPr>
            <w:tcW w:w="992" w:type="dxa"/>
            <w:gridSpan w:val="2"/>
            <w:tcBorders>
              <w:bottom w:val="single" w:sz="4" w:space="0" w:color="auto"/>
            </w:tcBorders>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tcBorders>
              <w:bottom w:val="single" w:sz="4" w:space="0" w:color="auto"/>
            </w:tcBorders>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Eurojust will continue to gather its national correspondents for terrorism matters to continue exchanging views at tactical meetings. Eurojust will continue issuing:</w:t>
            </w:r>
          </w:p>
          <w:p w:rsidR="00015109" w:rsidRDefault="00817AEC">
            <w:pPr>
              <w:jc w:val="both"/>
              <w:rPr>
                <w:rFonts w:ascii="Times New Roman" w:hAnsi="Times New Roman" w:cs="Times New Roman"/>
                <w:noProof/>
              </w:rPr>
            </w:pPr>
            <w:r>
              <w:rPr>
                <w:rFonts w:ascii="Times New Roman" w:hAnsi="Times New Roman" w:cs="Times New Roman"/>
                <w:noProof/>
              </w:rPr>
              <w:t>•</w:t>
            </w:r>
            <w:r>
              <w:rPr>
                <w:rFonts w:ascii="Times New Roman" w:hAnsi="Times New Roman" w:cs="Times New Roman"/>
                <w:noProof/>
              </w:rPr>
              <w:tab/>
              <w:t>the Terrorism Conviction Mo</w:t>
            </w:r>
            <w:r>
              <w:rPr>
                <w:rFonts w:ascii="Times New Roman" w:hAnsi="Times New Roman" w:cs="Times New Roman"/>
                <w:noProof/>
              </w:rPr>
              <w:t xml:space="preserve">nitor (TCM) </w:t>
            </w:r>
          </w:p>
          <w:p w:rsidR="00015109" w:rsidRDefault="00817AEC">
            <w:pPr>
              <w:jc w:val="both"/>
              <w:rPr>
                <w:rFonts w:ascii="Times New Roman" w:hAnsi="Times New Roman" w:cs="Times New Roman"/>
                <w:noProof/>
              </w:rPr>
            </w:pPr>
            <w:r>
              <w:rPr>
                <w:rFonts w:ascii="Times New Roman" w:hAnsi="Times New Roman" w:cs="Times New Roman"/>
                <w:noProof/>
              </w:rPr>
              <w:t>•</w:t>
            </w:r>
            <w:r>
              <w:rPr>
                <w:rFonts w:ascii="Times New Roman" w:hAnsi="Times New Roman" w:cs="Times New Roman"/>
                <w:noProof/>
              </w:rPr>
              <w:tab/>
              <w:t>the Foreign Fighters reports</w:t>
            </w:r>
          </w:p>
          <w:p w:rsidR="00015109" w:rsidRDefault="00015109">
            <w:pPr>
              <w:jc w:val="both"/>
              <w:rPr>
                <w:rFonts w:ascii="Times New Roman" w:hAnsi="Times New Roman" w:cs="Times New Roman"/>
                <w:noProof/>
              </w:rPr>
            </w:pPr>
          </w:p>
        </w:tc>
      </w:tr>
      <w:tr w:rsidR="00015109">
        <w:tc>
          <w:tcPr>
            <w:tcW w:w="4928" w:type="dxa"/>
            <w:gridSpan w:val="2"/>
            <w:tcBorders>
              <w:bottom w:val="single" w:sz="4" w:space="0" w:color="auto"/>
            </w:tcBorders>
            <w:shd w:val="clear" w:color="auto" w:fill="auto"/>
          </w:tcPr>
          <w:p w:rsidR="00015109" w:rsidRDefault="00817AEC">
            <w:pPr>
              <w:ind w:left="480" w:hanging="480"/>
              <w:jc w:val="both"/>
              <w:rPr>
                <w:rFonts w:ascii="Times New Roman" w:hAnsi="Times New Roman" w:cs="Times New Roman"/>
                <w:b/>
                <w:i/>
                <w:noProof/>
                <w:color w:val="000000"/>
              </w:rPr>
            </w:pPr>
            <w:r>
              <w:rPr>
                <w:rFonts w:ascii="Times New Roman" w:hAnsi="Times New Roman" w:cs="Times New Roman"/>
                <w:i/>
                <w:noProof/>
              </w:rPr>
              <w:lastRenderedPageBreak/>
              <w:tab/>
            </w:r>
            <w:r>
              <w:rPr>
                <w:rFonts w:ascii="Times New Roman" w:hAnsi="Times New Roman" w:cs="Times New Roman"/>
                <w:b/>
                <w:i/>
                <w:noProof/>
                <w:color w:val="000000"/>
              </w:rPr>
              <w:t>Additional action on prisons:</w:t>
            </w:r>
          </w:p>
          <w:p w:rsidR="00015109" w:rsidRDefault="00015109">
            <w:pPr>
              <w:ind w:left="480" w:hanging="480"/>
              <w:jc w:val="both"/>
              <w:rPr>
                <w:rFonts w:ascii="Times New Roman" w:hAnsi="Times New Roman" w:cs="Times New Roman"/>
                <w:b/>
                <w:i/>
                <w:noProof/>
                <w:color w:val="000000"/>
              </w:rPr>
            </w:pPr>
          </w:p>
          <w:p w:rsidR="00015109" w:rsidRDefault="00817AEC">
            <w:pPr>
              <w:ind w:left="480" w:hanging="480"/>
              <w:jc w:val="both"/>
              <w:rPr>
                <w:rFonts w:ascii="Times New Roman" w:hAnsi="Times New Roman" w:cs="Times New Roman"/>
                <w:noProof/>
              </w:rPr>
            </w:pPr>
            <w:r>
              <w:rPr>
                <w:rFonts w:ascii="Times New Roman" w:hAnsi="Times New Roman" w:cs="Times New Roman"/>
                <w:noProof/>
              </w:rPr>
              <w:tab/>
              <w:t>Support training of prison and probation staff and of judges and prosecutors.</w:t>
            </w:r>
          </w:p>
        </w:tc>
        <w:tc>
          <w:tcPr>
            <w:tcW w:w="992" w:type="dxa"/>
            <w:gridSpan w:val="2"/>
            <w:tcBorders>
              <w:bottom w:val="single" w:sz="4" w:space="0" w:color="auto"/>
            </w:tcBorders>
            <w:shd w:val="clear" w:color="auto" w:fill="auto"/>
          </w:tcPr>
          <w:p w:rsidR="00015109" w:rsidRDefault="00817AEC">
            <w:pPr>
              <w:tabs>
                <w:tab w:val="left" w:pos="2205"/>
              </w:tabs>
              <w:ind w:left="480" w:hanging="480"/>
              <w:rPr>
                <w:rFonts w:ascii="Times New Roman" w:hAnsi="Times New Roman" w:cs="Times New Roman"/>
                <w:noProof/>
              </w:rPr>
            </w:pPr>
            <w:r>
              <w:rPr>
                <w:rFonts w:ascii="Times New Roman" w:hAnsi="Times New Roman" w:cs="Times New Roman"/>
                <w:noProof/>
              </w:rPr>
              <w:t>Ongoing</w:t>
            </w:r>
          </w:p>
        </w:tc>
        <w:tc>
          <w:tcPr>
            <w:tcW w:w="8348" w:type="dxa"/>
            <w:tcBorders>
              <w:bottom w:val="single" w:sz="4" w:space="0" w:color="auto"/>
            </w:tcBorders>
            <w:shd w:val="clear" w:color="auto" w:fill="auto"/>
          </w:tcPr>
          <w:p w:rsidR="00015109" w:rsidRDefault="00817AEC">
            <w:pPr>
              <w:jc w:val="both"/>
              <w:rPr>
                <w:rFonts w:ascii="Times New Roman" w:hAnsi="Times New Roman" w:cs="Times New Roman"/>
                <w:noProof/>
              </w:rPr>
            </w:pPr>
            <w:r>
              <w:rPr>
                <w:rFonts w:ascii="Times New Roman" w:hAnsi="Times New Roman" w:cs="Times New Roman"/>
                <w:noProof/>
              </w:rPr>
              <w:t xml:space="preserve">In May 2016, the Commission has organised a conference for training providers to counter </w:t>
            </w:r>
            <w:r>
              <w:rPr>
                <w:rFonts w:ascii="Times New Roman" w:hAnsi="Times New Roman" w:cs="Times New Roman"/>
                <w:noProof/>
              </w:rPr>
              <w:t>terrorism and radicalisation in May 2016 and is collaborating with the European Network of Penitentiary Training Academies (EPTA), Europris and the Confédération Européenne de Probation to establish more sustainable cross-border cooperation on training for</w:t>
            </w:r>
            <w:r>
              <w:rPr>
                <w:rFonts w:ascii="Times New Roman" w:hAnsi="Times New Roman" w:cs="Times New Roman"/>
                <w:noProof/>
              </w:rPr>
              <w:t xml:space="preserve"> prison and probation staff on de-radicalisation measures.</w:t>
            </w:r>
          </w:p>
          <w:p w:rsidR="00015109" w:rsidRDefault="00015109">
            <w:pPr>
              <w:jc w:val="both"/>
              <w:rPr>
                <w:rFonts w:ascii="Times New Roman" w:hAnsi="Times New Roman" w:cs="Times New Roman"/>
                <w:noProof/>
              </w:rPr>
            </w:pPr>
          </w:p>
          <w:p w:rsidR="00015109" w:rsidRDefault="00817AEC">
            <w:pPr>
              <w:jc w:val="both"/>
              <w:rPr>
                <w:rFonts w:ascii="Times New Roman" w:hAnsi="Times New Roman" w:cs="Times New Roman"/>
                <w:noProof/>
              </w:rPr>
            </w:pPr>
            <w:r>
              <w:rPr>
                <w:rFonts w:ascii="Times New Roman" w:hAnsi="Times New Roman" w:cs="Times New Roman"/>
                <w:noProof/>
              </w:rPr>
              <w:t>The RAN, EuroPris and EPTA are preparing a collection of training interventions and activities for prison professionals.</w:t>
            </w:r>
          </w:p>
          <w:p w:rsidR="00015109" w:rsidRDefault="00015109">
            <w:pPr>
              <w:jc w:val="both"/>
              <w:rPr>
                <w:rFonts w:ascii="Times New Roman" w:hAnsi="Times New Roman" w:cs="Times New Roman"/>
                <w:noProof/>
              </w:rPr>
            </w:pPr>
          </w:p>
          <w:p w:rsidR="00015109" w:rsidRDefault="00817AEC">
            <w:pPr>
              <w:jc w:val="both"/>
              <w:rPr>
                <w:rFonts w:ascii="Times New Roman" w:hAnsi="Times New Roman" w:cs="Times New Roman"/>
                <w:noProof/>
              </w:rPr>
            </w:pPr>
            <w:r>
              <w:rPr>
                <w:rFonts w:ascii="Times New Roman" w:hAnsi="Times New Roman" w:cs="Times New Roman"/>
                <w:noProof/>
              </w:rPr>
              <w:t>RAN and IMPACT Europe consortium have been offering training to stakeholde</w:t>
            </w:r>
            <w:r>
              <w:rPr>
                <w:rFonts w:ascii="Times New Roman" w:hAnsi="Times New Roman" w:cs="Times New Roman"/>
                <w:noProof/>
              </w:rPr>
              <w:t xml:space="preserve">rs in Member States in evaluating interventions to prevent and counter radicalisation in the prison and probation context. </w:t>
            </w:r>
          </w:p>
          <w:p w:rsidR="00015109" w:rsidRDefault="00015109">
            <w:pPr>
              <w:jc w:val="both"/>
              <w:rPr>
                <w:rFonts w:ascii="Times New Roman" w:hAnsi="Times New Roman" w:cs="Times New Roman"/>
                <w:noProof/>
              </w:rPr>
            </w:pPr>
          </w:p>
          <w:p w:rsidR="00015109" w:rsidRDefault="00817AEC">
            <w:pPr>
              <w:jc w:val="both"/>
              <w:rPr>
                <w:rFonts w:ascii="Times New Roman" w:hAnsi="Times New Roman" w:cs="Times New Roman"/>
                <w:noProof/>
              </w:rPr>
            </w:pPr>
            <w:r>
              <w:rPr>
                <w:rFonts w:ascii="Times New Roman" w:hAnsi="Times New Roman" w:cs="Times New Roman"/>
                <w:noProof/>
              </w:rPr>
              <w:t>To speed up the setting-up of all the projects that are emphasised in the Council Conclusions on Criminal Justice, the Commission i</w:t>
            </w:r>
            <w:r>
              <w:rPr>
                <w:rFonts w:ascii="Times New Roman" w:hAnsi="Times New Roman" w:cs="Times New Roman"/>
                <w:noProof/>
              </w:rPr>
              <w:t>s making financial resources available (more than EUR 6.5 million in 2015 and 2016).</w:t>
            </w:r>
          </w:p>
          <w:p w:rsidR="00015109" w:rsidRDefault="00015109">
            <w:pPr>
              <w:tabs>
                <w:tab w:val="left" w:pos="2205"/>
              </w:tabs>
              <w:jc w:val="both"/>
              <w:rPr>
                <w:rFonts w:ascii="Times New Roman" w:hAnsi="Times New Roman" w:cs="Times New Roman"/>
                <w:noProof/>
              </w:rPr>
            </w:pPr>
          </w:p>
        </w:tc>
      </w:tr>
      <w:tr w:rsidR="00015109">
        <w:tc>
          <w:tcPr>
            <w:tcW w:w="4928" w:type="dxa"/>
            <w:gridSpan w:val="2"/>
            <w:shd w:val="clear" w:color="auto" w:fill="FFFFFF" w:themeFill="background1"/>
          </w:tcPr>
          <w:p w:rsidR="00015109" w:rsidRDefault="00817AEC">
            <w:pPr>
              <w:tabs>
                <w:tab w:val="left" w:pos="2205"/>
              </w:tabs>
              <w:ind w:left="480" w:hanging="480"/>
              <w:jc w:val="both"/>
              <w:rPr>
                <w:rFonts w:ascii="Times New Roman" w:hAnsi="Times New Roman" w:cs="Times New Roman"/>
                <w:noProof/>
              </w:rPr>
            </w:pPr>
            <w:r>
              <w:rPr>
                <w:rFonts w:ascii="Times New Roman" w:hAnsi="Times New Roman" w:cs="Times New Roman"/>
                <w:noProof/>
              </w:rPr>
              <w:t>12</w:t>
            </w:r>
            <w:r>
              <w:rPr>
                <w:rFonts w:ascii="Times New Roman" w:hAnsi="Times New Roman" w:cs="Times New Roman"/>
                <w:noProof/>
              </w:rPr>
              <w:tab/>
              <w:t>Propose a Council Recommendation to enhance social inclusion and promote Europe’s fundamental values through education and non-formal learning.</w:t>
            </w: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End of 2017</w:t>
            </w:r>
          </w:p>
        </w:tc>
        <w:tc>
          <w:tcPr>
            <w:tcW w:w="8348" w:type="dxa"/>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Preparatory work is on-going, in particular in the ET 2020 Working Group on promoting citizenship and the common values of freedom, tolerance and non-discrimination through education. A 12-week online public consultation was launched on 19 May 2017.</w:t>
            </w:r>
          </w:p>
          <w:p w:rsidR="00015109" w:rsidRDefault="00015109">
            <w:pPr>
              <w:jc w:val="both"/>
              <w:rPr>
                <w:rFonts w:ascii="Times New Roman" w:hAnsi="Times New Roman" w:cs="Times New Roman"/>
                <w:noProof/>
              </w:rPr>
            </w:pPr>
          </w:p>
        </w:tc>
      </w:tr>
      <w:tr w:rsidR="00015109">
        <w:tc>
          <w:tcPr>
            <w:tcW w:w="4928" w:type="dxa"/>
            <w:gridSpan w:val="2"/>
            <w:tcBorders>
              <w:bottom w:val="single" w:sz="4" w:space="0" w:color="auto"/>
            </w:tcBorders>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13</w:t>
            </w:r>
            <w:r>
              <w:rPr>
                <w:rFonts w:ascii="Times New Roman" w:hAnsi="Times New Roman" w:cs="Times New Roman"/>
                <w:noProof/>
              </w:rPr>
              <w:tab/>
            </w:r>
            <w:r>
              <w:rPr>
                <w:rFonts w:ascii="Times New Roman" w:hAnsi="Times New Roman" w:cs="Times New Roman"/>
                <w:noProof/>
              </w:rPr>
              <w:t>Make available through Erasmus+ more than EUR 400 million in 2016 to transnational partnerships to develop innovative policy approaches and practices at grass-root level, prioritising social inclusion, the promotion of common values and intercultural under</w:t>
            </w:r>
            <w:r>
              <w:rPr>
                <w:rFonts w:ascii="Times New Roman" w:hAnsi="Times New Roman" w:cs="Times New Roman"/>
                <w:noProof/>
              </w:rPr>
              <w:t>standing. Erasmus+ will scale up actions developed at grass-root level with a dedicated envelope of EUR 13 million in 2016.</w:t>
            </w:r>
          </w:p>
          <w:p w:rsidR="00015109" w:rsidRDefault="00015109">
            <w:pPr>
              <w:ind w:left="480" w:hanging="480"/>
              <w:jc w:val="both"/>
              <w:rPr>
                <w:rFonts w:ascii="Times New Roman" w:hAnsi="Times New Roman" w:cs="Times New Roman"/>
                <w:noProof/>
              </w:rPr>
            </w:pPr>
          </w:p>
          <w:p w:rsidR="00015109" w:rsidRDefault="00817AEC">
            <w:pPr>
              <w:pStyle w:val="Default"/>
              <w:jc w:val="both"/>
              <w:rPr>
                <w:noProof/>
                <w:sz w:val="22"/>
                <w:szCs w:val="22"/>
              </w:rPr>
            </w:pPr>
            <w:r>
              <w:rPr>
                <w:i/>
                <w:noProof/>
                <w:sz w:val="22"/>
                <w:szCs w:val="22"/>
              </w:rPr>
              <w:t xml:space="preserve"> </w:t>
            </w:r>
          </w:p>
        </w:tc>
        <w:tc>
          <w:tcPr>
            <w:tcW w:w="992" w:type="dxa"/>
            <w:gridSpan w:val="2"/>
            <w:tcBorders>
              <w:bottom w:val="single" w:sz="4" w:space="0" w:color="auto"/>
            </w:tcBorders>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tcBorders>
              <w:bottom w:val="single" w:sz="4" w:space="0" w:color="auto"/>
            </w:tcBorders>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The implementation of the Paris Declaration is a cross-cutting priority of the Erasmus+ programme. Targeted calls for pro</w:t>
            </w:r>
            <w:r>
              <w:rPr>
                <w:rFonts w:ascii="Times New Roman" w:hAnsi="Times New Roman" w:cs="Times New Roman"/>
                <w:noProof/>
              </w:rPr>
              <w:t xml:space="preserve">posals have been launched to support inclusion and fundamental values </w:t>
            </w:r>
            <w:r>
              <w:rPr>
                <w:rFonts w:ascii="Times New Roman" w:eastAsia="Calibri" w:hAnsi="Times New Roman" w:cs="Times New Roman"/>
                <w:noProof/>
              </w:rPr>
              <w:t>(Key Action 2, with more than EUR 200 million devoted in 2016). The projects selected in 2016 have started or will start in 2017.</w:t>
            </w:r>
          </w:p>
          <w:p w:rsidR="00015109" w:rsidRDefault="00015109">
            <w:pPr>
              <w:jc w:val="both"/>
              <w:rPr>
                <w:rFonts w:ascii="Times New Roman" w:eastAsia="Calibri" w:hAnsi="Times New Roman" w:cs="Times New Roman"/>
                <w:noProof/>
              </w:rPr>
            </w:pPr>
          </w:p>
          <w:p w:rsidR="00015109" w:rsidRDefault="00817AEC">
            <w:pPr>
              <w:jc w:val="both"/>
              <w:rPr>
                <w:rFonts w:ascii="Times New Roman" w:eastAsia="Calibri" w:hAnsi="Times New Roman" w:cs="Times New Roman"/>
                <w:noProof/>
              </w:rPr>
            </w:pPr>
            <w:r>
              <w:rPr>
                <w:rFonts w:ascii="Times New Roman" w:eastAsia="Calibri" w:hAnsi="Times New Roman" w:cs="Times New Roman"/>
                <w:noProof/>
              </w:rPr>
              <w:t xml:space="preserve">In addition,  </w:t>
            </w:r>
          </w:p>
          <w:p w:rsidR="00015109" w:rsidRDefault="00817AEC">
            <w:pPr>
              <w:jc w:val="both"/>
              <w:rPr>
                <w:rFonts w:ascii="Times New Roman" w:eastAsia="Calibri" w:hAnsi="Times New Roman" w:cs="Times New Roman"/>
                <w:noProof/>
              </w:rPr>
            </w:pPr>
            <w:r>
              <w:rPr>
                <w:rFonts w:ascii="Times New Roman" w:eastAsia="Calibri" w:hAnsi="Times New Roman" w:cs="Times New Roman"/>
                <w:noProof/>
              </w:rPr>
              <w:t xml:space="preserve">- A EUR 13 million call to disseminate, </w:t>
            </w:r>
            <w:r>
              <w:rPr>
                <w:rFonts w:ascii="Times New Roman" w:eastAsia="Calibri" w:hAnsi="Times New Roman" w:cs="Times New Roman"/>
                <w:noProof/>
              </w:rPr>
              <w:t>replicate and upscale existing good practices at grass-root level (Key Action 3) attracted a great interest from stakeholders and was concluded in July 2016 (with 35 projects selected).</w:t>
            </w:r>
          </w:p>
          <w:p w:rsidR="00015109" w:rsidRDefault="00817AEC">
            <w:pPr>
              <w:jc w:val="both"/>
              <w:rPr>
                <w:rFonts w:ascii="Times New Roman" w:eastAsia="Calibri" w:hAnsi="Times New Roman" w:cs="Times New Roman"/>
                <w:noProof/>
              </w:rPr>
            </w:pPr>
            <w:r>
              <w:rPr>
                <w:rFonts w:ascii="Times New Roman" w:eastAsia="Calibri" w:hAnsi="Times New Roman" w:cs="Times New Roman"/>
                <w:noProof/>
              </w:rPr>
              <w:t>- Two priorities focusing on specific objectives of the Paris Declarat</w:t>
            </w:r>
            <w:r>
              <w:rPr>
                <w:rFonts w:ascii="Times New Roman" w:eastAsia="Calibri" w:hAnsi="Times New Roman" w:cs="Times New Roman"/>
                <w:noProof/>
              </w:rPr>
              <w:t>ion in a multi-sector call for European policy experimentations with 5 projects selected (4 on education and training, 1 on youth).</w:t>
            </w:r>
          </w:p>
          <w:p w:rsidR="00015109" w:rsidRDefault="00015109">
            <w:pPr>
              <w:jc w:val="both"/>
              <w:rPr>
                <w:rFonts w:ascii="Times New Roman" w:eastAsia="Calibri" w:hAnsi="Times New Roman" w:cs="Times New Roman"/>
                <w:noProof/>
              </w:rPr>
            </w:pPr>
          </w:p>
          <w:p w:rsidR="00015109" w:rsidRDefault="00817AEC">
            <w:pPr>
              <w:jc w:val="both"/>
              <w:rPr>
                <w:rFonts w:ascii="Times New Roman" w:eastAsia="Calibri" w:hAnsi="Times New Roman" w:cs="Times New Roman"/>
                <w:noProof/>
              </w:rPr>
            </w:pPr>
            <w:r>
              <w:rPr>
                <w:rFonts w:ascii="Times New Roman" w:eastAsia="Calibri" w:hAnsi="Times New Roman" w:cs="Times New Roman"/>
                <w:noProof/>
              </w:rPr>
              <w:t>In 2017, the Erasmus+ continues to support transnational partnerships as a cross-cutting priority (Key Action 2). Moreover,</w:t>
            </w:r>
            <w:r>
              <w:rPr>
                <w:rFonts w:ascii="Times New Roman" w:eastAsia="Calibri" w:hAnsi="Times New Roman" w:cs="Times New Roman"/>
                <w:noProof/>
              </w:rPr>
              <w:t xml:space="preserve"> EUR 10 million will be spent on disseminating, replicating and upscaling existing good practices at grass-root level (Key Action 3) to promote inclusive and democratic schools (call closed in May 2017, selection ongoing).</w:t>
            </w:r>
          </w:p>
          <w:p w:rsidR="00015109" w:rsidRDefault="00015109">
            <w:pPr>
              <w:jc w:val="both"/>
              <w:rPr>
                <w:rFonts w:ascii="Times New Roman" w:hAnsi="Times New Roman" w:cs="Times New Roman"/>
                <w:noProof/>
              </w:rPr>
            </w:pPr>
          </w:p>
        </w:tc>
      </w:tr>
      <w:tr w:rsidR="00015109">
        <w:tc>
          <w:tcPr>
            <w:tcW w:w="4928" w:type="dxa"/>
            <w:gridSpan w:val="2"/>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14</w:t>
            </w:r>
            <w:r>
              <w:rPr>
                <w:rFonts w:ascii="Times New Roman" w:hAnsi="Times New Roman" w:cs="Times New Roman"/>
                <w:noProof/>
              </w:rPr>
              <w:tab/>
              <w:t xml:space="preserve">Establish a network to </w:t>
            </w:r>
            <w:r>
              <w:rPr>
                <w:rFonts w:ascii="Times New Roman" w:hAnsi="Times New Roman" w:cs="Times New Roman"/>
                <w:noProof/>
              </w:rPr>
              <w:t>facilitate direct contacts with positive role models in schools, youth, sport clubs and prisons.</w:t>
            </w: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 xml:space="preserve">The aim of the action is to set up pools of role models at national level to embark on activities to promote social inclusion, prevent exclusion and </w:t>
            </w:r>
            <w:r>
              <w:rPr>
                <w:rFonts w:ascii="Times New Roman" w:hAnsi="Times New Roman" w:cs="Times New Roman"/>
                <w:noProof/>
              </w:rPr>
              <w:t>radicalisation as well as encourage active citizenship and commitment to shared values.</w:t>
            </w:r>
            <w:r>
              <w:rPr>
                <w:rFonts w:ascii="Times New Roman" w:hAnsi="Times New Roman" w:cs="Times New Roman"/>
                <w:iCs/>
                <w:noProof/>
              </w:rPr>
              <w:t xml:space="preserve"> </w:t>
            </w:r>
            <w:r>
              <w:rPr>
                <w:rFonts w:ascii="Times New Roman" w:hAnsi="Times New Roman" w:cs="Times New Roman"/>
                <w:noProof/>
              </w:rPr>
              <w:t>The initiative is rolled out gradually by Erasmus+ National Agencies throughout 2017-2018.</w:t>
            </w:r>
          </w:p>
          <w:p w:rsidR="00015109" w:rsidRDefault="00015109">
            <w:pPr>
              <w:jc w:val="both"/>
              <w:rPr>
                <w:rFonts w:ascii="Times New Roman" w:hAnsi="Times New Roman" w:cs="Times New Roman"/>
                <w:noProof/>
              </w:rPr>
            </w:pPr>
          </w:p>
          <w:p w:rsidR="00015109" w:rsidRDefault="00817AEC">
            <w:pPr>
              <w:jc w:val="both"/>
              <w:rPr>
                <w:rFonts w:ascii="Times New Roman" w:hAnsi="Times New Roman" w:cs="Times New Roman"/>
                <w:noProof/>
              </w:rPr>
            </w:pPr>
            <w:r>
              <w:rPr>
                <w:rFonts w:ascii="Times New Roman" w:hAnsi="Times New Roman" w:cs="Times New Roman"/>
                <w:noProof/>
              </w:rPr>
              <w:t>The “RAN Young” platform to empower young people to take an active role in t</w:t>
            </w:r>
            <w:r>
              <w:rPr>
                <w:rFonts w:ascii="Times New Roman" w:hAnsi="Times New Roman" w:cs="Times New Roman"/>
                <w:noProof/>
              </w:rPr>
              <w:t>he prevention of radicalisation has been launched at the Radicalisation Awareness Network (RAN). High Level Conference on Radicalisation on 9 November 2016. As a result, RAN Young Ambassadors will elaborate recommendations and co-organise meetings where pa</w:t>
            </w:r>
            <w:r>
              <w:rPr>
                <w:rFonts w:ascii="Times New Roman" w:hAnsi="Times New Roman" w:cs="Times New Roman"/>
                <w:noProof/>
              </w:rPr>
              <w:t xml:space="preserve">rticipants are asked to provide their views and recommendations on policy responses and practitioners' work. RAN Young is interacting with other organisations and initiatives such as the </w:t>
            </w:r>
            <w:r>
              <w:rPr>
                <w:rFonts w:ascii="Times New Roman" w:hAnsi="Times New Roman" w:cs="Times New Roman"/>
                <w:i/>
                <w:noProof/>
              </w:rPr>
              <w:t>Extremely Together</w:t>
            </w:r>
            <w:r>
              <w:rPr>
                <w:rFonts w:ascii="Times New Roman" w:hAnsi="Times New Roman" w:cs="Times New Roman"/>
                <w:noProof/>
              </w:rPr>
              <w:t xml:space="preserve"> initiative of the Kofi Annan foundation, YouthCAN </w:t>
            </w:r>
            <w:r>
              <w:rPr>
                <w:rFonts w:ascii="Times New Roman" w:hAnsi="Times New Roman" w:cs="Times New Roman"/>
                <w:noProof/>
              </w:rPr>
              <w:t>and the OSCE Youth Ambassadors.</w:t>
            </w:r>
          </w:p>
          <w:p w:rsidR="00015109" w:rsidRDefault="00015109">
            <w:pPr>
              <w:jc w:val="both"/>
              <w:rPr>
                <w:rFonts w:ascii="Times New Roman" w:hAnsi="Times New Roman" w:cs="Times New Roman"/>
                <w:noProof/>
              </w:rPr>
            </w:pPr>
          </w:p>
        </w:tc>
      </w:tr>
      <w:tr w:rsidR="00015109">
        <w:tc>
          <w:tcPr>
            <w:tcW w:w="4928" w:type="dxa"/>
            <w:gridSpan w:val="2"/>
            <w:tcBorders>
              <w:bottom w:val="single" w:sz="4" w:space="0" w:color="auto"/>
            </w:tcBorders>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15</w:t>
            </w:r>
            <w:r>
              <w:rPr>
                <w:rFonts w:ascii="Times New Roman" w:hAnsi="Times New Roman" w:cs="Times New Roman"/>
                <w:noProof/>
              </w:rPr>
              <w:tab/>
              <w:t>Promote the award of student credits for volunteering and the development of curricula that combine academic content with civic engagement through Erasmus+.</w:t>
            </w:r>
          </w:p>
          <w:p w:rsidR="00015109" w:rsidRDefault="00015109">
            <w:pPr>
              <w:ind w:left="480" w:hanging="480"/>
              <w:jc w:val="both"/>
              <w:rPr>
                <w:rFonts w:ascii="Times New Roman" w:hAnsi="Times New Roman" w:cs="Times New Roman"/>
                <w:noProof/>
              </w:rPr>
            </w:pPr>
          </w:p>
        </w:tc>
        <w:tc>
          <w:tcPr>
            <w:tcW w:w="992" w:type="dxa"/>
            <w:gridSpan w:val="2"/>
            <w:tcBorders>
              <w:bottom w:val="single" w:sz="4" w:space="0" w:color="auto"/>
            </w:tcBorders>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tcBorders>
              <w:bottom w:val="single" w:sz="4" w:space="0" w:color="auto"/>
            </w:tcBorders>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 xml:space="preserve">The Commission, in close cooperation with Erasmus+ </w:t>
            </w:r>
            <w:r>
              <w:rPr>
                <w:rFonts w:ascii="Times New Roman" w:hAnsi="Times New Roman" w:cs="Times New Roman"/>
                <w:noProof/>
              </w:rPr>
              <w:t>National Agencies and higher education institutions, will raise awareness on how to award European Credit Transfer and Accumulation System for non-formal learning, including volunteering. Within the ongoing review of the Diploma Supplement (higher educatio</w:t>
            </w:r>
            <w:r>
              <w:rPr>
                <w:rFonts w:ascii="Times New Roman" w:hAnsi="Times New Roman" w:cs="Times New Roman"/>
                <w:noProof/>
              </w:rPr>
              <w:t>n supplement used within the 48 countries of the Bologna process/European higher education Area), the Commission will promote recognition of "volunteering" or similar non-formal learning activities that are part of a qualification.</w:t>
            </w:r>
          </w:p>
          <w:p w:rsidR="00015109" w:rsidRDefault="00015109">
            <w:pPr>
              <w:jc w:val="both"/>
              <w:rPr>
                <w:rFonts w:ascii="Times New Roman" w:hAnsi="Times New Roman" w:cs="Times New Roman"/>
                <w:i/>
                <w:noProof/>
              </w:rPr>
            </w:pPr>
          </w:p>
        </w:tc>
      </w:tr>
      <w:tr w:rsidR="00015109">
        <w:tc>
          <w:tcPr>
            <w:tcW w:w="4928" w:type="dxa"/>
            <w:gridSpan w:val="2"/>
            <w:tcBorders>
              <w:bottom w:val="single" w:sz="4" w:space="0" w:color="auto"/>
            </w:tcBorders>
            <w:shd w:val="clear" w:color="auto" w:fill="FFFFFF" w:themeFill="background1"/>
          </w:tcPr>
          <w:p w:rsidR="00015109" w:rsidRDefault="00817AEC">
            <w:pPr>
              <w:ind w:left="480" w:hanging="480"/>
              <w:jc w:val="both"/>
              <w:rPr>
                <w:rFonts w:ascii="Times New Roman" w:hAnsi="Times New Roman" w:cs="Times New Roman"/>
                <w:b/>
                <w:i/>
                <w:noProof/>
                <w:color w:val="000000"/>
              </w:rPr>
            </w:pPr>
            <w:r>
              <w:rPr>
                <w:rFonts w:ascii="Times New Roman" w:hAnsi="Times New Roman" w:cs="Times New Roman"/>
                <w:b/>
                <w:i/>
                <w:noProof/>
                <w:color w:val="000000"/>
              </w:rPr>
              <w:t>Additional action 1 on</w:t>
            </w:r>
            <w:r>
              <w:rPr>
                <w:rFonts w:ascii="Times New Roman" w:hAnsi="Times New Roman" w:cs="Times New Roman"/>
                <w:b/>
                <w:i/>
                <w:noProof/>
                <w:color w:val="000000"/>
              </w:rPr>
              <w:t xml:space="preserve"> Education:</w:t>
            </w:r>
          </w:p>
          <w:p w:rsidR="00015109" w:rsidRDefault="00015109">
            <w:pPr>
              <w:ind w:left="480" w:hanging="480"/>
              <w:jc w:val="both"/>
              <w:rPr>
                <w:rFonts w:ascii="Times New Roman" w:hAnsi="Times New Roman" w:cs="Times New Roman"/>
                <w:b/>
                <w:i/>
                <w:noProof/>
                <w:color w:val="000000"/>
              </w:rPr>
            </w:pPr>
          </w:p>
          <w:p w:rsidR="00015109" w:rsidRDefault="00817AEC">
            <w:pPr>
              <w:ind w:left="480" w:hanging="480"/>
              <w:jc w:val="both"/>
              <w:rPr>
                <w:rFonts w:ascii="Times New Roman" w:hAnsi="Times New Roman" w:cs="Times New Roman"/>
                <w:noProof/>
              </w:rPr>
            </w:pPr>
            <w:r>
              <w:rPr>
                <w:rFonts w:ascii="Times New Roman" w:hAnsi="Times New Roman" w:cs="Times New Roman"/>
                <w:b/>
                <w:noProof/>
                <w:color w:val="000000"/>
              </w:rPr>
              <w:tab/>
            </w:r>
            <w:r>
              <w:rPr>
                <w:rFonts w:ascii="Times New Roman" w:hAnsi="Times New Roman" w:cs="Times New Roman"/>
                <w:noProof/>
              </w:rPr>
              <w:t>Equip teachers to address diversity in the classroom and pass on common values to pupils and to detect early signs of radicalisation and to continue supporting exchanging of best practices through eTwinning and within the The Radicalisation A</w:t>
            </w:r>
            <w:r>
              <w:rPr>
                <w:rFonts w:ascii="Times New Roman" w:hAnsi="Times New Roman" w:cs="Times New Roman"/>
                <w:noProof/>
              </w:rPr>
              <w:t>wareness Network working group on education (RAN EDU).</w:t>
            </w:r>
          </w:p>
          <w:p w:rsidR="00015109" w:rsidRDefault="00015109">
            <w:pPr>
              <w:ind w:left="480" w:hanging="360"/>
              <w:jc w:val="both"/>
              <w:rPr>
                <w:rFonts w:ascii="Times New Roman" w:hAnsi="Times New Roman" w:cs="Times New Roman"/>
                <w:noProof/>
              </w:rPr>
            </w:pPr>
          </w:p>
        </w:tc>
        <w:tc>
          <w:tcPr>
            <w:tcW w:w="992" w:type="dxa"/>
            <w:gridSpan w:val="2"/>
            <w:tcBorders>
              <w:bottom w:val="single" w:sz="4" w:space="0" w:color="auto"/>
            </w:tcBorders>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tcBorders>
              <w:bottom w:val="single" w:sz="4" w:space="0" w:color="auto"/>
            </w:tcBorders>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Funded under the Erasmus+ programme, eTwinning is an online platform which for the past 12 years has connected more than 470 000 teachers and 180 000 schools across Europe. The potential of eT</w:t>
            </w:r>
            <w:r>
              <w:rPr>
                <w:rFonts w:ascii="Times New Roman" w:hAnsi="Times New Roman" w:cs="Times New Roman"/>
                <w:noProof/>
              </w:rPr>
              <w:t>winning will be fully exploited with a greater focus on themes linked to citizenship with the objective of empowering teachers to become active agents for a more inclusive and democratic education. To that end, the 2017 annual theme is inclusion.</w:t>
            </w:r>
          </w:p>
          <w:p w:rsidR="00015109" w:rsidRDefault="00015109">
            <w:pPr>
              <w:jc w:val="both"/>
              <w:rPr>
                <w:rFonts w:ascii="Times New Roman" w:hAnsi="Times New Roman" w:cs="Times New Roman"/>
                <w:noProof/>
              </w:rPr>
            </w:pPr>
          </w:p>
          <w:p w:rsidR="00015109" w:rsidRDefault="00817AEC">
            <w:pPr>
              <w:jc w:val="both"/>
              <w:rPr>
                <w:rFonts w:ascii="Times New Roman" w:hAnsi="Times New Roman" w:cs="Times New Roman"/>
                <w:noProof/>
              </w:rPr>
            </w:pPr>
            <w:r>
              <w:rPr>
                <w:rFonts w:ascii="Times New Roman" w:hAnsi="Times New Roman" w:cs="Times New Roman"/>
                <w:noProof/>
              </w:rPr>
              <w:t>In 2017,</w:t>
            </w:r>
            <w:r>
              <w:rPr>
                <w:rFonts w:ascii="Times New Roman" w:hAnsi="Times New Roman" w:cs="Times New Roman"/>
                <w:noProof/>
              </w:rPr>
              <w:t xml:space="preserve"> the Radicalisation Awareness Network (RAN) "Education" working group will focus mainly on types of training for teachers, on the role of higher education in the fight against radicalisation and on media literacy and critical thinking. In 2017, RAN Manifes</w:t>
            </w:r>
            <w:r>
              <w:rPr>
                <w:rFonts w:ascii="Times New Roman" w:hAnsi="Times New Roman" w:cs="Times New Roman"/>
                <w:noProof/>
              </w:rPr>
              <w:t>to will be updated (“Education Manifesto 2.0") offering practical guidelines for schools, lessons learned and policy recommendations.</w:t>
            </w:r>
          </w:p>
        </w:tc>
      </w:tr>
      <w:tr w:rsidR="00015109">
        <w:tc>
          <w:tcPr>
            <w:tcW w:w="4928" w:type="dxa"/>
            <w:gridSpan w:val="2"/>
            <w:tcBorders>
              <w:bottom w:val="single" w:sz="4" w:space="0" w:color="auto"/>
            </w:tcBorders>
            <w:shd w:val="clear" w:color="auto" w:fill="FFFFFF" w:themeFill="background1"/>
          </w:tcPr>
          <w:p w:rsidR="00015109" w:rsidRDefault="00817AEC">
            <w:pPr>
              <w:ind w:left="480" w:hanging="480"/>
              <w:jc w:val="both"/>
              <w:rPr>
                <w:rFonts w:ascii="Times New Roman" w:hAnsi="Times New Roman" w:cs="Times New Roman"/>
                <w:b/>
                <w:i/>
                <w:noProof/>
                <w:color w:val="000000"/>
              </w:rPr>
            </w:pPr>
            <w:r>
              <w:rPr>
                <w:rFonts w:ascii="Times New Roman" w:hAnsi="Times New Roman" w:cs="Times New Roman"/>
                <w:b/>
                <w:i/>
                <w:noProof/>
                <w:color w:val="000000"/>
              </w:rPr>
              <w:t>Additional action 2 on Education 2:</w:t>
            </w:r>
          </w:p>
          <w:p w:rsidR="00015109" w:rsidRDefault="00015109">
            <w:pPr>
              <w:ind w:left="480" w:hanging="480"/>
              <w:jc w:val="both"/>
              <w:rPr>
                <w:rFonts w:ascii="Times New Roman" w:hAnsi="Times New Roman" w:cs="Times New Roman"/>
                <w:i/>
                <w:noProof/>
              </w:rPr>
            </w:pPr>
          </w:p>
          <w:p w:rsidR="00015109" w:rsidRDefault="00817AEC">
            <w:pPr>
              <w:ind w:left="480" w:hanging="480"/>
              <w:jc w:val="both"/>
              <w:rPr>
                <w:rFonts w:ascii="Times New Roman" w:hAnsi="Times New Roman" w:cs="Times New Roman"/>
                <w:noProof/>
              </w:rPr>
            </w:pPr>
            <w:r>
              <w:rPr>
                <w:rFonts w:ascii="Times New Roman" w:hAnsi="Times New Roman" w:cs="Times New Roman"/>
                <w:noProof/>
              </w:rPr>
              <w:tab/>
            </w:r>
            <w:r>
              <w:rPr>
                <w:rFonts w:ascii="Times New Roman" w:hAnsi="Times New Roman" w:cs="Times New Roman"/>
                <w:noProof/>
              </w:rPr>
              <w:t xml:space="preserve">Work closely with the Council of Europe and UNESCO to better implement existing tools designed to support teachers. </w:t>
            </w:r>
          </w:p>
        </w:tc>
        <w:tc>
          <w:tcPr>
            <w:tcW w:w="992" w:type="dxa"/>
            <w:gridSpan w:val="2"/>
            <w:tcBorders>
              <w:bottom w:val="single" w:sz="4" w:space="0" w:color="auto"/>
            </w:tcBorders>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tcBorders>
              <w:bottom w:val="single" w:sz="4" w:space="0" w:color="auto"/>
            </w:tcBorders>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Within the ET 2020 Working Group on citizenship and common values, the Commission is collaborating closely with Council of Europe a</w:t>
            </w:r>
            <w:r>
              <w:rPr>
                <w:rFonts w:ascii="Times New Roman" w:hAnsi="Times New Roman" w:cs="Times New Roman"/>
                <w:noProof/>
              </w:rPr>
              <w:t>nd UNESCO to better exploit synergies and make best use of existing tools (including teachers’ guide).</w:t>
            </w:r>
          </w:p>
          <w:p w:rsidR="00015109" w:rsidRDefault="00015109">
            <w:pPr>
              <w:jc w:val="both"/>
              <w:rPr>
                <w:rFonts w:ascii="Times New Roman" w:hAnsi="Times New Roman" w:cs="Times New Roman"/>
                <w:noProof/>
              </w:rPr>
            </w:pPr>
          </w:p>
          <w:p w:rsidR="00015109" w:rsidRDefault="00817AEC">
            <w:pPr>
              <w:jc w:val="both"/>
              <w:rPr>
                <w:rFonts w:ascii="Times New Roman" w:hAnsi="Times New Roman" w:cs="Times New Roman"/>
                <w:noProof/>
              </w:rPr>
            </w:pPr>
            <w:r>
              <w:rPr>
                <w:rFonts w:ascii="Times New Roman" w:hAnsi="Times New Roman" w:cs="Times New Roman"/>
                <w:noProof/>
              </w:rPr>
              <w:t>The Radicalisation Awareness Network has provided expertise for the UNESCO teacher's guide “A teacher’s Guide on the Prevention of violent radicalisatio</w:t>
            </w:r>
            <w:r>
              <w:rPr>
                <w:rFonts w:ascii="Times New Roman" w:hAnsi="Times New Roman" w:cs="Times New Roman"/>
                <w:noProof/>
              </w:rPr>
              <w:t>n”, published in 2016, which provides guidance, inter alia, related to the management of classroom discussion and the key messages to deliver.</w:t>
            </w:r>
          </w:p>
          <w:p w:rsidR="00015109" w:rsidRDefault="00015109">
            <w:pPr>
              <w:jc w:val="both"/>
              <w:rPr>
                <w:rFonts w:ascii="Times New Roman" w:hAnsi="Times New Roman" w:cs="Times New Roman"/>
                <w:noProof/>
              </w:rPr>
            </w:pPr>
          </w:p>
        </w:tc>
      </w:tr>
      <w:tr w:rsidR="00015109">
        <w:tc>
          <w:tcPr>
            <w:tcW w:w="4928" w:type="dxa"/>
            <w:gridSpan w:val="2"/>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16</w:t>
            </w:r>
            <w:r>
              <w:rPr>
                <w:rFonts w:ascii="Times New Roman" w:hAnsi="Times New Roman" w:cs="Times New Roman"/>
                <w:noProof/>
              </w:rPr>
              <w:tab/>
              <w:t>Continue to work with the European Parliament and the Council towards the adoption of the anti-discriminatio</w:t>
            </w:r>
            <w:r>
              <w:rPr>
                <w:rFonts w:ascii="Times New Roman" w:hAnsi="Times New Roman" w:cs="Times New Roman"/>
                <w:noProof/>
              </w:rPr>
              <w:t>n directive.</w:t>
            </w: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Commission to continue to provide technical support to the Council Presidencies to improve the text of the draft Directive, while working towards building political agreement within the Council.</w:t>
            </w:r>
          </w:p>
          <w:p w:rsidR="00015109" w:rsidRDefault="00015109">
            <w:pPr>
              <w:jc w:val="both"/>
              <w:rPr>
                <w:rFonts w:ascii="Times New Roman" w:hAnsi="Times New Roman" w:cs="Times New Roman"/>
                <w:i/>
                <w:noProof/>
              </w:rPr>
            </w:pPr>
          </w:p>
        </w:tc>
      </w:tr>
      <w:tr w:rsidR="00015109">
        <w:tc>
          <w:tcPr>
            <w:tcW w:w="4928" w:type="dxa"/>
            <w:gridSpan w:val="2"/>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17</w:t>
            </w:r>
            <w:r>
              <w:rPr>
                <w:rFonts w:ascii="Times New Roman" w:hAnsi="Times New Roman" w:cs="Times New Roman"/>
                <w:noProof/>
              </w:rPr>
              <w:tab/>
              <w:t xml:space="preserve">Foster social inclusion of </w:t>
            </w:r>
            <w:r>
              <w:rPr>
                <w:rFonts w:ascii="Times New Roman" w:hAnsi="Times New Roman" w:cs="Times New Roman"/>
                <w:noProof/>
              </w:rPr>
              <w:t>disadvantaged groups through policy measures and the European Social Fund (ESF) and Programme for Employment and Social Innovation.</w:t>
            </w: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Under the framework of ET 2020 dedicated Working Groups (on schools and on citizenship education) focus on inclusion</w:t>
            </w:r>
            <w:r>
              <w:rPr>
                <w:rFonts w:ascii="Times New Roman" w:hAnsi="Times New Roman" w:cs="Times New Roman"/>
                <w:noProof/>
              </w:rPr>
              <w:t xml:space="preserve"> of disadvantaged groups.</w:t>
            </w:r>
          </w:p>
          <w:p w:rsidR="00015109" w:rsidRDefault="00015109">
            <w:pPr>
              <w:jc w:val="both"/>
              <w:rPr>
                <w:rFonts w:ascii="Times New Roman" w:hAnsi="Times New Roman" w:cs="Times New Roman"/>
                <w:noProof/>
                <w:highlight w:val="yellow"/>
              </w:rPr>
            </w:pPr>
          </w:p>
          <w:p w:rsidR="00015109" w:rsidRDefault="00817AEC">
            <w:pPr>
              <w:jc w:val="both"/>
              <w:rPr>
                <w:rFonts w:ascii="Times New Roman" w:hAnsi="Times New Roman" w:cs="Times New Roman"/>
                <w:noProof/>
              </w:rPr>
            </w:pPr>
            <w:r>
              <w:rPr>
                <w:rFonts w:ascii="Times New Roman" w:hAnsi="Times New Roman" w:cs="Times New Roman"/>
                <w:noProof/>
              </w:rPr>
              <w:t>The European Social Fund as well as Employment and Social Innovation programme are investing in social inclusion of disadvantaged groups (poverty network, capacity building for Non-Governmental Organisations dealing with these gr</w:t>
            </w:r>
            <w:r>
              <w:rPr>
                <w:rFonts w:ascii="Times New Roman" w:hAnsi="Times New Roman" w:cs="Times New Roman"/>
                <w:noProof/>
              </w:rPr>
              <w:t>oups, specific projects in the Member States through ESF, awareness raising activities, etc.).</w:t>
            </w:r>
          </w:p>
          <w:p w:rsidR="00015109" w:rsidRDefault="00015109">
            <w:pPr>
              <w:jc w:val="both"/>
              <w:rPr>
                <w:rFonts w:ascii="Times New Roman" w:hAnsi="Times New Roman" w:cs="Times New Roman"/>
                <w:i/>
                <w:noProof/>
              </w:rPr>
            </w:pPr>
          </w:p>
        </w:tc>
      </w:tr>
      <w:tr w:rsidR="00015109">
        <w:tc>
          <w:tcPr>
            <w:tcW w:w="4928" w:type="dxa"/>
            <w:gridSpan w:val="2"/>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18</w:t>
            </w:r>
            <w:r>
              <w:rPr>
                <w:rFonts w:ascii="Times New Roman" w:hAnsi="Times New Roman" w:cs="Times New Roman"/>
                <w:noProof/>
              </w:rPr>
              <w:tab/>
              <w:t>Enhance support to youth workers and organisations, particularly by developing a toolkit.</w:t>
            </w: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 xml:space="preserve">A report with practical toolbox was published in February </w:t>
            </w:r>
            <w:r>
              <w:rPr>
                <w:rFonts w:ascii="Times New Roman" w:hAnsi="Times New Roman" w:cs="Times New Roman"/>
                <w:noProof/>
              </w:rPr>
              <w:t>2017. The toolbox aims at providing youth workers with guidance and advice when working with young people at risk of violent radicalisation. The policy recommendations addressed to authorities from the  local to European level focus on the cooperation amon</w:t>
            </w:r>
            <w:r>
              <w:rPr>
                <w:rFonts w:ascii="Times New Roman" w:hAnsi="Times New Roman" w:cs="Times New Roman"/>
                <w:noProof/>
              </w:rPr>
              <w:t>g various sectors to effectively prevent violent radicalisation of young people.</w:t>
            </w:r>
          </w:p>
          <w:p w:rsidR="00015109" w:rsidRDefault="00015109">
            <w:pPr>
              <w:jc w:val="both"/>
              <w:rPr>
                <w:rFonts w:ascii="Times New Roman" w:hAnsi="Times New Roman" w:cs="Times New Roman"/>
                <w:noProof/>
              </w:rPr>
            </w:pPr>
          </w:p>
          <w:p w:rsidR="00015109" w:rsidRDefault="00817AEC">
            <w:pPr>
              <w:jc w:val="both"/>
              <w:rPr>
                <w:noProof/>
              </w:rPr>
            </w:pPr>
            <w:r>
              <w:rPr>
                <w:rFonts w:ascii="Times New Roman" w:hAnsi="Times New Roman" w:cs="Times New Roman"/>
                <w:noProof/>
              </w:rPr>
              <w:t>The Radicalisation Awareness Network (RAN) working group on Families, Youth and communities will build on the toolbox to develop a RAN manifesto on involving young people and</w:t>
            </w:r>
            <w:r>
              <w:rPr>
                <w:rFonts w:ascii="Times New Roman" w:hAnsi="Times New Roman" w:cs="Times New Roman"/>
                <w:noProof/>
              </w:rPr>
              <w:t xml:space="preserve"> empowering youth work to prevent radicalisation</w:t>
            </w:r>
            <w:r>
              <w:rPr>
                <w:noProof/>
              </w:rPr>
              <w:t xml:space="preserve"> .</w:t>
            </w:r>
          </w:p>
          <w:p w:rsidR="00015109" w:rsidRDefault="00015109">
            <w:pPr>
              <w:jc w:val="both"/>
              <w:rPr>
                <w:rFonts w:ascii="Times New Roman" w:hAnsi="Times New Roman" w:cs="Times New Roman"/>
                <w:noProof/>
              </w:rPr>
            </w:pPr>
          </w:p>
        </w:tc>
      </w:tr>
      <w:tr w:rsidR="00015109">
        <w:tc>
          <w:tcPr>
            <w:tcW w:w="4928" w:type="dxa"/>
            <w:gridSpan w:val="2"/>
            <w:tcBorders>
              <w:bottom w:val="single" w:sz="4" w:space="0" w:color="auto"/>
            </w:tcBorders>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19</w:t>
            </w:r>
            <w:r>
              <w:rPr>
                <w:rFonts w:ascii="Times New Roman" w:hAnsi="Times New Roman" w:cs="Times New Roman"/>
                <w:noProof/>
              </w:rPr>
              <w:tab/>
              <w:t>Strengthen the European Voluntary Service by increasing its budget.</w:t>
            </w:r>
          </w:p>
          <w:p w:rsidR="00015109" w:rsidRDefault="00015109">
            <w:pPr>
              <w:ind w:left="480" w:hanging="480"/>
              <w:jc w:val="both"/>
              <w:rPr>
                <w:rFonts w:ascii="Times New Roman" w:hAnsi="Times New Roman" w:cs="Times New Roman"/>
                <w:noProof/>
              </w:rPr>
            </w:pPr>
          </w:p>
        </w:tc>
        <w:tc>
          <w:tcPr>
            <w:tcW w:w="992" w:type="dxa"/>
            <w:gridSpan w:val="2"/>
            <w:tcBorders>
              <w:bottom w:val="single" w:sz="4" w:space="0" w:color="auto"/>
            </w:tcBorders>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tcBorders>
              <w:bottom w:val="single" w:sz="4" w:space="0" w:color="auto"/>
            </w:tcBorders>
          </w:tcPr>
          <w:p w:rsidR="00015109" w:rsidRDefault="00817AEC">
            <w:pPr>
              <w:jc w:val="both"/>
              <w:rPr>
                <w:rFonts w:ascii="Times New Roman" w:hAnsi="Times New Roman" w:cs="Times New Roman"/>
                <w:noProof/>
              </w:rPr>
            </w:pPr>
            <w:r>
              <w:rPr>
                <w:rFonts w:ascii="Times New Roman" w:hAnsi="Times New Roman" w:cs="Times New Roman"/>
                <w:noProof/>
              </w:rPr>
              <w:t>In 2016, priority was given to projects supporting the implementation of the Paris Declaration.</w:t>
            </w:r>
          </w:p>
          <w:p w:rsidR="00015109" w:rsidRDefault="00015109">
            <w:pPr>
              <w:jc w:val="both"/>
              <w:rPr>
                <w:rFonts w:ascii="Times New Roman" w:hAnsi="Times New Roman" w:cs="Times New Roman"/>
                <w:noProof/>
              </w:rPr>
            </w:pPr>
          </w:p>
          <w:p w:rsidR="00015109" w:rsidRDefault="00817AEC">
            <w:pPr>
              <w:jc w:val="both"/>
              <w:rPr>
                <w:rFonts w:ascii="Times New Roman" w:hAnsi="Times New Roman" w:cs="Times New Roman"/>
                <w:noProof/>
              </w:rPr>
            </w:pPr>
            <w:r>
              <w:rPr>
                <w:rFonts w:ascii="Times New Roman" w:hAnsi="Times New Roman" w:cs="Times New Roman"/>
                <w:noProof/>
              </w:rPr>
              <w:t>In 2017, the budget of the</w:t>
            </w:r>
            <w:r>
              <w:rPr>
                <w:rFonts w:ascii="Times New Roman" w:hAnsi="Times New Roman" w:cs="Times New Roman"/>
                <w:noProof/>
              </w:rPr>
              <w:t xml:space="preserve"> European Voluntary Service (EVS) has been substantially increased.</w:t>
            </w:r>
          </w:p>
          <w:p w:rsidR="00015109" w:rsidRDefault="00015109">
            <w:pPr>
              <w:jc w:val="both"/>
              <w:rPr>
                <w:rFonts w:ascii="Times New Roman" w:hAnsi="Times New Roman" w:cs="Times New Roman"/>
                <w:noProof/>
              </w:rPr>
            </w:pPr>
          </w:p>
          <w:p w:rsidR="00015109" w:rsidRDefault="00817AEC">
            <w:pPr>
              <w:jc w:val="both"/>
              <w:rPr>
                <w:rFonts w:ascii="Times New Roman" w:hAnsi="Times New Roman" w:cs="Times New Roman"/>
                <w:noProof/>
              </w:rPr>
            </w:pPr>
            <w:r>
              <w:rPr>
                <w:rFonts w:ascii="Times New Roman" w:hAnsi="Times New Roman" w:cs="Times New Roman"/>
                <w:noProof/>
              </w:rPr>
              <w:t>Since the launch of the European Solidarity Corps in December 2016, about 30,000 young citizens from all Member States have registered for participation. It is expected that by by 2020, i</w:t>
            </w:r>
            <w:r>
              <w:rPr>
                <w:rFonts w:ascii="Times New Roman" w:hAnsi="Times New Roman" w:cs="Times New Roman"/>
                <w:noProof/>
              </w:rPr>
              <w:t xml:space="preserve">n total 100,000 young citizens will have participated in its volunteering and occupational strands. </w:t>
            </w:r>
          </w:p>
          <w:p w:rsidR="00015109" w:rsidRDefault="00015109">
            <w:pPr>
              <w:jc w:val="both"/>
              <w:rPr>
                <w:rFonts w:ascii="Times New Roman" w:hAnsi="Times New Roman" w:cs="Times New Roman"/>
                <w:noProof/>
              </w:rPr>
            </w:pPr>
          </w:p>
        </w:tc>
      </w:tr>
      <w:tr w:rsidR="00015109">
        <w:tc>
          <w:tcPr>
            <w:tcW w:w="4928" w:type="dxa"/>
            <w:gridSpan w:val="2"/>
            <w:tcBorders>
              <w:bottom w:val="single" w:sz="4" w:space="0" w:color="auto"/>
            </w:tcBorders>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20</w:t>
            </w:r>
            <w:r>
              <w:rPr>
                <w:rFonts w:ascii="Times New Roman" w:hAnsi="Times New Roman" w:cs="Times New Roman"/>
                <w:noProof/>
              </w:rPr>
              <w:tab/>
              <w:t>Propose to revise the Schengen Information System to further improve its added value for law enforcement and counter-terrorism purposes.</w:t>
            </w:r>
          </w:p>
          <w:p w:rsidR="00015109" w:rsidRDefault="00015109">
            <w:pPr>
              <w:pStyle w:val="Default"/>
              <w:jc w:val="both"/>
              <w:rPr>
                <w:noProof/>
                <w:sz w:val="22"/>
                <w:szCs w:val="22"/>
              </w:rPr>
            </w:pPr>
          </w:p>
        </w:tc>
        <w:tc>
          <w:tcPr>
            <w:tcW w:w="992" w:type="dxa"/>
            <w:gridSpan w:val="2"/>
            <w:tcBorders>
              <w:bottom w:val="single" w:sz="4" w:space="0" w:color="auto"/>
            </w:tcBorders>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 xml:space="preserve">Ongoing </w:t>
            </w:r>
          </w:p>
        </w:tc>
        <w:tc>
          <w:tcPr>
            <w:tcW w:w="8348" w:type="dxa"/>
            <w:tcBorders>
              <w:bottom w:val="single" w:sz="4" w:space="0" w:color="auto"/>
            </w:tcBorders>
            <w:shd w:val="clear" w:color="auto" w:fill="FFFFFF" w:themeFill="background1"/>
          </w:tcPr>
          <w:p w:rsidR="00015109" w:rsidRDefault="00817AEC">
            <w:pPr>
              <w:jc w:val="both"/>
              <w:rPr>
                <w:rFonts w:ascii="Times New Roman" w:hAnsi="Times New Roman"/>
                <w:noProof/>
              </w:rPr>
            </w:pPr>
            <w:r>
              <w:rPr>
                <w:rFonts w:ascii="Times New Roman" w:hAnsi="Times New Roman"/>
                <w:noProof/>
              </w:rPr>
              <w:t>Leg</w:t>
            </w:r>
            <w:r>
              <w:rPr>
                <w:rFonts w:ascii="Times New Roman" w:hAnsi="Times New Roman"/>
                <w:noProof/>
              </w:rPr>
              <w:t>islative proposals were adopted by the Commission on 21 December 2016.</w:t>
            </w:r>
          </w:p>
          <w:p w:rsidR="00015109" w:rsidRDefault="00817AEC">
            <w:pPr>
              <w:jc w:val="both"/>
              <w:rPr>
                <w:rFonts w:ascii="Times New Roman" w:hAnsi="Times New Roman"/>
                <w:noProof/>
              </w:rPr>
            </w:pPr>
            <w:r>
              <w:rPr>
                <w:rFonts w:ascii="Times New Roman" w:hAnsi="Times New Roman"/>
                <w:noProof/>
              </w:rPr>
              <w:t>Ongoing legislative negotiations.</w:t>
            </w:r>
          </w:p>
          <w:p w:rsidR="00015109" w:rsidRDefault="00015109">
            <w:pPr>
              <w:jc w:val="both"/>
              <w:rPr>
                <w:rFonts w:ascii="Times New Roman" w:hAnsi="Times New Roman" w:cs="Times New Roman"/>
                <w:noProof/>
              </w:rPr>
            </w:pPr>
          </w:p>
        </w:tc>
      </w:tr>
      <w:tr w:rsidR="00015109">
        <w:tc>
          <w:tcPr>
            <w:tcW w:w="4928" w:type="dxa"/>
            <w:gridSpan w:val="2"/>
            <w:tcBorders>
              <w:bottom w:val="single" w:sz="4" w:space="0" w:color="auto"/>
            </w:tcBorders>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21</w:t>
            </w:r>
            <w:r>
              <w:rPr>
                <w:rFonts w:ascii="Times New Roman" w:hAnsi="Times New Roman" w:cs="Times New Roman"/>
                <w:noProof/>
              </w:rPr>
              <w:tab/>
              <w:t xml:space="preserve">Member States should proactively exchange all relevant information with other Member States, and Europol where appropriate, on released convicts </w:t>
            </w:r>
            <w:r>
              <w:rPr>
                <w:rFonts w:ascii="Times New Roman" w:hAnsi="Times New Roman" w:cs="Times New Roman"/>
                <w:noProof/>
              </w:rPr>
              <w:t>suspected of radicalisation or known radical individuals, in order to ensure close monitoring of those representing a high risk.</w:t>
            </w:r>
          </w:p>
        </w:tc>
        <w:tc>
          <w:tcPr>
            <w:tcW w:w="992" w:type="dxa"/>
            <w:gridSpan w:val="2"/>
            <w:tcBorders>
              <w:bottom w:val="single" w:sz="4" w:space="0" w:color="auto"/>
            </w:tcBorders>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tcBorders>
              <w:bottom w:val="single" w:sz="4" w:space="0" w:color="auto"/>
            </w:tcBorders>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Within the Radicalisation Awareness Network's work on guidance papers and toolkits for policy makers in establishing mu</w:t>
            </w:r>
            <w:r>
              <w:rPr>
                <w:rFonts w:ascii="Times New Roman" w:hAnsi="Times New Roman" w:cs="Times New Roman"/>
                <w:noProof/>
              </w:rPr>
              <w:t>ltiagency structures, the issue of improved information sharing on radicalised people is one of the priorities. The outcome of this work was presented and discussed at the last Radicalisation Awareness Network High Level Conference in November 2016.</w:t>
            </w:r>
          </w:p>
          <w:p w:rsidR="00015109" w:rsidRDefault="00015109">
            <w:pPr>
              <w:jc w:val="both"/>
              <w:rPr>
                <w:rFonts w:ascii="Times New Roman" w:hAnsi="Times New Roman" w:cs="Times New Roman"/>
                <w:noProof/>
              </w:rPr>
            </w:pPr>
          </w:p>
          <w:p w:rsidR="00015109" w:rsidRDefault="00817AEC">
            <w:pPr>
              <w:jc w:val="both"/>
              <w:rPr>
                <w:rFonts w:ascii="Times New Roman" w:hAnsi="Times New Roman" w:cs="Times New Roman"/>
                <w:noProof/>
              </w:rPr>
            </w:pPr>
            <w:r>
              <w:rPr>
                <w:rFonts w:ascii="Times New Roman" w:hAnsi="Times New Roman" w:cs="Times New Roman"/>
                <w:noProof/>
              </w:rPr>
              <w:t>The E</w:t>
            </w:r>
            <w:r>
              <w:rPr>
                <w:rFonts w:ascii="Times New Roman" w:hAnsi="Times New Roman" w:cs="Times New Roman"/>
                <w:noProof/>
              </w:rPr>
              <w:t>uropean Counter-Terrorism Centre (ECTC) at Europol aims to become a central information hub in the fight against terrorism in the EU, including information to the Focal Point Travellers as well as analysis of radicalisation risks. The Europol Information S</w:t>
            </w:r>
            <w:r>
              <w:rPr>
                <w:rFonts w:ascii="Times New Roman" w:hAnsi="Times New Roman" w:cs="Times New Roman"/>
                <w:noProof/>
              </w:rPr>
              <w:t>ystem (EIS) is positioned to serve as a central repository of law enforcement data, including the consolidated list of all known or suspected Foreign Terrorism Fighters.</w:t>
            </w:r>
          </w:p>
          <w:p w:rsidR="00015109" w:rsidRDefault="00015109">
            <w:pPr>
              <w:jc w:val="both"/>
              <w:rPr>
                <w:rFonts w:ascii="Times New Roman" w:hAnsi="Times New Roman" w:cs="Times New Roman"/>
                <w:noProof/>
              </w:rPr>
            </w:pPr>
          </w:p>
          <w:p w:rsidR="00015109" w:rsidRDefault="00817AEC">
            <w:pPr>
              <w:jc w:val="both"/>
              <w:rPr>
                <w:rFonts w:ascii="Times New Roman" w:hAnsi="Times New Roman" w:cs="Times New Roman"/>
                <w:noProof/>
              </w:rPr>
            </w:pPr>
            <w:r>
              <w:rPr>
                <w:rFonts w:ascii="Times New Roman" w:hAnsi="Times New Roman" w:cs="Times New Roman"/>
                <w:noProof/>
              </w:rPr>
              <w:t>The Directive on combating terrorism, adopted on 7 March 2017, reinforces the obligat</w:t>
            </w:r>
            <w:r>
              <w:rPr>
                <w:rFonts w:ascii="Times New Roman" w:hAnsi="Times New Roman" w:cs="Times New Roman"/>
                <w:noProof/>
              </w:rPr>
              <w:t>ion on Member States to proactively transfer all relevant information on terrorist offences to other Member States. It also introduces a duty for the Member State receiving the information to take appropriate follow-up action.</w:t>
            </w:r>
          </w:p>
          <w:p w:rsidR="00015109" w:rsidRDefault="00015109">
            <w:pPr>
              <w:pStyle w:val="Default"/>
              <w:jc w:val="both"/>
              <w:rPr>
                <w:noProof/>
              </w:rPr>
            </w:pPr>
          </w:p>
        </w:tc>
      </w:tr>
      <w:tr w:rsidR="00015109">
        <w:tc>
          <w:tcPr>
            <w:tcW w:w="4928" w:type="dxa"/>
            <w:gridSpan w:val="2"/>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22</w:t>
            </w:r>
            <w:r>
              <w:rPr>
                <w:rFonts w:ascii="Times New Roman" w:hAnsi="Times New Roman" w:cs="Times New Roman"/>
                <w:noProof/>
              </w:rPr>
              <w:tab/>
              <w:t>Supporting international</w:t>
            </w:r>
            <w:r>
              <w:rPr>
                <w:rFonts w:ascii="Times New Roman" w:hAnsi="Times New Roman" w:cs="Times New Roman"/>
                <w:noProof/>
              </w:rPr>
              <w:t xml:space="preserve"> organisations in their work to counter violent extremism.</w:t>
            </w: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The EU actively works with the United Nations, the Council of Europe and the Organization for Security and Co-operation in Europe in their efforts to counter violent extremism.</w:t>
            </w:r>
          </w:p>
          <w:p w:rsidR="00015109" w:rsidRDefault="00015109">
            <w:pPr>
              <w:jc w:val="both"/>
              <w:rPr>
                <w:rFonts w:ascii="Times New Roman" w:hAnsi="Times New Roman" w:cs="Times New Roman"/>
                <w:noProof/>
              </w:rPr>
            </w:pPr>
          </w:p>
          <w:p w:rsidR="00015109" w:rsidRDefault="00817AEC">
            <w:pPr>
              <w:jc w:val="both"/>
              <w:rPr>
                <w:rFonts w:ascii="Times New Roman" w:hAnsi="Times New Roman" w:cs="Times New Roman"/>
                <w:noProof/>
              </w:rPr>
            </w:pPr>
            <w:r>
              <w:rPr>
                <w:rFonts w:ascii="Times New Roman" w:hAnsi="Times New Roman" w:cs="Times New Roman"/>
                <w:noProof/>
              </w:rPr>
              <w:t xml:space="preserve">The </w:t>
            </w:r>
            <w:r>
              <w:rPr>
                <w:rFonts w:ascii="Times New Roman" w:hAnsi="Times New Roman" w:cs="Times New Roman"/>
                <w:noProof/>
              </w:rPr>
              <w:t>Commission co-manages a related programme with the Council of Europe on human rights and citizenship education,.</w:t>
            </w:r>
          </w:p>
          <w:p w:rsidR="00015109" w:rsidRDefault="00015109">
            <w:pPr>
              <w:jc w:val="both"/>
              <w:rPr>
                <w:rFonts w:ascii="Times New Roman" w:hAnsi="Times New Roman" w:cs="Times New Roman"/>
                <w:noProof/>
              </w:rPr>
            </w:pPr>
          </w:p>
          <w:p w:rsidR="00015109" w:rsidRDefault="00817AEC">
            <w:pPr>
              <w:jc w:val="both"/>
              <w:rPr>
                <w:rFonts w:ascii="Times New Roman" w:hAnsi="Times New Roman" w:cs="Times New Roman"/>
                <w:noProof/>
              </w:rPr>
            </w:pPr>
            <w:r>
              <w:rPr>
                <w:rFonts w:ascii="Times New Roman" w:hAnsi="Times New Roman" w:cs="Times New Roman"/>
                <w:noProof/>
              </w:rPr>
              <w:t>The Radicalisation Awareness Network Centre of Excellence has established working relationships with international organisations to create syn</w:t>
            </w:r>
            <w:r>
              <w:rPr>
                <w:rFonts w:ascii="Times New Roman" w:hAnsi="Times New Roman" w:cs="Times New Roman"/>
                <w:noProof/>
              </w:rPr>
              <w:t>ergies in the work on countering violent extremism, including Europris, the Organization for Security and Co-operation in Europe and the Council of Europe (including in particular activities of the Congress of Cities)</w:t>
            </w:r>
          </w:p>
          <w:p w:rsidR="00015109" w:rsidRDefault="00015109">
            <w:pPr>
              <w:jc w:val="both"/>
              <w:rPr>
                <w:rFonts w:ascii="Times New Roman" w:hAnsi="Times New Roman" w:cs="Times New Roman"/>
                <w:noProof/>
              </w:rPr>
            </w:pPr>
          </w:p>
        </w:tc>
      </w:tr>
      <w:tr w:rsidR="00015109" w:rsidRPr="00817AEC">
        <w:tc>
          <w:tcPr>
            <w:tcW w:w="4928" w:type="dxa"/>
            <w:gridSpan w:val="2"/>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23</w:t>
            </w:r>
            <w:r>
              <w:rPr>
                <w:rFonts w:ascii="Times New Roman" w:hAnsi="Times New Roman" w:cs="Times New Roman"/>
                <w:noProof/>
              </w:rPr>
              <w:tab/>
              <w:t>Additional initiatives to focus E</w:t>
            </w:r>
            <w:r>
              <w:rPr>
                <w:rFonts w:ascii="Times New Roman" w:hAnsi="Times New Roman" w:cs="Times New Roman"/>
                <w:noProof/>
              </w:rPr>
              <w:t>U's external financial instruments on the prevention of violent radicalisation.</w:t>
            </w:r>
          </w:p>
          <w:p w:rsidR="00015109" w:rsidRDefault="00015109">
            <w:pPr>
              <w:jc w:val="both"/>
              <w:rPr>
                <w:rFonts w:ascii="Times New Roman" w:hAnsi="Times New Roman" w:cs="Times New Roman"/>
                <w:i/>
                <w:noProof/>
              </w:rPr>
            </w:pP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shd w:val="clear" w:color="auto" w:fill="FFFFFF" w:themeFill="background1"/>
          </w:tcPr>
          <w:p w:rsidR="00015109" w:rsidRDefault="00817AEC">
            <w:pPr>
              <w:pStyle w:val="Default"/>
              <w:jc w:val="both"/>
              <w:rPr>
                <w:noProof/>
                <w:color w:val="auto"/>
                <w:sz w:val="22"/>
                <w:szCs w:val="22"/>
              </w:rPr>
            </w:pPr>
            <w:r>
              <w:rPr>
                <w:noProof/>
                <w:color w:val="auto"/>
                <w:sz w:val="22"/>
                <w:szCs w:val="22"/>
              </w:rPr>
              <w:t>At the international level, the EU is promoting a strong focus on the prevention and countering of violent extremism (P/CVE) into political dialogues and assistance pr</w:t>
            </w:r>
            <w:r>
              <w:rPr>
                <w:noProof/>
                <w:color w:val="auto"/>
                <w:sz w:val="22"/>
                <w:szCs w:val="22"/>
              </w:rPr>
              <w:t>ogrammes. The EU has supported the UNSG Plan of Action for Preventing Violent Extremism and the development of national and regional P/CVE action plans. The EU is mainstreaming P/CVE. The EU has reinforced the capacity of the StratComm Task Force South, in</w:t>
            </w:r>
            <w:r>
              <w:rPr>
                <w:noProof/>
                <w:color w:val="auto"/>
                <w:sz w:val="22"/>
                <w:szCs w:val="22"/>
              </w:rPr>
              <w:t>cluding in Arabic to promote positive narratives. With regard to financial instruments:</w:t>
            </w:r>
          </w:p>
          <w:p w:rsidR="00015109" w:rsidRDefault="00817AEC">
            <w:pPr>
              <w:pStyle w:val="Default"/>
              <w:jc w:val="both"/>
              <w:rPr>
                <w:noProof/>
                <w:sz w:val="22"/>
                <w:szCs w:val="22"/>
              </w:rPr>
            </w:pPr>
            <w:r>
              <w:rPr>
                <w:noProof/>
                <w:sz w:val="22"/>
                <w:szCs w:val="22"/>
              </w:rPr>
              <w:t>- The EU Emergency Trust Fund for Africa has provided a unique opportunity to engage intensively with third countries at risk and addressing root causes of radicalisati</w:t>
            </w:r>
            <w:r>
              <w:rPr>
                <w:noProof/>
                <w:sz w:val="22"/>
                <w:szCs w:val="22"/>
              </w:rPr>
              <w:t xml:space="preserve">on. Efforts continue to be made to draw on the experiences gained inside the EU (e.g. through the RAN) in an external context. </w:t>
            </w:r>
          </w:p>
          <w:p w:rsidR="00015109" w:rsidRDefault="00817AEC">
            <w:pPr>
              <w:pStyle w:val="Default"/>
              <w:ind w:left="4"/>
              <w:jc w:val="both"/>
              <w:rPr>
                <w:noProof/>
              </w:rPr>
            </w:pPr>
            <w:r>
              <w:rPr>
                <w:noProof/>
                <w:sz w:val="22"/>
                <w:szCs w:val="22"/>
              </w:rPr>
              <w:t>- In 2016, the Radicalisation Awareness Network supported expert missions on radicalisation to Turkey and Tunisia. Follow-up eng</w:t>
            </w:r>
            <w:r>
              <w:rPr>
                <w:noProof/>
                <w:sz w:val="22"/>
                <w:szCs w:val="22"/>
              </w:rPr>
              <w:t xml:space="preserve">agement with both these countries will continue in 2017. Efforts in Western Balkan countries to establish policies and framework conditions for multi-agency cooperation are supported via the First Line Project as well as assistance from the Radicalisation </w:t>
            </w:r>
            <w:r>
              <w:rPr>
                <w:noProof/>
                <w:sz w:val="22"/>
                <w:szCs w:val="22"/>
              </w:rPr>
              <w:t xml:space="preserve">Awareness Network. </w:t>
            </w:r>
          </w:p>
          <w:p w:rsidR="00015109" w:rsidRDefault="00817AEC">
            <w:pPr>
              <w:ind w:left="4"/>
              <w:jc w:val="both"/>
              <w:rPr>
                <w:rFonts w:ascii="Times New Roman" w:hAnsi="Times New Roman"/>
                <w:noProof/>
              </w:rPr>
            </w:pPr>
            <w:r>
              <w:rPr>
                <w:rFonts w:ascii="Times New Roman" w:hAnsi="Times New Roman" w:cs="Times New Roman"/>
                <w:noProof/>
              </w:rPr>
              <w:t xml:space="preserve">- Instrument for Pre Accession (IPA): </w:t>
            </w:r>
            <w:r>
              <w:rPr>
                <w:rFonts w:ascii="Times New Roman" w:hAnsi="Times New Roman"/>
                <w:noProof/>
              </w:rPr>
              <w:t xml:space="preserve">One regional IPA project was approved in 2016 to support prevention and countering of violent extremism in the Western Balkans to share the Radicalisation Awareness Network approach, enhance </w:t>
            </w:r>
            <w:r>
              <w:rPr>
                <w:rFonts w:ascii="Times New Roman" w:hAnsi="Times New Roman"/>
                <w:noProof/>
              </w:rPr>
              <w:t>resilience by involvement of communities and society more broadly; raising awareness on the risks inherent to radicalisation at schools and among youngsters, deliver countering violent extremism training for religious leaders and create web platforms on pr</w:t>
            </w:r>
            <w:r>
              <w:rPr>
                <w:rFonts w:ascii="Times New Roman" w:hAnsi="Times New Roman"/>
                <w:noProof/>
              </w:rPr>
              <w:t>evention and countering violent extremism and counter-terrorism.</w:t>
            </w:r>
          </w:p>
          <w:p w:rsidR="00015109" w:rsidRDefault="00817AEC">
            <w:pPr>
              <w:pStyle w:val="Default"/>
              <w:autoSpaceDE/>
              <w:jc w:val="both"/>
              <w:rPr>
                <w:rStyle w:val="AucunA"/>
                <w:bCs/>
                <w:noProof/>
                <w:sz w:val="22"/>
                <w:szCs w:val="22"/>
              </w:rPr>
            </w:pPr>
            <w:r>
              <w:rPr>
                <w:rStyle w:val="AucunA"/>
                <w:noProof/>
                <w:sz w:val="22"/>
                <w:szCs w:val="22"/>
                <w:lang w:val="en-US"/>
              </w:rPr>
              <w:t xml:space="preserve">- Through IPA national programmes, the EU will support </w:t>
            </w:r>
            <w:r>
              <w:rPr>
                <w:rStyle w:val="AucunA"/>
                <w:bCs/>
                <w:noProof/>
                <w:sz w:val="22"/>
                <w:szCs w:val="22"/>
                <w:lang w:val="en-US"/>
              </w:rPr>
              <w:t xml:space="preserve">Kosovo </w:t>
            </w:r>
            <w:r>
              <w:rPr>
                <w:rStyle w:val="AucunA"/>
                <w:noProof/>
                <w:sz w:val="22"/>
                <w:szCs w:val="22"/>
                <w:lang w:val="en-US"/>
              </w:rPr>
              <w:t>in</w:t>
            </w:r>
            <w:r>
              <w:rPr>
                <w:rStyle w:val="AucunA"/>
                <w:bCs/>
                <w:noProof/>
                <w:sz w:val="22"/>
                <w:szCs w:val="22"/>
                <w:lang w:val="en-US"/>
              </w:rPr>
              <w:t xml:space="preserve"> strengthening de-radicalisation measures </w:t>
            </w:r>
            <w:r>
              <w:rPr>
                <w:rStyle w:val="AucunA"/>
                <w:noProof/>
                <w:sz w:val="22"/>
                <w:szCs w:val="22"/>
                <w:lang w:val="en-US"/>
              </w:rPr>
              <w:t>in the correctional and probation services</w:t>
            </w:r>
            <w:r>
              <w:rPr>
                <w:rStyle w:val="AucunA"/>
                <w:bCs/>
                <w:noProof/>
                <w:sz w:val="22"/>
                <w:szCs w:val="22"/>
                <w:lang w:val="en-US"/>
              </w:rPr>
              <w:t>; the former Yugoslav Republic of Macedonia</w:t>
            </w:r>
            <w:r>
              <w:rPr>
                <w:rStyle w:val="AucunA"/>
                <w:bCs/>
                <w:noProof/>
                <w:sz w:val="22"/>
                <w:szCs w:val="22"/>
                <w:lang w:val="en-US"/>
              </w:rPr>
              <w:t xml:space="preserve"> </w:t>
            </w:r>
            <w:r>
              <w:rPr>
                <w:rStyle w:val="AucunA"/>
                <w:noProof/>
                <w:sz w:val="22"/>
                <w:szCs w:val="22"/>
                <w:lang w:val="en-US"/>
              </w:rPr>
              <w:t>with the</w:t>
            </w:r>
            <w:r>
              <w:rPr>
                <w:rStyle w:val="AucunA"/>
                <w:bCs/>
                <w:noProof/>
                <w:sz w:val="22"/>
                <w:szCs w:val="22"/>
                <w:lang w:val="en-US"/>
              </w:rPr>
              <w:t xml:space="preserve"> implementation of the national strategy for fight against terrorism; in Albania </w:t>
            </w:r>
            <w:r>
              <w:rPr>
                <w:rStyle w:val="AucunA"/>
                <w:noProof/>
                <w:sz w:val="22"/>
                <w:szCs w:val="22"/>
                <w:lang w:val="en-US"/>
              </w:rPr>
              <w:t>via the EU</w:t>
            </w:r>
            <w:r>
              <w:rPr>
                <w:rStyle w:val="AucunA"/>
                <w:bCs/>
                <w:noProof/>
                <w:sz w:val="22"/>
                <w:szCs w:val="22"/>
                <w:lang w:val="en-US"/>
              </w:rPr>
              <w:t xml:space="preserve"> police assistance project "PAMECA"</w:t>
            </w:r>
            <w:r>
              <w:rPr>
                <w:rStyle w:val="FootnoteReference"/>
                <w:bCs/>
                <w:noProof/>
                <w:sz w:val="22"/>
                <w:szCs w:val="22"/>
              </w:rPr>
              <w:footnoteReference w:customMarkFollows="1" w:id="1"/>
              <w:t>[1]</w:t>
            </w:r>
            <w:r>
              <w:rPr>
                <w:rStyle w:val="AucunA"/>
                <w:bCs/>
                <w:noProof/>
                <w:sz w:val="22"/>
                <w:szCs w:val="22"/>
                <w:lang w:val="en-US"/>
              </w:rPr>
              <w:t xml:space="preserve"> assistance to the law enforcement authorities and intelligence services will be provided on the fight against terrorism.</w:t>
            </w:r>
          </w:p>
          <w:p w:rsidR="00015109" w:rsidRDefault="00817AEC">
            <w:pPr>
              <w:pStyle w:val="Default"/>
              <w:autoSpaceDE/>
              <w:jc w:val="both"/>
              <w:rPr>
                <w:rStyle w:val="AucunA"/>
                <w:noProof/>
                <w:sz w:val="22"/>
                <w:szCs w:val="22"/>
                <w:lang w:val="en-US"/>
              </w:rPr>
            </w:pPr>
            <w:r>
              <w:rPr>
                <w:rStyle w:val="AucunA"/>
                <w:noProof/>
                <w:sz w:val="22"/>
                <w:szCs w:val="22"/>
                <w:lang w:val="en-US"/>
              </w:rPr>
              <w:t>- The EU Delegation in Albania provided two grants of 300,000 euro each to empower civil society organisations and public security ins</w:t>
            </w:r>
            <w:r>
              <w:rPr>
                <w:rStyle w:val="AucunA"/>
                <w:noProof/>
                <w:sz w:val="22"/>
                <w:szCs w:val="22"/>
                <w:lang w:val="en-US"/>
              </w:rPr>
              <w:t>titutions on countering extremism and radicalisation.</w:t>
            </w:r>
          </w:p>
          <w:p w:rsidR="00015109" w:rsidRDefault="00817AEC">
            <w:pPr>
              <w:pStyle w:val="Default"/>
              <w:autoSpaceDE/>
              <w:jc w:val="both"/>
              <w:rPr>
                <w:noProof/>
                <w:sz w:val="22"/>
                <w:szCs w:val="22"/>
              </w:rPr>
            </w:pPr>
            <w:r>
              <w:rPr>
                <w:noProof/>
                <w:sz w:val="22"/>
                <w:szCs w:val="22"/>
              </w:rPr>
              <w:t xml:space="preserve">- In Bosnia and Herzegovina there is an </w:t>
            </w:r>
            <w:r>
              <w:rPr>
                <w:bCs/>
                <w:noProof/>
                <w:sz w:val="22"/>
                <w:szCs w:val="22"/>
              </w:rPr>
              <w:t>EU-funded</w:t>
            </w:r>
            <w:r>
              <w:rPr>
                <w:noProof/>
                <w:sz w:val="22"/>
                <w:szCs w:val="22"/>
              </w:rPr>
              <w:t xml:space="preserve"> project, on radicalisation risk in Zenica prison, in cooperation with the Islamic Community, engaging youth in preventing radicalisation is planned.</w:t>
            </w:r>
          </w:p>
          <w:p w:rsidR="00015109" w:rsidRDefault="00817AEC">
            <w:pPr>
              <w:pStyle w:val="CorpsA"/>
              <w:jc w:val="both"/>
              <w:rPr>
                <w:rStyle w:val="AucunA"/>
                <w:rFonts w:ascii="Times New Roman" w:hAnsi="Times New Roman" w:cstheme="minorBidi"/>
                <w:noProof/>
                <w:color w:val="auto"/>
                <w:lang w:eastAsia="en-US"/>
              </w:rPr>
            </w:pPr>
            <w:r>
              <w:rPr>
                <w:rStyle w:val="AucunA"/>
                <w:rFonts w:ascii="Times New Roman" w:hAnsi="Times New Roman"/>
                <w:noProof/>
              </w:rPr>
              <w:t>- T</w:t>
            </w:r>
            <w:r>
              <w:rPr>
                <w:rStyle w:val="AucunA"/>
                <w:rFonts w:ascii="Times New Roman" w:hAnsi="Times New Roman"/>
                <w:noProof/>
              </w:rPr>
              <w:t>he EU is also mainstreaming counter-terrorism/countering violent extremism matters in projects with civil society and non-security actors. Through the</w:t>
            </w:r>
            <w:r>
              <w:rPr>
                <w:rStyle w:val="AucunA"/>
                <w:rFonts w:ascii="Times New Roman" w:hAnsi="Times New Roman"/>
                <w:bCs/>
                <w:noProof/>
              </w:rPr>
              <w:t xml:space="preserve"> IPA Regional civil society facility</w:t>
            </w:r>
            <w:r>
              <w:rPr>
                <w:rStyle w:val="AucunA"/>
                <w:rFonts w:ascii="Times New Roman" w:hAnsi="Times New Roman"/>
                <w:noProof/>
              </w:rPr>
              <w:t xml:space="preserve"> (TACSO) dedicated </w:t>
            </w:r>
            <w:r>
              <w:rPr>
                <w:rStyle w:val="AucunA"/>
                <w:rFonts w:ascii="Times New Roman" w:hAnsi="Times New Roman"/>
                <w:bCs/>
                <w:noProof/>
              </w:rPr>
              <w:t>countering violent extremism programmes</w:t>
            </w:r>
            <w:r>
              <w:rPr>
                <w:rStyle w:val="AucunA"/>
                <w:rFonts w:ascii="Times New Roman" w:hAnsi="Times New Roman"/>
                <w:noProof/>
              </w:rPr>
              <w:t xml:space="preserve"> are launche</w:t>
            </w:r>
            <w:r>
              <w:rPr>
                <w:rStyle w:val="AucunA"/>
                <w:rFonts w:ascii="Times New Roman" w:hAnsi="Times New Roman"/>
                <w:noProof/>
              </w:rPr>
              <w:t>d at country (in Albania for instance) or at regional level.</w:t>
            </w:r>
          </w:p>
          <w:p w:rsidR="00015109" w:rsidRDefault="00817AEC">
            <w:pPr>
              <w:ind w:left="4"/>
              <w:jc w:val="both"/>
              <w:rPr>
                <w:rFonts w:ascii="Times New Roman" w:hAnsi="Times New Roman" w:cs="Times New Roman"/>
                <w:noProof/>
              </w:rPr>
            </w:pPr>
            <w:r>
              <w:rPr>
                <w:rFonts w:ascii="Times New Roman" w:hAnsi="Times New Roman" w:cs="Times New Roman"/>
                <w:noProof/>
              </w:rPr>
              <w:t>- European Neighbourhood Instrument: UNICRI pilot project (EUR 5 million) on preventing violent extremism in the Sahel and Maghreb region.</w:t>
            </w:r>
          </w:p>
          <w:p w:rsidR="00015109" w:rsidRDefault="00817AEC">
            <w:pPr>
              <w:ind w:left="4"/>
              <w:jc w:val="both"/>
              <w:rPr>
                <w:rFonts w:ascii="Times New Roman" w:hAnsi="Times New Roman" w:cs="Times New Roman"/>
                <w:noProof/>
              </w:rPr>
            </w:pPr>
            <w:r>
              <w:rPr>
                <w:rFonts w:ascii="Times New Roman" w:hAnsi="Times New Roman" w:cs="Times New Roman"/>
                <w:noProof/>
              </w:rPr>
              <w:t>- The Commission is financing a large number of programm</w:t>
            </w:r>
            <w:r>
              <w:rPr>
                <w:rFonts w:ascii="Times New Roman" w:hAnsi="Times New Roman" w:cs="Times New Roman"/>
                <w:noProof/>
              </w:rPr>
              <w:t>es, e.g. in the Middle East and North Africa region region or in Africa (Maghreb, Sahel, Nigeria, Niger, Chad).</w:t>
            </w:r>
          </w:p>
          <w:p w:rsidR="00015109" w:rsidRDefault="00015109">
            <w:pPr>
              <w:ind w:left="4"/>
              <w:jc w:val="both"/>
              <w:rPr>
                <w:rFonts w:ascii="Times New Roman" w:hAnsi="Times New Roman" w:cs="Times New Roman"/>
                <w:noProof/>
              </w:rPr>
            </w:pPr>
          </w:p>
          <w:p w:rsidR="00015109" w:rsidRDefault="00817AEC">
            <w:pPr>
              <w:ind w:left="4"/>
              <w:jc w:val="both"/>
              <w:rPr>
                <w:rFonts w:ascii="Times New Roman" w:hAnsi="Times New Roman" w:cs="Times New Roman"/>
                <w:noProof/>
              </w:rPr>
            </w:pPr>
            <w:r>
              <w:rPr>
                <w:rFonts w:ascii="Times New Roman" w:hAnsi="Times New Roman" w:cs="Times New Roman"/>
                <w:noProof/>
              </w:rPr>
              <w:t>The European Instrument for Democracy and Human Rights (EIDHR) also support relevant programmes such as:</w:t>
            </w:r>
          </w:p>
          <w:p w:rsidR="00015109" w:rsidRDefault="00817AEC">
            <w:pPr>
              <w:jc w:val="both"/>
              <w:rPr>
                <w:rFonts w:ascii="Times New Roman" w:hAnsi="Times New Roman" w:cs="Times New Roman"/>
                <w:bCs/>
                <w:noProof/>
              </w:rPr>
            </w:pPr>
            <w:r>
              <w:rPr>
                <w:rFonts w:ascii="Times New Roman" w:hAnsi="Times New Roman" w:cs="Times New Roman"/>
                <w:bCs/>
                <w:noProof/>
              </w:rPr>
              <w:t xml:space="preserve">- Engaging Youth for Human Rights and </w:t>
            </w:r>
            <w:r>
              <w:rPr>
                <w:rFonts w:ascii="Times New Roman" w:hAnsi="Times New Roman" w:cs="Times New Roman"/>
                <w:bCs/>
                <w:noProof/>
              </w:rPr>
              <w:t>Social Cohesion (EUR 600 000 - to be launched and running until 2019). Implementing partner: Generations for Peace.</w:t>
            </w:r>
          </w:p>
          <w:p w:rsidR="00015109" w:rsidRDefault="00817AEC">
            <w:pPr>
              <w:jc w:val="both"/>
              <w:rPr>
                <w:rFonts w:ascii="Times New Roman" w:hAnsi="Times New Roman" w:cs="Times New Roman"/>
                <w:bCs/>
                <w:noProof/>
              </w:rPr>
            </w:pPr>
            <w:r>
              <w:rPr>
                <w:rFonts w:ascii="Times New Roman" w:hAnsi="Times New Roman" w:cs="Times New Roman"/>
                <w:bCs/>
                <w:noProof/>
              </w:rPr>
              <w:t>- Beyond Radicalisation: Youth in Lebanon Speak Up! (EUR 600.000 to be launched and running until 2019). Implementing partner: Deutsche Well</w:t>
            </w:r>
            <w:r>
              <w:rPr>
                <w:rFonts w:ascii="Times New Roman" w:hAnsi="Times New Roman" w:cs="Times New Roman"/>
                <w:bCs/>
                <w:noProof/>
              </w:rPr>
              <w:t>e.</w:t>
            </w:r>
          </w:p>
          <w:p w:rsidR="00015109" w:rsidRDefault="00817AEC">
            <w:pPr>
              <w:jc w:val="both"/>
              <w:rPr>
                <w:rFonts w:ascii="Times New Roman" w:hAnsi="Times New Roman" w:cs="Times New Roman"/>
                <w:bCs/>
                <w:noProof/>
                <w:color w:val="000000"/>
                <w:lang w:val="fr-BE"/>
              </w:rPr>
            </w:pPr>
            <w:r>
              <w:rPr>
                <w:rFonts w:ascii="Times New Roman" w:hAnsi="Times New Roman" w:cs="Times New Roman"/>
                <w:bCs/>
                <w:i/>
                <w:iCs/>
                <w:noProof/>
                <w:color w:val="000000"/>
              </w:rPr>
              <w:t>- La jeunesse sahraouie, acteur central de la résolution pacifique du conflit - Algérie, Tindouf; civil society</w:t>
            </w:r>
            <w:r>
              <w:rPr>
                <w:rFonts w:ascii="Times New Roman" w:hAnsi="Times New Roman" w:cs="Times New Roman"/>
                <w:bCs/>
                <w:noProof/>
                <w:color w:val="000000"/>
              </w:rPr>
              <w:t xml:space="preserve">" - targeting Sahrawi refugee camps, in Tindouf (EUR 96 000; 2016 – 2018). </w:t>
            </w:r>
            <w:r>
              <w:rPr>
                <w:rFonts w:ascii="Times New Roman" w:hAnsi="Times New Roman" w:cs="Times New Roman"/>
                <w:bCs/>
                <w:noProof/>
                <w:color w:val="000000"/>
                <w:lang w:val="fr-BE"/>
              </w:rPr>
              <w:t xml:space="preserve">Implemented by Oxfam-Solidariteit. </w:t>
            </w:r>
          </w:p>
          <w:p w:rsidR="00015109" w:rsidRDefault="00817AEC">
            <w:pPr>
              <w:jc w:val="both"/>
              <w:rPr>
                <w:rFonts w:ascii="Times New Roman" w:hAnsi="Times New Roman" w:cs="Times New Roman"/>
                <w:i/>
                <w:noProof/>
                <w:lang w:val="fr-BE"/>
              </w:rPr>
            </w:pPr>
            <w:r>
              <w:rPr>
                <w:rFonts w:ascii="Times New Roman" w:hAnsi="Times New Roman" w:cs="Times New Roman"/>
                <w:bCs/>
                <w:noProof/>
                <w:color w:val="000000"/>
                <w:lang w:val="fr-BE"/>
              </w:rPr>
              <w:t xml:space="preserve">- Voix du Sud, Voix du Nord pour un meilleur vivre ensemble en Algérie pour garantir la démocratie en Algérie </w:t>
            </w:r>
            <w:r>
              <w:rPr>
                <w:rFonts w:ascii="Times New Roman" w:hAnsi="Times New Roman" w:cs="Times New Roman"/>
                <w:bCs/>
                <w:noProof/>
                <w:lang w:val="fr-BE"/>
              </w:rPr>
              <w:t>(EUR 0.5 million; to be launched and running until 2018).</w:t>
            </w:r>
          </w:p>
        </w:tc>
      </w:tr>
      <w:tr w:rsidR="00015109">
        <w:tc>
          <w:tcPr>
            <w:tcW w:w="4928" w:type="dxa"/>
            <w:gridSpan w:val="2"/>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24</w:t>
            </w:r>
            <w:r>
              <w:rPr>
                <w:rFonts w:ascii="Times New Roman" w:hAnsi="Times New Roman" w:cs="Times New Roman"/>
                <w:noProof/>
              </w:rPr>
              <w:tab/>
              <w:t>Continue support to the Global Counter Terrorism Forum (GCTF) initiatives working on</w:t>
            </w:r>
            <w:r>
              <w:rPr>
                <w:rFonts w:ascii="Times New Roman" w:hAnsi="Times New Roman" w:cs="Times New Roman"/>
                <w:noProof/>
              </w:rPr>
              <w:t xml:space="preserve"> preventing and countering violent extremism.</w:t>
            </w: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The EU provides continued support to preventing and countering violent extremism at the community level through the Global Counter Terrorism Forum (GCTF) inspired initiatives including Hedayah - the Int</w:t>
            </w:r>
            <w:r>
              <w:rPr>
                <w:rFonts w:ascii="Times New Roman" w:hAnsi="Times New Roman" w:cs="Times New Roman"/>
                <w:noProof/>
              </w:rPr>
              <w:t>ernational Center of Excellence for Countering Violent Extremism and the Global Community Engagement and Resilience Fund (GCERF). Specifically, the Hedayah grant mechanism is now supporting grass root initiatives in Central Asia, the Western Balkans and Ge</w:t>
            </w:r>
            <w:r>
              <w:rPr>
                <w:rFonts w:ascii="Times New Roman" w:hAnsi="Times New Roman" w:cs="Times New Roman"/>
                <w:noProof/>
              </w:rPr>
              <w:t>orgia with EU funding. The EU is also supporting GCERF activities in in Bangladesh, Kenya, Kosovo, Mali, and Nigeria as well as  an innovative private sector initiative to mobilise co-financing from the private sector for GCERF activities.</w:t>
            </w:r>
          </w:p>
          <w:p w:rsidR="00015109" w:rsidRDefault="00015109">
            <w:pPr>
              <w:jc w:val="both"/>
              <w:rPr>
                <w:rFonts w:ascii="Times New Roman" w:hAnsi="Times New Roman" w:cs="Times New Roman"/>
                <w:noProof/>
              </w:rPr>
            </w:pPr>
          </w:p>
          <w:p w:rsidR="00015109" w:rsidRDefault="00817AEC">
            <w:pPr>
              <w:jc w:val="both"/>
              <w:rPr>
                <w:rFonts w:ascii="Times New Roman" w:hAnsi="Times New Roman" w:cs="Times New Roman"/>
                <w:noProof/>
              </w:rPr>
            </w:pPr>
            <w:r>
              <w:rPr>
                <w:rFonts w:ascii="Times New Roman" w:hAnsi="Times New Roman" w:cs="Times New Roman"/>
                <w:noProof/>
              </w:rPr>
              <w:t>The EU is co-ch</w:t>
            </w:r>
            <w:r>
              <w:rPr>
                <w:rFonts w:ascii="Times New Roman" w:hAnsi="Times New Roman" w:cs="Times New Roman"/>
                <w:noProof/>
              </w:rPr>
              <w:t xml:space="preserve">air of the GCTF Horn of Africa working group (with Turkey) and a member of the GCTF working group on countering violent extremism. Prenvetion and countering of violent extremism related issues (including Youth and Women) are a major element of work within </w:t>
            </w:r>
            <w:r>
              <w:rPr>
                <w:rFonts w:ascii="Times New Roman" w:hAnsi="Times New Roman" w:cs="Times New Roman"/>
                <w:noProof/>
              </w:rPr>
              <w:t>the Horn of Africa working group. The EU is organising in summer 2017 two workshops for key stakeholders in the region to promote the Global Counter Terrorism Forum 'Life Cycle of Radicalisation' – a set of best practice documents.</w:t>
            </w:r>
          </w:p>
          <w:p w:rsidR="00015109" w:rsidRDefault="00015109">
            <w:pPr>
              <w:jc w:val="both"/>
              <w:rPr>
                <w:rFonts w:ascii="Times New Roman" w:hAnsi="Times New Roman" w:cs="Times New Roman"/>
                <w:noProof/>
              </w:rPr>
            </w:pPr>
          </w:p>
        </w:tc>
      </w:tr>
      <w:tr w:rsidR="00015109">
        <w:tc>
          <w:tcPr>
            <w:tcW w:w="4928" w:type="dxa"/>
            <w:gridSpan w:val="2"/>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25</w:t>
            </w:r>
            <w:r>
              <w:rPr>
                <w:rFonts w:ascii="Times New Roman" w:hAnsi="Times New Roman" w:cs="Times New Roman"/>
                <w:noProof/>
              </w:rPr>
              <w:tab/>
              <w:t>Extending further e</w:t>
            </w:r>
            <w:r>
              <w:rPr>
                <w:rFonts w:ascii="Times New Roman" w:hAnsi="Times New Roman" w:cs="Times New Roman"/>
                <w:noProof/>
              </w:rPr>
              <w:t>Twinning Plus networks to selected countries of the EU's neighbourhood.</w:t>
            </w: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 xml:space="preserve">The eTwinning Plus tool (which already covers Tunisia, Azerbaijan, Georgia, Ukraine, Armenia and Moldova) will be further extended to other countries of the Euro-Mediterranean </w:t>
            </w:r>
            <w:r>
              <w:rPr>
                <w:rFonts w:ascii="Times New Roman" w:hAnsi="Times New Roman" w:cs="Times New Roman"/>
                <w:noProof/>
              </w:rPr>
              <w:t>Partnership. Discussions have already started with Algeria.</w:t>
            </w:r>
          </w:p>
          <w:p w:rsidR="00015109" w:rsidRDefault="00015109">
            <w:pPr>
              <w:jc w:val="both"/>
              <w:rPr>
                <w:rFonts w:ascii="Times New Roman" w:hAnsi="Times New Roman" w:cs="Times New Roman"/>
                <w:noProof/>
              </w:rPr>
            </w:pPr>
          </w:p>
        </w:tc>
      </w:tr>
      <w:tr w:rsidR="00015109">
        <w:tc>
          <w:tcPr>
            <w:tcW w:w="4928" w:type="dxa"/>
            <w:gridSpan w:val="2"/>
            <w:shd w:val="clear" w:color="auto" w:fill="FFFFFF" w:themeFill="background1"/>
          </w:tcPr>
          <w:p w:rsidR="00015109" w:rsidRDefault="00817AEC">
            <w:pPr>
              <w:ind w:left="480" w:hanging="480"/>
              <w:jc w:val="both"/>
              <w:rPr>
                <w:rFonts w:ascii="Times New Roman" w:hAnsi="Times New Roman" w:cs="Times New Roman"/>
                <w:noProof/>
              </w:rPr>
            </w:pPr>
            <w:r>
              <w:rPr>
                <w:rFonts w:ascii="Times New Roman" w:hAnsi="Times New Roman" w:cs="Times New Roman"/>
                <w:noProof/>
              </w:rPr>
              <w:t>26</w:t>
            </w:r>
            <w:r>
              <w:rPr>
                <w:rFonts w:ascii="Times New Roman" w:hAnsi="Times New Roman" w:cs="Times New Roman"/>
                <w:noProof/>
              </w:rPr>
              <w:tab/>
              <w:t>Launch a feasibility project for Erasmus+ Virtual Exchanges to promote online engagement of young people with the aim of reaching 200,000 young people by 2019.</w:t>
            </w:r>
          </w:p>
          <w:p w:rsidR="00015109" w:rsidRDefault="00015109">
            <w:pPr>
              <w:ind w:left="480" w:hanging="480"/>
              <w:jc w:val="both"/>
              <w:rPr>
                <w:rFonts w:ascii="Times New Roman" w:hAnsi="Times New Roman" w:cs="Times New Roman"/>
                <w:noProof/>
              </w:rPr>
            </w:pPr>
          </w:p>
        </w:tc>
        <w:tc>
          <w:tcPr>
            <w:tcW w:w="992" w:type="dxa"/>
            <w:gridSpan w:val="2"/>
            <w:shd w:val="clear" w:color="auto" w:fill="FFFFFF" w:themeFill="background1"/>
          </w:tcPr>
          <w:p w:rsidR="00015109" w:rsidRDefault="00817AEC">
            <w:pPr>
              <w:rPr>
                <w:rFonts w:ascii="Times New Roman" w:hAnsi="Times New Roman" w:cs="Times New Roman"/>
                <w:noProof/>
              </w:rPr>
            </w:pPr>
            <w:r>
              <w:rPr>
                <w:rFonts w:ascii="Times New Roman" w:hAnsi="Times New Roman" w:cs="Times New Roman"/>
                <w:noProof/>
              </w:rPr>
              <w:t>Ongoing</w:t>
            </w:r>
          </w:p>
        </w:tc>
        <w:tc>
          <w:tcPr>
            <w:tcW w:w="8348" w:type="dxa"/>
            <w:shd w:val="clear" w:color="auto" w:fill="FFFFFF" w:themeFill="background1"/>
          </w:tcPr>
          <w:p w:rsidR="00015109" w:rsidRDefault="00817AEC">
            <w:pPr>
              <w:jc w:val="both"/>
              <w:rPr>
                <w:rFonts w:ascii="Times New Roman" w:hAnsi="Times New Roman" w:cs="Times New Roman"/>
                <w:noProof/>
              </w:rPr>
            </w:pPr>
            <w:r>
              <w:rPr>
                <w:rFonts w:ascii="Times New Roman" w:hAnsi="Times New Roman" w:cs="Times New Roman"/>
                <w:noProof/>
              </w:rPr>
              <w:t xml:space="preserve">The feasibility study </w:t>
            </w:r>
            <w:r>
              <w:rPr>
                <w:rFonts w:ascii="Times New Roman" w:hAnsi="Times New Roman" w:cs="Times New Roman"/>
                <w:noProof/>
              </w:rPr>
              <w:t>has been finalised. It gives options on how to pilot and then fully roll out the initiative, covering key aspects such as recruitment of participants, recruitment and training of facilitators, what content is required to ensure intercultural awareness of p</w:t>
            </w:r>
            <w:r>
              <w:rPr>
                <w:rFonts w:ascii="Times New Roman" w:hAnsi="Times New Roman" w:cs="Times New Roman"/>
                <w:noProof/>
              </w:rPr>
              <w:t>articipants is increased, the necessary IT platforms, and how participants will be recognised for their involvement. The objective is to begin the pilot with 1000-2000 young people in 2018, and broader roll out up by the end of 2019.</w:t>
            </w:r>
          </w:p>
          <w:p w:rsidR="00015109" w:rsidRDefault="00015109">
            <w:pPr>
              <w:jc w:val="both"/>
              <w:rPr>
                <w:rFonts w:ascii="Times New Roman" w:hAnsi="Times New Roman" w:cs="Times New Roman"/>
                <w:noProof/>
              </w:rPr>
            </w:pPr>
          </w:p>
        </w:tc>
      </w:tr>
    </w:tbl>
    <w:p w:rsidR="00015109" w:rsidRDefault="00015109">
      <w:pPr>
        <w:tabs>
          <w:tab w:val="left" w:pos="12941"/>
        </w:tabs>
        <w:rPr>
          <w:rFonts w:ascii="Times New Roman" w:hAnsi="Times New Roman" w:cs="Times New Roman"/>
          <w:noProof/>
        </w:rPr>
      </w:pPr>
    </w:p>
    <w:sectPr w:rsidR="00015109">
      <w:headerReference w:type="even" r:id="rId18"/>
      <w:headerReference w:type="default" r:id="rId19"/>
      <w:footerReference w:type="even" r:id="rId20"/>
      <w:footerReference w:type="default" r:id="rId21"/>
      <w:headerReference w:type="first" r:id="rId22"/>
      <w:footerReference w:type="first" r:id="rId23"/>
      <w:pgSz w:w="16838" w:h="11906" w:orient="landscape"/>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109" w:rsidRDefault="00817AEC">
      <w:pPr>
        <w:spacing w:after="0" w:line="240" w:lineRule="auto"/>
      </w:pPr>
      <w:r>
        <w:separator/>
      </w:r>
    </w:p>
  </w:endnote>
  <w:endnote w:type="continuationSeparator" w:id="0">
    <w:p w:rsidR="00015109" w:rsidRDefault="00817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C" w:rsidRPr="00817AEC" w:rsidRDefault="00817AEC" w:rsidP="00817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C" w:rsidRPr="00817AEC" w:rsidRDefault="00817AEC" w:rsidP="00817AEC">
    <w:pPr>
      <w:pStyle w:val="FooterCoverPage"/>
      <w:rPr>
        <w:rFonts w:ascii="Arial" w:hAnsi="Arial" w:cs="Arial"/>
        <w:b/>
        <w:sz w:val="48"/>
      </w:rPr>
    </w:pPr>
    <w:r w:rsidRPr="00817AEC">
      <w:rPr>
        <w:rFonts w:ascii="Arial" w:hAnsi="Arial" w:cs="Arial"/>
        <w:b/>
        <w:sz w:val="48"/>
      </w:rPr>
      <w:t>EN</w:t>
    </w:r>
    <w:r w:rsidRPr="00817AEC">
      <w:rPr>
        <w:rFonts w:ascii="Arial" w:hAnsi="Arial" w:cs="Arial"/>
        <w:b/>
        <w:sz w:val="48"/>
      </w:rPr>
      <w:tab/>
    </w:r>
    <w:r w:rsidRPr="00817AEC">
      <w:rPr>
        <w:rFonts w:ascii="Arial" w:hAnsi="Arial" w:cs="Arial"/>
        <w:b/>
        <w:sz w:val="48"/>
      </w:rPr>
      <w:tab/>
    </w:r>
    <w:fldSimple w:instr=" DOCVARIABLE &quot;LW_Confidence&quot; \* MERGEFORMAT ">
      <w:r>
        <w:t xml:space="preserve"> </w:t>
      </w:r>
    </w:fldSimple>
    <w:r w:rsidRPr="00817AEC">
      <w:tab/>
    </w:r>
    <w:r w:rsidRPr="00817AE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C" w:rsidRPr="00817AEC" w:rsidRDefault="00817AEC" w:rsidP="00817AE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09" w:rsidRDefault="0001510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371873"/>
      <w:docPartObj>
        <w:docPartGallery w:val="Page Numbers (Bottom of Page)"/>
        <w:docPartUnique/>
      </w:docPartObj>
    </w:sdtPr>
    <w:sdtEndPr>
      <w:rPr>
        <w:noProof/>
      </w:rPr>
    </w:sdtEndPr>
    <w:sdtContent>
      <w:p w:rsidR="00015109" w:rsidRDefault="00817AE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015109" w:rsidRDefault="0001510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09" w:rsidRDefault="00015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109" w:rsidRDefault="00817AEC">
      <w:pPr>
        <w:spacing w:after="0" w:line="240" w:lineRule="auto"/>
      </w:pPr>
      <w:r>
        <w:separator/>
      </w:r>
    </w:p>
  </w:footnote>
  <w:footnote w:type="continuationSeparator" w:id="0">
    <w:p w:rsidR="00015109" w:rsidRDefault="00817AEC">
      <w:pPr>
        <w:spacing w:after="0" w:line="240" w:lineRule="auto"/>
      </w:pPr>
      <w:r>
        <w:continuationSeparator/>
      </w:r>
    </w:p>
  </w:footnote>
  <w:footnote w:id="1">
    <w:p w:rsidR="00015109" w:rsidRDefault="00817AEC">
      <w:pPr>
        <w:pStyle w:val="FootnoteText"/>
        <w:rPr>
          <w:sz w:val="20"/>
          <w:szCs w:val="20"/>
        </w:rPr>
      </w:pPr>
      <w:r>
        <w:rPr>
          <w:rStyle w:val="FootnoteReference"/>
        </w:rPr>
        <w:t>[1]</w:t>
      </w:r>
      <w:r>
        <w:t xml:space="preserve"> For more information, see </w:t>
      </w:r>
      <w:hyperlink r:id="rId1" w:history="1">
        <w:r>
          <w:rPr>
            <w:rStyle w:val="Hyperlink"/>
          </w:rPr>
          <w:t>http://pameca.org.al/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C" w:rsidRPr="00817AEC" w:rsidRDefault="00817AEC" w:rsidP="00817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C" w:rsidRPr="00817AEC" w:rsidRDefault="00817AEC" w:rsidP="00817AE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EC" w:rsidRPr="00817AEC" w:rsidRDefault="00817AEC" w:rsidP="00817AE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09" w:rsidRDefault="0001510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09" w:rsidRDefault="0001510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09" w:rsidRDefault="00015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6B49"/>
    <w:multiLevelType w:val="hybridMultilevel"/>
    <w:tmpl w:val="7F901CE6"/>
    <w:lvl w:ilvl="0" w:tplc="33F22F54">
      <w:start w:val="5"/>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FA7254"/>
    <w:multiLevelType w:val="hybridMultilevel"/>
    <w:tmpl w:val="B23EA2A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D2037B"/>
    <w:multiLevelType w:val="hybridMultilevel"/>
    <w:tmpl w:val="822C5A3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B32545"/>
    <w:multiLevelType w:val="hybridMultilevel"/>
    <w:tmpl w:val="021091F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1A079B"/>
    <w:multiLevelType w:val="hybridMultilevel"/>
    <w:tmpl w:val="E11C7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3E0772"/>
    <w:multiLevelType w:val="hybridMultilevel"/>
    <w:tmpl w:val="BF50E9F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A0406F"/>
    <w:multiLevelType w:val="multilevel"/>
    <w:tmpl w:val="B87AA29C"/>
    <w:lvl w:ilvl="0">
      <w:start w:val="1"/>
      <w:numFmt w:val="decimal"/>
      <w:pStyle w:val="Para1"/>
      <w:lvlText w:val="%1."/>
      <w:lvlJc w:val="left"/>
      <w:pPr>
        <w:tabs>
          <w:tab w:val="num" w:pos="360"/>
        </w:tabs>
      </w:pPr>
      <w:rPr>
        <w:rFonts w:cs="Times New Roman"/>
      </w:rPr>
    </w:lvl>
    <w:lvl w:ilvl="1">
      <w:start w:val="1"/>
      <w:numFmt w:val="decimal"/>
      <w:pStyle w:val="Para2"/>
      <w:lvlText w:val="%1.%2."/>
      <w:lvlJc w:val="left"/>
      <w:pPr>
        <w:tabs>
          <w:tab w:val="num" w:pos="360"/>
        </w:tabs>
      </w:pPr>
      <w:rPr>
        <w:rFonts w:cs="Times New Roman"/>
      </w:rPr>
    </w:lvl>
    <w:lvl w:ilvl="2">
      <w:start w:val="1"/>
      <w:numFmt w:val="decimal"/>
      <w:pStyle w:val="Para3"/>
      <w:lvlText w:val="%1.%2.%3."/>
      <w:lvlJc w:val="left"/>
      <w:pPr>
        <w:tabs>
          <w:tab w:val="num" w:pos="720"/>
        </w:tabs>
      </w:pPr>
      <w:rPr>
        <w:rFonts w:cs="Times New Roman"/>
      </w:rPr>
    </w:lvl>
    <w:lvl w:ilvl="3">
      <w:start w:val="1"/>
      <w:numFmt w:val="lowerLetter"/>
      <w:pStyle w:val="Para4"/>
      <w:lvlText w:val="%4)"/>
      <w:lvlJc w:val="left"/>
      <w:pPr>
        <w:tabs>
          <w:tab w:val="num" w:pos="454"/>
        </w:tabs>
        <w:ind w:left="454" w:hanging="454"/>
      </w:pPr>
      <w:rPr>
        <w:rFonts w:cs="Times New Roman"/>
      </w:rPr>
    </w:lvl>
    <w:lvl w:ilvl="4">
      <w:start w:val="1"/>
      <w:numFmt w:val="lowerRoman"/>
      <w:pStyle w:val="Para5"/>
      <w:lvlText w:val="%5)"/>
      <w:lvlJc w:val="left"/>
      <w:pPr>
        <w:tabs>
          <w:tab w:val="num" w:pos="1174"/>
        </w:tabs>
        <w:ind w:left="851" w:hanging="397"/>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7">
    <w:nsid w:val="33272489"/>
    <w:multiLevelType w:val="hybridMultilevel"/>
    <w:tmpl w:val="CE7047F8"/>
    <w:lvl w:ilvl="0" w:tplc="A3101848">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618C3"/>
    <w:multiLevelType w:val="hybridMultilevel"/>
    <w:tmpl w:val="43C0B0D2"/>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4455B9"/>
    <w:multiLevelType w:val="hybridMultilevel"/>
    <w:tmpl w:val="C492B90C"/>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CF5D3A"/>
    <w:multiLevelType w:val="hybridMultilevel"/>
    <w:tmpl w:val="0D26E50C"/>
    <w:lvl w:ilvl="0" w:tplc="33F22F5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B83ED4"/>
    <w:multiLevelType w:val="hybridMultilevel"/>
    <w:tmpl w:val="E102919A"/>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983090"/>
    <w:multiLevelType w:val="hybridMultilevel"/>
    <w:tmpl w:val="6C8E0B68"/>
    <w:lvl w:ilvl="0" w:tplc="FC90C370">
      <w:start w:val="1"/>
      <w:numFmt w:val="bullet"/>
      <w:lvlText w:val=""/>
      <w:lvlJc w:val="left"/>
      <w:pPr>
        <w:ind w:left="389"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178043B"/>
    <w:multiLevelType w:val="hybridMultilevel"/>
    <w:tmpl w:val="39EED84A"/>
    <w:lvl w:ilvl="0" w:tplc="0809000F">
      <w:start w:val="1"/>
      <w:numFmt w:val="decimal"/>
      <w:lvlText w:val="%1."/>
      <w:lvlJc w:val="left"/>
      <w:pPr>
        <w:ind w:left="720" w:hanging="360"/>
      </w:pPr>
      <w:rPr>
        <w:rFonts w:cs="Times New Roman"/>
        <w:color w:val="00000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nsid w:val="648471CB"/>
    <w:multiLevelType w:val="hybridMultilevel"/>
    <w:tmpl w:val="6FF45D4A"/>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785971"/>
    <w:multiLevelType w:val="hybridMultilevel"/>
    <w:tmpl w:val="157EDC7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495343"/>
    <w:multiLevelType w:val="hybridMultilevel"/>
    <w:tmpl w:val="0FEE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1E0665"/>
    <w:multiLevelType w:val="hybridMultilevel"/>
    <w:tmpl w:val="E660A146"/>
    <w:lvl w:ilvl="0" w:tplc="33F22F5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1B4C33"/>
    <w:multiLevelType w:val="hybridMultilevel"/>
    <w:tmpl w:val="2F16AD1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026C62"/>
    <w:multiLevelType w:val="hybridMultilevel"/>
    <w:tmpl w:val="512C6D7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3"/>
  </w:num>
  <w:num w:numId="4">
    <w:abstractNumId w:val="1"/>
  </w:num>
  <w:num w:numId="5">
    <w:abstractNumId w:val="11"/>
  </w:num>
  <w:num w:numId="6">
    <w:abstractNumId w:val="16"/>
  </w:num>
  <w:num w:numId="7">
    <w:abstractNumId w:val="12"/>
  </w:num>
  <w:num w:numId="8">
    <w:abstractNumId w:val="10"/>
  </w:num>
  <w:num w:numId="9">
    <w:abstractNumId w:val="17"/>
  </w:num>
  <w:num w:numId="10">
    <w:abstractNumId w:val="0"/>
  </w:num>
  <w:num w:numId="11">
    <w:abstractNumId w:val="8"/>
  </w:num>
  <w:num w:numId="12">
    <w:abstractNumId w:val="15"/>
  </w:num>
  <w:num w:numId="13">
    <w:abstractNumId w:val="3"/>
  </w:num>
  <w:num w:numId="14">
    <w:abstractNumId w:val="14"/>
  </w:num>
  <w:num w:numId="15">
    <w:abstractNumId w:val="19"/>
  </w:num>
  <w:num w:numId="16">
    <w:abstractNumId w:val="2"/>
  </w:num>
  <w:num w:numId="17">
    <w:abstractNumId w:val="9"/>
  </w:num>
  <w:num w:numId="18">
    <w:abstractNumId w:val="18"/>
  </w:num>
  <w:num w:numId="19">
    <w:abstractNumId w:val="5"/>
  </w:num>
  <w:num w:numId="20">
    <w:abstractNumId w:val="12"/>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hideGrammaticalErrors/>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EU RESTRICTED"/>
    <w:docVar w:name="LW_CORRIGENDUM" w:val="&lt;UNUSED&gt;"/>
    <w:docVar w:name="LW_COVERPAGE_GUID" w:val="C9E964EFCF66452AB0825751CE11B611"/>
    <w:docVar w:name="LW_CROSSREFERENCE" w:val="&lt;UNUSED&gt;"/>
    <w:docVar w:name="LW_DocType" w:val="NORMAL"/>
    <w:docVar w:name="LW_EMISSION" w:val="29.6.2017"/>
    <w:docVar w:name="LW_EMISSION_ISODATE" w:val="2017-06-29"/>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Eighth progress report towards an effective and genuine Security Union"/>
    <w:docVar w:name="LW_PART_NBR" w:val="1"/>
    <w:docVar w:name="LW_PART_NBR_TOTAL" w:val="1"/>
    <w:docVar w:name="LW_REF.INST.NEW" w:val="COM"/>
    <w:docVar w:name="LW_REF.INST.NEW_ADOPTED" w:val="final"/>
    <w:docVar w:name="LW_REF.INST.NEW_TEXT" w:val="(2017) 354"/>
    <w:docVar w:name="LW_REF.INTERNE" w:val="&lt;UNUSED&gt;"/>
    <w:docVar w:name="LW_SUPERTITRE" w:val="&lt;UNUSED&gt;"/>
    <w:docVar w:name="LW_TITRE.OBJ.CP" w:val="State of play of implementing the actions set out in the Commission Communication on supporting the prevention of radicalisation leading to violent extremism"/>
    <w:docVar w:name="LW_TYPE.DOC.CP" w:val="ANNEX_x000b_"/>
    <w:docVar w:name="LW_TYPEACTEPRINCIPAL.CP" w:val="Communication from the Commission to the European Parliament, the European Council and the Council"/>
  </w:docVars>
  <w:rsids>
    <w:rsidRoot w:val="00015109"/>
    <w:rsid w:val="00015109"/>
    <w:rsid w:val="00817A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
    <w:basedOn w:val="Normal"/>
    <w:link w:val="FootnoteTextChar"/>
    <w:uiPriority w:val="99"/>
    <w:unhideWhenUsed/>
    <w:pPr>
      <w:spacing w:after="0" w:line="240" w:lineRule="auto"/>
    </w:pPr>
    <w:rPr>
      <w:sz w:val="24"/>
      <w:szCs w:val="24"/>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link w:val="Char2"/>
    <w:uiPriority w:val="99"/>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Practice">
    <w:name w:val="Txt Practice"/>
    <w:basedOn w:val="Normal"/>
    <w:link w:val="TxtPracticeChar"/>
    <w:qFormat/>
    <w:pPr>
      <w:spacing w:after="0" w:line="240" w:lineRule="auto"/>
    </w:pPr>
    <w:rPr>
      <w:rFonts w:ascii="Trebuchet MS" w:eastAsia="Times New Roman" w:hAnsi="Trebuchet MS" w:cs="Times New Roman"/>
      <w:color w:val="595959" w:themeColor="text1" w:themeTint="A6"/>
      <w:sz w:val="20"/>
      <w:szCs w:val="20"/>
    </w:rPr>
  </w:style>
  <w:style w:type="character" w:customStyle="1" w:styleId="TxtPracticeChar">
    <w:name w:val="Txt Practice Char"/>
    <w:basedOn w:val="DefaultParagraphFont"/>
    <w:link w:val="TxtPractice"/>
    <w:rPr>
      <w:rFonts w:ascii="Trebuchet MS" w:eastAsia="Times New Roman" w:hAnsi="Trebuchet MS" w:cs="Times New Roman"/>
      <w:color w:val="595959" w:themeColor="text1" w:themeTint="A6"/>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talicsTitles">
    <w:name w:val="Italics Titles"/>
    <w:basedOn w:val="Normal"/>
    <w:qFormat/>
    <w:pPr>
      <w:spacing w:after="160" w:line="259" w:lineRule="auto"/>
    </w:pPr>
    <w:rPr>
      <w:b/>
      <w:i/>
      <w:color w:val="1E1D64"/>
      <w:sz w:val="28"/>
      <w:lang w:val="en-US"/>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paragraph" w:customStyle="1" w:styleId="CorpsA">
    <w:name w:val="Corps A"/>
    <w:basedOn w:val="Normal"/>
    <w:rPr>
      <w:rFonts w:ascii="Calibri" w:hAnsi="Calibri" w:cs="Times New Roman"/>
      <w:color w:val="000000"/>
      <w:lang w:eastAsia="en-GB"/>
    </w:rPr>
  </w:style>
  <w:style w:type="paragraph" w:customStyle="1" w:styleId="Char2">
    <w:name w:val="Char2"/>
    <w:basedOn w:val="Normal"/>
    <w:link w:val="FootnoteReference"/>
    <w:uiPriority w:val="99"/>
    <w:pPr>
      <w:spacing w:after="160" w:line="240" w:lineRule="exact"/>
    </w:pPr>
    <w:rPr>
      <w:vertAlign w:val="superscript"/>
    </w:rPr>
  </w:style>
  <w:style w:type="character" w:customStyle="1" w:styleId="AucunA">
    <w:name w:val="Aucun A"/>
    <w:basedOn w:val="DefaultParagraphFont"/>
  </w:style>
  <w:style w:type="paragraph" w:customStyle="1" w:styleId="Para1">
    <w:name w:val="Para_1"/>
    <w:basedOn w:val="Normal"/>
    <w:pPr>
      <w:numPr>
        <w:numId w:val="21"/>
      </w:numPr>
      <w:tabs>
        <w:tab w:val="left" w:pos="454"/>
      </w:tabs>
      <w:spacing w:after="240" w:line="240" w:lineRule="auto"/>
    </w:pPr>
    <w:rPr>
      <w:rFonts w:ascii="Garamond" w:eastAsia="Times New Roman" w:hAnsi="Garamond" w:cs="Times New Roman"/>
      <w:noProof/>
      <w:sz w:val="24"/>
      <w:szCs w:val="20"/>
      <w:lang w:val="en-US"/>
    </w:rPr>
  </w:style>
  <w:style w:type="paragraph" w:customStyle="1" w:styleId="Para2">
    <w:name w:val="Para_2"/>
    <w:basedOn w:val="Normal"/>
    <w:pPr>
      <w:numPr>
        <w:ilvl w:val="1"/>
        <w:numId w:val="21"/>
      </w:numPr>
      <w:spacing w:after="240" w:line="240" w:lineRule="auto"/>
    </w:pPr>
    <w:rPr>
      <w:rFonts w:ascii="Garamond" w:eastAsia="Times New Roman" w:hAnsi="Garamond" w:cs="Times New Roman"/>
      <w:noProof/>
      <w:sz w:val="24"/>
      <w:szCs w:val="20"/>
      <w:lang w:val="en-US"/>
    </w:rPr>
  </w:style>
  <w:style w:type="paragraph" w:customStyle="1" w:styleId="Para3">
    <w:name w:val="Para_3"/>
    <w:basedOn w:val="Normal"/>
    <w:pPr>
      <w:numPr>
        <w:ilvl w:val="2"/>
        <w:numId w:val="21"/>
      </w:numPr>
      <w:tabs>
        <w:tab w:val="left" w:pos="992"/>
      </w:tabs>
      <w:spacing w:after="240" w:line="240" w:lineRule="auto"/>
    </w:pPr>
    <w:rPr>
      <w:rFonts w:ascii="Garamond" w:eastAsia="Times New Roman" w:hAnsi="Garamond" w:cs="Times New Roman"/>
      <w:noProof/>
      <w:sz w:val="24"/>
      <w:szCs w:val="20"/>
      <w:lang w:val="en-US"/>
    </w:rPr>
  </w:style>
  <w:style w:type="paragraph" w:customStyle="1" w:styleId="Para4">
    <w:name w:val="Para_4"/>
    <w:basedOn w:val="Normal"/>
    <w:pPr>
      <w:numPr>
        <w:ilvl w:val="3"/>
        <w:numId w:val="21"/>
      </w:numPr>
      <w:spacing w:after="240" w:line="240" w:lineRule="auto"/>
    </w:pPr>
    <w:rPr>
      <w:rFonts w:ascii="Garamond" w:eastAsia="Times New Roman" w:hAnsi="Garamond" w:cs="Times New Roman"/>
      <w:noProof/>
      <w:sz w:val="24"/>
      <w:szCs w:val="20"/>
      <w:lang w:val="en-US"/>
    </w:rPr>
  </w:style>
  <w:style w:type="paragraph" w:customStyle="1" w:styleId="Para5">
    <w:name w:val="Para_5"/>
    <w:basedOn w:val="Normal"/>
    <w:pPr>
      <w:numPr>
        <w:ilvl w:val="4"/>
        <w:numId w:val="21"/>
      </w:numPr>
      <w:tabs>
        <w:tab w:val="left" w:pos="1021"/>
      </w:tabs>
      <w:spacing w:after="240" w:line="240" w:lineRule="auto"/>
    </w:pPr>
    <w:rPr>
      <w:rFonts w:ascii="Garamond" w:eastAsia="Times New Roman" w:hAnsi="Garamond" w:cs="Times New Roman"/>
      <w:noProof/>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
    <w:basedOn w:val="Normal"/>
    <w:link w:val="FootnoteTextChar"/>
    <w:uiPriority w:val="99"/>
    <w:unhideWhenUsed/>
    <w:pPr>
      <w:spacing w:after="0" w:line="240" w:lineRule="auto"/>
    </w:pPr>
    <w:rPr>
      <w:sz w:val="24"/>
      <w:szCs w:val="24"/>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link w:val="Char2"/>
    <w:uiPriority w:val="99"/>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Practice">
    <w:name w:val="Txt Practice"/>
    <w:basedOn w:val="Normal"/>
    <w:link w:val="TxtPracticeChar"/>
    <w:qFormat/>
    <w:pPr>
      <w:spacing w:after="0" w:line="240" w:lineRule="auto"/>
    </w:pPr>
    <w:rPr>
      <w:rFonts w:ascii="Trebuchet MS" w:eastAsia="Times New Roman" w:hAnsi="Trebuchet MS" w:cs="Times New Roman"/>
      <w:color w:val="595959" w:themeColor="text1" w:themeTint="A6"/>
      <w:sz w:val="20"/>
      <w:szCs w:val="20"/>
    </w:rPr>
  </w:style>
  <w:style w:type="character" w:customStyle="1" w:styleId="TxtPracticeChar">
    <w:name w:val="Txt Practice Char"/>
    <w:basedOn w:val="DefaultParagraphFont"/>
    <w:link w:val="TxtPractice"/>
    <w:rPr>
      <w:rFonts w:ascii="Trebuchet MS" w:eastAsia="Times New Roman" w:hAnsi="Trebuchet MS" w:cs="Times New Roman"/>
      <w:color w:val="595959" w:themeColor="text1" w:themeTint="A6"/>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talicsTitles">
    <w:name w:val="Italics Titles"/>
    <w:basedOn w:val="Normal"/>
    <w:qFormat/>
    <w:pPr>
      <w:spacing w:after="160" w:line="259" w:lineRule="auto"/>
    </w:pPr>
    <w:rPr>
      <w:b/>
      <w:i/>
      <w:color w:val="1E1D64"/>
      <w:sz w:val="28"/>
      <w:lang w:val="en-US"/>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paragraph" w:customStyle="1" w:styleId="CorpsA">
    <w:name w:val="Corps A"/>
    <w:basedOn w:val="Normal"/>
    <w:rPr>
      <w:rFonts w:ascii="Calibri" w:hAnsi="Calibri" w:cs="Times New Roman"/>
      <w:color w:val="000000"/>
      <w:lang w:eastAsia="en-GB"/>
    </w:rPr>
  </w:style>
  <w:style w:type="paragraph" w:customStyle="1" w:styleId="Char2">
    <w:name w:val="Char2"/>
    <w:basedOn w:val="Normal"/>
    <w:link w:val="FootnoteReference"/>
    <w:uiPriority w:val="99"/>
    <w:pPr>
      <w:spacing w:after="160" w:line="240" w:lineRule="exact"/>
    </w:pPr>
    <w:rPr>
      <w:vertAlign w:val="superscript"/>
    </w:rPr>
  </w:style>
  <w:style w:type="character" w:customStyle="1" w:styleId="AucunA">
    <w:name w:val="Aucun A"/>
    <w:basedOn w:val="DefaultParagraphFont"/>
  </w:style>
  <w:style w:type="paragraph" w:customStyle="1" w:styleId="Para1">
    <w:name w:val="Para_1"/>
    <w:basedOn w:val="Normal"/>
    <w:pPr>
      <w:numPr>
        <w:numId w:val="21"/>
      </w:numPr>
      <w:tabs>
        <w:tab w:val="left" w:pos="454"/>
      </w:tabs>
      <w:spacing w:after="240" w:line="240" w:lineRule="auto"/>
    </w:pPr>
    <w:rPr>
      <w:rFonts w:ascii="Garamond" w:eastAsia="Times New Roman" w:hAnsi="Garamond" w:cs="Times New Roman"/>
      <w:noProof/>
      <w:sz w:val="24"/>
      <w:szCs w:val="20"/>
      <w:lang w:val="en-US"/>
    </w:rPr>
  </w:style>
  <w:style w:type="paragraph" w:customStyle="1" w:styleId="Para2">
    <w:name w:val="Para_2"/>
    <w:basedOn w:val="Normal"/>
    <w:pPr>
      <w:numPr>
        <w:ilvl w:val="1"/>
        <w:numId w:val="21"/>
      </w:numPr>
      <w:spacing w:after="240" w:line="240" w:lineRule="auto"/>
    </w:pPr>
    <w:rPr>
      <w:rFonts w:ascii="Garamond" w:eastAsia="Times New Roman" w:hAnsi="Garamond" w:cs="Times New Roman"/>
      <w:noProof/>
      <w:sz w:val="24"/>
      <w:szCs w:val="20"/>
      <w:lang w:val="en-US"/>
    </w:rPr>
  </w:style>
  <w:style w:type="paragraph" w:customStyle="1" w:styleId="Para3">
    <w:name w:val="Para_3"/>
    <w:basedOn w:val="Normal"/>
    <w:pPr>
      <w:numPr>
        <w:ilvl w:val="2"/>
        <w:numId w:val="21"/>
      </w:numPr>
      <w:tabs>
        <w:tab w:val="left" w:pos="992"/>
      </w:tabs>
      <w:spacing w:after="240" w:line="240" w:lineRule="auto"/>
    </w:pPr>
    <w:rPr>
      <w:rFonts w:ascii="Garamond" w:eastAsia="Times New Roman" w:hAnsi="Garamond" w:cs="Times New Roman"/>
      <w:noProof/>
      <w:sz w:val="24"/>
      <w:szCs w:val="20"/>
      <w:lang w:val="en-US"/>
    </w:rPr>
  </w:style>
  <w:style w:type="paragraph" w:customStyle="1" w:styleId="Para4">
    <w:name w:val="Para_4"/>
    <w:basedOn w:val="Normal"/>
    <w:pPr>
      <w:numPr>
        <w:ilvl w:val="3"/>
        <w:numId w:val="21"/>
      </w:numPr>
      <w:spacing w:after="240" w:line="240" w:lineRule="auto"/>
    </w:pPr>
    <w:rPr>
      <w:rFonts w:ascii="Garamond" w:eastAsia="Times New Roman" w:hAnsi="Garamond" w:cs="Times New Roman"/>
      <w:noProof/>
      <w:sz w:val="24"/>
      <w:szCs w:val="20"/>
      <w:lang w:val="en-US"/>
    </w:rPr>
  </w:style>
  <w:style w:type="paragraph" w:customStyle="1" w:styleId="Para5">
    <w:name w:val="Para_5"/>
    <w:basedOn w:val="Normal"/>
    <w:pPr>
      <w:numPr>
        <w:ilvl w:val="4"/>
        <w:numId w:val="21"/>
      </w:numPr>
      <w:tabs>
        <w:tab w:val="left" w:pos="1021"/>
      </w:tabs>
      <w:spacing w:after="240" w:line="240" w:lineRule="auto"/>
    </w:pPr>
    <w:rPr>
      <w:rFonts w:ascii="Garamond" w:eastAsia="Times New Roman" w:hAnsi="Garamond"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35800">
      <w:bodyDiv w:val="1"/>
      <w:marLeft w:val="0"/>
      <w:marRight w:val="0"/>
      <w:marTop w:val="0"/>
      <w:marBottom w:val="0"/>
      <w:divBdr>
        <w:top w:val="none" w:sz="0" w:space="0" w:color="auto"/>
        <w:left w:val="none" w:sz="0" w:space="0" w:color="auto"/>
        <w:bottom w:val="none" w:sz="0" w:space="0" w:color="auto"/>
        <w:right w:val="none" w:sz="0" w:space="0" w:color="auto"/>
      </w:divBdr>
    </w:div>
    <w:div w:id="291909095">
      <w:bodyDiv w:val="1"/>
      <w:marLeft w:val="0"/>
      <w:marRight w:val="0"/>
      <w:marTop w:val="0"/>
      <w:marBottom w:val="0"/>
      <w:divBdr>
        <w:top w:val="none" w:sz="0" w:space="0" w:color="auto"/>
        <w:left w:val="none" w:sz="0" w:space="0" w:color="auto"/>
        <w:bottom w:val="none" w:sz="0" w:space="0" w:color="auto"/>
        <w:right w:val="none" w:sz="0" w:space="0" w:color="auto"/>
      </w:divBdr>
    </w:div>
    <w:div w:id="363949782">
      <w:bodyDiv w:val="1"/>
      <w:marLeft w:val="0"/>
      <w:marRight w:val="0"/>
      <w:marTop w:val="0"/>
      <w:marBottom w:val="0"/>
      <w:divBdr>
        <w:top w:val="none" w:sz="0" w:space="0" w:color="auto"/>
        <w:left w:val="none" w:sz="0" w:space="0" w:color="auto"/>
        <w:bottom w:val="none" w:sz="0" w:space="0" w:color="auto"/>
        <w:right w:val="none" w:sz="0" w:space="0" w:color="auto"/>
      </w:divBdr>
    </w:div>
    <w:div w:id="364984598">
      <w:bodyDiv w:val="1"/>
      <w:marLeft w:val="0"/>
      <w:marRight w:val="0"/>
      <w:marTop w:val="0"/>
      <w:marBottom w:val="0"/>
      <w:divBdr>
        <w:top w:val="none" w:sz="0" w:space="0" w:color="auto"/>
        <w:left w:val="none" w:sz="0" w:space="0" w:color="auto"/>
        <w:bottom w:val="none" w:sz="0" w:space="0" w:color="auto"/>
        <w:right w:val="none" w:sz="0" w:space="0" w:color="auto"/>
      </w:divBdr>
    </w:div>
    <w:div w:id="573707390">
      <w:bodyDiv w:val="1"/>
      <w:marLeft w:val="0"/>
      <w:marRight w:val="0"/>
      <w:marTop w:val="0"/>
      <w:marBottom w:val="0"/>
      <w:divBdr>
        <w:top w:val="none" w:sz="0" w:space="0" w:color="auto"/>
        <w:left w:val="none" w:sz="0" w:space="0" w:color="auto"/>
        <w:bottom w:val="none" w:sz="0" w:space="0" w:color="auto"/>
        <w:right w:val="none" w:sz="0" w:space="0" w:color="auto"/>
      </w:divBdr>
    </w:div>
    <w:div w:id="584456515">
      <w:bodyDiv w:val="1"/>
      <w:marLeft w:val="0"/>
      <w:marRight w:val="0"/>
      <w:marTop w:val="0"/>
      <w:marBottom w:val="0"/>
      <w:divBdr>
        <w:top w:val="none" w:sz="0" w:space="0" w:color="auto"/>
        <w:left w:val="none" w:sz="0" w:space="0" w:color="auto"/>
        <w:bottom w:val="none" w:sz="0" w:space="0" w:color="auto"/>
        <w:right w:val="none" w:sz="0" w:space="0" w:color="auto"/>
      </w:divBdr>
    </w:div>
    <w:div w:id="710765407">
      <w:bodyDiv w:val="1"/>
      <w:marLeft w:val="0"/>
      <w:marRight w:val="0"/>
      <w:marTop w:val="0"/>
      <w:marBottom w:val="0"/>
      <w:divBdr>
        <w:top w:val="none" w:sz="0" w:space="0" w:color="auto"/>
        <w:left w:val="none" w:sz="0" w:space="0" w:color="auto"/>
        <w:bottom w:val="none" w:sz="0" w:space="0" w:color="auto"/>
        <w:right w:val="none" w:sz="0" w:space="0" w:color="auto"/>
      </w:divBdr>
    </w:div>
    <w:div w:id="860702516">
      <w:bodyDiv w:val="1"/>
      <w:marLeft w:val="0"/>
      <w:marRight w:val="0"/>
      <w:marTop w:val="0"/>
      <w:marBottom w:val="0"/>
      <w:divBdr>
        <w:top w:val="none" w:sz="0" w:space="0" w:color="auto"/>
        <w:left w:val="none" w:sz="0" w:space="0" w:color="auto"/>
        <w:bottom w:val="none" w:sz="0" w:space="0" w:color="auto"/>
        <w:right w:val="none" w:sz="0" w:space="0" w:color="auto"/>
      </w:divBdr>
    </w:div>
    <w:div w:id="901017247">
      <w:bodyDiv w:val="1"/>
      <w:marLeft w:val="0"/>
      <w:marRight w:val="0"/>
      <w:marTop w:val="0"/>
      <w:marBottom w:val="0"/>
      <w:divBdr>
        <w:top w:val="none" w:sz="0" w:space="0" w:color="auto"/>
        <w:left w:val="none" w:sz="0" w:space="0" w:color="auto"/>
        <w:bottom w:val="none" w:sz="0" w:space="0" w:color="auto"/>
        <w:right w:val="none" w:sz="0" w:space="0" w:color="auto"/>
      </w:divBdr>
    </w:div>
    <w:div w:id="976449302">
      <w:bodyDiv w:val="1"/>
      <w:marLeft w:val="0"/>
      <w:marRight w:val="0"/>
      <w:marTop w:val="0"/>
      <w:marBottom w:val="0"/>
      <w:divBdr>
        <w:top w:val="none" w:sz="0" w:space="0" w:color="auto"/>
        <w:left w:val="none" w:sz="0" w:space="0" w:color="auto"/>
        <w:bottom w:val="none" w:sz="0" w:space="0" w:color="auto"/>
        <w:right w:val="none" w:sz="0" w:space="0" w:color="auto"/>
      </w:divBdr>
    </w:div>
    <w:div w:id="1108889487">
      <w:bodyDiv w:val="1"/>
      <w:marLeft w:val="0"/>
      <w:marRight w:val="0"/>
      <w:marTop w:val="0"/>
      <w:marBottom w:val="0"/>
      <w:divBdr>
        <w:top w:val="none" w:sz="0" w:space="0" w:color="auto"/>
        <w:left w:val="none" w:sz="0" w:space="0" w:color="auto"/>
        <w:bottom w:val="none" w:sz="0" w:space="0" w:color="auto"/>
        <w:right w:val="none" w:sz="0" w:space="0" w:color="auto"/>
      </w:divBdr>
    </w:div>
    <w:div w:id="1170411718">
      <w:bodyDiv w:val="1"/>
      <w:marLeft w:val="0"/>
      <w:marRight w:val="0"/>
      <w:marTop w:val="0"/>
      <w:marBottom w:val="0"/>
      <w:divBdr>
        <w:top w:val="none" w:sz="0" w:space="0" w:color="auto"/>
        <w:left w:val="none" w:sz="0" w:space="0" w:color="auto"/>
        <w:bottom w:val="none" w:sz="0" w:space="0" w:color="auto"/>
        <w:right w:val="none" w:sz="0" w:space="0" w:color="auto"/>
      </w:divBdr>
    </w:div>
    <w:div w:id="1804539905">
      <w:bodyDiv w:val="1"/>
      <w:marLeft w:val="0"/>
      <w:marRight w:val="0"/>
      <w:marTop w:val="0"/>
      <w:marBottom w:val="0"/>
      <w:divBdr>
        <w:top w:val="none" w:sz="0" w:space="0" w:color="auto"/>
        <w:left w:val="none" w:sz="0" w:space="0" w:color="auto"/>
        <w:bottom w:val="none" w:sz="0" w:space="0" w:color="auto"/>
        <w:right w:val="none" w:sz="0" w:space="0" w:color="auto"/>
      </w:divBdr>
    </w:div>
    <w:div w:id="1838959395">
      <w:bodyDiv w:val="1"/>
      <w:marLeft w:val="0"/>
      <w:marRight w:val="0"/>
      <w:marTop w:val="0"/>
      <w:marBottom w:val="0"/>
      <w:divBdr>
        <w:top w:val="none" w:sz="0" w:space="0" w:color="auto"/>
        <w:left w:val="none" w:sz="0" w:space="0" w:color="auto"/>
        <w:bottom w:val="none" w:sz="0" w:space="0" w:color="auto"/>
        <w:right w:val="none" w:sz="0" w:space="0" w:color="auto"/>
      </w:divBdr>
    </w:div>
    <w:div w:id="2019843438">
      <w:bodyDiv w:val="1"/>
      <w:marLeft w:val="0"/>
      <w:marRight w:val="0"/>
      <w:marTop w:val="0"/>
      <w:marBottom w:val="0"/>
      <w:divBdr>
        <w:top w:val="none" w:sz="0" w:space="0" w:color="auto"/>
        <w:left w:val="none" w:sz="0" w:space="0" w:color="auto"/>
        <w:bottom w:val="none" w:sz="0" w:space="0" w:color="auto"/>
        <w:right w:val="none" w:sz="0" w:space="0" w:color="auto"/>
      </w:divBdr>
      <w:divsChild>
        <w:div w:id="919560639">
          <w:marLeft w:val="0"/>
          <w:marRight w:val="0"/>
          <w:marTop w:val="0"/>
          <w:marBottom w:val="0"/>
          <w:divBdr>
            <w:top w:val="none" w:sz="0" w:space="0" w:color="auto"/>
            <w:left w:val="none" w:sz="0" w:space="0" w:color="auto"/>
            <w:bottom w:val="none" w:sz="0" w:space="0" w:color="auto"/>
            <w:right w:val="none" w:sz="0" w:space="0" w:color="auto"/>
          </w:divBdr>
          <w:divsChild>
            <w:div w:id="1564634658">
              <w:marLeft w:val="0"/>
              <w:marRight w:val="0"/>
              <w:marTop w:val="0"/>
              <w:marBottom w:val="0"/>
              <w:divBdr>
                <w:top w:val="none" w:sz="0" w:space="0" w:color="auto"/>
                <w:left w:val="none" w:sz="0" w:space="0" w:color="auto"/>
                <w:bottom w:val="none" w:sz="0" w:space="0" w:color="auto"/>
                <w:right w:val="none" w:sz="0" w:space="0" w:color="auto"/>
              </w:divBdr>
              <w:divsChild>
                <w:div w:id="517504785">
                  <w:marLeft w:val="0"/>
                  <w:marRight w:val="-4875"/>
                  <w:marTop w:val="0"/>
                  <w:marBottom w:val="0"/>
                  <w:divBdr>
                    <w:top w:val="none" w:sz="0" w:space="0" w:color="auto"/>
                    <w:left w:val="none" w:sz="0" w:space="0" w:color="auto"/>
                    <w:bottom w:val="none" w:sz="0" w:space="0" w:color="auto"/>
                    <w:right w:val="none" w:sz="0" w:space="0" w:color="auto"/>
                  </w:divBdr>
                  <w:divsChild>
                    <w:div w:id="2051686585">
                      <w:marLeft w:val="0"/>
                      <w:marRight w:val="0"/>
                      <w:marTop w:val="0"/>
                      <w:marBottom w:val="0"/>
                      <w:divBdr>
                        <w:top w:val="none" w:sz="0" w:space="0" w:color="auto"/>
                        <w:left w:val="none" w:sz="0" w:space="0" w:color="auto"/>
                        <w:bottom w:val="none" w:sz="0" w:space="0" w:color="auto"/>
                        <w:right w:val="none" w:sz="0" w:space="0" w:color="auto"/>
                      </w:divBdr>
                      <w:divsChild>
                        <w:div w:id="1086657040">
                          <w:marLeft w:val="0"/>
                          <w:marRight w:val="0"/>
                          <w:marTop w:val="0"/>
                          <w:marBottom w:val="0"/>
                          <w:divBdr>
                            <w:top w:val="none" w:sz="0" w:space="0" w:color="auto"/>
                            <w:left w:val="none" w:sz="0" w:space="0" w:color="auto"/>
                            <w:bottom w:val="none" w:sz="0" w:space="0" w:color="auto"/>
                            <w:right w:val="none" w:sz="0" w:space="0" w:color="auto"/>
                          </w:divBdr>
                          <w:divsChild>
                            <w:div w:id="15238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4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dgs/home-affairs/what-we-do/networks/radicalisation_awareness_network/ran-and-member-states/repository/index_en.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home-affairs/what-we-do/networks/radicalisation_awareness_network/ran-papers_e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pameca.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3F0BE-B75A-4274-BBDA-74F6E919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4527</Words>
  <Characters>26848</Characters>
  <Application>Microsoft Office Word</Application>
  <DocSecurity>0</DocSecurity>
  <Lines>624</Lines>
  <Paragraphs>211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2017-06-26T17:15:00Z</dcterms:created>
  <dcterms:modified xsi:type="dcterms:W3CDTF">2017-06-28T11:57:00Z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