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7C" w:rsidRDefault="00CC3130" w:rsidP="00CC313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AE598D7A2834391A8766F8E9B511C6A" style="width:450.75pt;height:442.5pt">
            <v:imagedata r:id="rId9" o:title=""/>
          </v:shape>
        </w:pict>
      </w:r>
    </w:p>
    <w:bookmarkEnd w:id="0"/>
    <w:p w:rsidR="00C71C7C" w:rsidRDefault="00C71C7C">
      <w:pPr>
        <w:rPr>
          <w:noProof/>
        </w:rPr>
        <w:sectPr w:rsidR="00C71C7C" w:rsidSect="00CC313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C71C7C" w:rsidRDefault="00CC3130">
      <w:pPr>
        <w:pBdr>
          <w:top w:val="single" w:sz="4" w:space="1" w:color="auto"/>
          <w:left w:val="single" w:sz="4" w:space="4" w:color="auto"/>
          <w:bottom w:val="single" w:sz="4" w:space="1" w:color="auto"/>
          <w:right w:val="single" w:sz="4" w:space="4" w:color="auto"/>
        </w:pBdr>
        <w:shd w:val="clear" w:color="auto" w:fill="8DB3E2" w:themeFill="text2" w:themeFillTint="66"/>
        <w:jc w:val="center"/>
        <w:rPr>
          <w:rFonts w:ascii="Times New Roman" w:eastAsia="Times New Roman" w:hAnsi="Times New Roman" w:cs="Times New Roman"/>
          <w:b/>
          <w:noProof/>
        </w:rPr>
      </w:pPr>
      <w:bookmarkStart w:id="1" w:name="_GoBack"/>
      <w:bookmarkEnd w:id="1"/>
      <w:r>
        <w:rPr>
          <w:rFonts w:ascii="Times New Roman" w:eastAsia="Times New Roman" w:hAnsi="Times New Roman" w:cs="Times New Roman"/>
          <w:b/>
          <w:noProof/>
        </w:rPr>
        <w:lastRenderedPageBreak/>
        <w:t xml:space="preserve">STATE OF PLAY OF IMPLEMENTING THE ACTION PLAN FOR STRENGTHENING THE FIGHT AGAINST TERRORIST </w:t>
      </w:r>
      <w:r>
        <w:rPr>
          <w:rFonts w:ascii="Times New Roman" w:eastAsia="Times New Roman" w:hAnsi="Times New Roman" w:cs="Times New Roman"/>
          <w:b/>
          <w:noProof/>
        </w:rPr>
        <w:t>FINANCING (COM(2016) 50 final of 2.2.2016)</w:t>
      </w:r>
    </w:p>
    <w:p w:rsidR="00C71C7C" w:rsidRDefault="00C71C7C">
      <w:p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eastAsia="Times New Roman" w:hAnsi="Times New Roman" w:cs="Times New Roman"/>
          <w:b/>
          <w:noProof/>
        </w:rPr>
      </w:pPr>
    </w:p>
    <w:tbl>
      <w:tblPr>
        <w:tblStyle w:val="TableGrid"/>
        <w:tblW w:w="0" w:type="auto"/>
        <w:tblLayout w:type="fixed"/>
        <w:tblLook w:val="04A0" w:firstRow="1" w:lastRow="0" w:firstColumn="1" w:lastColumn="0" w:noHBand="0" w:noVBand="1"/>
      </w:tblPr>
      <w:tblGrid>
        <w:gridCol w:w="5211"/>
        <w:gridCol w:w="1701"/>
        <w:gridCol w:w="7306"/>
      </w:tblGrid>
      <w:tr w:rsidR="00C71C7C">
        <w:tc>
          <w:tcPr>
            <w:tcW w:w="5211" w:type="dxa"/>
            <w:shd w:val="clear" w:color="auto" w:fill="8DB3E2" w:themeFill="text2" w:themeFillTint="66"/>
          </w:tcPr>
          <w:p w:rsidR="00C71C7C" w:rsidRDefault="00CC3130">
            <w:pPr>
              <w:rPr>
                <w:rFonts w:ascii="Times New Roman" w:hAnsi="Times New Roman" w:cs="Times New Roman"/>
                <w:b/>
                <w:noProof/>
                <w:sz w:val="20"/>
                <w:szCs w:val="20"/>
              </w:rPr>
            </w:pPr>
            <w:r>
              <w:rPr>
                <w:rFonts w:ascii="Times New Roman" w:hAnsi="Times New Roman" w:cs="Times New Roman"/>
                <w:b/>
                <w:noProof/>
                <w:sz w:val="20"/>
                <w:szCs w:val="20"/>
              </w:rPr>
              <w:t>Objectives and Actions</w:t>
            </w:r>
          </w:p>
        </w:tc>
        <w:tc>
          <w:tcPr>
            <w:tcW w:w="1701" w:type="dxa"/>
            <w:shd w:val="clear" w:color="auto" w:fill="8DB3E2" w:themeFill="text2" w:themeFillTint="66"/>
          </w:tcPr>
          <w:p w:rsidR="00C71C7C" w:rsidRDefault="00CC3130">
            <w:pPr>
              <w:jc w:val="center"/>
              <w:rPr>
                <w:rFonts w:ascii="Times New Roman" w:hAnsi="Times New Roman" w:cs="Times New Roman"/>
                <w:b/>
                <w:noProof/>
                <w:sz w:val="20"/>
                <w:szCs w:val="20"/>
              </w:rPr>
            </w:pPr>
            <w:r>
              <w:rPr>
                <w:rFonts w:ascii="Times New Roman" w:hAnsi="Times New Roman" w:cs="Times New Roman"/>
                <w:b/>
                <w:noProof/>
                <w:sz w:val="20"/>
                <w:szCs w:val="20"/>
              </w:rPr>
              <w:t>Timing</w:t>
            </w:r>
          </w:p>
        </w:tc>
        <w:tc>
          <w:tcPr>
            <w:tcW w:w="7306" w:type="dxa"/>
            <w:shd w:val="clear" w:color="auto" w:fill="8DB3E2" w:themeFill="text2" w:themeFillTint="66"/>
          </w:tcPr>
          <w:p w:rsidR="00C71C7C" w:rsidRDefault="00CC3130">
            <w:pPr>
              <w:rPr>
                <w:rFonts w:ascii="Times New Roman" w:hAnsi="Times New Roman" w:cs="Times New Roman"/>
                <w:b/>
                <w:noProof/>
                <w:sz w:val="20"/>
                <w:szCs w:val="20"/>
              </w:rPr>
            </w:pPr>
            <w:r>
              <w:rPr>
                <w:rFonts w:ascii="Times New Roman" w:hAnsi="Times New Roman" w:cs="Times New Roman"/>
                <w:b/>
                <w:noProof/>
                <w:sz w:val="20"/>
                <w:szCs w:val="20"/>
              </w:rPr>
              <w:t>Description/State of play</w:t>
            </w: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noProof/>
              </w:rPr>
            </w:pPr>
            <w:r>
              <w:rPr>
                <w:rFonts w:ascii="Times New Roman" w:hAnsi="Times New Roman" w:cs="Times New Roman"/>
                <w:b/>
                <w:noProof/>
              </w:rPr>
              <w:t>Preventing the movement of funds and identifying terrorist funding</w:t>
            </w: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i/>
                <w:noProof/>
              </w:rPr>
            </w:pPr>
            <w:r>
              <w:rPr>
                <w:rFonts w:ascii="Times New Roman" w:hAnsi="Times New Roman" w:cs="Times New Roman"/>
                <w:i/>
                <w:noProof/>
              </w:rPr>
              <w:t>Tackling the abuse of the financial system for terrorist financing purposes</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 xml:space="preserve">Bring </w:t>
            </w:r>
            <w:r>
              <w:rPr>
                <w:rFonts w:ascii="Times New Roman" w:hAnsi="Times New Roman" w:cs="Times New Roman"/>
                <w:noProof/>
              </w:rPr>
              <w:t>forward the date for effective transposition and entry into force of the 4</w:t>
            </w:r>
            <w:r>
              <w:rPr>
                <w:rFonts w:ascii="Times New Roman" w:hAnsi="Times New Roman" w:cs="Times New Roman"/>
                <w:noProof/>
                <w:vertAlign w:val="superscript"/>
              </w:rPr>
              <w:t>th</w:t>
            </w:r>
            <w:r>
              <w:rPr>
                <w:rFonts w:ascii="Times New Roman" w:hAnsi="Times New Roman" w:cs="Times New Roman"/>
                <w:noProof/>
              </w:rPr>
              <w:t xml:space="preserve"> Anti-Money Laundering Directive.</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4</w:t>
            </w:r>
            <w:r>
              <w:rPr>
                <w:rFonts w:ascii="Times New Roman" w:hAnsi="Times New Roman" w:cs="Times New Roman"/>
                <w:noProof/>
                <w:vertAlign w:val="superscript"/>
              </w:rPr>
              <w:t>th</w:t>
            </w:r>
            <w:r>
              <w:rPr>
                <w:rFonts w:ascii="Times New Roman" w:hAnsi="Times New Roman" w:cs="Times New Roman"/>
                <w:noProof/>
              </w:rPr>
              <w:t xml:space="preserve"> quarter 2016</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01/01/2017 in the proposal for amendments to the 4</w:t>
            </w:r>
            <w:r>
              <w:rPr>
                <w:rFonts w:ascii="Times New Roman" w:hAnsi="Times New Roman" w:cs="Times New Roman"/>
                <w:noProof/>
                <w:vertAlign w:val="superscript"/>
              </w:rPr>
              <w:t>th</w:t>
            </w:r>
            <w:r>
              <w:rPr>
                <w:rFonts w:ascii="Times New Roman" w:hAnsi="Times New Roman" w:cs="Times New Roman"/>
                <w:noProof/>
              </w:rPr>
              <w:t xml:space="preserve"> Anti-Money Laundering Directive.</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 xml:space="preserve">Superseded by ongoing </w:t>
            </w:r>
            <w:r>
              <w:rPr>
                <w:rFonts w:ascii="Times New Roman" w:hAnsi="Times New Roman" w:cs="Times New Roman"/>
                <w:noProof/>
              </w:rPr>
              <w:t>negotiations (trilogues) to amend the 4</w:t>
            </w:r>
            <w:r>
              <w:rPr>
                <w:rFonts w:ascii="Times New Roman" w:hAnsi="Times New Roman" w:cs="Times New Roman"/>
                <w:noProof/>
                <w:vertAlign w:val="superscript"/>
              </w:rPr>
              <w:t>th</w:t>
            </w:r>
            <w:r>
              <w:rPr>
                <w:rFonts w:ascii="Times New Roman" w:hAnsi="Times New Roman" w:cs="Times New Roman"/>
                <w:noProof/>
              </w:rPr>
              <w:t xml:space="preserve"> Anti-Money Laundering Directive – see below. </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 xml:space="preserve">Adopt a list of high-risk third countries with strategic deficiencies in their anti-money laundering/countering terrorism financing regimes. </w:t>
            </w: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2nd quar</w:t>
            </w:r>
            <w:r>
              <w:rPr>
                <w:rFonts w:ascii="Times New Roman" w:hAnsi="Times New Roman" w:cs="Times New Roman"/>
                <w:noProof/>
              </w:rPr>
              <w:t>ter 2016</w:t>
            </w:r>
          </w:p>
        </w:tc>
        <w:tc>
          <w:tcPr>
            <w:tcW w:w="7306" w:type="dxa"/>
          </w:tcPr>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Delegated act with a EU list taking into account the Financial Action Task Force lists adopted on 14/07/2016, entered into force in September 2016.</w:t>
            </w:r>
          </w:p>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Further amendments to the delegated act rejected by the European Parliament.</w:t>
            </w:r>
          </w:p>
          <w:p w:rsidR="00C71C7C" w:rsidRDefault="00CC3130">
            <w:pPr>
              <w:pStyle w:val="ListParagraph"/>
              <w:numPr>
                <w:ilvl w:val="0"/>
                <w:numId w:val="7"/>
              </w:numPr>
              <w:jc w:val="both"/>
              <w:rPr>
                <w:rFonts w:ascii="Times New Roman" w:hAnsi="Times New Roman" w:cs="Times New Roman"/>
                <w:noProof/>
              </w:rPr>
            </w:pPr>
            <w:r>
              <w:rPr>
                <w:rFonts w:ascii="Times New Roman" w:hAnsi="Times New Roman" w:cs="Times New Roman"/>
                <w:noProof/>
              </w:rPr>
              <w:t>The Commission intends</w:t>
            </w:r>
            <w:r>
              <w:rPr>
                <w:rFonts w:ascii="Times New Roman" w:hAnsi="Times New Roman" w:cs="Times New Roman"/>
                <w:noProof/>
              </w:rPr>
              <w:t xml:space="preserve"> to step up its proactive engagement and coordination within Financial Action Task Force to influence its listing process of high risk third countries upstream.</w:t>
            </w:r>
          </w:p>
          <w:p w:rsidR="00C71C7C" w:rsidRDefault="00CC3130">
            <w:pPr>
              <w:pStyle w:val="ListParagraph"/>
              <w:numPr>
                <w:ilvl w:val="0"/>
                <w:numId w:val="7"/>
              </w:numPr>
              <w:jc w:val="both"/>
              <w:rPr>
                <w:rFonts w:ascii="Times New Roman" w:hAnsi="Times New Roman" w:cs="Times New Roman"/>
                <w:noProof/>
              </w:rPr>
            </w:pPr>
            <w:r>
              <w:rPr>
                <w:rFonts w:ascii="Times New Roman" w:hAnsi="Times New Roman" w:cs="Times New Roman"/>
                <w:noProof/>
              </w:rPr>
              <w:t>The Commission will also develop a new methodology for an EU assessment which does not only rel</w:t>
            </w:r>
            <w:r>
              <w:rPr>
                <w:rFonts w:ascii="Times New Roman" w:hAnsi="Times New Roman" w:cs="Times New Roman"/>
                <w:noProof/>
              </w:rPr>
              <w:t xml:space="preserve">y on external information sources. A roadmap which sets out the main steps towards such a new methodology, staged with detailed plans for the next 18 months and outlook into the following period, has been prepared. </w:t>
            </w:r>
          </w:p>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The EU should also proactively engage wi</w:t>
            </w:r>
            <w:r>
              <w:rPr>
                <w:rFonts w:ascii="Times New Roman" w:hAnsi="Times New Roman" w:cs="Times New Roman"/>
                <w:noProof/>
              </w:rPr>
              <w:t>th "low capacity" countries to help them improve their situation in terms of prevention of money laundering/ terrorist financing.</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Publish a report on a supranational assessment of money laundering and terrorism financing risks and recommendations to Membe</w:t>
            </w:r>
            <w:r>
              <w:rPr>
                <w:rFonts w:ascii="Times New Roman" w:hAnsi="Times New Roman" w:cs="Times New Roman"/>
                <w:noProof/>
              </w:rPr>
              <w:t>r States on measures suitable to address those risks.</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vertAlign w:val="superscript"/>
              </w:rPr>
              <w:t>nd</w:t>
            </w:r>
            <w:r>
              <w:rPr>
                <w:rFonts w:ascii="Times New Roman" w:hAnsi="Times New Roman" w:cs="Times New Roman"/>
                <w:noProof/>
              </w:rPr>
              <w:t xml:space="preserve"> quarter 2017</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Work ongoing.</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Scheduled for adoption late June 2017.</w:t>
            </w:r>
          </w:p>
        </w:tc>
      </w:tr>
      <w:tr w:rsidR="00C71C7C">
        <w:tc>
          <w:tcPr>
            <w:tcW w:w="5211" w:type="dxa"/>
          </w:tcPr>
          <w:p w:rsidR="00C71C7C" w:rsidRDefault="00CC3130">
            <w:pPr>
              <w:rPr>
                <w:rFonts w:ascii="Times New Roman" w:hAnsi="Times New Roman" w:cs="Times New Roman"/>
                <w:noProof/>
              </w:rPr>
            </w:pPr>
            <w:r>
              <w:rPr>
                <w:noProof/>
              </w:rPr>
              <w:br w:type="page"/>
            </w:r>
            <w:r>
              <w:rPr>
                <w:rFonts w:ascii="Times New Roman" w:hAnsi="Times New Roman" w:cs="Times New Roman"/>
                <w:noProof/>
              </w:rPr>
              <w:t>Propose amendments to the following points of the 4th Anti Money Laundering Directive:</w:t>
            </w:r>
          </w:p>
          <w:p w:rsidR="00C71C7C" w:rsidRDefault="00CC3130">
            <w:pPr>
              <w:pStyle w:val="ListParagraph"/>
              <w:numPr>
                <w:ilvl w:val="0"/>
                <w:numId w:val="4"/>
              </w:numPr>
              <w:rPr>
                <w:rFonts w:ascii="Times New Roman" w:hAnsi="Times New Roman" w:cs="Times New Roman"/>
                <w:noProof/>
              </w:rPr>
            </w:pPr>
            <w:r>
              <w:rPr>
                <w:rFonts w:ascii="Times New Roman" w:hAnsi="Times New Roman" w:cs="Times New Roman"/>
                <w:noProof/>
              </w:rPr>
              <w:lastRenderedPageBreak/>
              <w:t xml:space="preserve">Enhanced due diligence </w:t>
            </w:r>
            <w:r>
              <w:rPr>
                <w:rFonts w:ascii="Times New Roman" w:hAnsi="Times New Roman" w:cs="Times New Roman"/>
                <w:noProof/>
              </w:rPr>
              <w:t>measures/countermeasures with regards to high risk third countries;</w:t>
            </w:r>
          </w:p>
          <w:p w:rsidR="00C71C7C" w:rsidRDefault="00CC3130">
            <w:pPr>
              <w:pStyle w:val="ListParagraph"/>
              <w:numPr>
                <w:ilvl w:val="0"/>
                <w:numId w:val="4"/>
              </w:numPr>
              <w:rPr>
                <w:rFonts w:ascii="Times New Roman" w:hAnsi="Times New Roman" w:cs="Times New Roman"/>
                <w:noProof/>
              </w:rPr>
            </w:pPr>
            <w:r>
              <w:rPr>
                <w:rFonts w:ascii="Times New Roman" w:hAnsi="Times New Roman" w:cs="Times New Roman"/>
                <w:noProof/>
              </w:rPr>
              <w:t>Virtual currency exchange platforms;</w:t>
            </w:r>
          </w:p>
          <w:p w:rsidR="00C71C7C" w:rsidRDefault="00CC3130">
            <w:pPr>
              <w:pStyle w:val="ListParagraph"/>
              <w:numPr>
                <w:ilvl w:val="0"/>
                <w:numId w:val="4"/>
              </w:numPr>
              <w:rPr>
                <w:rFonts w:ascii="Times New Roman" w:hAnsi="Times New Roman" w:cs="Times New Roman"/>
                <w:noProof/>
              </w:rPr>
            </w:pPr>
            <w:r>
              <w:rPr>
                <w:rFonts w:ascii="Times New Roman" w:hAnsi="Times New Roman" w:cs="Times New Roman"/>
                <w:noProof/>
              </w:rPr>
              <w:t>Prepaid instruments;</w:t>
            </w:r>
          </w:p>
          <w:p w:rsidR="00C71C7C" w:rsidRDefault="00CC3130">
            <w:pPr>
              <w:pStyle w:val="ListParagraph"/>
              <w:numPr>
                <w:ilvl w:val="0"/>
                <w:numId w:val="4"/>
              </w:numPr>
              <w:rPr>
                <w:rFonts w:ascii="Times New Roman" w:hAnsi="Times New Roman" w:cs="Times New Roman"/>
                <w:noProof/>
              </w:rPr>
            </w:pPr>
            <w:r>
              <w:rPr>
                <w:rFonts w:ascii="Times New Roman" w:hAnsi="Times New Roman" w:cs="Times New Roman"/>
                <w:noProof/>
              </w:rPr>
              <w:t>Centralised bank and payment account registers or electronic data retrieval systems;</w:t>
            </w:r>
          </w:p>
          <w:p w:rsidR="00C71C7C" w:rsidRDefault="00CC3130">
            <w:pPr>
              <w:pStyle w:val="ListParagraph"/>
              <w:numPr>
                <w:ilvl w:val="0"/>
                <w:numId w:val="4"/>
              </w:numPr>
              <w:rPr>
                <w:rFonts w:ascii="Times New Roman" w:hAnsi="Times New Roman" w:cs="Times New Roman"/>
                <w:noProof/>
              </w:rPr>
            </w:pPr>
            <w:r>
              <w:rPr>
                <w:rFonts w:ascii="Times New Roman" w:hAnsi="Times New Roman" w:cs="Times New Roman"/>
                <w:noProof/>
              </w:rPr>
              <w:t>The access of Financial Intelligence Units to</w:t>
            </w:r>
            <w:r>
              <w:rPr>
                <w:rFonts w:ascii="Times New Roman" w:hAnsi="Times New Roman" w:cs="Times New Roman"/>
                <w:noProof/>
              </w:rPr>
              <w:t>, and exchange of information.</w:t>
            </w: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lastRenderedPageBreak/>
              <w:t xml:space="preserve">At the latest by 2nd quarter </w:t>
            </w:r>
            <w:r>
              <w:rPr>
                <w:rFonts w:ascii="Times New Roman" w:hAnsi="Times New Roman" w:cs="Times New Roman"/>
                <w:noProof/>
              </w:rPr>
              <w:lastRenderedPageBreak/>
              <w:t>2016 - Done</w:t>
            </w:r>
          </w:p>
        </w:tc>
        <w:tc>
          <w:tcPr>
            <w:tcW w:w="7306" w:type="dxa"/>
          </w:tcPr>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lastRenderedPageBreak/>
              <w:t>Proposal adopted by the Commission on 05/07/16.</w:t>
            </w:r>
            <w:r>
              <w:rPr>
                <w:noProof/>
              </w:rPr>
              <w:t xml:space="preserve"> </w:t>
            </w:r>
          </w:p>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Currently in advanced trilogue stage.</w:t>
            </w:r>
          </w:p>
          <w:p w:rsidR="00C71C7C" w:rsidRDefault="00C71C7C">
            <w:pPr>
              <w:pStyle w:val="ListParagraph"/>
              <w:ind w:left="360"/>
              <w:rPr>
                <w:rFonts w:ascii="Times New Roman" w:hAnsi="Times New Roman" w:cs="Times New Roman"/>
                <w:noProof/>
              </w:rPr>
            </w:pP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lastRenderedPageBreak/>
              <w:br w:type="page"/>
              <w:t xml:space="preserve">Improving the efficiency of the EU’s transposition of UN freezing measures, including by </w:t>
            </w:r>
            <w:r>
              <w:rPr>
                <w:rFonts w:ascii="Times New Roman" w:hAnsi="Times New Roman" w:cs="Times New Roman"/>
                <w:noProof/>
              </w:rPr>
              <w:t>enhanced information between EU and UN.</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2nd quarter 2016</w:t>
            </w:r>
          </w:p>
        </w:tc>
        <w:tc>
          <w:tcPr>
            <w:tcW w:w="7306" w:type="dxa"/>
          </w:tcPr>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Work ongoing: Commission services have reduced the time needed to transpose new UN Islamic State/Al Qaida-related listings into EU legislation from 5 to 3 days on average – partly a</w:t>
            </w:r>
            <w:r>
              <w:rPr>
                <w:rFonts w:ascii="Times New Roman" w:hAnsi="Times New Roman" w:cs="Times New Roman"/>
                <w:noProof/>
              </w:rPr>
              <w:t>s a result of enhanced information-sharing by the UN Islamic State/Al Qaida sanctions committee.</w:t>
            </w:r>
          </w:p>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Commission services are exploring what could be done to bring the trans-position time to 2 days.</w:t>
            </w:r>
          </w:p>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General Secretariat of the Council was tasked to set up a data</w:t>
            </w:r>
            <w:r>
              <w:rPr>
                <w:rFonts w:ascii="Times New Roman" w:hAnsi="Times New Roman" w:cs="Times New Roman"/>
                <w:noProof/>
              </w:rPr>
              <w:t>base to monitor the entry bans in SIS based upon the UN sanctions. It will be available by 2017-2018.</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Reinforcing the capacity of Member States, the Commission, the European External Action Service (EEAS) and economic operators to share information on cha</w:t>
            </w:r>
            <w:r>
              <w:rPr>
                <w:rFonts w:ascii="Times New Roman" w:hAnsi="Times New Roman" w:cs="Times New Roman"/>
                <w:noProof/>
              </w:rPr>
              <w:t>llenges to implementation of restrictive measures, including to exchange information on new UN listings, via the Financial Sanctions Database.</w:t>
            </w: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2nd quarter 2016</w:t>
            </w:r>
          </w:p>
          <w:p w:rsidR="00C71C7C" w:rsidRDefault="00C71C7C">
            <w:pPr>
              <w:jc w:val="center"/>
              <w:rPr>
                <w:rFonts w:ascii="Times New Roman" w:hAnsi="Times New Roman" w:cs="Times New Roman"/>
                <w:noProof/>
              </w:rPr>
            </w:pPr>
          </w:p>
        </w:tc>
        <w:tc>
          <w:tcPr>
            <w:tcW w:w="7306" w:type="dxa"/>
          </w:tcPr>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 xml:space="preserve">Work ongoing: The Commission is developing a new application of the Financial </w:t>
            </w:r>
            <w:r>
              <w:rPr>
                <w:rFonts w:ascii="Times New Roman" w:hAnsi="Times New Roman" w:cs="Times New Roman"/>
                <w:noProof/>
              </w:rPr>
              <w:t>Sanctions Database that would enable it to transmit information on new UN listings before transposition into EU legislation (to be up and running by September);</w:t>
            </w:r>
          </w:p>
          <w:p w:rsidR="00C71C7C" w:rsidRDefault="00CC3130">
            <w:pPr>
              <w:pStyle w:val="ListParagraph"/>
              <w:numPr>
                <w:ilvl w:val="0"/>
                <w:numId w:val="7"/>
              </w:numPr>
              <w:ind w:left="360"/>
              <w:jc w:val="both"/>
              <w:rPr>
                <w:rFonts w:ascii="Times New Roman" w:hAnsi="Times New Roman" w:cs="Times New Roman"/>
                <w:noProof/>
              </w:rPr>
            </w:pPr>
            <w:r>
              <w:rPr>
                <w:rFonts w:ascii="Times New Roman" w:hAnsi="Times New Roman" w:cs="Times New Roman"/>
                <w:noProof/>
              </w:rPr>
              <w:t>Commission services are exploring whether the Financial Sanctions Database could also be used t</w:t>
            </w:r>
            <w:r>
              <w:rPr>
                <w:rFonts w:ascii="Times New Roman" w:hAnsi="Times New Roman" w:cs="Times New Roman"/>
                <w:noProof/>
              </w:rPr>
              <w:t>o transmit information on Member States’ national listings.</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Explore the possibility of a self-standing legislative instrument to allow for a broader consultation of bank and payment account registers for other investigations and by other authorities, beyo</w:t>
            </w:r>
            <w:r>
              <w:rPr>
                <w:rFonts w:ascii="Times New Roman" w:hAnsi="Times New Roman" w:cs="Times New Roman"/>
                <w:noProof/>
              </w:rPr>
              <w:t>nd the scope of the 4</w:t>
            </w:r>
            <w:r>
              <w:rPr>
                <w:rFonts w:ascii="Times New Roman" w:hAnsi="Times New Roman" w:cs="Times New Roman"/>
                <w:noProof/>
                <w:vertAlign w:val="superscript"/>
              </w:rPr>
              <w:t>th</w:t>
            </w:r>
            <w:r>
              <w:rPr>
                <w:rFonts w:ascii="Times New Roman" w:hAnsi="Times New Roman" w:cs="Times New Roman"/>
                <w:noProof/>
              </w:rPr>
              <w:t xml:space="preserve"> Anti-Money Laundering Directive.</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2nd quarter 2016</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Work ongoing.</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 xml:space="preserve">Consultations took place with (i) the authorities managing the existing bank registers, (ii) the authorities that might have access to bank registers </w:t>
            </w:r>
            <w:r>
              <w:rPr>
                <w:rFonts w:ascii="Times New Roman" w:hAnsi="Times New Roman" w:cs="Times New Roman"/>
                <w:noProof/>
              </w:rPr>
              <w:t>for purposes other than money laundering (law enforcement, Asset Recovery Offices, tax authorities, anti-corruption authorities) and the banking sector.</w:t>
            </w:r>
            <w:r>
              <w:rPr>
                <w:noProof/>
              </w:rPr>
              <w:t xml:space="preserve"> </w:t>
            </w:r>
          </w:p>
          <w:p w:rsidR="00C71C7C" w:rsidRDefault="00C71C7C">
            <w:pPr>
              <w:pStyle w:val="ListParagraph"/>
              <w:ind w:left="360"/>
              <w:rPr>
                <w:rFonts w:ascii="Times New Roman" w:hAnsi="Times New Roman" w:cs="Times New Roman"/>
                <w:noProof/>
              </w:rPr>
            </w:pP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Reinforcing the cooperation between Financial Intelligence Units through appropriate measures.</w:t>
            </w: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w:t>
            </w:r>
            <w:r>
              <w:rPr>
                <w:rFonts w:ascii="Times New Roman" w:hAnsi="Times New Roman" w:cs="Times New Roman"/>
                <w:noProof/>
              </w:rPr>
              <w:t>e latest by 2nd quarter 2017</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Work ongoing.</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Scheduled for late June 2017.</w:t>
            </w: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b/>
                <w:noProof/>
              </w:rPr>
            </w:pPr>
            <w:r>
              <w:rPr>
                <w:noProof/>
              </w:rPr>
              <w:br w:type="page"/>
            </w:r>
            <w:r>
              <w:rPr>
                <w:rFonts w:ascii="Times New Roman" w:hAnsi="Times New Roman" w:cs="Times New Roman"/>
                <w:b/>
                <w:noProof/>
              </w:rPr>
              <w:t>Other initiatives to complement the existing legal framework</w:t>
            </w: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i/>
                <w:noProof/>
              </w:rPr>
            </w:pPr>
            <w:r>
              <w:rPr>
                <w:rFonts w:ascii="Times New Roman" w:hAnsi="Times New Roman" w:cs="Times New Roman"/>
                <w:i/>
                <w:noProof/>
              </w:rPr>
              <w:t>Harmonizing money laundering criminal offenses and sanctions</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 xml:space="preserve">Legislative proposal harmonising money laundering </w:t>
            </w:r>
            <w:r>
              <w:rPr>
                <w:rFonts w:ascii="Times New Roman" w:hAnsi="Times New Roman" w:cs="Times New Roman"/>
                <w:noProof/>
              </w:rPr>
              <w:t>criminal offences and sanctions.</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4</w:t>
            </w:r>
            <w:r>
              <w:rPr>
                <w:rFonts w:ascii="Times New Roman" w:hAnsi="Times New Roman" w:cs="Times New Roman"/>
                <w:noProof/>
                <w:vertAlign w:val="superscript"/>
              </w:rPr>
              <w:t>th</w:t>
            </w:r>
            <w:r>
              <w:rPr>
                <w:rFonts w:ascii="Times New Roman" w:hAnsi="Times New Roman" w:cs="Times New Roman"/>
                <w:noProof/>
              </w:rPr>
              <w:t xml:space="preserve"> quarter 2016;</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Commission issued a proposal on 21 December 2016.</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Council reached a general approach on 8 June 2017.</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European Parliament designated rapporteur; report to be issued by September 2017.</w:t>
            </w: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i/>
                <w:noProof/>
              </w:rPr>
            </w:pPr>
            <w:r>
              <w:rPr>
                <w:noProof/>
              </w:rPr>
              <w:br w:type="page"/>
            </w:r>
            <w:r>
              <w:rPr>
                <w:rFonts w:ascii="Times New Roman" w:hAnsi="Times New Roman" w:cs="Times New Roman"/>
                <w:i/>
                <w:noProof/>
              </w:rPr>
              <w:t>Ta</w:t>
            </w:r>
            <w:r>
              <w:rPr>
                <w:rFonts w:ascii="Times New Roman" w:hAnsi="Times New Roman" w:cs="Times New Roman"/>
                <w:i/>
                <w:noProof/>
              </w:rPr>
              <w:t>ckling illicit cash movements</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The Commission will work with the European Central Bank (ECB), Europol and other relevant parties on</w:t>
            </w:r>
            <w:r>
              <w:rPr>
                <w:noProof/>
              </w:rPr>
              <w:t xml:space="preserve"> </w:t>
            </w:r>
            <w:r>
              <w:rPr>
                <w:rFonts w:ascii="Times New Roman" w:hAnsi="Times New Roman" w:cs="Times New Roman"/>
                <w:noProof/>
              </w:rPr>
              <w:t>the use of high denomination notes, in particular the EUR 500 note, which is a problem reported by law enforcement authoriti</w:t>
            </w:r>
            <w:r>
              <w:rPr>
                <w:rFonts w:ascii="Times New Roman" w:hAnsi="Times New Roman" w:cs="Times New Roman"/>
                <w:noProof/>
              </w:rPr>
              <w:t>es.</w:t>
            </w: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Done</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Done. No further action needed.</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 xml:space="preserve">The Governing Council of the ECB took the decision on 04/05/16 to gradually phase out the EUR 500 note. </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Legislative proposal against illicit cash movements.</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4</w:t>
            </w:r>
            <w:r>
              <w:rPr>
                <w:rFonts w:ascii="Times New Roman" w:hAnsi="Times New Roman" w:cs="Times New Roman"/>
                <w:noProof/>
                <w:vertAlign w:val="superscript"/>
              </w:rPr>
              <w:t>th</w:t>
            </w:r>
            <w:r>
              <w:rPr>
                <w:rFonts w:ascii="Times New Roman" w:hAnsi="Times New Roman" w:cs="Times New Roman"/>
                <w:noProof/>
              </w:rPr>
              <w:t xml:space="preserve"> quarter 2016</w:t>
            </w:r>
          </w:p>
        </w:tc>
        <w:tc>
          <w:tcPr>
            <w:tcW w:w="7306" w:type="dxa"/>
          </w:tcPr>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 xml:space="preserve">Commission proposal </w:t>
            </w:r>
            <w:r>
              <w:rPr>
                <w:rFonts w:ascii="Times New Roman" w:hAnsi="Times New Roman" w:cs="Times New Roman"/>
                <w:noProof/>
              </w:rPr>
              <w:t>issued on 21.12.2016.</w:t>
            </w:r>
          </w:p>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In Council (Customs Union Group): second reading is on-going based on a Presidency compromise text.</w:t>
            </w:r>
          </w:p>
          <w:p w:rsidR="00C71C7C" w:rsidRDefault="00CC3130">
            <w:pPr>
              <w:pStyle w:val="ListParagraph"/>
              <w:numPr>
                <w:ilvl w:val="0"/>
                <w:numId w:val="7"/>
              </w:numPr>
              <w:rPr>
                <w:noProof/>
              </w:rPr>
            </w:pPr>
            <w:r>
              <w:rPr>
                <w:rFonts w:ascii="Times New Roman" w:hAnsi="Times New Roman" w:cs="Times New Roman"/>
                <w:noProof/>
              </w:rPr>
              <w:t>In the European Parliament, assignment to the competent committee expected mid-June.</w:t>
            </w:r>
          </w:p>
        </w:tc>
      </w:tr>
      <w:tr w:rsidR="00C71C7C">
        <w:tc>
          <w:tcPr>
            <w:tcW w:w="5211" w:type="dxa"/>
          </w:tcPr>
          <w:p w:rsidR="00C71C7C" w:rsidRDefault="00CC3130">
            <w:pPr>
              <w:rPr>
                <w:rFonts w:ascii="Times New Roman" w:hAnsi="Times New Roman" w:cs="Times New Roman"/>
                <w:noProof/>
              </w:rPr>
            </w:pPr>
            <w:r>
              <w:rPr>
                <w:noProof/>
              </w:rPr>
              <w:br w:type="page"/>
            </w:r>
            <w:r>
              <w:rPr>
                <w:rFonts w:ascii="Times New Roman" w:hAnsi="Times New Roman" w:cs="Times New Roman"/>
                <w:noProof/>
              </w:rPr>
              <w:t>Explore the relevance of potential upper limits</w:t>
            </w:r>
            <w:r>
              <w:rPr>
                <w:rFonts w:ascii="Times New Roman" w:hAnsi="Times New Roman" w:cs="Times New Roman"/>
                <w:noProof/>
              </w:rPr>
              <w:t xml:space="preserve"> to cash payments.</w:t>
            </w: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State of play presented at the ECOFIN of June 2016</w:t>
            </w:r>
          </w:p>
        </w:tc>
        <w:tc>
          <w:tcPr>
            <w:tcW w:w="7306" w:type="dxa"/>
          </w:tcPr>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An open public consultation was carried out between 1 March and 31 May.</w:t>
            </w:r>
          </w:p>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Results are currently being analysed.</w:t>
            </w: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i/>
                <w:noProof/>
              </w:rPr>
            </w:pPr>
            <w:r>
              <w:rPr>
                <w:noProof/>
              </w:rPr>
              <w:br w:type="page"/>
            </w:r>
            <w:r>
              <w:rPr>
                <w:rFonts w:ascii="Times New Roman" w:hAnsi="Times New Roman" w:cs="Times New Roman"/>
                <w:i/>
                <w:noProof/>
              </w:rPr>
              <w:t>Completing the EU framework to track and freeze terrorist assets</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An EU re</w:t>
            </w:r>
            <w:r>
              <w:rPr>
                <w:rFonts w:ascii="Times New Roman" w:hAnsi="Times New Roman" w:cs="Times New Roman"/>
                <w:noProof/>
              </w:rPr>
              <w:t>gime for the freezing of assets of terrorists under Article 75 of the Treaty on the Functioning of the EU.</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Conclude an assessment at the latest by 4</w:t>
            </w:r>
            <w:r>
              <w:rPr>
                <w:rFonts w:ascii="Times New Roman" w:hAnsi="Times New Roman" w:cs="Times New Roman"/>
                <w:noProof/>
                <w:vertAlign w:val="superscript"/>
              </w:rPr>
              <w:t>th</w:t>
            </w:r>
            <w:r>
              <w:rPr>
                <w:rFonts w:ascii="Times New Roman" w:hAnsi="Times New Roman" w:cs="Times New Roman"/>
                <w:noProof/>
              </w:rPr>
              <w:t xml:space="preserve"> quarter 2016;</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Commission appraisal issued in the 3</w:t>
            </w:r>
            <w:r>
              <w:rPr>
                <w:rFonts w:ascii="Times New Roman" w:hAnsi="Times New Roman" w:cs="Times New Roman"/>
                <w:noProof/>
                <w:vertAlign w:val="superscript"/>
              </w:rPr>
              <w:t>rd</w:t>
            </w:r>
            <w:r>
              <w:rPr>
                <w:rFonts w:ascii="Times New Roman" w:hAnsi="Times New Roman" w:cs="Times New Roman"/>
                <w:noProof/>
              </w:rPr>
              <w:t xml:space="preserve"> progress report towards an effective and genuine Security Union (COM(2016)831 of 21.12.2016): no further action to be taken at this time.</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Strengthening the mutual recognition of criminal assets' freezing and confiscation orders.</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4</w:t>
            </w:r>
            <w:r>
              <w:rPr>
                <w:rFonts w:ascii="Times New Roman" w:hAnsi="Times New Roman" w:cs="Times New Roman"/>
                <w:noProof/>
                <w:vertAlign w:val="superscript"/>
              </w:rPr>
              <w:t>th</w:t>
            </w:r>
            <w:r>
              <w:rPr>
                <w:rFonts w:ascii="Times New Roman" w:hAnsi="Times New Roman" w:cs="Times New Roman"/>
                <w:noProof/>
              </w:rPr>
              <w:t xml:space="preserve"> qua</w:t>
            </w:r>
            <w:r>
              <w:rPr>
                <w:rFonts w:ascii="Times New Roman" w:hAnsi="Times New Roman" w:cs="Times New Roman"/>
                <w:noProof/>
              </w:rPr>
              <w:t>rter 2016</w:t>
            </w:r>
          </w:p>
          <w:p w:rsidR="00C71C7C" w:rsidRDefault="00C71C7C">
            <w:pPr>
              <w:jc w:val="center"/>
              <w:rPr>
                <w:rFonts w:ascii="Times New Roman" w:hAnsi="Times New Roman" w:cs="Times New Roman"/>
                <w:noProof/>
              </w:rPr>
            </w:pP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Commission proposal issued on 21 December 2016.</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Negotiations ongoing in Council in view of a general approach.</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The European Parliament designated rapporteur.</w:t>
            </w:r>
          </w:p>
        </w:tc>
      </w:tr>
      <w:tr w:rsidR="00C71C7C">
        <w:tc>
          <w:tcPr>
            <w:tcW w:w="5211" w:type="dxa"/>
          </w:tcPr>
          <w:p w:rsidR="00C71C7C" w:rsidRDefault="00CC3130">
            <w:pPr>
              <w:rPr>
                <w:rFonts w:ascii="Times New Roman" w:hAnsi="Times New Roman" w:cs="Times New Roman"/>
                <w:noProof/>
              </w:rPr>
            </w:pPr>
            <w:r>
              <w:rPr>
                <w:noProof/>
              </w:rPr>
              <w:br w:type="page"/>
            </w:r>
            <w:r>
              <w:rPr>
                <w:rFonts w:ascii="Times New Roman" w:hAnsi="Times New Roman" w:cs="Times New Roman"/>
                <w:noProof/>
              </w:rPr>
              <w:t>A possible European system which would complement the existing EU-US Terrorist Financ</w:t>
            </w:r>
            <w:r>
              <w:rPr>
                <w:rFonts w:ascii="Times New Roman" w:hAnsi="Times New Roman" w:cs="Times New Roman"/>
                <w:noProof/>
              </w:rPr>
              <w:t>e Tracking Program agreement by tracing transactions excluded under the mentioned agreement.</w:t>
            </w: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Conclude an assessment at the latest by 4</w:t>
            </w:r>
            <w:r>
              <w:rPr>
                <w:rFonts w:ascii="Times New Roman" w:hAnsi="Times New Roman" w:cs="Times New Roman"/>
                <w:noProof/>
                <w:vertAlign w:val="superscript"/>
              </w:rPr>
              <w:t>th</w:t>
            </w:r>
            <w:r>
              <w:rPr>
                <w:rFonts w:ascii="Times New Roman" w:hAnsi="Times New Roman" w:cs="Times New Roman"/>
                <w:noProof/>
              </w:rPr>
              <w:t xml:space="preserve"> quarter 2016</w:t>
            </w:r>
          </w:p>
          <w:p w:rsidR="00C71C7C" w:rsidRDefault="00C71C7C">
            <w:pPr>
              <w:jc w:val="center"/>
              <w:rPr>
                <w:rFonts w:ascii="Times New Roman" w:hAnsi="Times New Roman" w:cs="Times New Roman"/>
                <w:noProof/>
              </w:rPr>
            </w:pPr>
          </w:p>
        </w:tc>
        <w:tc>
          <w:tcPr>
            <w:tcW w:w="7306" w:type="dxa"/>
          </w:tcPr>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Appraisal issued in the 3</w:t>
            </w:r>
            <w:r>
              <w:rPr>
                <w:rFonts w:ascii="Times New Roman" w:hAnsi="Times New Roman" w:cs="Times New Roman"/>
                <w:noProof/>
                <w:vertAlign w:val="superscript"/>
              </w:rPr>
              <w:t>rd</w:t>
            </w:r>
            <w:r>
              <w:rPr>
                <w:rFonts w:ascii="Times New Roman" w:hAnsi="Times New Roman" w:cs="Times New Roman"/>
                <w:noProof/>
              </w:rPr>
              <w:t xml:space="preserve"> progress report towards an effective and genuine Security Union (COM(2016) 83</w:t>
            </w:r>
            <w:r>
              <w:rPr>
                <w:rFonts w:ascii="Times New Roman" w:hAnsi="Times New Roman" w:cs="Times New Roman"/>
                <w:noProof/>
              </w:rPr>
              <w:t>1 of 21.12.2016).</w:t>
            </w:r>
          </w:p>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Work on-going.</w:t>
            </w:r>
          </w:p>
          <w:p w:rsidR="00C71C7C" w:rsidRDefault="00C71C7C">
            <w:pPr>
              <w:rPr>
                <w:rFonts w:ascii="Times New Roman" w:hAnsi="Times New Roman" w:cs="Times New Roman"/>
                <w:noProof/>
              </w:rPr>
            </w:pPr>
          </w:p>
          <w:p w:rsidR="00C71C7C" w:rsidRDefault="00C71C7C">
            <w:pPr>
              <w:rPr>
                <w:rFonts w:ascii="Times New Roman" w:hAnsi="Times New Roman" w:cs="Times New Roman"/>
                <w:noProof/>
              </w:rPr>
            </w:pP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b/>
                <w:noProof/>
              </w:rPr>
            </w:pPr>
            <w:r>
              <w:rPr>
                <w:rFonts w:ascii="Times New Roman" w:hAnsi="Times New Roman" w:cs="Times New Roman"/>
                <w:b/>
                <w:noProof/>
              </w:rPr>
              <w:t>Targeting the sources of funding</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Legislative proposal reinforcing customs' powers and cooperation and addressing terrorism financing related to trade in goods.</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Advanced to 1</w:t>
            </w:r>
            <w:r>
              <w:rPr>
                <w:rFonts w:ascii="Times New Roman" w:hAnsi="Times New Roman" w:cs="Times New Roman"/>
                <w:noProof/>
                <w:vertAlign w:val="superscript"/>
              </w:rPr>
              <w:t>st</w:t>
            </w:r>
            <w:r>
              <w:rPr>
                <w:rFonts w:ascii="Times New Roman" w:hAnsi="Times New Roman" w:cs="Times New Roman"/>
                <w:noProof/>
              </w:rPr>
              <w:t xml:space="preserve"> quarter 2017 (COM(2016) 230 final)</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 xml:space="preserve">Work </w:t>
            </w:r>
            <w:r>
              <w:rPr>
                <w:rFonts w:ascii="Times New Roman" w:hAnsi="Times New Roman" w:cs="Times New Roman"/>
                <w:noProof/>
              </w:rPr>
              <w:t>on-going.</w:t>
            </w:r>
          </w:p>
        </w:tc>
      </w:tr>
      <w:tr w:rsidR="00C71C7C">
        <w:tc>
          <w:tcPr>
            <w:tcW w:w="5211" w:type="dxa"/>
          </w:tcPr>
          <w:p w:rsidR="00C71C7C" w:rsidRDefault="00CC3130">
            <w:pPr>
              <w:rPr>
                <w:rFonts w:ascii="Times New Roman" w:hAnsi="Times New Roman" w:cs="Times New Roman"/>
                <w:noProof/>
              </w:rPr>
            </w:pPr>
            <w:r>
              <w:rPr>
                <w:noProof/>
              </w:rPr>
              <w:br w:type="page"/>
            </w:r>
            <w:r>
              <w:rPr>
                <w:rFonts w:ascii="Times New Roman" w:hAnsi="Times New Roman" w:cs="Times New Roman"/>
                <w:noProof/>
              </w:rPr>
              <w:t>Legislative proposal against illicit trade in cultural goods.</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2</w:t>
            </w:r>
            <w:r>
              <w:rPr>
                <w:rFonts w:ascii="Times New Roman" w:hAnsi="Times New Roman" w:cs="Times New Roman"/>
                <w:noProof/>
                <w:vertAlign w:val="superscript"/>
              </w:rPr>
              <w:t>nd</w:t>
            </w:r>
            <w:r>
              <w:rPr>
                <w:rFonts w:ascii="Times New Roman" w:hAnsi="Times New Roman" w:cs="Times New Roman"/>
                <w:noProof/>
              </w:rPr>
              <w:t xml:space="preserve"> quarter 2017</w:t>
            </w:r>
          </w:p>
        </w:tc>
        <w:tc>
          <w:tcPr>
            <w:tcW w:w="7306" w:type="dxa"/>
          </w:tcPr>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Preparation on-going.</w:t>
            </w:r>
          </w:p>
          <w:p w:rsidR="00C71C7C" w:rsidRDefault="00CC3130">
            <w:pPr>
              <w:pStyle w:val="ListParagraph"/>
              <w:numPr>
                <w:ilvl w:val="0"/>
                <w:numId w:val="7"/>
              </w:numPr>
              <w:rPr>
                <w:rFonts w:ascii="Times New Roman" w:hAnsi="Times New Roman" w:cs="Times New Roman"/>
                <w:noProof/>
              </w:rPr>
            </w:pPr>
            <w:r>
              <w:rPr>
                <w:rFonts w:ascii="Times New Roman" w:hAnsi="Times New Roman" w:cs="Times New Roman"/>
                <w:noProof/>
              </w:rPr>
              <w:t xml:space="preserve">Envisaged adoption for summer 2017. </w:t>
            </w:r>
          </w:p>
        </w:tc>
      </w:tr>
      <w:tr w:rsidR="00C71C7C">
        <w:tc>
          <w:tcPr>
            <w:tcW w:w="5211" w:type="dxa"/>
          </w:tcPr>
          <w:p w:rsidR="00C71C7C" w:rsidRDefault="00CC3130">
            <w:pPr>
              <w:rPr>
                <w:rFonts w:ascii="Times New Roman" w:hAnsi="Times New Roman" w:cs="Times New Roman"/>
                <w:noProof/>
              </w:rPr>
            </w:pPr>
            <w:r>
              <w:rPr>
                <w:rFonts w:ascii="Times New Roman" w:hAnsi="Times New Roman" w:cs="Times New Roman"/>
                <w:noProof/>
              </w:rPr>
              <w:t>EU Action Plan on Illegal Wildlife Trafficking.</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1st quarter 2016</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 xml:space="preserve">Action Plan adopted on 26/02/2016. </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 xml:space="preserve">Council Conclusions adopted on 20/06/2016. </w:t>
            </w:r>
          </w:p>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Implementation work ongoing.</w:t>
            </w:r>
          </w:p>
          <w:p w:rsidR="00C71C7C" w:rsidRDefault="00C71C7C">
            <w:pPr>
              <w:rPr>
                <w:noProof/>
              </w:rPr>
            </w:pPr>
          </w:p>
        </w:tc>
      </w:tr>
      <w:tr w:rsidR="00C71C7C">
        <w:tc>
          <w:tcPr>
            <w:tcW w:w="14218" w:type="dxa"/>
            <w:gridSpan w:val="3"/>
            <w:shd w:val="clear" w:color="auto" w:fill="C6D9F1" w:themeFill="text2" w:themeFillTint="33"/>
          </w:tcPr>
          <w:p w:rsidR="00C71C7C" w:rsidRDefault="00CC3130">
            <w:pPr>
              <w:jc w:val="center"/>
              <w:rPr>
                <w:rFonts w:ascii="Times New Roman" w:hAnsi="Times New Roman" w:cs="Times New Roman"/>
                <w:noProof/>
              </w:rPr>
            </w:pPr>
            <w:r>
              <w:rPr>
                <w:rFonts w:ascii="Times New Roman" w:hAnsi="Times New Roman" w:cs="Times New Roman"/>
                <w:b/>
                <w:noProof/>
              </w:rPr>
              <w:t>Selected aspects linked to the external dimension</w:t>
            </w:r>
          </w:p>
        </w:tc>
      </w:tr>
      <w:tr w:rsidR="00C71C7C">
        <w:tc>
          <w:tcPr>
            <w:tcW w:w="5211" w:type="dxa"/>
          </w:tcPr>
          <w:p w:rsidR="00C71C7C" w:rsidRDefault="00CC3130">
            <w:pPr>
              <w:rPr>
                <w:rFonts w:ascii="Times New Roman" w:hAnsi="Times New Roman" w:cs="Times New Roman"/>
                <w:noProof/>
              </w:rPr>
            </w:pPr>
            <w:r>
              <w:rPr>
                <w:noProof/>
              </w:rPr>
              <w:br w:type="page"/>
            </w:r>
            <w:r>
              <w:rPr>
                <w:rFonts w:ascii="Times New Roman" w:hAnsi="Times New Roman" w:cs="Times New Roman"/>
                <w:noProof/>
              </w:rPr>
              <w:t xml:space="preserve">Strengthen support to third countries in complying with UNSCRs legal requirements and </w:t>
            </w:r>
            <w:r>
              <w:rPr>
                <w:rFonts w:ascii="Times New Roman" w:hAnsi="Times New Roman" w:cs="Times New Roman"/>
                <w:noProof/>
              </w:rPr>
              <w:t>Financial Action Task Force recommendations.</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Ongoing</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Work ongoing.</w:t>
            </w:r>
          </w:p>
        </w:tc>
      </w:tr>
      <w:tr w:rsidR="00C71C7C">
        <w:tc>
          <w:tcPr>
            <w:tcW w:w="5211" w:type="dxa"/>
          </w:tcPr>
          <w:p w:rsidR="00C71C7C" w:rsidRDefault="00CC3130">
            <w:pPr>
              <w:rPr>
                <w:rFonts w:ascii="Times New Roman" w:hAnsi="Times New Roman" w:cs="Times New Roman"/>
                <w:noProof/>
              </w:rPr>
            </w:pPr>
            <w:r>
              <w:rPr>
                <w:noProof/>
              </w:rPr>
              <w:br w:type="page"/>
            </w:r>
            <w:r>
              <w:rPr>
                <w:rFonts w:ascii="Times New Roman" w:hAnsi="Times New Roman" w:cs="Times New Roman"/>
                <w:noProof/>
              </w:rPr>
              <w:t>Support countries in the Middle East and North Africa (MENA) and South East Asia regions to monitor, disrupt and deny the financing of terrorism.</w:t>
            </w:r>
          </w:p>
          <w:p w:rsidR="00C71C7C" w:rsidRDefault="00C71C7C">
            <w:pPr>
              <w:rPr>
                <w:rFonts w:ascii="Times New Roman" w:hAnsi="Times New Roman" w:cs="Times New Roman"/>
                <w:noProof/>
              </w:rPr>
            </w:pPr>
          </w:p>
        </w:tc>
        <w:tc>
          <w:tcPr>
            <w:tcW w:w="1701" w:type="dxa"/>
          </w:tcPr>
          <w:p w:rsidR="00C71C7C" w:rsidRDefault="00CC3130">
            <w:pPr>
              <w:jc w:val="center"/>
              <w:rPr>
                <w:rFonts w:ascii="Times New Roman" w:hAnsi="Times New Roman" w:cs="Times New Roman"/>
                <w:noProof/>
              </w:rPr>
            </w:pPr>
            <w:r>
              <w:rPr>
                <w:rFonts w:ascii="Times New Roman" w:hAnsi="Times New Roman" w:cs="Times New Roman"/>
                <w:noProof/>
              </w:rPr>
              <w:t>At the latest by 4th quarter 2016</w:t>
            </w:r>
          </w:p>
        </w:tc>
        <w:tc>
          <w:tcPr>
            <w:tcW w:w="7306" w:type="dxa"/>
          </w:tcPr>
          <w:p w:rsidR="00C71C7C" w:rsidRDefault="00CC3130">
            <w:pPr>
              <w:pStyle w:val="ListParagraph"/>
              <w:numPr>
                <w:ilvl w:val="0"/>
                <w:numId w:val="7"/>
              </w:numPr>
              <w:ind w:left="360"/>
              <w:rPr>
                <w:rFonts w:ascii="Times New Roman" w:hAnsi="Times New Roman" w:cs="Times New Roman"/>
                <w:noProof/>
              </w:rPr>
            </w:pPr>
            <w:r>
              <w:rPr>
                <w:rFonts w:ascii="Times New Roman" w:hAnsi="Times New Roman" w:cs="Times New Roman"/>
                <w:noProof/>
              </w:rPr>
              <w:t xml:space="preserve">Work </w:t>
            </w:r>
            <w:r>
              <w:rPr>
                <w:rFonts w:ascii="Times New Roman" w:hAnsi="Times New Roman" w:cs="Times New Roman"/>
                <w:noProof/>
              </w:rPr>
              <w:t>ongoing.</w:t>
            </w:r>
          </w:p>
          <w:p w:rsidR="00C71C7C" w:rsidRDefault="00C71C7C">
            <w:pPr>
              <w:pStyle w:val="ListParagraph"/>
              <w:ind w:left="360"/>
              <w:rPr>
                <w:rFonts w:ascii="Times New Roman" w:hAnsi="Times New Roman" w:cs="Times New Roman"/>
                <w:noProof/>
              </w:rPr>
            </w:pPr>
          </w:p>
        </w:tc>
      </w:tr>
    </w:tbl>
    <w:p w:rsidR="00C71C7C" w:rsidRDefault="00C71C7C">
      <w:pPr>
        <w:rPr>
          <w:rFonts w:ascii="Times New Roman" w:eastAsia="Times New Roman" w:hAnsi="Times New Roman" w:cs="Times New Roman"/>
          <w:b/>
          <w:noProof/>
          <w:u w:val="single"/>
        </w:rPr>
      </w:pPr>
    </w:p>
    <w:p w:rsidR="00C71C7C" w:rsidRDefault="00C71C7C">
      <w:pPr>
        <w:rPr>
          <w:rFonts w:ascii="Times New Roman" w:eastAsia="Times New Roman" w:hAnsi="Times New Roman" w:cs="Times New Roman"/>
          <w:b/>
          <w:noProof/>
          <w:u w:val="single"/>
        </w:rPr>
      </w:pPr>
    </w:p>
    <w:sectPr w:rsidR="00C71C7C">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7C" w:rsidRDefault="00CC3130">
      <w:pPr>
        <w:spacing w:after="0" w:line="240" w:lineRule="auto"/>
      </w:pPr>
      <w:r>
        <w:separator/>
      </w:r>
    </w:p>
  </w:endnote>
  <w:endnote w:type="continuationSeparator" w:id="0">
    <w:p w:rsidR="00C71C7C" w:rsidRDefault="00CC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0" w:rsidRPr="00CC3130" w:rsidRDefault="00CC3130" w:rsidP="00CC3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0" w:rsidRPr="00CC3130" w:rsidRDefault="00CC3130" w:rsidP="00CC3130">
    <w:pPr>
      <w:pStyle w:val="FooterCoverPage"/>
      <w:rPr>
        <w:rFonts w:ascii="Arial" w:hAnsi="Arial" w:cs="Arial"/>
        <w:b/>
        <w:sz w:val="48"/>
      </w:rPr>
    </w:pPr>
    <w:r w:rsidRPr="00CC3130">
      <w:rPr>
        <w:rFonts w:ascii="Arial" w:hAnsi="Arial" w:cs="Arial"/>
        <w:b/>
        <w:sz w:val="48"/>
      </w:rPr>
      <w:t>EN</w:t>
    </w:r>
    <w:r w:rsidRPr="00CC3130">
      <w:rPr>
        <w:rFonts w:ascii="Arial" w:hAnsi="Arial" w:cs="Arial"/>
        <w:b/>
        <w:sz w:val="48"/>
      </w:rPr>
      <w:tab/>
    </w:r>
    <w:r w:rsidRPr="00CC3130">
      <w:rPr>
        <w:rFonts w:ascii="Arial" w:hAnsi="Arial" w:cs="Arial"/>
        <w:b/>
        <w:sz w:val="48"/>
      </w:rPr>
      <w:tab/>
    </w:r>
    <w:fldSimple w:instr=" DOCVARIABLE &quot;LW_Confidence&quot; \* MERGEFORMAT ">
      <w:r>
        <w:t xml:space="preserve"> </w:t>
      </w:r>
    </w:fldSimple>
    <w:r w:rsidRPr="00CC3130">
      <w:tab/>
    </w:r>
    <w:proofErr w:type="spellStart"/>
    <w:r w:rsidRPr="00CC3130">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0" w:rsidRPr="00CC3130" w:rsidRDefault="00CC3130" w:rsidP="00CC313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7C" w:rsidRDefault="00C71C7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15670"/>
      <w:docPartObj>
        <w:docPartGallery w:val="Page Numbers (Bottom of Page)"/>
        <w:docPartUnique/>
      </w:docPartObj>
    </w:sdtPr>
    <w:sdtEndPr>
      <w:rPr>
        <w:noProof/>
      </w:rPr>
    </w:sdtEndPr>
    <w:sdtContent>
      <w:p w:rsidR="00C71C7C" w:rsidRDefault="00CC3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1C7C" w:rsidRDefault="00C71C7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7C" w:rsidRDefault="00C71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7C" w:rsidRDefault="00CC3130">
      <w:pPr>
        <w:spacing w:after="0" w:line="240" w:lineRule="auto"/>
      </w:pPr>
      <w:r>
        <w:separator/>
      </w:r>
    </w:p>
  </w:footnote>
  <w:footnote w:type="continuationSeparator" w:id="0">
    <w:p w:rsidR="00C71C7C" w:rsidRDefault="00CC3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0" w:rsidRPr="00CC3130" w:rsidRDefault="00CC3130" w:rsidP="00CC3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0" w:rsidRPr="00CC3130" w:rsidRDefault="00CC3130" w:rsidP="00CC313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0" w:rsidRPr="00CC3130" w:rsidRDefault="00CC3130" w:rsidP="00CC313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7C" w:rsidRDefault="00C71C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7C" w:rsidRDefault="00C71C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7C" w:rsidRDefault="00C71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B49"/>
    <w:multiLevelType w:val="hybridMultilevel"/>
    <w:tmpl w:val="7F901CE6"/>
    <w:lvl w:ilvl="0" w:tplc="33F22F54">
      <w:start w:val="5"/>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2037B"/>
    <w:multiLevelType w:val="hybridMultilevel"/>
    <w:tmpl w:val="822C5A3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32545"/>
    <w:multiLevelType w:val="hybridMultilevel"/>
    <w:tmpl w:val="021091F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E0772"/>
    <w:multiLevelType w:val="hybridMultilevel"/>
    <w:tmpl w:val="BF50E9F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3618C3"/>
    <w:multiLevelType w:val="hybridMultilevel"/>
    <w:tmpl w:val="43C0B0D2"/>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4455B9"/>
    <w:multiLevelType w:val="hybridMultilevel"/>
    <w:tmpl w:val="C492B90C"/>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CF5D3A"/>
    <w:multiLevelType w:val="hybridMultilevel"/>
    <w:tmpl w:val="0D26E50C"/>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983090"/>
    <w:multiLevelType w:val="hybridMultilevel"/>
    <w:tmpl w:val="6C8E0B68"/>
    <w:lvl w:ilvl="0" w:tplc="FC90C370">
      <w:start w:val="1"/>
      <w:numFmt w:val="bullet"/>
      <w:lvlText w:val=""/>
      <w:lvlJc w:val="left"/>
      <w:pPr>
        <w:ind w:left="38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648471CB"/>
    <w:multiLevelType w:val="hybridMultilevel"/>
    <w:tmpl w:val="6FF45D4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785971"/>
    <w:multiLevelType w:val="hybridMultilevel"/>
    <w:tmpl w:val="157EDC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495343"/>
    <w:multiLevelType w:val="hybridMultilevel"/>
    <w:tmpl w:val="0FEE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E0665"/>
    <w:multiLevelType w:val="hybridMultilevel"/>
    <w:tmpl w:val="E660A146"/>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1B4C33"/>
    <w:multiLevelType w:val="hybridMultilevel"/>
    <w:tmpl w:val="2F16AD1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026C62"/>
    <w:multiLevelType w:val="hybridMultilevel"/>
    <w:tmpl w:val="512C6D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
  </w:num>
  <w:num w:numId="5">
    <w:abstractNumId w:val="9"/>
  </w:num>
  <w:num w:numId="6">
    <w:abstractNumId w:val="14"/>
  </w:num>
  <w:num w:numId="7">
    <w:abstractNumId w:val="10"/>
  </w:num>
  <w:num w:numId="8">
    <w:abstractNumId w:val="8"/>
  </w:num>
  <w:num w:numId="9">
    <w:abstractNumId w:val="15"/>
  </w:num>
  <w:num w:numId="10">
    <w:abstractNumId w:val="0"/>
  </w:num>
  <w:num w:numId="11">
    <w:abstractNumId w:val="6"/>
  </w:num>
  <w:num w:numId="12">
    <w:abstractNumId w:val="13"/>
  </w:num>
  <w:num w:numId="13">
    <w:abstractNumId w:val="3"/>
  </w:num>
  <w:num w:numId="14">
    <w:abstractNumId w:val="12"/>
  </w:num>
  <w:num w:numId="15">
    <w:abstractNumId w:val="17"/>
  </w:num>
  <w:num w:numId="16">
    <w:abstractNumId w:val="2"/>
  </w:num>
  <w:num w:numId="17">
    <w:abstractNumId w:val="7"/>
  </w:num>
  <w:num w:numId="18">
    <w:abstractNumId w:val="1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DateAndTime/>
  <w:hideSpellingErrors/>
  <w:hideGrammaticalErrors/>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7AE598D7A2834391A8766F8E9B511C6A"/>
    <w:docVar w:name="LW_CROSSREFERENCE" w:val="&lt;UNUSED&gt;"/>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Eighth progress report towards an effective and genuine Security Union"/>
    <w:docVar w:name="LW_PART_NBR" w:val="1"/>
    <w:docVar w:name="LW_PART_NBR_TOTAL" w:val="1"/>
    <w:docVar w:name="LW_REF.INST.NEW" w:val="COM"/>
    <w:docVar w:name="LW_REF.INST.NEW_ADOPTED" w:val="final"/>
    <w:docVar w:name="LW_REF.INST.NEW_TEXT" w:val="(2017) 354"/>
    <w:docVar w:name="LW_REF.INTERNE" w:val="&lt;UNUSED&gt;"/>
    <w:docVar w:name="LW_SUPERTITRE" w:val="&lt;UNUSED&gt;"/>
    <w:docVar w:name="LW_TITRE.OBJ.CP" w:val="State of play of implementing the Action Plan for strengthening the fight against terrorist financing"/>
    <w:docVar w:name="LW_TYPE.DOC.CP" w:val="ANNEX_x000b_"/>
    <w:docVar w:name="LW_TYPEACTEPRINCIPAL.CP" w:val="Communication from the Commission to the European Parliament, the European Council and the Council"/>
  </w:docVars>
  <w:rsids>
    <w:rsidRoot w:val="00C71C7C"/>
    <w:rsid w:val="00C71C7C"/>
    <w:rsid w:val="00CC3130"/>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sTitles">
    <w:name w:val="Italics Titles"/>
    <w:basedOn w:val="Normal"/>
    <w:qFormat/>
    <w:pPr>
      <w:spacing w:after="160" w:line="259" w:lineRule="auto"/>
    </w:pPr>
    <w:rPr>
      <w:b/>
      <w:i/>
      <w:color w:val="1E1D64"/>
      <w:sz w:val="28"/>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sTitles">
    <w:name w:val="Italics Titles"/>
    <w:basedOn w:val="Normal"/>
    <w:qFormat/>
    <w:pPr>
      <w:spacing w:after="160" w:line="259" w:lineRule="auto"/>
    </w:pPr>
    <w:rPr>
      <w:b/>
      <w:i/>
      <w:color w:val="1E1D64"/>
      <w:sz w:val="28"/>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291909095">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364984598">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1108889487">
      <w:bodyDiv w:val="1"/>
      <w:marLeft w:val="0"/>
      <w:marRight w:val="0"/>
      <w:marTop w:val="0"/>
      <w:marBottom w:val="0"/>
      <w:divBdr>
        <w:top w:val="none" w:sz="0" w:space="0" w:color="auto"/>
        <w:left w:val="none" w:sz="0" w:space="0" w:color="auto"/>
        <w:bottom w:val="none" w:sz="0" w:space="0" w:color="auto"/>
        <w:right w:val="none" w:sz="0" w:space="0" w:color="auto"/>
      </w:divBdr>
    </w:div>
    <w:div w:id="1804539905">
      <w:bodyDiv w:val="1"/>
      <w:marLeft w:val="0"/>
      <w:marRight w:val="0"/>
      <w:marTop w:val="0"/>
      <w:marBottom w:val="0"/>
      <w:divBdr>
        <w:top w:val="none" w:sz="0" w:space="0" w:color="auto"/>
        <w:left w:val="none" w:sz="0" w:space="0" w:color="auto"/>
        <w:bottom w:val="none" w:sz="0" w:space="0" w:color="auto"/>
        <w:right w:val="none" w:sz="0" w:space="0" w:color="auto"/>
      </w:divBdr>
    </w:div>
    <w:div w:id="1815368663">
      <w:bodyDiv w:val="1"/>
      <w:marLeft w:val="0"/>
      <w:marRight w:val="0"/>
      <w:marTop w:val="0"/>
      <w:marBottom w:val="0"/>
      <w:divBdr>
        <w:top w:val="none" w:sz="0" w:space="0" w:color="auto"/>
        <w:left w:val="none" w:sz="0" w:space="0" w:color="auto"/>
        <w:bottom w:val="none" w:sz="0" w:space="0" w:color="auto"/>
        <w:right w:val="none" w:sz="0" w:space="0" w:color="auto"/>
      </w:divBdr>
    </w:div>
    <w:div w:id="1838959395">
      <w:bodyDiv w:val="1"/>
      <w:marLeft w:val="0"/>
      <w:marRight w:val="0"/>
      <w:marTop w:val="0"/>
      <w:marBottom w:val="0"/>
      <w:divBdr>
        <w:top w:val="none" w:sz="0" w:space="0" w:color="auto"/>
        <w:left w:val="none" w:sz="0" w:space="0" w:color="auto"/>
        <w:bottom w:val="none" w:sz="0" w:space="0" w:color="auto"/>
        <w:right w:val="none" w:sz="0" w:space="0" w:color="auto"/>
      </w:divBdr>
    </w:div>
    <w:div w:id="2019843438">
      <w:bodyDiv w:val="1"/>
      <w:marLeft w:val="0"/>
      <w:marRight w:val="0"/>
      <w:marTop w:val="0"/>
      <w:marBottom w:val="0"/>
      <w:divBdr>
        <w:top w:val="none" w:sz="0" w:space="0" w:color="auto"/>
        <w:left w:val="none" w:sz="0" w:space="0" w:color="auto"/>
        <w:bottom w:val="none" w:sz="0" w:space="0" w:color="auto"/>
        <w:right w:val="none" w:sz="0" w:space="0" w:color="auto"/>
      </w:divBdr>
      <w:divsChild>
        <w:div w:id="919560639">
          <w:marLeft w:val="0"/>
          <w:marRight w:val="0"/>
          <w:marTop w:val="0"/>
          <w:marBottom w:val="0"/>
          <w:divBdr>
            <w:top w:val="none" w:sz="0" w:space="0" w:color="auto"/>
            <w:left w:val="none" w:sz="0" w:space="0" w:color="auto"/>
            <w:bottom w:val="none" w:sz="0" w:space="0" w:color="auto"/>
            <w:right w:val="none" w:sz="0" w:space="0" w:color="auto"/>
          </w:divBdr>
          <w:divsChild>
            <w:div w:id="1564634658">
              <w:marLeft w:val="0"/>
              <w:marRight w:val="0"/>
              <w:marTop w:val="0"/>
              <w:marBottom w:val="0"/>
              <w:divBdr>
                <w:top w:val="none" w:sz="0" w:space="0" w:color="auto"/>
                <w:left w:val="none" w:sz="0" w:space="0" w:color="auto"/>
                <w:bottom w:val="none" w:sz="0" w:space="0" w:color="auto"/>
                <w:right w:val="none" w:sz="0" w:space="0" w:color="auto"/>
              </w:divBdr>
              <w:divsChild>
                <w:div w:id="517504785">
                  <w:marLeft w:val="0"/>
                  <w:marRight w:val="-4875"/>
                  <w:marTop w:val="0"/>
                  <w:marBottom w:val="0"/>
                  <w:divBdr>
                    <w:top w:val="none" w:sz="0" w:space="0" w:color="auto"/>
                    <w:left w:val="none" w:sz="0" w:space="0" w:color="auto"/>
                    <w:bottom w:val="none" w:sz="0" w:space="0" w:color="auto"/>
                    <w:right w:val="none" w:sz="0" w:space="0" w:color="auto"/>
                  </w:divBdr>
                  <w:divsChild>
                    <w:div w:id="2051686585">
                      <w:marLeft w:val="0"/>
                      <w:marRight w:val="0"/>
                      <w:marTop w:val="0"/>
                      <w:marBottom w:val="0"/>
                      <w:divBdr>
                        <w:top w:val="none" w:sz="0" w:space="0" w:color="auto"/>
                        <w:left w:val="none" w:sz="0" w:space="0" w:color="auto"/>
                        <w:bottom w:val="none" w:sz="0" w:space="0" w:color="auto"/>
                        <w:right w:val="none" w:sz="0" w:space="0" w:color="auto"/>
                      </w:divBdr>
                      <w:divsChild>
                        <w:div w:id="1086657040">
                          <w:marLeft w:val="0"/>
                          <w:marRight w:val="0"/>
                          <w:marTop w:val="0"/>
                          <w:marBottom w:val="0"/>
                          <w:divBdr>
                            <w:top w:val="none" w:sz="0" w:space="0" w:color="auto"/>
                            <w:left w:val="none" w:sz="0" w:space="0" w:color="auto"/>
                            <w:bottom w:val="none" w:sz="0" w:space="0" w:color="auto"/>
                            <w:right w:val="none" w:sz="0" w:space="0" w:color="auto"/>
                          </w:divBdr>
                          <w:divsChild>
                            <w:div w:id="1523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90E6-8641-43B5-999E-A5C2C9F7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6959</Characters>
  <Application>Microsoft Office Word</Application>
  <DocSecurity>0</DocSecurity>
  <Lines>235</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VELISSARATOS Errikos (ECFIN)</dc:creator>
  <cp:lastModifiedBy>BARTH Carmen (SG)</cp:lastModifiedBy>
  <cp:revision>9</cp:revision>
  <cp:lastPrinted>2017-06-23T16:53:00Z</cp:lastPrinted>
  <dcterms:created xsi:type="dcterms:W3CDTF">2017-06-26T17:16:00Z</dcterms:created>
  <dcterms:modified xsi:type="dcterms:W3CDTF">2017-06-28T11:58:00Z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